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4.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5.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6.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7.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8.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9.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0.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1.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2.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3.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4.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5.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6.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7.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8.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9.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0.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1.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2.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3.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4.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5.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6.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7.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8.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9.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0.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1.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2.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3.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4.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5.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6.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7.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8.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9.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0.xml" ContentType="application/vnd.openxmlformats-officedocument.drawingml.chart+xml"/>
  <Override PartName="/word/charts/style49.xml" ContentType="application/vnd.ms-office.chartstyle+xml"/>
  <Override PartName="/word/charts/colors49.xml" ContentType="application/vnd.ms-office.chartcolorstyle+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51.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2.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3.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4.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5.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6.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7.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8.xml" ContentType="application/vnd.openxmlformats-officedocument.drawingml.chart+xml"/>
  <Override PartName="/word/charts/style57.xml" ContentType="application/vnd.ms-office.chartstyle+xml"/>
  <Override PartName="/word/charts/colors57.xml" ContentType="application/vnd.ms-office.chartcolorstyle+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59.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0.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1.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2.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3.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4.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5.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6.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7.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8.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9.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70.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1.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2.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3.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4.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75.xml" ContentType="application/vnd.openxmlformats-officedocument.drawingml.chart+xml"/>
  <Override PartName="/word/charts/style74.xml" ContentType="application/vnd.ms-office.chartstyle+xml"/>
  <Override PartName="/word/charts/colors74.xml" ContentType="application/vnd.ms-office.chartcolorstyle+xml"/>
  <Override PartName="/word/charts/chart76.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7.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8.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79.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80.xml" ContentType="application/vnd.openxmlformats-officedocument.drawingml.chart+xml"/>
  <Override PartName="/word/charts/style79.xml" ContentType="application/vnd.ms-office.chartstyle+xml"/>
  <Override PartName="/word/charts/colors79.xml" ContentType="application/vnd.ms-office.chartcolorstyle+xml"/>
  <Override PartName="/word/charts/chart81.xml" ContentType="application/vnd.openxmlformats-officedocument.drawingml.chart+xml"/>
  <Override PartName="/word/charts/style80.xml" ContentType="application/vnd.ms-office.chartstyle+xml"/>
  <Override PartName="/word/charts/colors80.xml" ContentType="application/vnd.ms-office.chartcolorstyle+xml"/>
  <Override PartName="/word/charts/chart82.xml" ContentType="application/vnd.openxmlformats-officedocument.drawingml.chart+xml"/>
  <Override PartName="/word/charts/style81.xml" ContentType="application/vnd.ms-office.chartstyle+xml"/>
  <Override PartName="/word/charts/colors81.xml" ContentType="application/vnd.ms-office.chartcolorstyle+xml"/>
  <Override PartName="/word/charts/chart83.xml" ContentType="application/vnd.openxmlformats-officedocument.drawingml.chart+xml"/>
  <Override PartName="/word/charts/style82.xml" ContentType="application/vnd.ms-office.chartstyle+xml"/>
  <Override PartName="/word/charts/colors82.xml" ContentType="application/vnd.ms-office.chartcolorstyle+xml"/>
  <Override PartName="/word/charts/chart84.xml" ContentType="application/vnd.openxmlformats-officedocument.drawingml.chart+xml"/>
  <Override PartName="/word/charts/style83.xml" ContentType="application/vnd.ms-office.chartstyle+xml"/>
  <Override PartName="/word/charts/colors83.xml" ContentType="application/vnd.ms-office.chartcolorstyle+xml"/>
  <Override PartName="/word/charts/chart85.xml" ContentType="application/vnd.openxmlformats-officedocument.drawingml.chart+xml"/>
  <Override PartName="/word/charts/style84.xml" ContentType="application/vnd.ms-office.chartstyle+xml"/>
  <Override PartName="/word/charts/colors84.xml" ContentType="application/vnd.ms-office.chartcolorstyle+xml"/>
  <Override PartName="/word/charts/chart86.xml" ContentType="application/vnd.openxmlformats-officedocument.drawingml.chart+xml"/>
  <Override PartName="/word/charts/style85.xml" ContentType="application/vnd.ms-office.chartstyle+xml"/>
  <Override PartName="/word/charts/colors85.xml" ContentType="application/vnd.ms-office.chartcolorstyle+xml"/>
  <Override PartName="/word/charts/chart87.xml" ContentType="application/vnd.openxmlformats-officedocument.drawingml.chart+xml"/>
  <Override PartName="/word/charts/style86.xml" ContentType="application/vnd.ms-office.chartstyle+xml"/>
  <Override PartName="/word/charts/colors86.xml" ContentType="application/vnd.ms-office.chartcolorstyle+xml"/>
  <Override PartName="/word/charts/chart88.xml" ContentType="application/vnd.openxmlformats-officedocument.drawingml.chart+xml"/>
  <Override PartName="/word/charts/style87.xml" ContentType="application/vnd.ms-office.chartstyle+xml"/>
  <Override PartName="/word/charts/colors87.xml" ContentType="application/vnd.ms-office.chartcolorstyle+xml"/>
  <Override PartName="/word/charts/chart89.xml" ContentType="application/vnd.openxmlformats-officedocument.drawingml.chart+xml"/>
  <Override PartName="/word/charts/style88.xml" ContentType="application/vnd.ms-office.chartstyle+xml"/>
  <Override PartName="/word/charts/colors88.xml" ContentType="application/vnd.ms-office.chartcolorstyle+xml"/>
  <Override PartName="/word/charts/chart90.xml" ContentType="application/vnd.openxmlformats-officedocument.drawingml.chart+xml"/>
  <Override PartName="/word/charts/style89.xml" ContentType="application/vnd.ms-office.chartstyle+xml"/>
  <Override PartName="/word/charts/colors89.xml" ContentType="application/vnd.ms-office.chartcolorstyle+xml"/>
  <Override PartName="/word/charts/chart91.xml" ContentType="application/vnd.openxmlformats-officedocument.drawingml.chart+xml"/>
  <Override PartName="/word/charts/style90.xml" ContentType="application/vnd.ms-office.chartstyle+xml"/>
  <Override PartName="/word/charts/colors90.xml" ContentType="application/vnd.ms-office.chartcolorstyle+xml"/>
  <Override PartName="/word/charts/chart92.xml" ContentType="application/vnd.openxmlformats-officedocument.drawingml.chart+xml"/>
  <Override PartName="/word/charts/style91.xml" ContentType="application/vnd.ms-office.chartstyle+xml"/>
  <Override PartName="/word/charts/colors91.xml" ContentType="application/vnd.ms-office.chartcolorstyle+xml"/>
  <Override PartName="/word/charts/chart93.xml" ContentType="application/vnd.openxmlformats-officedocument.drawingml.chart+xml"/>
  <Override PartName="/word/charts/style92.xml" ContentType="application/vnd.ms-office.chartstyle+xml"/>
  <Override PartName="/word/charts/colors92.xml" ContentType="application/vnd.ms-office.chartcolorstyle+xml"/>
  <Override PartName="/word/charts/chart94.xml" ContentType="application/vnd.openxmlformats-officedocument.drawingml.chart+xml"/>
  <Override PartName="/word/charts/style93.xml" ContentType="application/vnd.ms-office.chartstyle+xml"/>
  <Override PartName="/word/charts/colors93.xml" ContentType="application/vnd.ms-office.chartcolorstyle+xml"/>
  <Override PartName="/word/charts/chart95.xml" ContentType="application/vnd.openxmlformats-officedocument.drawingml.chart+xml"/>
  <Override PartName="/word/charts/style94.xml" ContentType="application/vnd.ms-office.chartstyle+xml"/>
  <Override PartName="/word/charts/colors94.xml" ContentType="application/vnd.ms-office.chartcolorstyle+xml"/>
  <Override PartName="/word/charts/chart96.xml" ContentType="application/vnd.openxmlformats-officedocument.drawingml.chart+xml"/>
  <Override PartName="/word/charts/style95.xml" ContentType="application/vnd.ms-office.chartstyle+xml"/>
  <Override PartName="/word/charts/colors95.xml" ContentType="application/vnd.ms-office.chartcolorstyle+xml"/>
  <Override PartName="/word/charts/chart97.xml" ContentType="application/vnd.openxmlformats-officedocument.drawingml.chart+xml"/>
  <Override PartName="/word/charts/style96.xml" ContentType="application/vnd.ms-office.chartstyle+xml"/>
  <Override PartName="/word/charts/colors96.xml" ContentType="application/vnd.ms-office.chartcolorstyle+xml"/>
  <Override PartName="/word/charts/chart98.xml" ContentType="application/vnd.openxmlformats-officedocument.drawingml.chart+xml"/>
  <Override PartName="/word/charts/style97.xml" ContentType="application/vnd.ms-office.chartstyle+xml"/>
  <Override PartName="/word/charts/colors97.xml" ContentType="application/vnd.ms-office.chartcolorstyle+xml"/>
  <Override PartName="/word/charts/chart99.xml" ContentType="application/vnd.openxmlformats-officedocument.drawingml.chart+xml"/>
  <Override PartName="/word/charts/style98.xml" ContentType="application/vnd.ms-office.chartstyle+xml"/>
  <Override PartName="/word/charts/colors98.xml" ContentType="application/vnd.ms-office.chartcolorstyle+xml"/>
  <Override PartName="/word/charts/chart100.xml" ContentType="application/vnd.openxmlformats-officedocument.drawingml.chart+xml"/>
  <Override PartName="/word/charts/style99.xml" ContentType="application/vnd.ms-office.chartstyle+xml"/>
  <Override PartName="/word/charts/colors99.xml" ContentType="application/vnd.ms-office.chartcolorstyle+xml"/>
  <Override PartName="/word/charts/chart101.xml" ContentType="application/vnd.openxmlformats-officedocument.drawingml.chart+xml"/>
  <Override PartName="/word/charts/style100.xml" ContentType="application/vnd.ms-office.chartstyle+xml"/>
  <Override PartName="/word/charts/colors100.xml" ContentType="application/vnd.ms-office.chartcolorstyle+xml"/>
  <Override PartName="/word/charts/chart102.xml" ContentType="application/vnd.openxmlformats-officedocument.drawingml.chart+xml"/>
  <Override PartName="/word/charts/style101.xml" ContentType="application/vnd.ms-office.chartstyle+xml"/>
  <Override PartName="/word/charts/colors101.xml" ContentType="application/vnd.ms-office.chartcolorstyle+xml"/>
  <Override PartName="/word/charts/chart103.xml" ContentType="application/vnd.openxmlformats-officedocument.drawingml.chart+xml"/>
  <Override PartName="/word/charts/style102.xml" ContentType="application/vnd.ms-office.chartstyle+xml"/>
  <Override PartName="/word/charts/colors102.xml" ContentType="application/vnd.ms-office.chartcolorstyle+xml"/>
  <Override PartName="/word/charts/chart104.xml" ContentType="application/vnd.openxmlformats-officedocument.drawingml.chart+xml"/>
  <Override PartName="/word/charts/style103.xml" ContentType="application/vnd.ms-office.chartstyle+xml"/>
  <Override PartName="/word/charts/colors103.xml" ContentType="application/vnd.ms-office.chartcolorstyle+xml"/>
  <Override PartName="/word/charts/chart105.xml" ContentType="application/vnd.openxmlformats-officedocument.drawingml.chart+xml"/>
  <Override PartName="/word/charts/style104.xml" ContentType="application/vnd.ms-office.chartstyle+xml"/>
  <Override PartName="/word/charts/colors104.xml" ContentType="application/vnd.ms-office.chartcolorstyle+xml"/>
  <Override PartName="/word/charts/chart106.xml" ContentType="application/vnd.openxmlformats-officedocument.drawingml.chart+xml"/>
  <Override PartName="/word/charts/style105.xml" ContentType="application/vnd.ms-office.chartstyle+xml"/>
  <Override PartName="/word/charts/colors105.xml" ContentType="application/vnd.ms-office.chartcolorstyle+xml"/>
  <Override PartName="/word/charts/chart107.xml" ContentType="application/vnd.openxmlformats-officedocument.drawingml.chart+xml"/>
  <Override PartName="/word/charts/style106.xml" ContentType="application/vnd.ms-office.chartstyle+xml"/>
  <Override PartName="/word/charts/colors106.xml" ContentType="application/vnd.ms-office.chartcolorstyle+xml"/>
  <Override PartName="/word/charts/chart108.xml" ContentType="application/vnd.openxmlformats-officedocument.drawingml.chart+xml"/>
  <Override PartName="/word/charts/style107.xml" ContentType="application/vnd.ms-office.chartstyle+xml"/>
  <Override PartName="/word/charts/colors107.xml" ContentType="application/vnd.ms-office.chartcolorstyle+xml"/>
  <Override PartName="/word/charts/chart109.xml" ContentType="application/vnd.openxmlformats-officedocument.drawingml.chart+xml"/>
  <Override PartName="/word/charts/style108.xml" ContentType="application/vnd.ms-office.chartstyle+xml"/>
  <Override PartName="/word/charts/colors108.xml" ContentType="application/vnd.ms-office.chartcolorstyle+xml"/>
  <Override PartName="/word/charts/chart110.xml" ContentType="application/vnd.openxmlformats-officedocument.drawingml.chart+xml"/>
  <Override PartName="/word/charts/style109.xml" ContentType="application/vnd.ms-office.chartstyle+xml"/>
  <Override PartName="/word/charts/colors109.xml" ContentType="application/vnd.ms-office.chartcolorstyle+xml"/>
  <Override PartName="/word/charts/chart111.xml" ContentType="application/vnd.openxmlformats-officedocument.drawingml.chart+xml"/>
  <Override PartName="/word/charts/style110.xml" ContentType="application/vnd.ms-office.chartstyle+xml"/>
  <Override PartName="/word/charts/colors110.xml" ContentType="application/vnd.ms-office.chartcolorstyle+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213597320"/>
    <w:bookmarkStart w:id="1" w:name="_Toc213601141"/>
    <w:bookmarkStart w:id="2" w:name="_Toc213601662"/>
    <w:bookmarkStart w:id="3" w:name="_Toc213601850"/>
    <w:bookmarkStart w:id="4" w:name="_Toc214311194"/>
    <w:bookmarkStart w:id="5" w:name="_Toc138943319"/>
    <w:bookmarkStart w:id="6" w:name="_Toc138977189"/>
    <w:bookmarkStart w:id="7" w:name="_Toc142915222"/>
    <w:bookmarkStart w:id="8" w:name="_Toc142919460"/>
    <w:bookmarkStart w:id="9" w:name="_Toc184096687"/>
    <w:bookmarkStart w:id="10" w:name="_Toc184096975"/>
    <w:p w14:paraId="2E3F9182" w14:textId="77777777" w:rsidR="00085789" w:rsidRDefault="00000000">
      <w:pPr>
        <w:pStyle w:val="-bac1"/>
        <w:rPr>
          <w:lang w:val="vi-VN"/>
        </w:rPr>
        <w:sectPr w:rsidR="00085789">
          <w:headerReference w:type="default" r:id="rId9"/>
          <w:footerReference w:type="even" r:id="rId10"/>
          <w:footerReference w:type="default" r:id="rId11"/>
          <w:headerReference w:type="first" r:id="rId12"/>
          <w:footerReference w:type="first" r:id="rId13"/>
          <w:pgSz w:w="11909" w:h="16834" w:code="9"/>
          <w:pgMar w:top="1134" w:right="1134" w:bottom="1134" w:left="1418" w:header="0" w:footer="0" w:gutter="0"/>
          <w:pgNumType w:start="0"/>
          <w:cols w:space="720"/>
          <w:titlePg/>
          <w:docGrid w:linePitch="381"/>
        </w:sectPr>
      </w:pPr>
      <w:r>
        <w:rPr>
          <w:noProof/>
          <w:sz w:val="20"/>
        </w:rPr>
        <mc:AlternateContent>
          <mc:Choice Requires="wps">
            <w:drawing>
              <wp:anchor distT="0" distB="0" distL="114300" distR="114300" simplePos="0" relativeHeight="252090880" behindDoc="0" locked="0" layoutInCell="1" allowOverlap="1" wp14:anchorId="4E9DCDB8" wp14:editId="16E9DA26">
                <wp:simplePos x="0" y="0"/>
                <wp:positionH relativeFrom="column">
                  <wp:posOffset>2080211</wp:posOffset>
                </wp:positionH>
                <wp:positionV relativeFrom="paragraph">
                  <wp:posOffset>250190</wp:posOffset>
                </wp:positionV>
                <wp:extent cx="1561514" cy="0"/>
                <wp:effectExtent l="0" t="0" r="0" b="0"/>
                <wp:wrapNone/>
                <wp:docPr id="64297246" name="Straight Connector 102"/>
                <wp:cNvGraphicFramePr/>
                <a:graphic xmlns:a="http://schemas.openxmlformats.org/drawingml/2006/main">
                  <a:graphicData uri="http://schemas.microsoft.com/office/word/2010/wordprocessingShape">
                    <wps:wsp>
                      <wps:cNvCnPr/>
                      <wps:spPr>
                        <a:xfrm>
                          <a:off x="0" y="0"/>
                          <a:ext cx="1561514"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BCA7887" id="Straight Connector 102" o:spid="_x0000_s1026" style="position:absolute;z-index:252090880;visibility:visible;mso-wrap-style:square;mso-wrap-distance-left:9pt;mso-wrap-distance-top:0;mso-wrap-distance-right:9pt;mso-wrap-distance-bottom:0;mso-position-horizontal:absolute;mso-position-horizontal-relative:text;mso-position-vertical:absolute;mso-position-vertical-relative:text" from="163.8pt,19.7pt" to="286.7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" strokecolor="black [3040]" strokeweight="1pt"/>
            </w:pict>
          </mc:Fallback>
        </mc:AlternateContent>
      </w:r>
      <w:r>
        <w:rPr>
          <w:noProof/>
          <w:sz w:val="20"/>
        </w:rPr>
        <mc:AlternateContent>
          <mc:Choice Requires="wps">
            <w:drawing>
              <wp:anchor distT="0" distB="0" distL="114300" distR="114300" simplePos="0" relativeHeight="252089856" behindDoc="0" locked="0" layoutInCell="1" allowOverlap="1" wp14:anchorId="2462902A" wp14:editId="7441631C">
                <wp:simplePos x="0" y="0"/>
                <wp:positionH relativeFrom="column">
                  <wp:posOffset>-83938</wp:posOffset>
                </wp:positionH>
                <wp:positionV relativeFrom="paragraph">
                  <wp:posOffset>-60871</wp:posOffset>
                </wp:positionV>
                <wp:extent cx="5925185" cy="9382760"/>
                <wp:effectExtent l="19050" t="19050" r="37465" b="46990"/>
                <wp:wrapNone/>
                <wp:docPr id="1299133989"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5185" cy="9382760"/>
                        </a:xfrm>
                        <a:prstGeom prst="rect">
                          <a:avLst/>
                        </a:prstGeom>
                        <a:solidFill>
                          <a:srgbClr val="FFFFFF"/>
                        </a:solidFill>
                        <a:ln w="57150" cmpd="thickThin">
                          <a:solidFill>
                            <a:srgbClr val="000000"/>
                          </a:solidFill>
                          <a:miter lim="800000"/>
                          <a:headEnd/>
                          <a:tailEnd/>
                        </a:ln>
                      </wps:spPr>
                      <wps:txbx>
                        <w:txbxContent>
                          <w:p w14:paraId="07970767" w14:textId="77777777" w:rsidR="00085789" w:rsidRPr="00AA3A70" w:rsidRDefault="00000000" w:rsidP="00AA3A70">
                            <w:pPr>
                              <w:keepNext/>
                              <w:spacing w:line="360" w:lineRule="exact"/>
                              <w:ind w:hanging="108"/>
                              <w:jc w:val="center"/>
                              <w:outlineLvl w:val="1"/>
                              <w:rPr>
                                <w:bCs/>
                                <w:sz w:val="30"/>
                                <w:szCs w:val="30"/>
                              </w:rPr>
                            </w:pPr>
                            <w:r w:rsidRPr="00AA3A70">
                              <w:rPr>
                                <w:b/>
                                <w:bCs/>
                                <w:sz w:val="30"/>
                                <w:szCs w:val="30"/>
                              </w:rPr>
                              <w:t>UỶ BAN NHÂN DÂN TỈNH HÀ TĨNH</w:t>
                            </w:r>
                          </w:p>
                          <w:p w14:paraId="48039E3C" w14:textId="77777777" w:rsidR="00085789" w:rsidRPr="00AA3A70" w:rsidRDefault="00085789">
                            <w:pPr>
                              <w:pStyle w:val="Heading2"/>
                              <w:spacing w:line="340" w:lineRule="exact"/>
                              <w:rPr>
                                <w:rFonts w:ascii="Times New Roman" w:hAnsi="Times New Roman"/>
                                <w:b w:val="0"/>
                                <w:sz w:val="30"/>
                                <w:szCs w:val="30"/>
                                <w:lang w:val="fr-FR"/>
                              </w:rPr>
                            </w:pPr>
                          </w:p>
                          <w:p w14:paraId="4DDA36E4" w14:textId="77777777" w:rsidR="00085789" w:rsidRDefault="00085789">
                            <w:pPr>
                              <w:pStyle w:val="BodyTextIndent2"/>
                              <w:spacing w:before="240" w:after="0" w:line="240" w:lineRule="auto"/>
                              <w:jc w:val="center"/>
                              <w:rPr>
                                <w:sz w:val="30"/>
                                <w:lang w:val="fr-FR"/>
                              </w:rPr>
                            </w:pPr>
                          </w:p>
                          <w:p w14:paraId="4778B387" w14:textId="77777777" w:rsidR="00085789" w:rsidRDefault="00085789">
                            <w:pPr>
                              <w:pStyle w:val="BodyTextIndent2"/>
                              <w:spacing w:before="240" w:after="0" w:line="240" w:lineRule="auto"/>
                              <w:rPr>
                                <w:sz w:val="30"/>
                                <w:lang w:val="fr-FR"/>
                              </w:rPr>
                            </w:pPr>
                          </w:p>
                          <w:p w14:paraId="7C8C0EB1" w14:textId="77777777" w:rsidR="00085789" w:rsidRDefault="00085789">
                            <w:pPr>
                              <w:pStyle w:val="BodyTextIndent2"/>
                              <w:spacing w:before="240" w:after="0" w:line="240" w:lineRule="auto"/>
                              <w:rPr>
                                <w:sz w:val="30"/>
                                <w:lang w:val="fr-FR"/>
                              </w:rPr>
                            </w:pPr>
                          </w:p>
                          <w:p w14:paraId="241C9589" w14:textId="77777777" w:rsidR="00085789" w:rsidRDefault="00085789">
                            <w:pPr>
                              <w:pStyle w:val="BodyTextIndent2"/>
                              <w:spacing w:before="240" w:after="0" w:line="240" w:lineRule="auto"/>
                              <w:rPr>
                                <w:sz w:val="38"/>
                                <w:lang w:val="fr-FR"/>
                              </w:rPr>
                            </w:pPr>
                          </w:p>
                          <w:p w14:paraId="77A17EB6" w14:textId="77777777" w:rsidR="00085789" w:rsidRDefault="00085789">
                            <w:pPr>
                              <w:pStyle w:val="BodyTextIndent2"/>
                              <w:spacing w:before="240" w:after="0" w:line="240" w:lineRule="auto"/>
                              <w:rPr>
                                <w:sz w:val="38"/>
                                <w:lang w:val="fr-FR"/>
                              </w:rPr>
                            </w:pPr>
                          </w:p>
                          <w:p w14:paraId="0986F313" w14:textId="77777777" w:rsidR="00085789" w:rsidRDefault="00085789">
                            <w:pPr>
                              <w:pStyle w:val="BodyTextIndent2"/>
                              <w:spacing w:before="240" w:after="0" w:line="240" w:lineRule="auto"/>
                              <w:rPr>
                                <w:sz w:val="38"/>
                                <w:lang w:val="fr-FR"/>
                              </w:rPr>
                            </w:pPr>
                          </w:p>
                          <w:p w14:paraId="1927C332" w14:textId="77777777" w:rsidR="00085789" w:rsidRDefault="00085789">
                            <w:pPr>
                              <w:pStyle w:val="BodyTextIndent2"/>
                              <w:spacing w:before="240" w:after="0" w:line="240" w:lineRule="exact"/>
                              <w:rPr>
                                <w:sz w:val="38"/>
                                <w:lang w:val="fr-FR"/>
                              </w:rPr>
                            </w:pPr>
                          </w:p>
                          <w:p w14:paraId="25781DD9" w14:textId="77777777" w:rsidR="00085789" w:rsidRDefault="00000000">
                            <w:pPr>
                              <w:pStyle w:val="BodyTextIndent2"/>
                              <w:spacing w:after="0" w:line="240" w:lineRule="auto"/>
                              <w:ind w:left="357"/>
                              <w:jc w:val="center"/>
                              <w:rPr>
                                <w:b/>
                                <w:bCs/>
                                <w:spacing w:val="-4"/>
                                <w:sz w:val="44"/>
                                <w:szCs w:val="44"/>
                              </w:rPr>
                            </w:pPr>
                            <w:r>
                              <w:rPr>
                                <w:b/>
                                <w:bCs/>
                                <w:spacing w:val="-4"/>
                                <w:sz w:val="44"/>
                                <w:szCs w:val="44"/>
                              </w:rPr>
                              <w:t xml:space="preserve">BÁO CÁO </w:t>
                            </w:r>
                          </w:p>
                          <w:p w14:paraId="0C1DC8A7" w14:textId="0F7508FD" w:rsidR="00085789" w:rsidRDefault="00000000">
                            <w:pPr>
                              <w:pStyle w:val="BodyTextIndent2"/>
                              <w:spacing w:after="0" w:line="240" w:lineRule="auto"/>
                              <w:ind w:left="357"/>
                              <w:jc w:val="center"/>
                              <w:rPr>
                                <w:b/>
                                <w:bCs/>
                                <w:sz w:val="40"/>
                                <w:szCs w:val="40"/>
                                <w:lang w:val="pt-BR"/>
                              </w:rPr>
                            </w:pPr>
                            <w:r>
                              <w:rPr>
                                <w:rFonts w:ascii="Times New Roman Bold" w:hAnsi="Times New Roman Bold"/>
                                <w:b/>
                                <w:bCs/>
                                <w:spacing w:val="-4"/>
                                <w:sz w:val="40"/>
                                <w:szCs w:val="40"/>
                              </w:rPr>
                              <w:t>TỔNG QUAN VỀ HIỆN TRẠNG MÔI TRƯỜNG</w:t>
                            </w:r>
                            <w:r>
                              <w:rPr>
                                <w:rFonts w:ascii="Times New Roman Bold" w:hAnsi="Times New Roman Bold"/>
                                <w:b/>
                                <w:bCs/>
                                <w:spacing w:val="-4"/>
                                <w:sz w:val="40"/>
                                <w:szCs w:val="40"/>
                                <w:lang w:val="pt-BR"/>
                              </w:rPr>
                              <w:t xml:space="preserve"> TỈNH HÀ TĨNH GIAI ĐOẠN 2021 - 2025</w:t>
                            </w:r>
                          </w:p>
                          <w:p w14:paraId="6DA778B2" w14:textId="77777777" w:rsidR="00085789" w:rsidRDefault="00085789">
                            <w:pPr>
                              <w:pStyle w:val="BodyText"/>
                              <w:spacing w:before="120" w:line="360" w:lineRule="exact"/>
                              <w:jc w:val="left"/>
                              <w:rPr>
                                <w:rFonts w:ascii="Times New Roman" w:hAnsi="Times New Roman"/>
                                <w:b w:val="0"/>
                                <w:sz w:val="32"/>
                                <w:szCs w:val="32"/>
                                <w:lang w:val="pt-BR"/>
                              </w:rPr>
                            </w:pPr>
                          </w:p>
                          <w:p w14:paraId="4CCE3030" w14:textId="77777777" w:rsidR="00085789" w:rsidRDefault="00085789">
                            <w:pPr>
                              <w:pStyle w:val="BodyText"/>
                              <w:spacing w:before="120" w:line="360" w:lineRule="exact"/>
                              <w:jc w:val="left"/>
                              <w:rPr>
                                <w:rFonts w:ascii="Times New Roman" w:hAnsi="Times New Roman"/>
                                <w:b w:val="0"/>
                                <w:sz w:val="32"/>
                                <w:szCs w:val="32"/>
                                <w:lang w:val="pt-BR"/>
                              </w:rPr>
                            </w:pPr>
                          </w:p>
                          <w:p w14:paraId="1D1B6E17" w14:textId="77777777" w:rsidR="00085789" w:rsidRDefault="00085789">
                            <w:pPr>
                              <w:rPr>
                                <w:lang w:val="nb-NO"/>
                              </w:rPr>
                            </w:pPr>
                          </w:p>
                          <w:p w14:paraId="405B3B3A" w14:textId="77777777" w:rsidR="00085789" w:rsidRDefault="00085789">
                            <w:pPr>
                              <w:pStyle w:val="s1"/>
                              <w:spacing w:before="40" w:after="40" w:line="240" w:lineRule="auto"/>
                              <w:rPr>
                                <w:b w:val="0"/>
                                <w:bCs w:val="0"/>
                                <w:i/>
                                <w:iCs w:val="0"/>
                                <w:lang w:val="nb-NO"/>
                              </w:rPr>
                            </w:pPr>
                          </w:p>
                          <w:p w14:paraId="06FBF5DE" w14:textId="77777777" w:rsidR="00085789" w:rsidRDefault="00085789">
                            <w:pPr>
                              <w:pStyle w:val="s1"/>
                              <w:spacing w:before="40" w:after="40" w:line="240" w:lineRule="auto"/>
                              <w:jc w:val="left"/>
                              <w:rPr>
                                <w:b w:val="0"/>
                                <w:bCs w:val="0"/>
                                <w:i/>
                                <w:iCs w:val="0"/>
                                <w:lang w:val="nb-NO"/>
                              </w:rPr>
                            </w:pPr>
                          </w:p>
                          <w:p w14:paraId="0B13F84E" w14:textId="77777777" w:rsidR="00085789" w:rsidRDefault="00085789">
                            <w:pPr>
                              <w:pStyle w:val="s1"/>
                              <w:spacing w:before="40" w:after="40" w:line="240" w:lineRule="auto"/>
                              <w:jc w:val="left"/>
                              <w:rPr>
                                <w:b w:val="0"/>
                                <w:bCs w:val="0"/>
                                <w:i/>
                                <w:iCs w:val="0"/>
                                <w:lang w:val="nb-NO"/>
                              </w:rPr>
                            </w:pPr>
                          </w:p>
                          <w:p w14:paraId="182973B9" w14:textId="77777777" w:rsidR="00085789" w:rsidRDefault="00085789">
                            <w:pPr>
                              <w:pStyle w:val="s1"/>
                              <w:spacing w:before="40" w:after="40" w:line="240" w:lineRule="auto"/>
                              <w:rPr>
                                <w:b w:val="0"/>
                                <w:bCs w:val="0"/>
                                <w:i/>
                                <w:iCs w:val="0"/>
                                <w:lang w:val="nb-NO"/>
                              </w:rPr>
                            </w:pPr>
                          </w:p>
                          <w:p w14:paraId="09493A35" w14:textId="77777777" w:rsidR="00085789" w:rsidRDefault="00085789">
                            <w:pPr>
                              <w:pStyle w:val="s1"/>
                              <w:spacing w:before="40" w:after="40" w:line="240" w:lineRule="auto"/>
                              <w:rPr>
                                <w:b w:val="0"/>
                                <w:bCs w:val="0"/>
                                <w:i/>
                                <w:iCs w:val="0"/>
                                <w:lang w:val="nb-NO"/>
                              </w:rPr>
                            </w:pPr>
                          </w:p>
                          <w:p w14:paraId="594AA6FE" w14:textId="77777777" w:rsidR="00085789" w:rsidRDefault="00085789">
                            <w:pPr>
                              <w:pStyle w:val="s1"/>
                              <w:spacing w:before="40" w:after="40" w:line="240" w:lineRule="auto"/>
                              <w:rPr>
                                <w:b w:val="0"/>
                                <w:bCs w:val="0"/>
                                <w:i/>
                                <w:iCs w:val="0"/>
                                <w:lang w:val="nb-NO"/>
                              </w:rPr>
                            </w:pPr>
                          </w:p>
                          <w:p w14:paraId="1FF550C4" w14:textId="77777777" w:rsidR="00085789" w:rsidRDefault="00085789">
                            <w:pPr>
                              <w:pStyle w:val="s1"/>
                              <w:spacing w:before="40" w:after="40" w:line="240" w:lineRule="auto"/>
                              <w:rPr>
                                <w:b w:val="0"/>
                                <w:bCs w:val="0"/>
                                <w:i/>
                                <w:iCs w:val="0"/>
                                <w:lang w:val="nb-NO"/>
                              </w:rPr>
                            </w:pPr>
                          </w:p>
                          <w:p w14:paraId="212837A9" w14:textId="77777777" w:rsidR="00085789" w:rsidRDefault="00085789">
                            <w:pPr>
                              <w:pStyle w:val="s1"/>
                              <w:spacing w:before="40" w:after="40" w:line="240" w:lineRule="auto"/>
                              <w:rPr>
                                <w:b w:val="0"/>
                                <w:bCs w:val="0"/>
                                <w:i/>
                                <w:iCs w:val="0"/>
                                <w:lang w:val="nb-NO"/>
                              </w:rPr>
                            </w:pPr>
                          </w:p>
                          <w:p w14:paraId="1EEC1AAD" w14:textId="77777777" w:rsidR="00085789" w:rsidRDefault="00085789">
                            <w:pPr>
                              <w:pStyle w:val="s1"/>
                              <w:spacing w:before="40" w:after="40" w:line="240" w:lineRule="auto"/>
                              <w:rPr>
                                <w:b w:val="0"/>
                                <w:bCs w:val="0"/>
                                <w:i/>
                                <w:iCs w:val="0"/>
                                <w:lang w:val="nb-NO"/>
                              </w:rPr>
                            </w:pPr>
                          </w:p>
                          <w:p w14:paraId="62C80EE0" w14:textId="77777777" w:rsidR="00085789" w:rsidRDefault="00085789">
                            <w:pPr>
                              <w:pStyle w:val="s1"/>
                              <w:spacing w:before="40" w:after="40" w:line="240" w:lineRule="auto"/>
                              <w:rPr>
                                <w:b w:val="0"/>
                                <w:bCs w:val="0"/>
                                <w:i/>
                                <w:iCs w:val="0"/>
                                <w:lang w:val="nb-NO"/>
                              </w:rPr>
                            </w:pPr>
                          </w:p>
                          <w:p w14:paraId="2FEF91C6" w14:textId="77777777" w:rsidR="00085789" w:rsidRDefault="00085789">
                            <w:pPr>
                              <w:pStyle w:val="s1"/>
                              <w:spacing w:before="40" w:after="40" w:line="240" w:lineRule="auto"/>
                              <w:rPr>
                                <w:b w:val="0"/>
                                <w:bCs w:val="0"/>
                                <w:i/>
                                <w:iCs w:val="0"/>
                                <w:lang w:val="nb-NO"/>
                              </w:rPr>
                            </w:pPr>
                          </w:p>
                          <w:p w14:paraId="14B83013" w14:textId="77777777" w:rsidR="00085789" w:rsidRDefault="00085789">
                            <w:pPr>
                              <w:pStyle w:val="s1"/>
                              <w:spacing w:before="40" w:after="40" w:line="240" w:lineRule="auto"/>
                              <w:rPr>
                                <w:b w:val="0"/>
                                <w:bCs w:val="0"/>
                                <w:i/>
                                <w:iCs w:val="0"/>
                                <w:lang w:val="nb-NO"/>
                              </w:rPr>
                            </w:pPr>
                          </w:p>
                          <w:p w14:paraId="791905E4" w14:textId="77777777" w:rsidR="00085789" w:rsidRDefault="00085789">
                            <w:pPr>
                              <w:pStyle w:val="s1"/>
                              <w:spacing w:before="40" w:after="40" w:line="240" w:lineRule="auto"/>
                              <w:rPr>
                                <w:b w:val="0"/>
                                <w:bCs w:val="0"/>
                                <w:i/>
                                <w:iCs w:val="0"/>
                                <w:lang w:val="nb-NO"/>
                              </w:rPr>
                            </w:pPr>
                          </w:p>
                          <w:p w14:paraId="5003F67C" w14:textId="77777777" w:rsidR="00085789" w:rsidRDefault="00085789">
                            <w:pPr>
                              <w:pStyle w:val="s1"/>
                              <w:spacing w:before="40" w:after="40" w:line="240" w:lineRule="auto"/>
                              <w:rPr>
                                <w:b w:val="0"/>
                                <w:bCs w:val="0"/>
                                <w:i/>
                                <w:iCs w:val="0"/>
                                <w:lang w:val="nb-NO"/>
                              </w:rPr>
                            </w:pPr>
                          </w:p>
                          <w:p w14:paraId="378595E9" w14:textId="77777777" w:rsidR="0015107F" w:rsidRDefault="0015107F">
                            <w:pPr>
                              <w:pStyle w:val="s1"/>
                              <w:spacing w:before="40" w:after="40" w:line="240" w:lineRule="auto"/>
                              <w:rPr>
                                <w:b w:val="0"/>
                                <w:bCs w:val="0"/>
                                <w:i/>
                                <w:iCs w:val="0"/>
                                <w:lang w:val="nb-NO"/>
                              </w:rPr>
                            </w:pPr>
                          </w:p>
                          <w:p w14:paraId="4313DA39" w14:textId="77777777" w:rsidR="00085789" w:rsidRDefault="00085789">
                            <w:pPr>
                              <w:pStyle w:val="s1"/>
                              <w:spacing w:before="40" w:after="40" w:line="240" w:lineRule="auto"/>
                              <w:rPr>
                                <w:b w:val="0"/>
                                <w:bCs w:val="0"/>
                                <w:i/>
                                <w:iCs w:val="0"/>
                                <w:lang w:val="nb-NO"/>
                              </w:rPr>
                            </w:pPr>
                          </w:p>
                          <w:p w14:paraId="6BA79B1D" w14:textId="77777777" w:rsidR="00085789" w:rsidRDefault="00085789">
                            <w:pPr>
                              <w:pStyle w:val="s1"/>
                              <w:spacing w:before="40" w:after="40" w:line="240" w:lineRule="auto"/>
                              <w:rPr>
                                <w:b w:val="0"/>
                                <w:bCs w:val="0"/>
                                <w:i/>
                                <w:iCs w:val="0"/>
                                <w:lang w:val="nb-NO"/>
                              </w:rPr>
                            </w:pPr>
                          </w:p>
                          <w:p w14:paraId="17F6A2A5" w14:textId="77777777" w:rsidR="00085789" w:rsidRDefault="00085789">
                            <w:pPr>
                              <w:pStyle w:val="s1"/>
                              <w:spacing w:before="40" w:after="40" w:line="240" w:lineRule="auto"/>
                              <w:rPr>
                                <w:b w:val="0"/>
                                <w:bCs w:val="0"/>
                                <w:i/>
                                <w:iCs w:val="0"/>
                                <w:lang w:val="nb-NO"/>
                              </w:rPr>
                            </w:pPr>
                          </w:p>
                          <w:p w14:paraId="6BCA5833" w14:textId="77777777" w:rsidR="00085789" w:rsidRDefault="00085789">
                            <w:pPr>
                              <w:pStyle w:val="s1"/>
                              <w:spacing w:before="40" w:after="40" w:line="240" w:lineRule="auto"/>
                              <w:rPr>
                                <w:b w:val="0"/>
                                <w:bCs w:val="0"/>
                                <w:i/>
                                <w:iCs w:val="0"/>
                                <w:lang w:val="nb-NO"/>
                              </w:rPr>
                            </w:pPr>
                          </w:p>
                          <w:p w14:paraId="4CA68893" w14:textId="77777777" w:rsidR="00085789" w:rsidRDefault="00000000">
                            <w:pPr>
                              <w:pStyle w:val="s1"/>
                              <w:spacing w:before="40" w:after="40" w:line="240" w:lineRule="auto"/>
                              <w:rPr>
                                <w:sz w:val="30"/>
                                <w:szCs w:val="30"/>
                              </w:rPr>
                            </w:pPr>
                            <w:r>
                              <w:rPr>
                                <w:sz w:val="30"/>
                                <w:szCs w:val="30"/>
                              </w:rPr>
                              <w:t>Hà Tĩnh, tháng 11/2025</w:t>
                            </w:r>
                          </w:p>
                          <w:p w14:paraId="2BD2468C" w14:textId="77777777" w:rsidR="00085789" w:rsidRDefault="00085789">
                            <w:pPr>
                              <w:pStyle w:val="Heading3"/>
                              <w:spacing w:before="360" w:line="360" w:lineRule="exact"/>
                              <w:jc w:val="left"/>
                              <w:rPr>
                                <w:rFonts w:ascii="Times New Roman" w:hAnsi="Times New Roman"/>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62902A" id="_x0000_t202" coordsize="21600,21600" o:spt="202" path="m,l,21600r21600,l21600,xe">
                <v:stroke joinstyle="miter"/>
                <v:path gradientshapeok="t" o:connecttype="rect"/>
              </v:shapetype>
              <v:shape id="Text Box 101" o:spid="_x0000_s1026" type="#_x0000_t202" style="position:absolute;left:0;text-align:left;margin-left:-6.6pt;margin-top:-4.8pt;width:466.55pt;height:738.8pt;z-index:25208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" strokeweight="4.5pt">
                <v:stroke linestyle="thickThin"/>
                <v:textbox>
                  <w:txbxContent>
                    <w:p w14:paraId="07970767" w14:textId="77777777" w:rsidR="00085789" w:rsidRPr="00AA3A70" w:rsidRDefault="00000000" w:rsidP="00AA3A70">
                      <w:pPr>
                        <w:keepNext/>
                        <w:spacing w:line="360" w:lineRule="exact"/>
                        <w:ind w:hanging="108"/>
                        <w:jc w:val="center"/>
                        <w:outlineLvl w:val="1"/>
                        <w:rPr>
                          <w:bCs/>
                          <w:sz w:val="30"/>
                          <w:szCs w:val="30"/>
                        </w:rPr>
                      </w:pPr>
                      <w:r w:rsidRPr="00AA3A70">
                        <w:rPr>
                          <w:b/>
                          <w:bCs/>
                          <w:sz w:val="30"/>
                          <w:szCs w:val="30"/>
                        </w:rPr>
                        <w:t>UỶ BAN NHÂN DÂN TỈNH HÀ TĨNH</w:t>
                      </w:r>
                    </w:p>
                    <w:p w14:paraId="48039E3C" w14:textId="77777777" w:rsidR="00085789" w:rsidRPr="00AA3A70" w:rsidRDefault="00085789">
                      <w:pPr>
                        <w:pStyle w:val="Heading2"/>
                        <w:spacing w:line="340" w:lineRule="exact"/>
                        <w:rPr>
                          <w:rFonts w:ascii="Times New Roman" w:hAnsi="Times New Roman"/>
                          <w:b w:val="0"/>
                          <w:sz w:val="30"/>
                          <w:szCs w:val="30"/>
                          <w:lang w:val="fr-FR"/>
                        </w:rPr>
                      </w:pPr>
                    </w:p>
                    <w:p w14:paraId="4DDA36E4" w14:textId="77777777" w:rsidR="00085789" w:rsidRDefault="00085789">
                      <w:pPr>
                        <w:pStyle w:val="BodyTextIndent2"/>
                        <w:spacing w:before="240" w:after="0" w:line="240" w:lineRule="auto"/>
                        <w:jc w:val="center"/>
                        <w:rPr>
                          <w:sz w:val="30"/>
                          <w:lang w:val="fr-FR"/>
                        </w:rPr>
                      </w:pPr>
                    </w:p>
                    <w:p w14:paraId="4778B387" w14:textId="77777777" w:rsidR="00085789" w:rsidRDefault="00085789">
                      <w:pPr>
                        <w:pStyle w:val="BodyTextIndent2"/>
                        <w:spacing w:before="240" w:after="0" w:line="240" w:lineRule="auto"/>
                        <w:rPr>
                          <w:sz w:val="30"/>
                          <w:lang w:val="fr-FR"/>
                        </w:rPr>
                      </w:pPr>
                    </w:p>
                    <w:p w14:paraId="7C8C0EB1" w14:textId="77777777" w:rsidR="00085789" w:rsidRDefault="00085789">
                      <w:pPr>
                        <w:pStyle w:val="BodyTextIndent2"/>
                        <w:spacing w:before="240" w:after="0" w:line="240" w:lineRule="auto"/>
                        <w:rPr>
                          <w:sz w:val="30"/>
                          <w:lang w:val="fr-FR"/>
                        </w:rPr>
                      </w:pPr>
                    </w:p>
                    <w:p w14:paraId="241C9589" w14:textId="77777777" w:rsidR="00085789" w:rsidRDefault="00085789">
                      <w:pPr>
                        <w:pStyle w:val="BodyTextIndent2"/>
                        <w:spacing w:before="240" w:after="0" w:line="240" w:lineRule="auto"/>
                        <w:rPr>
                          <w:sz w:val="38"/>
                          <w:lang w:val="fr-FR"/>
                        </w:rPr>
                      </w:pPr>
                    </w:p>
                    <w:p w14:paraId="77A17EB6" w14:textId="77777777" w:rsidR="00085789" w:rsidRDefault="00085789">
                      <w:pPr>
                        <w:pStyle w:val="BodyTextIndent2"/>
                        <w:spacing w:before="240" w:after="0" w:line="240" w:lineRule="auto"/>
                        <w:rPr>
                          <w:sz w:val="38"/>
                          <w:lang w:val="fr-FR"/>
                        </w:rPr>
                      </w:pPr>
                    </w:p>
                    <w:p w14:paraId="0986F313" w14:textId="77777777" w:rsidR="00085789" w:rsidRDefault="00085789">
                      <w:pPr>
                        <w:pStyle w:val="BodyTextIndent2"/>
                        <w:spacing w:before="240" w:after="0" w:line="240" w:lineRule="auto"/>
                        <w:rPr>
                          <w:sz w:val="38"/>
                          <w:lang w:val="fr-FR"/>
                        </w:rPr>
                      </w:pPr>
                    </w:p>
                    <w:p w14:paraId="1927C332" w14:textId="77777777" w:rsidR="00085789" w:rsidRDefault="00085789">
                      <w:pPr>
                        <w:pStyle w:val="BodyTextIndent2"/>
                        <w:spacing w:before="240" w:after="0" w:line="240" w:lineRule="exact"/>
                        <w:rPr>
                          <w:sz w:val="38"/>
                          <w:lang w:val="fr-FR"/>
                        </w:rPr>
                      </w:pPr>
                    </w:p>
                    <w:p w14:paraId="25781DD9" w14:textId="77777777" w:rsidR="00085789" w:rsidRDefault="00000000">
                      <w:pPr>
                        <w:pStyle w:val="BodyTextIndent2"/>
                        <w:spacing w:after="0" w:line="240" w:lineRule="auto"/>
                        <w:ind w:left="357"/>
                        <w:jc w:val="center"/>
                        <w:rPr>
                          <w:b/>
                          <w:bCs/>
                          <w:spacing w:val="-4"/>
                          <w:sz w:val="44"/>
                          <w:szCs w:val="44"/>
                        </w:rPr>
                      </w:pPr>
                      <w:r>
                        <w:rPr>
                          <w:b/>
                          <w:bCs/>
                          <w:spacing w:val="-4"/>
                          <w:sz w:val="44"/>
                          <w:szCs w:val="44"/>
                        </w:rPr>
                        <w:t xml:space="preserve">BÁO CÁO </w:t>
                      </w:r>
                    </w:p>
                    <w:p w14:paraId="0C1DC8A7" w14:textId="0F7508FD" w:rsidR="00085789" w:rsidRDefault="00000000">
                      <w:pPr>
                        <w:pStyle w:val="BodyTextIndent2"/>
                        <w:spacing w:after="0" w:line="240" w:lineRule="auto"/>
                        <w:ind w:left="357"/>
                        <w:jc w:val="center"/>
                        <w:rPr>
                          <w:b/>
                          <w:bCs/>
                          <w:sz w:val="40"/>
                          <w:szCs w:val="40"/>
                          <w:lang w:val="pt-BR"/>
                        </w:rPr>
                      </w:pPr>
                      <w:r>
                        <w:rPr>
                          <w:rFonts w:ascii="Times New Roman Bold" w:hAnsi="Times New Roman Bold"/>
                          <w:b/>
                          <w:bCs/>
                          <w:spacing w:val="-4"/>
                          <w:sz w:val="40"/>
                          <w:szCs w:val="40"/>
                        </w:rPr>
                        <w:t>TỔNG QUAN VỀ HIỆN TRẠNG MÔI TRƯỜNG</w:t>
                      </w:r>
                      <w:r>
                        <w:rPr>
                          <w:rFonts w:ascii="Times New Roman Bold" w:hAnsi="Times New Roman Bold"/>
                          <w:b/>
                          <w:bCs/>
                          <w:spacing w:val="-4"/>
                          <w:sz w:val="40"/>
                          <w:szCs w:val="40"/>
                          <w:lang w:val="pt-BR"/>
                        </w:rPr>
                        <w:t xml:space="preserve"> TỈNH HÀ TĨNH GIAI ĐOẠN 2021 - 2025</w:t>
                      </w:r>
                    </w:p>
                    <w:p w14:paraId="6DA778B2" w14:textId="77777777" w:rsidR="00085789" w:rsidRDefault="00085789">
                      <w:pPr>
                        <w:pStyle w:val="BodyText"/>
                        <w:spacing w:before="120" w:line="360" w:lineRule="exact"/>
                        <w:jc w:val="left"/>
                        <w:rPr>
                          <w:rFonts w:ascii="Times New Roman" w:hAnsi="Times New Roman"/>
                          <w:b w:val="0"/>
                          <w:sz w:val="32"/>
                          <w:szCs w:val="32"/>
                          <w:lang w:val="pt-BR"/>
                        </w:rPr>
                      </w:pPr>
                    </w:p>
                    <w:p w14:paraId="4CCE3030" w14:textId="77777777" w:rsidR="00085789" w:rsidRDefault="00085789">
                      <w:pPr>
                        <w:pStyle w:val="BodyText"/>
                        <w:spacing w:before="120" w:line="360" w:lineRule="exact"/>
                        <w:jc w:val="left"/>
                        <w:rPr>
                          <w:rFonts w:ascii="Times New Roman" w:hAnsi="Times New Roman"/>
                          <w:b w:val="0"/>
                          <w:sz w:val="32"/>
                          <w:szCs w:val="32"/>
                          <w:lang w:val="pt-BR"/>
                        </w:rPr>
                      </w:pPr>
                    </w:p>
                    <w:p w14:paraId="1D1B6E17" w14:textId="77777777" w:rsidR="00085789" w:rsidRDefault="00085789">
                      <w:pPr>
                        <w:rPr>
                          <w:lang w:val="nb-NO"/>
                        </w:rPr>
                      </w:pPr>
                    </w:p>
                    <w:p w14:paraId="405B3B3A" w14:textId="77777777" w:rsidR="00085789" w:rsidRDefault="00085789">
                      <w:pPr>
                        <w:pStyle w:val="s1"/>
                        <w:spacing w:before="40" w:after="40" w:line="240" w:lineRule="auto"/>
                        <w:rPr>
                          <w:b w:val="0"/>
                          <w:bCs w:val="0"/>
                          <w:i/>
                          <w:iCs w:val="0"/>
                          <w:lang w:val="nb-NO"/>
                        </w:rPr>
                      </w:pPr>
                    </w:p>
                    <w:p w14:paraId="06FBF5DE" w14:textId="77777777" w:rsidR="00085789" w:rsidRDefault="00085789">
                      <w:pPr>
                        <w:pStyle w:val="s1"/>
                        <w:spacing w:before="40" w:after="40" w:line="240" w:lineRule="auto"/>
                        <w:jc w:val="left"/>
                        <w:rPr>
                          <w:b w:val="0"/>
                          <w:bCs w:val="0"/>
                          <w:i/>
                          <w:iCs w:val="0"/>
                          <w:lang w:val="nb-NO"/>
                        </w:rPr>
                      </w:pPr>
                    </w:p>
                    <w:p w14:paraId="0B13F84E" w14:textId="77777777" w:rsidR="00085789" w:rsidRDefault="00085789">
                      <w:pPr>
                        <w:pStyle w:val="s1"/>
                        <w:spacing w:before="40" w:after="40" w:line="240" w:lineRule="auto"/>
                        <w:jc w:val="left"/>
                        <w:rPr>
                          <w:b w:val="0"/>
                          <w:bCs w:val="0"/>
                          <w:i/>
                          <w:iCs w:val="0"/>
                          <w:lang w:val="nb-NO"/>
                        </w:rPr>
                      </w:pPr>
                    </w:p>
                    <w:p w14:paraId="182973B9" w14:textId="77777777" w:rsidR="00085789" w:rsidRDefault="00085789">
                      <w:pPr>
                        <w:pStyle w:val="s1"/>
                        <w:spacing w:before="40" w:after="40" w:line="240" w:lineRule="auto"/>
                        <w:rPr>
                          <w:b w:val="0"/>
                          <w:bCs w:val="0"/>
                          <w:i/>
                          <w:iCs w:val="0"/>
                          <w:lang w:val="nb-NO"/>
                        </w:rPr>
                      </w:pPr>
                    </w:p>
                    <w:p w14:paraId="09493A35" w14:textId="77777777" w:rsidR="00085789" w:rsidRDefault="00085789">
                      <w:pPr>
                        <w:pStyle w:val="s1"/>
                        <w:spacing w:before="40" w:after="40" w:line="240" w:lineRule="auto"/>
                        <w:rPr>
                          <w:b w:val="0"/>
                          <w:bCs w:val="0"/>
                          <w:i/>
                          <w:iCs w:val="0"/>
                          <w:lang w:val="nb-NO"/>
                        </w:rPr>
                      </w:pPr>
                    </w:p>
                    <w:p w14:paraId="594AA6FE" w14:textId="77777777" w:rsidR="00085789" w:rsidRDefault="00085789">
                      <w:pPr>
                        <w:pStyle w:val="s1"/>
                        <w:spacing w:before="40" w:after="40" w:line="240" w:lineRule="auto"/>
                        <w:rPr>
                          <w:b w:val="0"/>
                          <w:bCs w:val="0"/>
                          <w:i/>
                          <w:iCs w:val="0"/>
                          <w:lang w:val="nb-NO"/>
                        </w:rPr>
                      </w:pPr>
                    </w:p>
                    <w:p w14:paraId="1FF550C4" w14:textId="77777777" w:rsidR="00085789" w:rsidRDefault="00085789">
                      <w:pPr>
                        <w:pStyle w:val="s1"/>
                        <w:spacing w:before="40" w:after="40" w:line="240" w:lineRule="auto"/>
                        <w:rPr>
                          <w:b w:val="0"/>
                          <w:bCs w:val="0"/>
                          <w:i/>
                          <w:iCs w:val="0"/>
                          <w:lang w:val="nb-NO"/>
                        </w:rPr>
                      </w:pPr>
                    </w:p>
                    <w:p w14:paraId="212837A9" w14:textId="77777777" w:rsidR="00085789" w:rsidRDefault="00085789">
                      <w:pPr>
                        <w:pStyle w:val="s1"/>
                        <w:spacing w:before="40" w:after="40" w:line="240" w:lineRule="auto"/>
                        <w:rPr>
                          <w:b w:val="0"/>
                          <w:bCs w:val="0"/>
                          <w:i/>
                          <w:iCs w:val="0"/>
                          <w:lang w:val="nb-NO"/>
                        </w:rPr>
                      </w:pPr>
                    </w:p>
                    <w:p w14:paraId="1EEC1AAD" w14:textId="77777777" w:rsidR="00085789" w:rsidRDefault="00085789">
                      <w:pPr>
                        <w:pStyle w:val="s1"/>
                        <w:spacing w:before="40" w:after="40" w:line="240" w:lineRule="auto"/>
                        <w:rPr>
                          <w:b w:val="0"/>
                          <w:bCs w:val="0"/>
                          <w:i/>
                          <w:iCs w:val="0"/>
                          <w:lang w:val="nb-NO"/>
                        </w:rPr>
                      </w:pPr>
                    </w:p>
                    <w:p w14:paraId="62C80EE0" w14:textId="77777777" w:rsidR="00085789" w:rsidRDefault="00085789">
                      <w:pPr>
                        <w:pStyle w:val="s1"/>
                        <w:spacing w:before="40" w:after="40" w:line="240" w:lineRule="auto"/>
                        <w:rPr>
                          <w:b w:val="0"/>
                          <w:bCs w:val="0"/>
                          <w:i/>
                          <w:iCs w:val="0"/>
                          <w:lang w:val="nb-NO"/>
                        </w:rPr>
                      </w:pPr>
                    </w:p>
                    <w:p w14:paraId="2FEF91C6" w14:textId="77777777" w:rsidR="00085789" w:rsidRDefault="00085789">
                      <w:pPr>
                        <w:pStyle w:val="s1"/>
                        <w:spacing w:before="40" w:after="40" w:line="240" w:lineRule="auto"/>
                        <w:rPr>
                          <w:b w:val="0"/>
                          <w:bCs w:val="0"/>
                          <w:i/>
                          <w:iCs w:val="0"/>
                          <w:lang w:val="nb-NO"/>
                        </w:rPr>
                      </w:pPr>
                    </w:p>
                    <w:p w14:paraId="14B83013" w14:textId="77777777" w:rsidR="00085789" w:rsidRDefault="00085789">
                      <w:pPr>
                        <w:pStyle w:val="s1"/>
                        <w:spacing w:before="40" w:after="40" w:line="240" w:lineRule="auto"/>
                        <w:rPr>
                          <w:b w:val="0"/>
                          <w:bCs w:val="0"/>
                          <w:i/>
                          <w:iCs w:val="0"/>
                          <w:lang w:val="nb-NO"/>
                        </w:rPr>
                      </w:pPr>
                    </w:p>
                    <w:p w14:paraId="791905E4" w14:textId="77777777" w:rsidR="00085789" w:rsidRDefault="00085789">
                      <w:pPr>
                        <w:pStyle w:val="s1"/>
                        <w:spacing w:before="40" w:after="40" w:line="240" w:lineRule="auto"/>
                        <w:rPr>
                          <w:b w:val="0"/>
                          <w:bCs w:val="0"/>
                          <w:i/>
                          <w:iCs w:val="0"/>
                          <w:lang w:val="nb-NO"/>
                        </w:rPr>
                      </w:pPr>
                    </w:p>
                    <w:p w14:paraId="5003F67C" w14:textId="77777777" w:rsidR="00085789" w:rsidRDefault="00085789">
                      <w:pPr>
                        <w:pStyle w:val="s1"/>
                        <w:spacing w:before="40" w:after="40" w:line="240" w:lineRule="auto"/>
                        <w:rPr>
                          <w:b w:val="0"/>
                          <w:bCs w:val="0"/>
                          <w:i/>
                          <w:iCs w:val="0"/>
                          <w:lang w:val="nb-NO"/>
                        </w:rPr>
                      </w:pPr>
                    </w:p>
                    <w:p w14:paraId="378595E9" w14:textId="77777777" w:rsidR="0015107F" w:rsidRDefault="0015107F">
                      <w:pPr>
                        <w:pStyle w:val="s1"/>
                        <w:spacing w:before="40" w:after="40" w:line="240" w:lineRule="auto"/>
                        <w:rPr>
                          <w:b w:val="0"/>
                          <w:bCs w:val="0"/>
                          <w:i/>
                          <w:iCs w:val="0"/>
                          <w:lang w:val="nb-NO"/>
                        </w:rPr>
                      </w:pPr>
                    </w:p>
                    <w:p w14:paraId="4313DA39" w14:textId="77777777" w:rsidR="00085789" w:rsidRDefault="00085789">
                      <w:pPr>
                        <w:pStyle w:val="s1"/>
                        <w:spacing w:before="40" w:after="40" w:line="240" w:lineRule="auto"/>
                        <w:rPr>
                          <w:b w:val="0"/>
                          <w:bCs w:val="0"/>
                          <w:i/>
                          <w:iCs w:val="0"/>
                          <w:lang w:val="nb-NO"/>
                        </w:rPr>
                      </w:pPr>
                    </w:p>
                    <w:p w14:paraId="6BA79B1D" w14:textId="77777777" w:rsidR="00085789" w:rsidRDefault="00085789">
                      <w:pPr>
                        <w:pStyle w:val="s1"/>
                        <w:spacing w:before="40" w:after="40" w:line="240" w:lineRule="auto"/>
                        <w:rPr>
                          <w:b w:val="0"/>
                          <w:bCs w:val="0"/>
                          <w:i/>
                          <w:iCs w:val="0"/>
                          <w:lang w:val="nb-NO"/>
                        </w:rPr>
                      </w:pPr>
                    </w:p>
                    <w:p w14:paraId="17F6A2A5" w14:textId="77777777" w:rsidR="00085789" w:rsidRDefault="00085789">
                      <w:pPr>
                        <w:pStyle w:val="s1"/>
                        <w:spacing w:before="40" w:after="40" w:line="240" w:lineRule="auto"/>
                        <w:rPr>
                          <w:b w:val="0"/>
                          <w:bCs w:val="0"/>
                          <w:i/>
                          <w:iCs w:val="0"/>
                          <w:lang w:val="nb-NO"/>
                        </w:rPr>
                      </w:pPr>
                    </w:p>
                    <w:p w14:paraId="6BCA5833" w14:textId="77777777" w:rsidR="00085789" w:rsidRDefault="00085789">
                      <w:pPr>
                        <w:pStyle w:val="s1"/>
                        <w:spacing w:before="40" w:after="40" w:line="240" w:lineRule="auto"/>
                        <w:rPr>
                          <w:b w:val="0"/>
                          <w:bCs w:val="0"/>
                          <w:i/>
                          <w:iCs w:val="0"/>
                          <w:lang w:val="nb-NO"/>
                        </w:rPr>
                      </w:pPr>
                    </w:p>
                    <w:p w14:paraId="4CA68893" w14:textId="77777777" w:rsidR="00085789" w:rsidRDefault="00000000">
                      <w:pPr>
                        <w:pStyle w:val="s1"/>
                        <w:spacing w:before="40" w:after="40" w:line="240" w:lineRule="auto"/>
                        <w:rPr>
                          <w:sz w:val="30"/>
                          <w:szCs w:val="30"/>
                        </w:rPr>
                      </w:pPr>
                      <w:r>
                        <w:rPr>
                          <w:sz w:val="30"/>
                          <w:szCs w:val="30"/>
                        </w:rPr>
                        <w:t>Hà Tĩnh, tháng 11/2025</w:t>
                      </w:r>
                    </w:p>
                    <w:p w14:paraId="2BD2468C" w14:textId="77777777" w:rsidR="00085789" w:rsidRDefault="00085789">
                      <w:pPr>
                        <w:pStyle w:val="Heading3"/>
                        <w:spacing w:before="360" w:line="360" w:lineRule="exact"/>
                        <w:jc w:val="left"/>
                        <w:rPr>
                          <w:rFonts w:ascii="Times New Roman" w:hAnsi="Times New Roman"/>
                          <w:szCs w:val="28"/>
                        </w:rPr>
                      </w:pPr>
                    </w:p>
                  </w:txbxContent>
                </v:textbox>
              </v:shape>
            </w:pict>
          </mc:Fallback>
        </mc:AlternateContent>
      </w:r>
      <w:bookmarkEnd w:id="0"/>
      <w:bookmarkEnd w:id="1"/>
      <w:bookmarkEnd w:id="2"/>
      <w:bookmarkEnd w:id="3"/>
      <w:bookmarkEnd w:id="4"/>
    </w:p>
    <w:p w14:paraId="57BDE9B6" w14:textId="77777777" w:rsidR="00085789" w:rsidRDefault="00000000">
      <w:r>
        <w:t xml:space="preserve"> </w:t>
      </w:r>
    </w:p>
    <w:p w14:paraId="2BBBE1E1" w14:textId="77777777" w:rsidR="00085789" w:rsidRDefault="00085789"/>
    <w:p w14:paraId="61D54AC1" w14:textId="77777777" w:rsidR="00085789" w:rsidRDefault="00000000">
      <w:pPr>
        <w:pStyle w:val="s1"/>
      </w:pPr>
      <w:r>
        <w:t>ỦY BAN NHÂN DÂN TỈNH</w:t>
      </w:r>
    </w:p>
    <w:p w14:paraId="4EA1BC08" w14:textId="77777777" w:rsidR="00085789" w:rsidRDefault="00085789">
      <w:pPr>
        <w:pStyle w:val="s1"/>
        <w:spacing w:before="40" w:after="40" w:line="240" w:lineRule="auto"/>
        <w:rPr>
          <w:sz w:val="30"/>
          <w:szCs w:val="30"/>
        </w:rPr>
      </w:pPr>
    </w:p>
    <w:p w14:paraId="2DB76AA8" w14:textId="77777777" w:rsidR="00085789" w:rsidRDefault="00085789">
      <w:pPr>
        <w:pStyle w:val="s1"/>
        <w:spacing w:before="40" w:after="40" w:line="240" w:lineRule="auto"/>
        <w:rPr>
          <w:sz w:val="30"/>
          <w:szCs w:val="30"/>
        </w:rPr>
      </w:pPr>
    </w:p>
    <w:p w14:paraId="70836A26" w14:textId="77777777" w:rsidR="00085789" w:rsidRDefault="00085789">
      <w:pPr>
        <w:pStyle w:val="s1"/>
        <w:spacing w:before="40" w:after="40" w:line="240" w:lineRule="auto"/>
        <w:rPr>
          <w:sz w:val="30"/>
          <w:szCs w:val="30"/>
        </w:rPr>
      </w:pPr>
    </w:p>
    <w:p w14:paraId="7C8C19B4" w14:textId="77777777" w:rsidR="00085789" w:rsidRDefault="00085789">
      <w:pPr>
        <w:pStyle w:val="s1"/>
        <w:spacing w:before="40" w:after="40" w:line="240" w:lineRule="auto"/>
        <w:rPr>
          <w:sz w:val="30"/>
          <w:szCs w:val="30"/>
        </w:rPr>
      </w:pPr>
    </w:p>
    <w:p w14:paraId="25C30FCB" w14:textId="77777777" w:rsidR="00085789" w:rsidRDefault="00085789">
      <w:pPr>
        <w:pStyle w:val="s1"/>
        <w:spacing w:before="40" w:after="40" w:line="240" w:lineRule="auto"/>
        <w:rPr>
          <w:sz w:val="30"/>
          <w:szCs w:val="30"/>
        </w:rPr>
      </w:pPr>
    </w:p>
    <w:p w14:paraId="4741ACE5" w14:textId="77777777" w:rsidR="00085789" w:rsidRDefault="00085789">
      <w:pPr>
        <w:pStyle w:val="s1"/>
        <w:spacing w:before="40" w:after="40" w:line="240" w:lineRule="auto"/>
        <w:rPr>
          <w:sz w:val="30"/>
          <w:szCs w:val="30"/>
        </w:rPr>
      </w:pPr>
    </w:p>
    <w:p w14:paraId="3D92B857" w14:textId="77777777" w:rsidR="00085789" w:rsidRDefault="00000000">
      <w:pPr>
        <w:pStyle w:val="s1"/>
        <w:spacing w:before="40" w:after="40" w:line="240" w:lineRule="auto"/>
        <w:rPr>
          <w:sz w:val="36"/>
          <w:szCs w:val="36"/>
        </w:rPr>
      </w:pPr>
      <w:r>
        <w:rPr>
          <w:sz w:val="36"/>
          <w:szCs w:val="36"/>
        </w:rPr>
        <w:t xml:space="preserve">BÁO CÁO </w:t>
      </w:r>
    </w:p>
    <w:p w14:paraId="40B6B1B4" w14:textId="77777777" w:rsidR="00085789" w:rsidRDefault="00000000">
      <w:pPr>
        <w:pStyle w:val="s1"/>
        <w:spacing w:before="40" w:after="40" w:line="240" w:lineRule="auto"/>
        <w:rPr>
          <w:sz w:val="36"/>
          <w:szCs w:val="36"/>
        </w:rPr>
      </w:pPr>
      <w:r>
        <w:rPr>
          <w:sz w:val="36"/>
          <w:szCs w:val="36"/>
        </w:rPr>
        <w:t>TỔNG QUAN VỀ HIỆN TRẠNG MÔI TRƯỜNG</w:t>
      </w:r>
    </w:p>
    <w:p w14:paraId="3BCC26E6" w14:textId="77777777" w:rsidR="00085789" w:rsidRDefault="00000000">
      <w:pPr>
        <w:pStyle w:val="s1"/>
        <w:spacing w:before="40" w:after="40" w:line="240" w:lineRule="auto"/>
        <w:rPr>
          <w:sz w:val="36"/>
          <w:szCs w:val="36"/>
        </w:rPr>
      </w:pPr>
      <w:r>
        <w:rPr>
          <w:sz w:val="36"/>
          <w:szCs w:val="36"/>
        </w:rPr>
        <w:t xml:space="preserve"> TỈNH HÀ TĨNH GIAI ĐOẠN 2021-2025</w:t>
      </w:r>
    </w:p>
    <w:p w14:paraId="21FD1D99" w14:textId="77777777" w:rsidR="00085789" w:rsidRDefault="00085789">
      <w:pPr>
        <w:pStyle w:val="s1"/>
        <w:spacing w:before="40" w:after="40" w:line="240" w:lineRule="auto"/>
        <w:rPr>
          <w:sz w:val="36"/>
          <w:szCs w:val="36"/>
        </w:rPr>
      </w:pPr>
    </w:p>
    <w:p w14:paraId="06653A79" w14:textId="77777777" w:rsidR="00085789" w:rsidRDefault="00085789">
      <w:pPr>
        <w:pStyle w:val="s1"/>
        <w:spacing w:before="40" w:after="40" w:line="240" w:lineRule="auto"/>
        <w:rPr>
          <w:sz w:val="36"/>
          <w:szCs w:val="36"/>
        </w:rPr>
      </w:pPr>
    </w:p>
    <w:p w14:paraId="7480D6CC" w14:textId="77777777" w:rsidR="00085789" w:rsidRDefault="00085789">
      <w:pPr>
        <w:pStyle w:val="s1"/>
        <w:spacing w:before="40" w:after="40" w:line="240" w:lineRule="auto"/>
        <w:rPr>
          <w:sz w:val="36"/>
          <w:szCs w:val="36"/>
        </w:rPr>
      </w:pPr>
    </w:p>
    <w:p w14:paraId="0DBD3BB6" w14:textId="77777777" w:rsidR="00085789" w:rsidRDefault="00085789">
      <w:pPr>
        <w:pStyle w:val="s1"/>
        <w:spacing w:before="40" w:after="40" w:line="240" w:lineRule="auto"/>
        <w:rPr>
          <w:sz w:val="36"/>
          <w:szCs w:val="36"/>
        </w:rPr>
      </w:pPr>
    </w:p>
    <w:p w14:paraId="2FA8624D" w14:textId="77777777" w:rsidR="00085789" w:rsidRDefault="00085789">
      <w:pPr>
        <w:pStyle w:val="s1"/>
        <w:spacing w:before="40" w:after="40" w:line="240" w:lineRule="auto"/>
        <w:rPr>
          <w:sz w:val="36"/>
          <w:szCs w:val="36"/>
        </w:rPr>
      </w:pPr>
    </w:p>
    <w:p w14:paraId="69CFEBC0" w14:textId="77777777" w:rsidR="00085789" w:rsidRDefault="00085789">
      <w:pPr>
        <w:pStyle w:val="s1"/>
        <w:spacing w:before="40" w:after="40" w:line="240" w:lineRule="auto"/>
        <w:rPr>
          <w:sz w:val="36"/>
          <w:szCs w:val="36"/>
        </w:rPr>
      </w:pPr>
    </w:p>
    <w:p w14:paraId="68942566" w14:textId="77777777" w:rsidR="00085789" w:rsidRDefault="00085789">
      <w:pPr>
        <w:pStyle w:val="s1"/>
        <w:spacing w:before="40" w:after="40" w:line="240" w:lineRule="auto"/>
        <w:rPr>
          <w:sz w:val="36"/>
          <w:szCs w:val="36"/>
        </w:rPr>
      </w:pPr>
    </w:p>
    <w:p w14:paraId="166BB58A" w14:textId="77777777" w:rsidR="00085789" w:rsidRDefault="00085789">
      <w:pPr>
        <w:pStyle w:val="s1"/>
        <w:spacing w:before="40" w:after="40" w:line="240" w:lineRule="auto"/>
        <w:rPr>
          <w:sz w:val="36"/>
          <w:szCs w:val="36"/>
        </w:rPr>
      </w:pPr>
    </w:p>
    <w:p w14:paraId="3D202FCC" w14:textId="77777777" w:rsidR="00085789" w:rsidRDefault="00085789">
      <w:pPr>
        <w:pStyle w:val="s1"/>
        <w:spacing w:before="40" w:after="40" w:line="240" w:lineRule="auto"/>
        <w:rPr>
          <w:sz w:val="36"/>
          <w:szCs w:val="36"/>
        </w:rPr>
      </w:pPr>
    </w:p>
    <w:p w14:paraId="16D67596" w14:textId="77777777" w:rsidR="00085789" w:rsidRDefault="00085789">
      <w:pPr>
        <w:pStyle w:val="s1"/>
        <w:spacing w:before="40" w:after="40" w:line="240" w:lineRule="auto"/>
        <w:rPr>
          <w:sz w:val="36"/>
          <w:szCs w:val="36"/>
        </w:rPr>
      </w:pPr>
    </w:p>
    <w:p w14:paraId="3C69B21E" w14:textId="77777777" w:rsidR="00085789" w:rsidRDefault="00085789">
      <w:pPr>
        <w:pStyle w:val="s1"/>
        <w:spacing w:before="40" w:after="40" w:line="240" w:lineRule="auto"/>
        <w:rPr>
          <w:sz w:val="36"/>
          <w:szCs w:val="36"/>
        </w:rPr>
      </w:pPr>
    </w:p>
    <w:p w14:paraId="3DE2EC56" w14:textId="77777777" w:rsidR="00085789" w:rsidRDefault="00085789">
      <w:pPr>
        <w:pStyle w:val="s1"/>
        <w:spacing w:before="40" w:after="40" w:line="240" w:lineRule="auto"/>
        <w:rPr>
          <w:sz w:val="36"/>
          <w:szCs w:val="36"/>
        </w:rPr>
      </w:pPr>
    </w:p>
    <w:p w14:paraId="45916500" w14:textId="77777777" w:rsidR="00085789" w:rsidRDefault="00085789">
      <w:pPr>
        <w:pStyle w:val="s1"/>
        <w:spacing w:before="40" w:after="40" w:line="240" w:lineRule="auto"/>
        <w:rPr>
          <w:sz w:val="36"/>
          <w:szCs w:val="36"/>
        </w:rPr>
      </w:pPr>
    </w:p>
    <w:p w14:paraId="75DC8EF5" w14:textId="77777777" w:rsidR="00085789" w:rsidRDefault="00085789">
      <w:pPr>
        <w:pStyle w:val="s1"/>
        <w:spacing w:before="40" w:after="40" w:line="240" w:lineRule="auto"/>
        <w:rPr>
          <w:sz w:val="36"/>
          <w:szCs w:val="36"/>
        </w:rPr>
      </w:pPr>
    </w:p>
    <w:p w14:paraId="296544AB" w14:textId="77777777" w:rsidR="00085789" w:rsidRDefault="00085789">
      <w:pPr>
        <w:pStyle w:val="s1"/>
        <w:spacing w:before="40" w:after="40" w:line="240" w:lineRule="auto"/>
        <w:rPr>
          <w:sz w:val="36"/>
          <w:szCs w:val="36"/>
        </w:rPr>
      </w:pPr>
    </w:p>
    <w:p w14:paraId="2D080ABF" w14:textId="77777777" w:rsidR="00085789" w:rsidRDefault="00085789">
      <w:pPr>
        <w:pStyle w:val="s1"/>
        <w:spacing w:before="40" w:after="40" w:line="240" w:lineRule="auto"/>
        <w:rPr>
          <w:sz w:val="36"/>
          <w:szCs w:val="36"/>
        </w:rPr>
      </w:pPr>
    </w:p>
    <w:p w14:paraId="289104D3" w14:textId="77777777" w:rsidR="00085789" w:rsidRDefault="00085789">
      <w:pPr>
        <w:pStyle w:val="s1"/>
        <w:spacing w:before="40" w:after="40" w:line="240" w:lineRule="auto"/>
        <w:rPr>
          <w:sz w:val="36"/>
          <w:szCs w:val="36"/>
        </w:rPr>
      </w:pPr>
    </w:p>
    <w:p w14:paraId="5E72D869" w14:textId="77777777" w:rsidR="00085789" w:rsidRDefault="00085789">
      <w:pPr>
        <w:pStyle w:val="s1"/>
        <w:spacing w:before="40" w:after="40" w:line="240" w:lineRule="auto"/>
        <w:rPr>
          <w:sz w:val="36"/>
          <w:szCs w:val="36"/>
        </w:rPr>
      </w:pPr>
    </w:p>
    <w:p w14:paraId="76E5121A" w14:textId="77777777" w:rsidR="00085789" w:rsidRDefault="00085789">
      <w:pPr>
        <w:pStyle w:val="s1"/>
        <w:spacing w:before="40" w:after="40" w:line="240" w:lineRule="auto"/>
        <w:rPr>
          <w:sz w:val="36"/>
          <w:szCs w:val="36"/>
        </w:rPr>
      </w:pPr>
    </w:p>
    <w:p w14:paraId="4CF4671B" w14:textId="77777777" w:rsidR="00085789" w:rsidRDefault="00085789">
      <w:pPr>
        <w:pStyle w:val="s1"/>
        <w:spacing w:before="40" w:after="40" w:line="240" w:lineRule="auto"/>
        <w:rPr>
          <w:sz w:val="36"/>
          <w:szCs w:val="36"/>
        </w:rPr>
      </w:pPr>
    </w:p>
    <w:p w14:paraId="572453CB" w14:textId="77777777" w:rsidR="00085789" w:rsidRDefault="00000000">
      <w:pPr>
        <w:pStyle w:val="TOC1"/>
        <w:spacing w:before="120" w:after="60"/>
        <w:rPr>
          <w:szCs w:val="26"/>
        </w:rPr>
      </w:pPr>
      <w:r>
        <w:lastRenderedPageBreak/>
        <w:t xml:space="preserve"> </w:t>
      </w:r>
      <w:r>
        <w:rPr>
          <w:szCs w:val="26"/>
        </w:rPr>
        <w:t>DANH MỤC BẢNG</w:t>
      </w:r>
      <w:r>
        <w:rPr>
          <w:rFonts w:eastAsia="MS Gothic" w:cs="Times New Roman"/>
          <w:iCs/>
        </w:rPr>
        <w:fldChar w:fldCharType="begin"/>
      </w:r>
      <w:r>
        <w:rPr>
          <w:rFonts w:eastAsia="MS Gothic"/>
        </w:rPr>
        <w:instrText xml:space="preserve"> TOC \h \z \t "-bac 4,1" </w:instrText>
      </w:r>
      <w:r>
        <w:rPr>
          <w:rFonts w:eastAsia="MS Gothic" w:cs="Times New Roman"/>
          <w:iCs/>
        </w:rPr>
        <w:fldChar w:fldCharType="separate"/>
      </w:r>
    </w:p>
    <w:p w14:paraId="27AF7C8C" w14:textId="4DDEE151" w:rsidR="00085789" w:rsidRDefault="00085789">
      <w:pPr>
        <w:pStyle w:val="TOC1"/>
        <w:spacing w:before="120" w:after="60"/>
        <w:rPr>
          <w:rFonts w:eastAsiaTheme="minorEastAsia" w:cstheme="minorBidi"/>
          <w:kern w:val="2"/>
          <w14:ligatures w14:val="standardContextual"/>
        </w:rPr>
      </w:pPr>
      <w:hyperlink w:anchor="_Toc213600720" w:history="1">
        <w:r>
          <w:rPr>
            <w:rStyle w:val="Hyperlink"/>
            <w:b w:val="0"/>
            <w:bCs w:val="0"/>
          </w:rPr>
          <w:t xml:space="preserve">Bảng 1.1. Tổng hợp nhiệt độ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_Toc213600720 \h </w:instrText>
        </w:r>
        <w:r>
          <w:rPr>
            <w:webHidden/>
          </w:rPr>
        </w:r>
        <w:r>
          <w:rPr>
            <w:webHidden/>
          </w:rPr>
          <w:fldChar w:fldCharType="separate"/>
        </w:r>
        <w:r>
          <w:rPr>
            <w:webHidden/>
          </w:rPr>
          <w:t>14</w:t>
        </w:r>
        <w:r>
          <w:rPr>
            <w:webHidden/>
          </w:rPr>
          <w:fldChar w:fldCharType="end"/>
        </w:r>
      </w:hyperlink>
    </w:p>
    <w:p w14:paraId="1249CC9F" w14:textId="7A76D1B7" w:rsidR="00085789" w:rsidRDefault="00085789">
      <w:pPr>
        <w:pStyle w:val="TOC1"/>
        <w:spacing w:before="120" w:after="60"/>
        <w:rPr>
          <w:rFonts w:eastAsiaTheme="minorEastAsia" w:cstheme="minorBidi"/>
          <w:kern w:val="2"/>
          <w14:ligatures w14:val="standardContextual"/>
        </w:rPr>
      </w:pPr>
      <w:hyperlink w:anchor="_Toc213600721" w:history="1">
        <w:r>
          <w:rPr>
            <w:rStyle w:val="Hyperlink"/>
            <w:b w:val="0"/>
            <w:bCs w:val="0"/>
          </w:rPr>
          <w:t xml:space="preserve">Bảng 1.2. Tổng hợp lượng mưa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_Toc213600721 \h </w:instrText>
        </w:r>
        <w:r>
          <w:rPr>
            <w:webHidden/>
          </w:rPr>
        </w:r>
        <w:r>
          <w:rPr>
            <w:webHidden/>
          </w:rPr>
          <w:fldChar w:fldCharType="separate"/>
        </w:r>
        <w:r>
          <w:rPr>
            <w:webHidden/>
          </w:rPr>
          <w:t>15</w:t>
        </w:r>
        <w:r>
          <w:rPr>
            <w:webHidden/>
          </w:rPr>
          <w:fldChar w:fldCharType="end"/>
        </w:r>
      </w:hyperlink>
    </w:p>
    <w:p w14:paraId="343BA75C" w14:textId="3B584BE6" w:rsidR="00085789" w:rsidRDefault="00085789">
      <w:pPr>
        <w:pStyle w:val="TOC1"/>
        <w:spacing w:before="120" w:after="60"/>
        <w:rPr>
          <w:rFonts w:eastAsiaTheme="minorEastAsia" w:cstheme="minorBidi"/>
          <w:kern w:val="2"/>
          <w14:ligatures w14:val="standardContextual"/>
        </w:rPr>
      </w:pPr>
      <w:hyperlink w:anchor="_Toc213600723" w:history="1">
        <w:r>
          <w:rPr>
            <w:rStyle w:val="Hyperlink"/>
            <w:b w:val="0"/>
            <w:bCs w:val="0"/>
          </w:rPr>
          <w:t xml:space="preserve">Bảng 1.3. Độ ẩm không khí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_Toc213600723 \h </w:instrText>
        </w:r>
        <w:r>
          <w:rPr>
            <w:webHidden/>
          </w:rPr>
        </w:r>
        <w:r>
          <w:rPr>
            <w:webHidden/>
          </w:rPr>
          <w:fldChar w:fldCharType="separate"/>
        </w:r>
        <w:r>
          <w:rPr>
            <w:webHidden/>
          </w:rPr>
          <w:t>16</w:t>
        </w:r>
        <w:r>
          <w:rPr>
            <w:webHidden/>
          </w:rPr>
          <w:fldChar w:fldCharType="end"/>
        </w:r>
      </w:hyperlink>
    </w:p>
    <w:p w14:paraId="6F9045B7" w14:textId="4564781E" w:rsidR="00085789" w:rsidRDefault="00085789">
      <w:pPr>
        <w:pStyle w:val="TOC1"/>
        <w:spacing w:before="120" w:after="60"/>
        <w:rPr>
          <w:rFonts w:eastAsiaTheme="minorEastAsia" w:cstheme="minorBidi"/>
          <w:kern w:val="2"/>
          <w14:ligatures w14:val="standardContextual"/>
        </w:rPr>
      </w:pPr>
      <w:hyperlink w:anchor="_Toc213600724" w:history="1">
        <w:r>
          <w:rPr>
            <w:rStyle w:val="Hyperlink"/>
            <w:b w:val="0"/>
            <w:bCs w:val="0"/>
          </w:rPr>
          <w:t xml:space="preserve">Bảng 1.4. Lượng bốc hơi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_Toc213600724 \h </w:instrText>
        </w:r>
        <w:r>
          <w:rPr>
            <w:webHidden/>
          </w:rPr>
        </w:r>
        <w:r>
          <w:rPr>
            <w:webHidden/>
          </w:rPr>
          <w:fldChar w:fldCharType="separate"/>
        </w:r>
        <w:r>
          <w:rPr>
            <w:webHidden/>
          </w:rPr>
          <w:t>16</w:t>
        </w:r>
        <w:r>
          <w:rPr>
            <w:webHidden/>
          </w:rPr>
          <w:fldChar w:fldCharType="end"/>
        </w:r>
      </w:hyperlink>
    </w:p>
    <w:p w14:paraId="0CCF80C2" w14:textId="3A60EE44" w:rsidR="00085789" w:rsidRDefault="00085789">
      <w:pPr>
        <w:pStyle w:val="TOC1"/>
        <w:spacing w:before="120" w:after="60"/>
        <w:rPr>
          <w:rFonts w:eastAsiaTheme="minorEastAsia" w:cstheme="minorBidi"/>
          <w:kern w:val="2"/>
          <w14:ligatures w14:val="standardContextual"/>
        </w:rPr>
      </w:pPr>
      <w:hyperlink w:anchor="_Toc213600725" w:history="1">
        <w:r>
          <w:rPr>
            <w:rStyle w:val="Hyperlink"/>
            <w:b w:val="0"/>
            <w:bCs w:val="0"/>
          </w:rPr>
          <w:t xml:space="preserve">Bảng 1.5. Tổng số giờ nắng trung bình </w:t>
        </w:r>
        <w:r>
          <w:rPr>
            <w:rStyle w:val="Hyperlink"/>
            <w:rFonts w:cstheme="majorHAnsi"/>
            <w:b w:val="0"/>
            <w:bCs w:val="0"/>
          </w:rPr>
          <w:t>từ năm 2020-2024</w:t>
        </w:r>
        <w:r>
          <w:rPr>
            <w:webHidden/>
          </w:rPr>
          <w:tab/>
        </w:r>
        <w:r>
          <w:rPr>
            <w:webHidden/>
          </w:rPr>
          <w:fldChar w:fldCharType="begin"/>
        </w:r>
        <w:r>
          <w:rPr>
            <w:webHidden/>
          </w:rPr>
          <w:instrText xml:space="preserve"> PAGEREF _Toc213600725 \h </w:instrText>
        </w:r>
        <w:r>
          <w:rPr>
            <w:webHidden/>
          </w:rPr>
        </w:r>
        <w:r>
          <w:rPr>
            <w:webHidden/>
          </w:rPr>
          <w:fldChar w:fldCharType="separate"/>
        </w:r>
        <w:r>
          <w:rPr>
            <w:webHidden/>
          </w:rPr>
          <w:t>16</w:t>
        </w:r>
        <w:r>
          <w:rPr>
            <w:webHidden/>
          </w:rPr>
          <w:fldChar w:fldCharType="end"/>
        </w:r>
      </w:hyperlink>
    </w:p>
    <w:p w14:paraId="0F8B4EF2" w14:textId="33A1789A" w:rsidR="00085789" w:rsidRDefault="00085789">
      <w:pPr>
        <w:pStyle w:val="TOC1"/>
        <w:spacing w:before="120" w:after="60"/>
        <w:rPr>
          <w:rFonts w:eastAsiaTheme="minorEastAsia" w:cstheme="minorBidi"/>
          <w:kern w:val="2"/>
          <w14:ligatures w14:val="standardContextual"/>
        </w:rPr>
      </w:pPr>
      <w:hyperlink w:anchor="_Toc213600726" w:history="1">
        <w:r>
          <w:rPr>
            <w:rStyle w:val="Hyperlink"/>
            <w:b w:val="0"/>
            <w:bCs w:val="0"/>
          </w:rPr>
          <w:t>Bảng</w:t>
        </w:r>
        <w:r>
          <w:rPr>
            <w:rStyle w:val="Hyperlink"/>
            <w:b w:val="0"/>
            <w:bCs w:val="0"/>
            <w:spacing w:val="-2"/>
          </w:rPr>
          <w:t xml:space="preserve"> 1.</w:t>
        </w:r>
        <w:r>
          <w:rPr>
            <w:rStyle w:val="Hyperlink"/>
            <w:b w:val="0"/>
            <w:bCs w:val="0"/>
          </w:rPr>
          <w:t>6.</w:t>
        </w:r>
        <w:r>
          <w:rPr>
            <w:rStyle w:val="Hyperlink"/>
            <w:b w:val="0"/>
            <w:bCs w:val="0"/>
            <w:spacing w:val="-3"/>
          </w:rPr>
          <w:t xml:space="preserve"> </w:t>
        </w:r>
        <w:r>
          <w:rPr>
            <w:rStyle w:val="Hyperlink"/>
            <w:b w:val="0"/>
            <w:bCs w:val="0"/>
          </w:rPr>
          <w:t>Các</w:t>
        </w:r>
        <w:r>
          <w:rPr>
            <w:rStyle w:val="Hyperlink"/>
            <w:b w:val="0"/>
            <w:bCs w:val="0"/>
            <w:spacing w:val="-2"/>
          </w:rPr>
          <w:t xml:space="preserve"> </w:t>
        </w:r>
        <w:r>
          <w:rPr>
            <w:rStyle w:val="Hyperlink"/>
            <w:b w:val="0"/>
            <w:bCs w:val="0"/>
          </w:rPr>
          <w:t>đặc</w:t>
        </w:r>
        <w:r>
          <w:rPr>
            <w:rStyle w:val="Hyperlink"/>
            <w:b w:val="0"/>
            <w:bCs w:val="0"/>
            <w:spacing w:val="-3"/>
          </w:rPr>
          <w:t xml:space="preserve"> </w:t>
        </w:r>
        <w:r>
          <w:rPr>
            <w:rStyle w:val="Hyperlink"/>
            <w:b w:val="0"/>
            <w:bCs w:val="0"/>
          </w:rPr>
          <w:t>trưng</w:t>
        </w:r>
        <w:r>
          <w:rPr>
            <w:rStyle w:val="Hyperlink"/>
            <w:b w:val="0"/>
            <w:bCs w:val="0"/>
            <w:spacing w:val="-2"/>
          </w:rPr>
          <w:t xml:space="preserve"> </w:t>
        </w:r>
        <w:r>
          <w:rPr>
            <w:rStyle w:val="Hyperlink"/>
            <w:b w:val="0"/>
            <w:bCs w:val="0"/>
          </w:rPr>
          <w:t>dòng</w:t>
        </w:r>
        <w:r>
          <w:rPr>
            <w:rStyle w:val="Hyperlink"/>
            <w:b w:val="0"/>
            <w:bCs w:val="0"/>
            <w:spacing w:val="-1"/>
          </w:rPr>
          <w:t xml:space="preserve"> </w:t>
        </w:r>
        <w:r>
          <w:rPr>
            <w:rStyle w:val="Hyperlink"/>
            <w:b w:val="0"/>
            <w:bCs w:val="0"/>
          </w:rPr>
          <w:t>chảy</w:t>
        </w:r>
        <w:r>
          <w:rPr>
            <w:rStyle w:val="Hyperlink"/>
            <w:b w:val="0"/>
            <w:bCs w:val="0"/>
            <w:spacing w:val="-2"/>
          </w:rPr>
          <w:t xml:space="preserve"> </w:t>
        </w:r>
        <w:r>
          <w:rPr>
            <w:rStyle w:val="Hyperlink"/>
            <w:b w:val="0"/>
            <w:bCs w:val="0"/>
          </w:rPr>
          <w:t>năm (các</w:t>
        </w:r>
        <w:r>
          <w:rPr>
            <w:rStyle w:val="Hyperlink"/>
            <w:b w:val="0"/>
            <w:bCs w:val="0"/>
            <w:spacing w:val="-2"/>
          </w:rPr>
          <w:t xml:space="preserve"> </w:t>
        </w:r>
        <w:r>
          <w:rPr>
            <w:rStyle w:val="Hyperlink"/>
            <w:b w:val="0"/>
            <w:bCs w:val="0"/>
          </w:rPr>
          <w:t>nhánh</w:t>
        </w:r>
        <w:r>
          <w:rPr>
            <w:rStyle w:val="Hyperlink"/>
            <w:b w:val="0"/>
            <w:bCs w:val="0"/>
            <w:spacing w:val="-4"/>
          </w:rPr>
          <w:t xml:space="preserve"> </w:t>
        </w:r>
        <w:r>
          <w:rPr>
            <w:rStyle w:val="Hyperlink"/>
            <w:b w:val="0"/>
            <w:bCs w:val="0"/>
          </w:rPr>
          <w:t>sông</w:t>
        </w:r>
        <w:r>
          <w:rPr>
            <w:rStyle w:val="Hyperlink"/>
            <w:b w:val="0"/>
            <w:bCs w:val="0"/>
            <w:spacing w:val="-2"/>
          </w:rPr>
          <w:t xml:space="preserve"> </w:t>
        </w:r>
        <w:r>
          <w:rPr>
            <w:rStyle w:val="Hyperlink"/>
            <w:b w:val="0"/>
            <w:bCs w:val="0"/>
          </w:rPr>
          <w:t>và</w:t>
        </w:r>
        <w:r>
          <w:rPr>
            <w:rStyle w:val="Hyperlink"/>
            <w:b w:val="0"/>
            <w:bCs w:val="0"/>
            <w:spacing w:val="-1"/>
          </w:rPr>
          <w:t xml:space="preserve"> </w:t>
        </w:r>
        <w:r>
          <w:rPr>
            <w:rStyle w:val="Hyperlink"/>
            <w:b w:val="0"/>
            <w:bCs w:val="0"/>
          </w:rPr>
          <w:t>trạm</w:t>
        </w:r>
        <w:r>
          <w:rPr>
            <w:rStyle w:val="Hyperlink"/>
            <w:b w:val="0"/>
            <w:bCs w:val="0"/>
            <w:spacing w:val="-7"/>
          </w:rPr>
          <w:t xml:space="preserve"> </w:t>
        </w:r>
        <w:r>
          <w:rPr>
            <w:rStyle w:val="Hyperlink"/>
            <w:b w:val="0"/>
            <w:bCs w:val="0"/>
          </w:rPr>
          <w:t>đại</w:t>
        </w:r>
        <w:r>
          <w:rPr>
            <w:rStyle w:val="Hyperlink"/>
            <w:b w:val="0"/>
            <w:bCs w:val="0"/>
            <w:spacing w:val="-1"/>
          </w:rPr>
          <w:t xml:space="preserve"> </w:t>
        </w:r>
        <w:r>
          <w:rPr>
            <w:rStyle w:val="Hyperlink"/>
            <w:b w:val="0"/>
            <w:bCs w:val="0"/>
            <w:spacing w:val="-2"/>
          </w:rPr>
          <w:t>biểu)</w:t>
        </w:r>
        <w:r>
          <w:rPr>
            <w:webHidden/>
          </w:rPr>
          <w:tab/>
        </w:r>
        <w:r>
          <w:rPr>
            <w:webHidden/>
          </w:rPr>
          <w:fldChar w:fldCharType="begin"/>
        </w:r>
        <w:r>
          <w:rPr>
            <w:webHidden/>
          </w:rPr>
          <w:instrText xml:space="preserve"> PAGEREF _Toc213600726 \h </w:instrText>
        </w:r>
        <w:r>
          <w:rPr>
            <w:webHidden/>
          </w:rPr>
        </w:r>
        <w:r>
          <w:rPr>
            <w:webHidden/>
          </w:rPr>
          <w:fldChar w:fldCharType="separate"/>
        </w:r>
        <w:r>
          <w:rPr>
            <w:webHidden/>
          </w:rPr>
          <w:t>17</w:t>
        </w:r>
        <w:r>
          <w:rPr>
            <w:webHidden/>
          </w:rPr>
          <w:fldChar w:fldCharType="end"/>
        </w:r>
      </w:hyperlink>
    </w:p>
    <w:p w14:paraId="6E6063CA" w14:textId="549C73E0" w:rsidR="00085789" w:rsidRDefault="00085789">
      <w:pPr>
        <w:pStyle w:val="TOC1"/>
        <w:spacing w:before="120" w:after="60"/>
        <w:rPr>
          <w:rFonts w:eastAsiaTheme="minorEastAsia" w:cstheme="minorBidi"/>
          <w:kern w:val="2"/>
          <w14:ligatures w14:val="standardContextual"/>
        </w:rPr>
      </w:pPr>
      <w:hyperlink w:anchor="_Toc213600731" w:history="1">
        <w:r>
          <w:rPr>
            <w:rStyle w:val="Hyperlink"/>
            <w:b w:val="0"/>
            <w:bCs w:val="0"/>
          </w:rPr>
          <w:t>Bảng 1.7. Kết quả thực hiện một số chỉ tiêu phát triển ngành trồng trọt từ năm 2020-2025</w:t>
        </w:r>
        <w:r>
          <w:rPr>
            <w:webHidden/>
          </w:rPr>
          <w:tab/>
        </w:r>
        <w:r>
          <w:rPr>
            <w:webHidden/>
          </w:rPr>
          <w:fldChar w:fldCharType="begin"/>
        </w:r>
        <w:r>
          <w:rPr>
            <w:webHidden/>
          </w:rPr>
          <w:instrText xml:space="preserve"> PAGEREF _Toc213600731 \h </w:instrText>
        </w:r>
        <w:r>
          <w:rPr>
            <w:webHidden/>
          </w:rPr>
        </w:r>
        <w:r>
          <w:rPr>
            <w:webHidden/>
          </w:rPr>
          <w:fldChar w:fldCharType="separate"/>
        </w:r>
        <w:r>
          <w:rPr>
            <w:webHidden/>
          </w:rPr>
          <w:t>26</w:t>
        </w:r>
        <w:r>
          <w:rPr>
            <w:webHidden/>
          </w:rPr>
          <w:fldChar w:fldCharType="end"/>
        </w:r>
      </w:hyperlink>
    </w:p>
    <w:p w14:paraId="02E14056" w14:textId="1116409A" w:rsidR="00085789" w:rsidRDefault="00085789">
      <w:pPr>
        <w:pStyle w:val="TOC1"/>
        <w:spacing w:before="120" w:after="60"/>
        <w:rPr>
          <w:rFonts w:eastAsiaTheme="minorEastAsia" w:cstheme="minorBidi"/>
          <w:kern w:val="2"/>
          <w14:ligatures w14:val="standardContextual"/>
        </w:rPr>
      </w:pPr>
      <w:hyperlink w:anchor="_Toc213600732" w:history="1">
        <w:r>
          <w:rPr>
            <w:rStyle w:val="Hyperlink"/>
            <w:b w:val="0"/>
            <w:bCs w:val="0"/>
          </w:rPr>
          <w:t xml:space="preserve">Bảng 1.8. Số lượng vật </w:t>
        </w:r>
        <w:r>
          <w:rPr>
            <w:rStyle w:val="Hyperlink"/>
            <w:rFonts w:cstheme="majorHAnsi"/>
            <w:b w:val="0"/>
            <w:bCs w:val="0"/>
          </w:rPr>
          <w:t xml:space="preserve">nuôi </w:t>
        </w:r>
        <w:r>
          <w:rPr>
            <w:rStyle w:val="Hyperlink"/>
            <w:b w:val="0"/>
            <w:bCs w:val="0"/>
          </w:rPr>
          <w:t>năm 2020-2025</w:t>
        </w:r>
        <w:r>
          <w:rPr>
            <w:webHidden/>
          </w:rPr>
          <w:tab/>
        </w:r>
        <w:r>
          <w:rPr>
            <w:webHidden/>
          </w:rPr>
          <w:fldChar w:fldCharType="begin"/>
        </w:r>
        <w:r>
          <w:rPr>
            <w:webHidden/>
          </w:rPr>
          <w:instrText xml:space="preserve"> PAGEREF _Toc213600732 \h </w:instrText>
        </w:r>
        <w:r>
          <w:rPr>
            <w:webHidden/>
          </w:rPr>
        </w:r>
        <w:r>
          <w:rPr>
            <w:webHidden/>
          </w:rPr>
          <w:fldChar w:fldCharType="separate"/>
        </w:r>
        <w:r>
          <w:rPr>
            <w:webHidden/>
          </w:rPr>
          <w:t>26</w:t>
        </w:r>
        <w:r>
          <w:rPr>
            <w:webHidden/>
          </w:rPr>
          <w:fldChar w:fldCharType="end"/>
        </w:r>
      </w:hyperlink>
    </w:p>
    <w:p w14:paraId="166DD1C7" w14:textId="1DB920D3" w:rsidR="00085789" w:rsidRDefault="00085789">
      <w:pPr>
        <w:pStyle w:val="TOC1"/>
        <w:spacing w:before="120" w:after="60"/>
        <w:rPr>
          <w:rFonts w:eastAsiaTheme="minorEastAsia" w:cstheme="minorBidi"/>
          <w:kern w:val="2"/>
          <w14:ligatures w14:val="standardContextual"/>
        </w:rPr>
      </w:pPr>
      <w:hyperlink w:anchor="_Toc213600733" w:history="1">
        <w:r>
          <w:rPr>
            <w:rStyle w:val="Hyperlink"/>
            <w:b w:val="0"/>
            <w:bCs w:val="0"/>
          </w:rPr>
          <w:t>Bảng 1.9. Thống kê diện tích, sản lượng thuỷ sản từ năm 2020-2025</w:t>
        </w:r>
        <w:r>
          <w:rPr>
            <w:webHidden/>
          </w:rPr>
          <w:tab/>
        </w:r>
        <w:r>
          <w:rPr>
            <w:webHidden/>
          </w:rPr>
          <w:fldChar w:fldCharType="begin"/>
        </w:r>
        <w:r>
          <w:rPr>
            <w:webHidden/>
          </w:rPr>
          <w:instrText xml:space="preserve"> PAGEREF _Toc213600733 \h </w:instrText>
        </w:r>
        <w:r>
          <w:rPr>
            <w:webHidden/>
          </w:rPr>
        </w:r>
        <w:r>
          <w:rPr>
            <w:webHidden/>
          </w:rPr>
          <w:fldChar w:fldCharType="separate"/>
        </w:r>
        <w:r>
          <w:rPr>
            <w:webHidden/>
          </w:rPr>
          <w:t>27</w:t>
        </w:r>
        <w:r>
          <w:rPr>
            <w:webHidden/>
          </w:rPr>
          <w:fldChar w:fldCharType="end"/>
        </w:r>
      </w:hyperlink>
    </w:p>
    <w:p w14:paraId="0E156B0F" w14:textId="622D0010" w:rsidR="00085789" w:rsidRDefault="00085789">
      <w:pPr>
        <w:pStyle w:val="TOC1"/>
        <w:spacing w:before="120" w:after="60"/>
        <w:rPr>
          <w:rFonts w:eastAsiaTheme="minorEastAsia" w:cstheme="minorBidi"/>
          <w:kern w:val="2"/>
          <w14:ligatures w14:val="standardContextual"/>
        </w:rPr>
      </w:pPr>
      <w:hyperlink w:anchor="_Toc213600734" w:history="1">
        <w:r>
          <w:rPr>
            <w:rStyle w:val="Hyperlink"/>
            <w:b w:val="0"/>
            <w:bCs w:val="0"/>
          </w:rPr>
          <w:t>Bảng 1.10. Các cơ sở khám chữa bệnh</w:t>
        </w:r>
        <w:r>
          <w:rPr>
            <w:webHidden/>
          </w:rPr>
          <w:tab/>
        </w:r>
        <w:r>
          <w:rPr>
            <w:webHidden/>
          </w:rPr>
          <w:fldChar w:fldCharType="begin"/>
        </w:r>
        <w:r>
          <w:rPr>
            <w:webHidden/>
          </w:rPr>
          <w:instrText xml:space="preserve"> PAGEREF _Toc213600734 \h </w:instrText>
        </w:r>
        <w:r>
          <w:rPr>
            <w:webHidden/>
          </w:rPr>
        </w:r>
        <w:r>
          <w:rPr>
            <w:webHidden/>
          </w:rPr>
          <w:fldChar w:fldCharType="separate"/>
        </w:r>
        <w:r>
          <w:rPr>
            <w:webHidden/>
          </w:rPr>
          <w:t>28</w:t>
        </w:r>
        <w:r>
          <w:rPr>
            <w:webHidden/>
          </w:rPr>
          <w:fldChar w:fldCharType="end"/>
        </w:r>
      </w:hyperlink>
    </w:p>
    <w:p w14:paraId="66B8C58F" w14:textId="7368559A" w:rsidR="00085789" w:rsidRDefault="00085789">
      <w:pPr>
        <w:pStyle w:val="TOC1"/>
        <w:spacing w:before="120" w:after="60"/>
        <w:rPr>
          <w:rFonts w:eastAsiaTheme="minorEastAsia" w:cstheme="minorBidi"/>
          <w:kern w:val="2"/>
          <w14:ligatures w14:val="standardContextual"/>
        </w:rPr>
      </w:pPr>
      <w:hyperlink w:anchor="_Toc213600735" w:history="1">
        <w:r>
          <w:rPr>
            <w:rStyle w:val="Hyperlink"/>
            <w:rFonts w:eastAsia="Calibri"/>
            <w:b w:val="0"/>
            <w:bCs w:val="0"/>
            <w:lang w:val="sv-SE"/>
          </w:rPr>
          <w:t>Bảng 1.11. Thống kê số lượng khách du lịch trên địa bản tỉnh từ năm 2021 đến tháng 6/2025</w:t>
        </w:r>
        <w:r>
          <w:rPr>
            <w:webHidden/>
          </w:rPr>
          <w:tab/>
        </w:r>
        <w:r>
          <w:rPr>
            <w:webHidden/>
          </w:rPr>
          <w:fldChar w:fldCharType="begin"/>
        </w:r>
        <w:r>
          <w:rPr>
            <w:webHidden/>
          </w:rPr>
          <w:instrText xml:space="preserve"> PAGEREF _Toc213600735 \h </w:instrText>
        </w:r>
        <w:r>
          <w:rPr>
            <w:webHidden/>
          </w:rPr>
        </w:r>
        <w:r>
          <w:rPr>
            <w:webHidden/>
          </w:rPr>
          <w:fldChar w:fldCharType="separate"/>
        </w:r>
        <w:r>
          <w:rPr>
            <w:webHidden/>
          </w:rPr>
          <w:t>29</w:t>
        </w:r>
        <w:r>
          <w:rPr>
            <w:webHidden/>
          </w:rPr>
          <w:fldChar w:fldCharType="end"/>
        </w:r>
      </w:hyperlink>
    </w:p>
    <w:p w14:paraId="597FF81B" w14:textId="04A8F574" w:rsidR="00085789" w:rsidRDefault="00085789">
      <w:pPr>
        <w:pStyle w:val="TOC1"/>
        <w:spacing w:before="120" w:after="60"/>
        <w:rPr>
          <w:rFonts w:eastAsiaTheme="minorEastAsia" w:cstheme="minorBidi"/>
          <w:kern w:val="2"/>
          <w14:ligatures w14:val="standardContextual"/>
        </w:rPr>
      </w:pPr>
      <w:hyperlink w:anchor="_Toc213600737" w:history="1">
        <w:r>
          <w:rPr>
            <w:rStyle w:val="Hyperlink"/>
            <w:b w:val="0"/>
            <w:bCs w:val="0"/>
          </w:rPr>
          <w:t>Bảng 2.1. Khối lượng chất thải rắn sinh hoạt phát sinh từ năm 2020-2025</w:t>
        </w:r>
        <w:r>
          <w:rPr>
            <w:webHidden/>
          </w:rPr>
          <w:tab/>
        </w:r>
        <w:r>
          <w:rPr>
            <w:webHidden/>
          </w:rPr>
          <w:fldChar w:fldCharType="begin"/>
        </w:r>
        <w:r>
          <w:rPr>
            <w:webHidden/>
          </w:rPr>
          <w:instrText xml:space="preserve"> PAGEREF _Toc213600737 \h </w:instrText>
        </w:r>
        <w:r>
          <w:rPr>
            <w:webHidden/>
          </w:rPr>
        </w:r>
        <w:r>
          <w:rPr>
            <w:webHidden/>
          </w:rPr>
          <w:fldChar w:fldCharType="separate"/>
        </w:r>
        <w:r>
          <w:rPr>
            <w:webHidden/>
          </w:rPr>
          <w:t>34</w:t>
        </w:r>
        <w:r>
          <w:rPr>
            <w:webHidden/>
          </w:rPr>
          <w:fldChar w:fldCharType="end"/>
        </w:r>
      </w:hyperlink>
    </w:p>
    <w:p w14:paraId="1D5E1900" w14:textId="60DD0408" w:rsidR="00085789" w:rsidRDefault="00085789">
      <w:pPr>
        <w:pStyle w:val="TOC1"/>
        <w:spacing w:before="120" w:after="60"/>
        <w:jc w:val="left"/>
        <w:rPr>
          <w:rFonts w:eastAsiaTheme="minorEastAsia" w:cstheme="minorBidi"/>
          <w:kern w:val="2"/>
          <w14:ligatures w14:val="standardContextual"/>
        </w:rPr>
      </w:pPr>
      <w:hyperlink w:anchor="_Toc213600738" w:history="1">
        <w:r>
          <w:rPr>
            <w:rStyle w:val="Hyperlink"/>
            <w:rFonts w:eastAsia="Calibri"/>
            <w:b w:val="0"/>
            <w:bCs w:val="0"/>
          </w:rPr>
          <w:t xml:space="preserve">Bảng 2.2. </w:t>
        </w:r>
        <w:r>
          <w:rPr>
            <w:rStyle w:val="Hyperlink"/>
            <w:b w:val="0"/>
            <w:bCs w:val="0"/>
          </w:rPr>
          <w:t>Tỷ lệ khu đô thị có hệ thống xử lý nước thải, chất thải đạt tiêu chuẩn quy định từ năm 2020-2024</w:t>
        </w:r>
        <w:r>
          <w:rPr>
            <w:webHidden/>
          </w:rPr>
          <w:tab/>
        </w:r>
        <w:r>
          <w:rPr>
            <w:webHidden/>
          </w:rPr>
          <w:fldChar w:fldCharType="begin"/>
        </w:r>
        <w:r>
          <w:rPr>
            <w:webHidden/>
          </w:rPr>
          <w:instrText xml:space="preserve"> PAGEREF _Toc213600738 \h </w:instrText>
        </w:r>
        <w:r>
          <w:rPr>
            <w:webHidden/>
          </w:rPr>
        </w:r>
        <w:r>
          <w:rPr>
            <w:webHidden/>
          </w:rPr>
          <w:fldChar w:fldCharType="separate"/>
        </w:r>
        <w:r>
          <w:rPr>
            <w:webHidden/>
          </w:rPr>
          <w:t>35</w:t>
        </w:r>
        <w:r>
          <w:rPr>
            <w:webHidden/>
          </w:rPr>
          <w:fldChar w:fldCharType="end"/>
        </w:r>
      </w:hyperlink>
    </w:p>
    <w:p w14:paraId="3DF1CBC6" w14:textId="19F09D25" w:rsidR="00085789" w:rsidRDefault="00085789">
      <w:pPr>
        <w:pStyle w:val="TOC1"/>
        <w:spacing w:before="120" w:after="60"/>
        <w:rPr>
          <w:rFonts w:eastAsiaTheme="minorEastAsia" w:cstheme="minorBidi"/>
          <w:kern w:val="2"/>
          <w14:ligatures w14:val="standardContextual"/>
        </w:rPr>
      </w:pPr>
      <w:hyperlink w:anchor="_Toc213600739" w:history="1">
        <w:r>
          <w:rPr>
            <w:rStyle w:val="Hyperlink"/>
            <w:b w:val="0"/>
            <w:bCs w:val="0"/>
            <w:lang w:val="da-DK"/>
          </w:rPr>
          <w:t>Bảng 2.3. Các nhóm ngành sản xuất và phát thải đặc trưng</w:t>
        </w:r>
        <w:r>
          <w:rPr>
            <w:webHidden/>
          </w:rPr>
          <w:tab/>
        </w:r>
        <w:r>
          <w:rPr>
            <w:webHidden/>
          </w:rPr>
          <w:fldChar w:fldCharType="begin"/>
        </w:r>
        <w:r>
          <w:rPr>
            <w:webHidden/>
          </w:rPr>
          <w:instrText xml:space="preserve"> PAGEREF _Toc213600739 \h </w:instrText>
        </w:r>
        <w:r>
          <w:rPr>
            <w:webHidden/>
          </w:rPr>
        </w:r>
        <w:r>
          <w:rPr>
            <w:webHidden/>
          </w:rPr>
          <w:fldChar w:fldCharType="separate"/>
        </w:r>
        <w:r>
          <w:rPr>
            <w:webHidden/>
          </w:rPr>
          <w:t>39</w:t>
        </w:r>
        <w:r>
          <w:rPr>
            <w:webHidden/>
          </w:rPr>
          <w:fldChar w:fldCharType="end"/>
        </w:r>
      </w:hyperlink>
    </w:p>
    <w:p w14:paraId="00233C4E" w14:textId="3EC9600B" w:rsidR="00085789" w:rsidRDefault="00085789">
      <w:pPr>
        <w:pStyle w:val="TOC1"/>
        <w:spacing w:before="120" w:after="60"/>
        <w:rPr>
          <w:rFonts w:eastAsiaTheme="minorEastAsia" w:cstheme="minorBidi"/>
          <w:kern w:val="2"/>
          <w14:ligatures w14:val="standardContextual"/>
        </w:rPr>
      </w:pPr>
      <w:hyperlink w:anchor="_Toc213600740" w:history="1">
        <w:r>
          <w:rPr>
            <w:rStyle w:val="Hyperlink"/>
            <w:b w:val="0"/>
            <w:bCs w:val="0"/>
            <w:spacing w:val="-8"/>
          </w:rPr>
          <w:t>Bảng 2.4. Tỷ lệ số xe không đạt chuẩn về hạng mục kiểm tra bảo vệ môi trường</w:t>
        </w:r>
        <w:r>
          <w:rPr>
            <w:webHidden/>
          </w:rPr>
          <w:tab/>
        </w:r>
        <w:r>
          <w:rPr>
            <w:webHidden/>
          </w:rPr>
          <w:fldChar w:fldCharType="begin"/>
        </w:r>
        <w:r>
          <w:rPr>
            <w:webHidden/>
          </w:rPr>
          <w:instrText xml:space="preserve"> PAGEREF _Toc213600740 \h </w:instrText>
        </w:r>
        <w:r>
          <w:rPr>
            <w:webHidden/>
          </w:rPr>
        </w:r>
        <w:r>
          <w:rPr>
            <w:webHidden/>
          </w:rPr>
          <w:fldChar w:fldCharType="separate"/>
        </w:r>
        <w:r>
          <w:rPr>
            <w:webHidden/>
          </w:rPr>
          <w:t>45</w:t>
        </w:r>
        <w:r>
          <w:rPr>
            <w:webHidden/>
          </w:rPr>
          <w:fldChar w:fldCharType="end"/>
        </w:r>
      </w:hyperlink>
    </w:p>
    <w:p w14:paraId="62CD39DA" w14:textId="4E766A66" w:rsidR="00085789" w:rsidRDefault="00085789">
      <w:pPr>
        <w:pStyle w:val="TOC1"/>
        <w:spacing w:before="120" w:after="60"/>
        <w:rPr>
          <w:rFonts w:eastAsiaTheme="minorEastAsia" w:cstheme="minorBidi"/>
          <w:kern w:val="2"/>
          <w14:ligatures w14:val="standardContextual"/>
        </w:rPr>
      </w:pPr>
      <w:hyperlink w:anchor="_Toc213600741" w:history="1">
        <w:r>
          <w:rPr>
            <w:rStyle w:val="Hyperlink"/>
            <w:b w:val="0"/>
            <w:bCs w:val="0"/>
          </w:rPr>
          <w:t>Bảng 2.5. Khối lượng chất thải phát sinh từ hoạt động trồng trọt từ năm 2021-2024, ước tính năm 2025</w:t>
        </w:r>
        <w:r>
          <w:rPr>
            <w:webHidden/>
          </w:rPr>
          <w:tab/>
        </w:r>
        <w:r>
          <w:rPr>
            <w:webHidden/>
          </w:rPr>
          <w:fldChar w:fldCharType="begin"/>
        </w:r>
        <w:r>
          <w:rPr>
            <w:webHidden/>
          </w:rPr>
          <w:instrText xml:space="preserve"> PAGEREF _Toc213600741 \h </w:instrText>
        </w:r>
        <w:r>
          <w:rPr>
            <w:webHidden/>
          </w:rPr>
        </w:r>
        <w:r>
          <w:rPr>
            <w:webHidden/>
          </w:rPr>
          <w:fldChar w:fldCharType="separate"/>
        </w:r>
        <w:r>
          <w:rPr>
            <w:webHidden/>
          </w:rPr>
          <w:t>46</w:t>
        </w:r>
        <w:r>
          <w:rPr>
            <w:webHidden/>
          </w:rPr>
          <w:fldChar w:fldCharType="end"/>
        </w:r>
      </w:hyperlink>
    </w:p>
    <w:p w14:paraId="76313EE7" w14:textId="2FDCB42E" w:rsidR="00085789" w:rsidRDefault="00085789">
      <w:pPr>
        <w:pStyle w:val="TOC1"/>
        <w:spacing w:before="120" w:after="60"/>
        <w:rPr>
          <w:rFonts w:eastAsiaTheme="minorEastAsia" w:cstheme="minorBidi"/>
          <w:kern w:val="2"/>
          <w14:ligatures w14:val="standardContextual"/>
        </w:rPr>
      </w:pPr>
      <w:hyperlink w:anchor="_Toc213600742" w:history="1">
        <w:r>
          <w:rPr>
            <w:rStyle w:val="Hyperlink"/>
            <w:b w:val="0"/>
            <w:bCs w:val="0"/>
          </w:rPr>
          <w:t>Bảng 2.6. Lưu lượng nước thải  chăn nuôi từ năm 2020-2025</w:t>
        </w:r>
        <w:r>
          <w:rPr>
            <w:webHidden/>
          </w:rPr>
          <w:tab/>
        </w:r>
        <w:r>
          <w:rPr>
            <w:webHidden/>
          </w:rPr>
          <w:fldChar w:fldCharType="begin"/>
        </w:r>
        <w:r>
          <w:rPr>
            <w:webHidden/>
          </w:rPr>
          <w:instrText xml:space="preserve"> PAGEREF _Toc213600742 \h </w:instrText>
        </w:r>
        <w:r>
          <w:rPr>
            <w:webHidden/>
          </w:rPr>
        </w:r>
        <w:r>
          <w:rPr>
            <w:webHidden/>
          </w:rPr>
          <w:fldChar w:fldCharType="separate"/>
        </w:r>
        <w:r>
          <w:rPr>
            <w:webHidden/>
          </w:rPr>
          <w:t>47</w:t>
        </w:r>
        <w:r>
          <w:rPr>
            <w:webHidden/>
          </w:rPr>
          <w:fldChar w:fldCharType="end"/>
        </w:r>
      </w:hyperlink>
    </w:p>
    <w:p w14:paraId="5A4722EC" w14:textId="40F91C7B" w:rsidR="00085789" w:rsidRDefault="00085789">
      <w:pPr>
        <w:pStyle w:val="TOC1"/>
        <w:spacing w:before="120" w:after="60"/>
        <w:rPr>
          <w:rFonts w:eastAsiaTheme="minorEastAsia" w:cstheme="minorBidi"/>
          <w:kern w:val="2"/>
          <w14:ligatures w14:val="standardContextual"/>
        </w:rPr>
      </w:pPr>
      <w:hyperlink w:anchor="_Toc213600744" w:history="1">
        <w:r>
          <w:rPr>
            <w:rStyle w:val="Hyperlink"/>
            <w:b w:val="0"/>
            <w:bCs w:val="0"/>
          </w:rPr>
          <w:t>Bảng 2.7. Khối lượng chất thải rắn chăn nuôi từ năm 2020-2025</w:t>
        </w:r>
        <w:r>
          <w:rPr>
            <w:webHidden/>
          </w:rPr>
          <w:tab/>
        </w:r>
        <w:r>
          <w:rPr>
            <w:webHidden/>
          </w:rPr>
          <w:fldChar w:fldCharType="begin"/>
        </w:r>
        <w:r>
          <w:rPr>
            <w:webHidden/>
          </w:rPr>
          <w:instrText xml:space="preserve"> PAGEREF _Toc213600744 \h </w:instrText>
        </w:r>
        <w:r>
          <w:rPr>
            <w:webHidden/>
          </w:rPr>
        </w:r>
        <w:r>
          <w:rPr>
            <w:webHidden/>
          </w:rPr>
          <w:fldChar w:fldCharType="separate"/>
        </w:r>
        <w:r>
          <w:rPr>
            <w:webHidden/>
          </w:rPr>
          <w:t>48</w:t>
        </w:r>
        <w:r>
          <w:rPr>
            <w:webHidden/>
          </w:rPr>
          <w:fldChar w:fldCharType="end"/>
        </w:r>
      </w:hyperlink>
    </w:p>
    <w:p w14:paraId="76138D13" w14:textId="2FC6775F" w:rsidR="00085789" w:rsidRDefault="00085789">
      <w:pPr>
        <w:pStyle w:val="TOC1"/>
        <w:spacing w:before="120" w:after="60"/>
        <w:rPr>
          <w:rFonts w:eastAsiaTheme="minorEastAsia" w:cstheme="minorBidi"/>
          <w:kern w:val="2"/>
          <w14:ligatures w14:val="standardContextual"/>
        </w:rPr>
      </w:pPr>
      <w:hyperlink w:anchor="_Toc213600746" w:history="1">
        <w:r>
          <w:rPr>
            <w:rStyle w:val="Hyperlink"/>
            <w:b w:val="0"/>
            <w:bCs w:val="0"/>
            <w:lang w:val="de-DE"/>
          </w:rPr>
          <w:t>Bảng 2.8.Tổng thể tích nước thải từ hoạt động NTTS từ năm 2020-2025</w:t>
        </w:r>
        <w:r>
          <w:rPr>
            <w:webHidden/>
          </w:rPr>
          <w:tab/>
        </w:r>
        <w:r>
          <w:rPr>
            <w:webHidden/>
          </w:rPr>
          <w:fldChar w:fldCharType="begin"/>
        </w:r>
        <w:r>
          <w:rPr>
            <w:webHidden/>
          </w:rPr>
          <w:instrText xml:space="preserve"> PAGEREF _Toc213600746 \h </w:instrText>
        </w:r>
        <w:r>
          <w:rPr>
            <w:webHidden/>
          </w:rPr>
        </w:r>
        <w:r>
          <w:rPr>
            <w:webHidden/>
          </w:rPr>
          <w:fldChar w:fldCharType="separate"/>
        </w:r>
        <w:r>
          <w:rPr>
            <w:webHidden/>
          </w:rPr>
          <w:t>50</w:t>
        </w:r>
        <w:r>
          <w:rPr>
            <w:webHidden/>
          </w:rPr>
          <w:fldChar w:fldCharType="end"/>
        </w:r>
      </w:hyperlink>
    </w:p>
    <w:p w14:paraId="67180DD5" w14:textId="6BDE456F" w:rsidR="00085789" w:rsidRDefault="00085789">
      <w:pPr>
        <w:pStyle w:val="TOC1"/>
        <w:spacing w:before="120" w:after="60"/>
        <w:rPr>
          <w:rFonts w:eastAsiaTheme="minorEastAsia" w:cstheme="minorBidi"/>
          <w:kern w:val="2"/>
          <w14:ligatures w14:val="standardContextual"/>
        </w:rPr>
      </w:pPr>
      <w:hyperlink w:anchor="_Toc213600749" w:history="1">
        <w:r>
          <w:rPr>
            <w:rStyle w:val="Hyperlink"/>
            <w:b w:val="0"/>
            <w:bCs w:val="0"/>
            <w:lang w:val="pt-BR"/>
          </w:rPr>
          <w:t>Bảng 2.9. Lượng bùn thải phát sinh từ NTTS năm 2020-2025</w:t>
        </w:r>
        <w:r>
          <w:rPr>
            <w:webHidden/>
          </w:rPr>
          <w:tab/>
        </w:r>
        <w:r>
          <w:rPr>
            <w:webHidden/>
          </w:rPr>
          <w:fldChar w:fldCharType="begin"/>
        </w:r>
        <w:r>
          <w:rPr>
            <w:webHidden/>
          </w:rPr>
          <w:instrText xml:space="preserve"> PAGEREF _Toc213600749 \h </w:instrText>
        </w:r>
        <w:r>
          <w:rPr>
            <w:webHidden/>
          </w:rPr>
        </w:r>
        <w:r>
          <w:rPr>
            <w:webHidden/>
          </w:rPr>
          <w:fldChar w:fldCharType="separate"/>
        </w:r>
        <w:r>
          <w:rPr>
            <w:webHidden/>
          </w:rPr>
          <w:t>51</w:t>
        </w:r>
        <w:r>
          <w:rPr>
            <w:webHidden/>
          </w:rPr>
          <w:fldChar w:fldCharType="end"/>
        </w:r>
      </w:hyperlink>
    </w:p>
    <w:p w14:paraId="20D78F01" w14:textId="491AAFEE" w:rsidR="00085789" w:rsidRDefault="00085789">
      <w:pPr>
        <w:pStyle w:val="TOC1"/>
        <w:spacing w:before="120" w:after="60"/>
        <w:rPr>
          <w:rFonts w:eastAsiaTheme="minorEastAsia" w:cstheme="minorBidi"/>
          <w:kern w:val="2"/>
          <w14:ligatures w14:val="standardContextual"/>
        </w:rPr>
      </w:pPr>
      <w:hyperlink w:anchor="_Toc213600752" w:history="1">
        <w:r>
          <w:rPr>
            <w:rStyle w:val="Hyperlink"/>
            <w:b w:val="0"/>
            <w:bCs w:val="0"/>
          </w:rPr>
          <w:t>Bảng 3.1. Các hồ chứa nước lớn, vừa trên địa bàn tỉnh Hà Tĩnh</w:t>
        </w:r>
        <w:r>
          <w:rPr>
            <w:webHidden/>
          </w:rPr>
          <w:tab/>
        </w:r>
        <w:r>
          <w:rPr>
            <w:webHidden/>
          </w:rPr>
          <w:fldChar w:fldCharType="begin"/>
        </w:r>
        <w:r>
          <w:rPr>
            <w:webHidden/>
          </w:rPr>
          <w:instrText xml:space="preserve"> PAGEREF _Toc213600752 \h </w:instrText>
        </w:r>
        <w:r>
          <w:rPr>
            <w:webHidden/>
          </w:rPr>
        </w:r>
        <w:r>
          <w:rPr>
            <w:webHidden/>
          </w:rPr>
          <w:fldChar w:fldCharType="separate"/>
        </w:r>
        <w:r>
          <w:rPr>
            <w:webHidden/>
          </w:rPr>
          <w:t>59</w:t>
        </w:r>
        <w:r>
          <w:rPr>
            <w:webHidden/>
          </w:rPr>
          <w:fldChar w:fldCharType="end"/>
        </w:r>
      </w:hyperlink>
    </w:p>
    <w:p w14:paraId="0895DF0D" w14:textId="1FDC1A00" w:rsidR="00085789" w:rsidRDefault="00085789">
      <w:pPr>
        <w:pStyle w:val="TOC1"/>
        <w:spacing w:before="120" w:after="60"/>
        <w:rPr>
          <w:rFonts w:eastAsiaTheme="minorEastAsia" w:cstheme="minorBidi"/>
          <w:kern w:val="2"/>
          <w14:ligatures w14:val="standardContextual"/>
        </w:rPr>
      </w:pPr>
      <w:hyperlink w:anchor="_Toc213600753" w:history="1">
        <w:r>
          <w:rPr>
            <w:rStyle w:val="Hyperlink"/>
            <w:b w:val="0"/>
            <w:bCs w:val="0"/>
          </w:rPr>
          <w:t>Bảng 3.2. Khoảng giá trị WQI đánh giá chất lượng nước mặt</w:t>
        </w:r>
        <w:r>
          <w:rPr>
            <w:webHidden/>
          </w:rPr>
          <w:tab/>
        </w:r>
        <w:r>
          <w:rPr>
            <w:webHidden/>
          </w:rPr>
          <w:fldChar w:fldCharType="begin"/>
        </w:r>
        <w:r>
          <w:rPr>
            <w:webHidden/>
          </w:rPr>
          <w:instrText xml:space="preserve"> PAGEREF _Toc213600753 \h </w:instrText>
        </w:r>
        <w:r>
          <w:rPr>
            <w:webHidden/>
          </w:rPr>
        </w:r>
        <w:r>
          <w:rPr>
            <w:webHidden/>
          </w:rPr>
          <w:fldChar w:fldCharType="separate"/>
        </w:r>
        <w:r>
          <w:rPr>
            <w:webHidden/>
          </w:rPr>
          <w:t>61</w:t>
        </w:r>
        <w:r>
          <w:rPr>
            <w:webHidden/>
          </w:rPr>
          <w:fldChar w:fldCharType="end"/>
        </w:r>
      </w:hyperlink>
    </w:p>
    <w:p w14:paraId="789AA659" w14:textId="59DE31FD" w:rsidR="00085789" w:rsidRDefault="00085789">
      <w:pPr>
        <w:pStyle w:val="TOC1"/>
        <w:spacing w:before="120" w:after="60"/>
        <w:rPr>
          <w:rFonts w:eastAsiaTheme="minorEastAsia" w:cstheme="minorBidi"/>
          <w:kern w:val="2"/>
          <w14:ligatures w14:val="standardContextual"/>
        </w:rPr>
      </w:pPr>
      <w:hyperlink w:anchor="_Toc213600754" w:history="1">
        <w:r>
          <w:rPr>
            <w:rStyle w:val="Hyperlink"/>
            <w:b w:val="0"/>
            <w:bCs w:val="0"/>
          </w:rPr>
          <w:t>Bảng 3.3. Thông tin các nguồn nước sông, suối chịu sức ép</w:t>
        </w:r>
        <w:r>
          <w:rPr>
            <w:webHidden/>
          </w:rPr>
          <w:tab/>
        </w:r>
        <w:r>
          <w:rPr>
            <w:webHidden/>
          </w:rPr>
          <w:fldChar w:fldCharType="begin"/>
        </w:r>
        <w:r>
          <w:rPr>
            <w:webHidden/>
          </w:rPr>
          <w:instrText xml:space="preserve"> PAGEREF _Toc213600754 \h </w:instrText>
        </w:r>
        <w:r>
          <w:rPr>
            <w:webHidden/>
          </w:rPr>
        </w:r>
        <w:r>
          <w:rPr>
            <w:webHidden/>
          </w:rPr>
          <w:fldChar w:fldCharType="separate"/>
        </w:r>
        <w:r>
          <w:rPr>
            <w:webHidden/>
          </w:rPr>
          <w:t>62</w:t>
        </w:r>
        <w:r>
          <w:rPr>
            <w:webHidden/>
          </w:rPr>
          <w:fldChar w:fldCharType="end"/>
        </w:r>
      </w:hyperlink>
    </w:p>
    <w:p w14:paraId="5FECA01D" w14:textId="3C309565" w:rsidR="00085789" w:rsidRDefault="00085789">
      <w:pPr>
        <w:pStyle w:val="TOC1"/>
        <w:spacing w:before="120" w:after="60"/>
        <w:rPr>
          <w:rFonts w:eastAsiaTheme="minorEastAsia" w:cstheme="minorBidi"/>
          <w:kern w:val="2"/>
          <w14:ligatures w14:val="standardContextual"/>
        </w:rPr>
      </w:pPr>
      <w:hyperlink w:anchor="_Toc213600755" w:history="1">
        <w:r>
          <w:rPr>
            <w:rStyle w:val="Hyperlink"/>
            <w:b w:val="0"/>
            <w:bCs w:val="0"/>
          </w:rPr>
          <w:t>từ các hoạt động phát triển KT-XH</w:t>
        </w:r>
        <w:r>
          <w:rPr>
            <w:webHidden/>
          </w:rPr>
          <w:tab/>
        </w:r>
        <w:r>
          <w:rPr>
            <w:webHidden/>
          </w:rPr>
          <w:fldChar w:fldCharType="begin"/>
        </w:r>
        <w:r>
          <w:rPr>
            <w:webHidden/>
          </w:rPr>
          <w:instrText xml:space="preserve"> PAGEREF _Toc213600755 \h </w:instrText>
        </w:r>
        <w:r>
          <w:rPr>
            <w:webHidden/>
          </w:rPr>
        </w:r>
        <w:r>
          <w:rPr>
            <w:webHidden/>
          </w:rPr>
          <w:fldChar w:fldCharType="separate"/>
        </w:r>
        <w:r>
          <w:rPr>
            <w:webHidden/>
          </w:rPr>
          <w:t>62</w:t>
        </w:r>
        <w:r>
          <w:rPr>
            <w:webHidden/>
          </w:rPr>
          <w:fldChar w:fldCharType="end"/>
        </w:r>
      </w:hyperlink>
    </w:p>
    <w:p w14:paraId="13C75513" w14:textId="2EE01F68" w:rsidR="00085789" w:rsidRDefault="00085789">
      <w:pPr>
        <w:pStyle w:val="TOC1"/>
        <w:spacing w:before="120" w:after="60"/>
        <w:rPr>
          <w:rFonts w:eastAsiaTheme="minorEastAsia" w:cstheme="minorBidi"/>
          <w:kern w:val="2"/>
          <w14:ligatures w14:val="standardContextual"/>
        </w:rPr>
      </w:pPr>
      <w:hyperlink w:anchor="_Toc213600803" w:history="1">
        <w:r>
          <w:rPr>
            <w:rStyle w:val="Hyperlink"/>
            <w:b w:val="0"/>
            <w:bCs w:val="0"/>
          </w:rPr>
          <w:t>Bảng 3.4. Thông tin các nguồn nước dưới đất chịu sức ép từ hoạt động phát triển KT-XH trên địa bàn tỉnh Hà Tĩnh</w:t>
        </w:r>
        <w:r>
          <w:rPr>
            <w:webHidden/>
          </w:rPr>
          <w:tab/>
        </w:r>
        <w:r>
          <w:rPr>
            <w:webHidden/>
          </w:rPr>
          <w:fldChar w:fldCharType="begin"/>
        </w:r>
        <w:r>
          <w:rPr>
            <w:webHidden/>
          </w:rPr>
          <w:instrText xml:space="preserve"> PAGEREF _Toc213600803 \h </w:instrText>
        </w:r>
        <w:r>
          <w:rPr>
            <w:webHidden/>
          </w:rPr>
        </w:r>
        <w:r>
          <w:rPr>
            <w:webHidden/>
          </w:rPr>
          <w:fldChar w:fldCharType="separate"/>
        </w:r>
        <w:r>
          <w:rPr>
            <w:webHidden/>
          </w:rPr>
          <w:t>101</w:t>
        </w:r>
        <w:r>
          <w:rPr>
            <w:webHidden/>
          </w:rPr>
          <w:fldChar w:fldCharType="end"/>
        </w:r>
      </w:hyperlink>
    </w:p>
    <w:p w14:paraId="611779E4" w14:textId="672198D8" w:rsidR="00085789" w:rsidRDefault="00085789">
      <w:pPr>
        <w:pStyle w:val="TOC1"/>
        <w:spacing w:before="120" w:after="60"/>
        <w:jc w:val="left"/>
        <w:rPr>
          <w:rFonts w:eastAsiaTheme="minorEastAsia" w:cstheme="minorBidi"/>
          <w:kern w:val="2"/>
          <w14:ligatures w14:val="standardContextual"/>
        </w:rPr>
      </w:pPr>
      <w:hyperlink w:anchor="_Toc213600829" w:history="1">
        <w:r>
          <w:rPr>
            <w:rStyle w:val="Hyperlink"/>
            <w:b w:val="0"/>
            <w:bCs w:val="0"/>
          </w:rPr>
          <w:t>Bảng 3.5. Thông tin các nguồn nước dưới biển ven bờ chịu sức ép từ hoạt động phát triển KT-XH trên địa bàn tỉnh Hà Tĩnh</w:t>
        </w:r>
        <w:r>
          <w:rPr>
            <w:webHidden/>
          </w:rPr>
          <w:tab/>
        </w:r>
        <w:r>
          <w:rPr>
            <w:webHidden/>
          </w:rPr>
          <w:fldChar w:fldCharType="begin"/>
        </w:r>
        <w:r>
          <w:rPr>
            <w:webHidden/>
          </w:rPr>
          <w:instrText xml:space="preserve"> PAGEREF _Toc213600829 \h </w:instrText>
        </w:r>
        <w:r>
          <w:rPr>
            <w:webHidden/>
          </w:rPr>
        </w:r>
        <w:r>
          <w:rPr>
            <w:webHidden/>
          </w:rPr>
          <w:fldChar w:fldCharType="separate"/>
        </w:r>
        <w:r>
          <w:rPr>
            <w:webHidden/>
          </w:rPr>
          <w:t>128</w:t>
        </w:r>
        <w:r>
          <w:rPr>
            <w:webHidden/>
          </w:rPr>
          <w:fldChar w:fldCharType="end"/>
        </w:r>
      </w:hyperlink>
    </w:p>
    <w:p w14:paraId="5CABFE50" w14:textId="0EF17BED" w:rsidR="00085789" w:rsidRDefault="00085789">
      <w:pPr>
        <w:pStyle w:val="TOC1"/>
        <w:spacing w:before="120" w:after="60"/>
        <w:jc w:val="left"/>
        <w:rPr>
          <w:rFonts w:eastAsiaTheme="minorEastAsia" w:cstheme="minorBidi"/>
          <w:kern w:val="2"/>
          <w14:ligatures w14:val="standardContextual"/>
        </w:rPr>
      </w:pPr>
      <w:hyperlink w:anchor="_Toc213600837" w:history="1">
        <w:r>
          <w:rPr>
            <w:rStyle w:val="Hyperlink"/>
            <w:b w:val="0"/>
            <w:bCs w:val="0"/>
          </w:rPr>
          <w:t>Bảng 4.1. Thông tin các điểm quan trắc môi trường không khí khu vực chịu sức ép từ hoạt động phát triển KT-XH trên địa bàn tỉnh Hà Tĩnh</w:t>
        </w:r>
        <w:r>
          <w:rPr>
            <w:webHidden/>
          </w:rPr>
          <w:tab/>
        </w:r>
        <w:r>
          <w:rPr>
            <w:webHidden/>
          </w:rPr>
          <w:fldChar w:fldCharType="begin"/>
        </w:r>
        <w:r>
          <w:rPr>
            <w:webHidden/>
          </w:rPr>
          <w:instrText xml:space="preserve"> PAGEREF _Toc213600837 \h </w:instrText>
        </w:r>
        <w:r>
          <w:rPr>
            <w:webHidden/>
          </w:rPr>
        </w:r>
        <w:r>
          <w:rPr>
            <w:webHidden/>
          </w:rPr>
          <w:fldChar w:fldCharType="separate"/>
        </w:r>
        <w:r>
          <w:rPr>
            <w:webHidden/>
          </w:rPr>
          <w:t>137</w:t>
        </w:r>
        <w:r>
          <w:rPr>
            <w:webHidden/>
          </w:rPr>
          <w:fldChar w:fldCharType="end"/>
        </w:r>
      </w:hyperlink>
    </w:p>
    <w:p w14:paraId="4D481EC6" w14:textId="612BE453" w:rsidR="00085789" w:rsidRDefault="00085789">
      <w:pPr>
        <w:pStyle w:val="TOC1"/>
        <w:spacing w:before="120" w:after="60"/>
        <w:rPr>
          <w:rFonts w:eastAsiaTheme="minorEastAsia" w:cstheme="minorBidi"/>
          <w:kern w:val="2"/>
          <w14:ligatures w14:val="standardContextual"/>
        </w:rPr>
      </w:pPr>
      <w:hyperlink w:anchor="_Toc213600856" w:history="1">
        <w:r>
          <w:rPr>
            <w:rStyle w:val="Hyperlink"/>
            <w:b w:val="0"/>
            <w:bCs w:val="0"/>
          </w:rPr>
          <w:t>Bảng 5.1. Diễn biến sử dụng đất tỉnh Hà Tĩnh từ năm 2020 đến năm 2024</w:t>
        </w:r>
        <w:r>
          <w:rPr>
            <w:webHidden/>
          </w:rPr>
          <w:tab/>
        </w:r>
        <w:r>
          <w:rPr>
            <w:webHidden/>
          </w:rPr>
          <w:fldChar w:fldCharType="begin"/>
        </w:r>
        <w:r>
          <w:rPr>
            <w:webHidden/>
          </w:rPr>
          <w:instrText xml:space="preserve"> PAGEREF _Toc213600856 \h </w:instrText>
        </w:r>
        <w:r>
          <w:rPr>
            <w:webHidden/>
          </w:rPr>
        </w:r>
        <w:r>
          <w:rPr>
            <w:webHidden/>
          </w:rPr>
          <w:fldChar w:fldCharType="separate"/>
        </w:r>
        <w:r>
          <w:rPr>
            <w:webHidden/>
          </w:rPr>
          <w:t>155</w:t>
        </w:r>
        <w:r>
          <w:rPr>
            <w:webHidden/>
          </w:rPr>
          <w:fldChar w:fldCharType="end"/>
        </w:r>
      </w:hyperlink>
    </w:p>
    <w:p w14:paraId="62D1785B" w14:textId="6BE32AF4" w:rsidR="00085789" w:rsidRDefault="00085789">
      <w:pPr>
        <w:pStyle w:val="TOC1"/>
        <w:spacing w:before="120" w:after="60"/>
        <w:rPr>
          <w:rFonts w:eastAsiaTheme="minorEastAsia" w:cstheme="minorBidi"/>
          <w:kern w:val="2"/>
          <w14:ligatures w14:val="standardContextual"/>
        </w:rPr>
      </w:pPr>
      <w:hyperlink w:anchor="_Toc213600857" w:history="1">
        <w:r>
          <w:rPr>
            <w:rStyle w:val="Hyperlink"/>
            <w:b w:val="0"/>
            <w:bCs w:val="0"/>
          </w:rPr>
          <w:t>Bảng 5.2. Danh sách các điểm tồn lưu hóa chất bảo vệ thực vật đã được xử lý</w:t>
        </w:r>
        <w:r>
          <w:rPr>
            <w:webHidden/>
          </w:rPr>
          <w:tab/>
        </w:r>
        <w:r>
          <w:rPr>
            <w:webHidden/>
          </w:rPr>
          <w:fldChar w:fldCharType="begin"/>
        </w:r>
        <w:r>
          <w:rPr>
            <w:webHidden/>
          </w:rPr>
          <w:instrText xml:space="preserve"> PAGEREF _Toc213600857 \h </w:instrText>
        </w:r>
        <w:r>
          <w:rPr>
            <w:webHidden/>
          </w:rPr>
        </w:r>
        <w:r>
          <w:rPr>
            <w:webHidden/>
          </w:rPr>
          <w:fldChar w:fldCharType="separate"/>
        </w:r>
        <w:r>
          <w:rPr>
            <w:webHidden/>
          </w:rPr>
          <w:t>156</w:t>
        </w:r>
        <w:r>
          <w:rPr>
            <w:webHidden/>
          </w:rPr>
          <w:fldChar w:fldCharType="end"/>
        </w:r>
      </w:hyperlink>
    </w:p>
    <w:p w14:paraId="19032084" w14:textId="04F3B493" w:rsidR="00085789" w:rsidRDefault="00085789">
      <w:pPr>
        <w:pStyle w:val="TOC1"/>
        <w:spacing w:before="120" w:after="60"/>
        <w:jc w:val="left"/>
        <w:rPr>
          <w:rFonts w:eastAsiaTheme="minorEastAsia" w:cstheme="minorBidi"/>
          <w:kern w:val="2"/>
          <w14:ligatures w14:val="standardContextual"/>
        </w:rPr>
      </w:pPr>
      <w:hyperlink w:anchor="_Toc213600858" w:history="1">
        <w:r>
          <w:rPr>
            <w:rStyle w:val="Hyperlink"/>
            <w:b w:val="0"/>
            <w:bCs w:val="0"/>
          </w:rPr>
          <w:t>Bảng 5.3. Thông tin các điểm quan trắc môi trường đất khu vực chịu sức ép từ hoạt động phát triển KT-XH trên địa bàn tỉnh Hà Tĩnh</w:t>
        </w:r>
        <w:r>
          <w:rPr>
            <w:webHidden/>
          </w:rPr>
          <w:tab/>
        </w:r>
        <w:r>
          <w:rPr>
            <w:webHidden/>
          </w:rPr>
          <w:fldChar w:fldCharType="begin"/>
        </w:r>
        <w:r>
          <w:rPr>
            <w:webHidden/>
          </w:rPr>
          <w:instrText xml:space="preserve"> PAGEREF _Toc213600858 \h </w:instrText>
        </w:r>
        <w:r>
          <w:rPr>
            <w:webHidden/>
          </w:rPr>
        </w:r>
        <w:r>
          <w:rPr>
            <w:webHidden/>
          </w:rPr>
          <w:fldChar w:fldCharType="separate"/>
        </w:r>
        <w:r>
          <w:rPr>
            <w:webHidden/>
          </w:rPr>
          <w:t>157</w:t>
        </w:r>
        <w:r>
          <w:rPr>
            <w:webHidden/>
          </w:rPr>
          <w:fldChar w:fldCharType="end"/>
        </w:r>
      </w:hyperlink>
    </w:p>
    <w:p w14:paraId="2803192F" w14:textId="14632E77" w:rsidR="00085789" w:rsidRDefault="00085789">
      <w:pPr>
        <w:pStyle w:val="TOC1"/>
        <w:spacing w:before="120" w:after="60"/>
        <w:rPr>
          <w:rFonts w:eastAsiaTheme="minorEastAsia" w:cstheme="minorBidi"/>
          <w:kern w:val="2"/>
          <w14:ligatures w14:val="standardContextual"/>
        </w:rPr>
      </w:pPr>
      <w:hyperlink w:anchor="_Toc213600872" w:history="1">
        <w:r>
          <w:rPr>
            <w:rStyle w:val="Hyperlink"/>
            <w:b w:val="0"/>
            <w:bCs w:val="0"/>
          </w:rPr>
          <w:t>Bảng 7.1. Hiện trạng cơ sở xử lý CTR sinh hoạt trên địa bàn tỉnh</w:t>
        </w:r>
        <w:r>
          <w:rPr>
            <w:webHidden/>
          </w:rPr>
          <w:tab/>
        </w:r>
        <w:r>
          <w:rPr>
            <w:webHidden/>
          </w:rPr>
          <w:fldChar w:fldCharType="begin"/>
        </w:r>
        <w:r>
          <w:rPr>
            <w:webHidden/>
          </w:rPr>
          <w:instrText xml:space="preserve"> PAGEREF _Toc213600872 \h </w:instrText>
        </w:r>
        <w:r>
          <w:rPr>
            <w:webHidden/>
          </w:rPr>
        </w:r>
        <w:r>
          <w:rPr>
            <w:webHidden/>
          </w:rPr>
          <w:fldChar w:fldCharType="separate"/>
        </w:r>
        <w:r>
          <w:rPr>
            <w:webHidden/>
          </w:rPr>
          <w:t>175</w:t>
        </w:r>
        <w:r>
          <w:rPr>
            <w:webHidden/>
          </w:rPr>
          <w:fldChar w:fldCharType="end"/>
        </w:r>
      </w:hyperlink>
    </w:p>
    <w:p w14:paraId="19E9E084" w14:textId="3BFA5483" w:rsidR="00085789" w:rsidRDefault="00085789">
      <w:pPr>
        <w:pStyle w:val="TOC1"/>
        <w:spacing w:before="120" w:after="60"/>
        <w:rPr>
          <w:rFonts w:eastAsiaTheme="minorEastAsia" w:cstheme="minorBidi"/>
          <w:kern w:val="2"/>
          <w14:ligatures w14:val="standardContextual"/>
        </w:rPr>
      </w:pPr>
      <w:hyperlink w:anchor="_Toc213600879" w:history="1">
        <w:r>
          <w:rPr>
            <w:rStyle w:val="Hyperlink"/>
            <w:b w:val="0"/>
            <w:bCs w:val="0"/>
            <w:lang w:val="de-DE"/>
          </w:rPr>
          <w:t>Bảng 7.2. Thành phần chính trong CTRCN của một số ngành CN ở Hà Tĩnh</w:t>
        </w:r>
        <w:r>
          <w:rPr>
            <w:webHidden/>
          </w:rPr>
          <w:tab/>
        </w:r>
        <w:r>
          <w:rPr>
            <w:webHidden/>
          </w:rPr>
          <w:fldChar w:fldCharType="begin"/>
        </w:r>
        <w:r>
          <w:rPr>
            <w:webHidden/>
          </w:rPr>
          <w:instrText xml:space="preserve"> PAGEREF _Toc213600879 \h </w:instrText>
        </w:r>
        <w:r>
          <w:rPr>
            <w:webHidden/>
          </w:rPr>
        </w:r>
        <w:r>
          <w:rPr>
            <w:webHidden/>
          </w:rPr>
          <w:fldChar w:fldCharType="separate"/>
        </w:r>
        <w:r>
          <w:rPr>
            <w:webHidden/>
          </w:rPr>
          <w:t>179</w:t>
        </w:r>
        <w:r>
          <w:rPr>
            <w:webHidden/>
          </w:rPr>
          <w:fldChar w:fldCharType="end"/>
        </w:r>
      </w:hyperlink>
    </w:p>
    <w:p w14:paraId="3C56E386" w14:textId="0D88F1CC" w:rsidR="00085789" w:rsidRDefault="00085789">
      <w:pPr>
        <w:pStyle w:val="TOC1"/>
        <w:spacing w:before="120" w:after="60"/>
        <w:rPr>
          <w:rFonts w:eastAsiaTheme="minorEastAsia" w:cstheme="minorBidi"/>
          <w:kern w:val="2"/>
          <w14:ligatures w14:val="standardContextual"/>
        </w:rPr>
      </w:pPr>
      <w:hyperlink w:anchor="_Toc213600880" w:history="1">
        <w:r>
          <w:rPr>
            <w:rStyle w:val="Hyperlink"/>
            <w:b w:val="0"/>
            <w:bCs w:val="0"/>
            <w:lang w:val="de-DE"/>
          </w:rPr>
          <w:t>Bảng 7.3. Khối lượng CTR y tế phát sinh tại các bệnh viện</w:t>
        </w:r>
        <w:r>
          <w:rPr>
            <w:webHidden/>
          </w:rPr>
          <w:tab/>
        </w:r>
        <w:r>
          <w:rPr>
            <w:webHidden/>
          </w:rPr>
          <w:fldChar w:fldCharType="begin"/>
        </w:r>
        <w:r>
          <w:rPr>
            <w:webHidden/>
          </w:rPr>
          <w:instrText xml:space="preserve"> PAGEREF _Toc213600880 \h </w:instrText>
        </w:r>
        <w:r>
          <w:rPr>
            <w:webHidden/>
          </w:rPr>
        </w:r>
        <w:r>
          <w:rPr>
            <w:webHidden/>
          </w:rPr>
          <w:fldChar w:fldCharType="separate"/>
        </w:r>
        <w:r>
          <w:rPr>
            <w:webHidden/>
          </w:rPr>
          <w:t>181</w:t>
        </w:r>
        <w:r>
          <w:rPr>
            <w:webHidden/>
          </w:rPr>
          <w:fldChar w:fldCharType="end"/>
        </w:r>
      </w:hyperlink>
    </w:p>
    <w:p w14:paraId="6C634EAA" w14:textId="59B0C82B" w:rsidR="00085789" w:rsidRDefault="00085789">
      <w:pPr>
        <w:pStyle w:val="TOC1"/>
        <w:spacing w:before="120" w:after="60"/>
        <w:jc w:val="left"/>
        <w:rPr>
          <w:rFonts w:eastAsiaTheme="minorEastAsia" w:cstheme="minorBidi"/>
          <w:kern w:val="2"/>
          <w14:ligatures w14:val="standardContextual"/>
        </w:rPr>
      </w:pPr>
      <w:hyperlink w:anchor="_Toc213600882" w:history="1">
        <w:r>
          <w:rPr>
            <w:rStyle w:val="Hyperlink"/>
            <w:b w:val="0"/>
            <w:bCs w:val="0"/>
            <w:lang w:val="de-DE"/>
          </w:rPr>
          <w:t>Bảng 7.4. Khối lượng phế liệu nhập khẩu của Công ty TNHH Gang thép Hưng Nghiệp Formosa Hà Tĩnh giai đoạn 2021 - 9/2025</w:t>
        </w:r>
        <w:r>
          <w:rPr>
            <w:webHidden/>
          </w:rPr>
          <w:tab/>
        </w:r>
        <w:r>
          <w:rPr>
            <w:webHidden/>
          </w:rPr>
          <w:fldChar w:fldCharType="begin"/>
        </w:r>
        <w:r>
          <w:rPr>
            <w:webHidden/>
          </w:rPr>
          <w:instrText xml:space="preserve"> PAGEREF _Toc213600882 \h </w:instrText>
        </w:r>
        <w:r>
          <w:rPr>
            <w:webHidden/>
          </w:rPr>
        </w:r>
        <w:r>
          <w:rPr>
            <w:webHidden/>
          </w:rPr>
          <w:fldChar w:fldCharType="separate"/>
        </w:r>
        <w:r>
          <w:rPr>
            <w:webHidden/>
          </w:rPr>
          <w:t>185</w:t>
        </w:r>
        <w:r>
          <w:rPr>
            <w:webHidden/>
          </w:rPr>
          <w:fldChar w:fldCharType="end"/>
        </w:r>
      </w:hyperlink>
    </w:p>
    <w:p w14:paraId="38CDB86F" w14:textId="6DFC0823" w:rsidR="00085789" w:rsidRDefault="00085789">
      <w:pPr>
        <w:pStyle w:val="TOC1"/>
        <w:spacing w:before="120" w:after="60"/>
        <w:rPr>
          <w:rFonts w:eastAsiaTheme="minorEastAsia" w:cstheme="minorBidi"/>
          <w:kern w:val="2"/>
          <w14:ligatures w14:val="standardContextual"/>
        </w:rPr>
      </w:pPr>
      <w:hyperlink w:anchor="_Toc213600883" w:history="1">
        <w:r>
          <w:rPr>
            <w:rStyle w:val="Hyperlink"/>
            <w:b w:val="0"/>
            <w:bCs w:val="0"/>
            <w:lang w:val="it-IT"/>
          </w:rPr>
          <w:t>Bảng 8.1. Tổng quan các đợt lũ tại Hà Tĩnh giai đoạn 2021 - 2025</w:t>
        </w:r>
        <w:r>
          <w:rPr>
            <w:webHidden/>
          </w:rPr>
          <w:tab/>
        </w:r>
        <w:r>
          <w:rPr>
            <w:webHidden/>
          </w:rPr>
          <w:fldChar w:fldCharType="begin"/>
        </w:r>
        <w:r>
          <w:rPr>
            <w:webHidden/>
          </w:rPr>
          <w:instrText xml:space="preserve"> PAGEREF _Toc213600883 \h </w:instrText>
        </w:r>
        <w:r>
          <w:rPr>
            <w:webHidden/>
          </w:rPr>
        </w:r>
        <w:r>
          <w:rPr>
            <w:webHidden/>
          </w:rPr>
          <w:fldChar w:fldCharType="separate"/>
        </w:r>
        <w:r>
          <w:rPr>
            <w:webHidden/>
          </w:rPr>
          <w:t>187</w:t>
        </w:r>
        <w:r>
          <w:rPr>
            <w:webHidden/>
          </w:rPr>
          <w:fldChar w:fldCharType="end"/>
        </w:r>
      </w:hyperlink>
    </w:p>
    <w:p w14:paraId="47294AB9" w14:textId="78D123D8" w:rsidR="00085789" w:rsidRDefault="00085789">
      <w:pPr>
        <w:pStyle w:val="TOC1"/>
        <w:spacing w:before="120" w:after="60"/>
        <w:rPr>
          <w:rFonts w:eastAsiaTheme="minorEastAsia" w:cstheme="minorBidi"/>
          <w:kern w:val="2"/>
          <w14:ligatures w14:val="standardContextual"/>
        </w:rPr>
      </w:pPr>
      <w:hyperlink w:anchor="_Toc213600884" w:history="1">
        <w:r>
          <w:rPr>
            <w:rStyle w:val="Hyperlink"/>
            <w:b w:val="0"/>
            <w:bCs w:val="0"/>
          </w:rPr>
          <w:t>Bảng 8.2. Tổng quan các đợt nắng nóng tại Hà Tĩnh giai đoạn 2021 - 2025</w:t>
        </w:r>
        <w:r>
          <w:rPr>
            <w:webHidden/>
          </w:rPr>
          <w:tab/>
        </w:r>
        <w:r>
          <w:rPr>
            <w:webHidden/>
          </w:rPr>
          <w:fldChar w:fldCharType="begin"/>
        </w:r>
        <w:r>
          <w:rPr>
            <w:webHidden/>
          </w:rPr>
          <w:instrText xml:space="preserve"> PAGEREF _Toc213600884 \h </w:instrText>
        </w:r>
        <w:r>
          <w:rPr>
            <w:webHidden/>
          </w:rPr>
        </w:r>
        <w:r>
          <w:rPr>
            <w:webHidden/>
          </w:rPr>
          <w:fldChar w:fldCharType="separate"/>
        </w:r>
        <w:r>
          <w:rPr>
            <w:webHidden/>
          </w:rPr>
          <w:t>188</w:t>
        </w:r>
        <w:r>
          <w:rPr>
            <w:webHidden/>
          </w:rPr>
          <w:fldChar w:fldCharType="end"/>
        </w:r>
      </w:hyperlink>
    </w:p>
    <w:p w14:paraId="1624713A" w14:textId="0A58FC80" w:rsidR="00085789" w:rsidRDefault="00085789">
      <w:pPr>
        <w:pStyle w:val="TOC1"/>
        <w:spacing w:before="120" w:after="60"/>
        <w:rPr>
          <w:rFonts w:eastAsiaTheme="minorEastAsia" w:cstheme="minorBidi"/>
          <w:kern w:val="2"/>
          <w14:ligatures w14:val="standardContextual"/>
        </w:rPr>
      </w:pPr>
      <w:hyperlink w:anchor="_Toc213600885" w:history="1">
        <w:r>
          <w:rPr>
            <w:rStyle w:val="Hyperlink"/>
            <w:b w:val="0"/>
            <w:bCs w:val="0"/>
          </w:rPr>
          <w:t>Bảng 8.3. Thống kê các loại do thiên tai gây ra từ năm 2021 - 2025</w:t>
        </w:r>
        <w:r>
          <w:rPr>
            <w:webHidden/>
          </w:rPr>
          <w:tab/>
        </w:r>
        <w:r>
          <w:rPr>
            <w:webHidden/>
          </w:rPr>
          <w:fldChar w:fldCharType="begin"/>
        </w:r>
        <w:r>
          <w:rPr>
            <w:webHidden/>
          </w:rPr>
          <w:instrText xml:space="preserve"> PAGEREF _Toc213600885 \h </w:instrText>
        </w:r>
        <w:r>
          <w:rPr>
            <w:webHidden/>
          </w:rPr>
        </w:r>
        <w:r>
          <w:rPr>
            <w:webHidden/>
          </w:rPr>
          <w:fldChar w:fldCharType="separate"/>
        </w:r>
        <w:r>
          <w:rPr>
            <w:webHidden/>
          </w:rPr>
          <w:t>191</w:t>
        </w:r>
        <w:r>
          <w:rPr>
            <w:webHidden/>
          </w:rPr>
          <w:fldChar w:fldCharType="end"/>
        </w:r>
      </w:hyperlink>
    </w:p>
    <w:p w14:paraId="0F1885A1" w14:textId="12DB64B0" w:rsidR="00085789" w:rsidRDefault="00085789">
      <w:pPr>
        <w:pStyle w:val="TOC1"/>
        <w:spacing w:before="120" w:after="60"/>
        <w:jc w:val="left"/>
        <w:rPr>
          <w:rFonts w:eastAsiaTheme="minorEastAsia" w:cstheme="minorBidi"/>
          <w:kern w:val="2"/>
          <w14:ligatures w14:val="standardContextual"/>
        </w:rPr>
      </w:pPr>
      <w:hyperlink w:anchor="_Toc213600892" w:history="1">
        <w:r>
          <w:rPr>
            <w:rStyle w:val="Hyperlink"/>
            <w:b w:val="0"/>
            <w:bCs w:val="0"/>
            <w:lang w:val="da-DK"/>
          </w:rPr>
          <w:t>Bảng 10.1. Tổng hợp kết quả thẩm định các hồ sơ thuộc lĩnh vực bảo vệ môi trường giai đoạn 2021 - 2025</w:t>
        </w:r>
        <w:r>
          <w:rPr>
            <w:webHidden/>
          </w:rPr>
          <w:tab/>
        </w:r>
        <w:r>
          <w:rPr>
            <w:webHidden/>
          </w:rPr>
          <w:fldChar w:fldCharType="begin"/>
        </w:r>
        <w:r>
          <w:rPr>
            <w:webHidden/>
          </w:rPr>
          <w:instrText xml:space="preserve"> PAGEREF _Toc213600892 \h </w:instrText>
        </w:r>
        <w:r>
          <w:rPr>
            <w:webHidden/>
          </w:rPr>
        </w:r>
        <w:r>
          <w:rPr>
            <w:webHidden/>
          </w:rPr>
          <w:fldChar w:fldCharType="separate"/>
        </w:r>
        <w:r>
          <w:rPr>
            <w:webHidden/>
          </w:rPr>
          <w:t>203</w:t>
        </w:r>
        <w:r>
          <w:rPr>
            <w:webHidden/>
          </w:rPr>
          <w:fldChar w:fldCharType="end"/>
        </w:r>
      </w:hyperlink>
    </w:p>
    <w:p w14:paraId="3ACB36DF" w14:textId="77777777" w:rsidR="00085789" w:rsidRDefault="00000000">
      <w:pPr>
        <w:pStyle w:val="TOC1"/>
        <w:spacing w:before="120" w:after="60"/>
      </w:pPr>
      <w:r>
        <w:rPr>
          <w:rFonts w:eastAsia="MS Gothic"/>
        </w:rPr>
        <w:fldChar w:fldCharType="end"/>
      </w:r>
    </w:p>
    <w:p w14:paraId="2104EA7F" w14:textId="77777777" w:rsidR="00085789" w:rsidRDefault="00085789">
      <w:pPr>
        <w:pStyle w:val="TOC1"/>
      </w:pPr>
    </w:p>
    <w:p w14:paraId="54A4C9AD" w14:textId="77777777" w:rsidR="00085789" w:rsidRDefault="00000000">
      <w:pPr>
        <w:pStyle w:val="s1"/>
        <w:spacing w:before="40" w:after="40" w:line="240" w:lineRule="auto"/>
        <w:ind w:firstLine="567"/>
        <w:rPr>
          <w:bCs w:val="0"/>
          <w:sz w:val="24"/>
          <w:szCs w:val="26"/>
        </w:rPr>
      </w:pPr>
      <w:r>
        <w:rPr>
          <w:bCs w:val="0"/>
          <w:sz w:val="24"/>
          <w:szCs w:val="26"/>
        </w:rPr>
        <w:br w:type="column"/>
      </w:r>
      <w:r>
        <w:rPr>
          <w:bCs w:val="0"/>
          <w:sz w:val="24"/>
          <w:szCs w:val="26"/>
        </w:rPr>
        <w:lastRenderedPageBreak/>
        <w:t>DANH MỤC HÌNH ẢNH</w:t>
      </w:r>
    </w:p>
    <w:p w14:paraId="50D9CCE3" w14:textId="2D566CCC" w:rsidR="00085789" w:rsidRDefault="00085789">
      <w:pPr>
        <w:pStyle w:val="TOC1"/>
        <w:rPr>
          <w:rFonts w:eastAsiaTheme="minorEastAsia" w:cstheme="minorBidi"/>
          <w:kern w:val="2"/>
          <w14:ligatures w14:val="standardContextual"/>
        </w:rPr>
      </w:pPr>
      <w:hyperlink w:anchor="_Toc213600722" w:history="1">
        <w:r>
          <w:rPr>
            <w:rStyle w:val="Hyperlink"/>
            <w:b w:val="0"/>
            <w:bCs w:val="0"/>
            <w:color w:val="auto"/>
            <w:u w:val="none"/>
          </w:rPr>
          <w:t xml:space="preserve">Hình 1.1. Biến động lượng mưa giữa các tháng tại các trạm </w:t>
        </w:r>
        <w:r>
          <w:rPr>
            <w:rStyle w:val="Hyperlink"/>
            <w:rFonts w:cstheme="majorHAnsi"/>
            <w:b w:val="0"/>
            <w:bCs w:val="0"/>
            <w:color w:val="auto"/>
            <w:u w:val="none"/>
          </w:rPr>
          <w:t>trong năm 2024</w:t>
        </w:r>
        <w:r>
          <w:rPr>
            <w:webHidden/>
          </w:rPr>
          <w:tab/>
        </w:r>
        <w:r>
          <w:rPr>
            <w:webHidden/>
          </w:rPr>
          <w:fldChar w:fldCharType="begin"/>
        </w:r>
        <w:r>
          <w:rPr>
            <w:webHidden/>
          </w:rPr>
          <w:instrText xml:space="preserve"> PAGEREF _Toc213600722 \h </w:instrText>
        </w:r>
        <w:r>
          <w:rPr>
            <w:webHidden/>
          </w:rPr>
        </w:r>
        <w:r>
          <w:rPr>
            <w:webHidden/>
          </w:rPr>
          <w:fldChar w:fldCharType="separate"/>
        </w:r>
        <w:r>
          <w:rPr>
            <w:webHidden/>
          </w:rPr>
          <w:t>15</w:t>
        </w:r>
        <w:r>
          <w:rPr>
            <w:webHidden/>
          </w:rPr>
          <w:fldChar w:fldCharType="end"/>
        </w:r>
      </w:hyperlink>
    </w:p>
    <w:p w14:paraId="4E95EE8A" w14:textId="6798979D" w:rsidR="00085789" w:rsidRDefault="00085789">
      <w:pPr>
        <w:pStyle w:val="TOC1"/>
        <w:jc w:val="left"/>
        <w:rPr>
          <w:rFonts w:eastAsiaTheme="minorEastAsia" w:cstheme="minorBidi"/>
          <w:kern w:val="2"/>
          <w14:ligatures w14:val="standardContextual"/>
        </w:rPr>
      </w:pPr>
      <w:hyperlink w:anchor="_Toc213600727" w:history="1">
        <w:r>
          <w:rPr>
            <w:rStyle w:val="Hyperlink"/>
            <w:b w:val="0"/>
            <w:bCs w:val="0"/>
            <w:color w:val="auto"/>
            <w:u w:val="none"/>
          </w:rPr>
          <w:t>Hình 1.2. Biến động lưu lượng dòng chảy trung bình của trạm Hòa Duyệt và trạm Sơn Diệm từ năm 2020-2024</w:t>
        </w:r>
        <w:r>
          <w:rPr>
            <w:webHidden/>
          </w:rPr>
          <w:tab/>
        </w:r>
        <w:r>
          <w:rPr>
            <w:webHidden/>
          </w:rPr>
          <w:fldChar w:fldCharType="begin"/>
        </w:r>
        <w:r>
          <w:rPr>
            <w:webHidden/>
          </w:rPr>
          <w:instrText xml:space="preserve"> PAGEREF _Toc213600727 \h </w:instrText>
        </w:r>
        <w:r>
          <w:rPr>
            <w:webHidden/>
          </w:rPr>
        </w:r>
        <w:r>
          <w:rPr>
            <w:webHidden/>
          </w:rPr>
          <w:fldChar w:fldCharType="separate"/>
        </w:r>
        <w:r>
          <w:rPr>
            <w:webHidden/>
          </w:rPr>
          <w:t>18</w:t>
        </w:r>
        <w:r>
          <w:rPr>
            <w:webHidden/>
          </w:rPr>
          <w:fldChar w:fldCharType="end"/>
        </w:r>
      </w:hyperlink>
    </w:p>
    <w:p w14:paraId="68ED084F" w14:textId="63FD4324" w:rsidR="00085789" w:rsidRDefault="00085789">
      <w:pPr>
        <w:pStyle w:val="TOC1"/>
        <w:rPr>
          <w:rFonts w:eastAsiaTheme="minorEastAsia" w:cstheme="minorBidi"/>
          <w:kern w:val="2"/>
          <w14:ligatures w14:val="standardContextual"/>
        </w:rPr>
      </w:pPr>
      <w:hyperlink w:anchor="_Toc213600728" w:history="1">
        <w:r>
          <w:rPr>
            <w:rStyle w:val="Hyperlink"/>
            <w:b w:val="0"/>
            <w:bCs w:val="0"/>
            <w:color w:val="auto"/>
            <w:u w:val="none"/>
          </w:rPr>
          <w:t>Hình 1.3. Cơ cấu kinh tế tỉnh Hà Tĩnh từ năm 2020-2024</w:t>
        </w:r>
        <w:r>
          <w:rPr>
            <w:webHidden/>
          </w:rPr>
          <w:tab/>
        </w:r>
        <w:r>
          <w:rPr>
            <w:webHidden/>
          </w:rPr>
          <w:fldChar w:fldCharType="begin"/>
        </w:r>
        <w:r>
          <w:rPr>
            <w:webHidden/>
          </w:rPr>
          <w:instrText xml:space="preserve"> PAGEREF _Toc213600728 \h </w:instrText>
        </w:r>
        <w:r>
          <w:rPr>
            <w:webHidden/>
          </w:rPr>
        </w:r>
        <w:r>
          <w:rPr>
            <w:webHidden/>
          </w:rPr>
          <w:fldChar w:fldCharType="separate"/>
        </w:r>
        <w:r>
          <w:rPr>
            <w:webHidden/>
          </w:rPr>
          <w:t>20</w:t>
        </w:r>
        <w:r>
          <w:rPr>
            <w:webHidden/>
          </w:rPr>
          <w:fldChar w:fldCharType="end"/>
        </w:r>
      </w:hyperlink>
    </w:p>
    <w:p w14:paraId="7B24DF49" w14:textId="67C43D4D" w:rsidR="00085789" w:rsidRPr="00F06A78" w:rsidRDefault="00085789">
      <w:pPr>
        <w:pStyle w:val="TOC1"/>
        <w:jc w:val="left"/>
        <w:rPr>
          <w:rStyle w:val="Hyperlink"/>
          <w:b w:val="0"/>
          <w:bCs w:val="0"/>
          <w:color w:val="auto"/>
          <w:u w:val="none"/>
        </w:rPr>
      </w:pPr>
      <w:hyperlink w:anchor="_Toc213600730" w:history="1">
        <w:r w:rsidRPr="00F06A78">
          <w:rPr>
            <w:rStyle w:val="Hyperlink"/>
            <w:b w:val="0"/>
            <w:bCs w:val="0"/>
            <w:color w:val="auto"/>
            <w:u w:val="none"/>
          </w:rPr>
          <w:t>Hình 1.</w:t>
        </w:r>
        <w:r w:rsidRPr="00F06A78">
          <w:rPr>
            <w:rStyle w:val="Hyperlink"/>
            <w:b w:val="0"/>
            <w:bCs w:val="0"/>
            <w:color w:val="auto"/>
            <w:u w:val="none"/>
            <w:lang w:val="en-US"/>
          </w:rPr>
          <w:t>4</w:t>
        </w:r>
        <w:r w:rsidRPr="00F06A78">
          <w:rPr>
            <w:rStyle w:val="Hyperlink"/>
            <w:b w:val="0"/>
            <w:bCs w:val="0"/>
            <w:color w:val="auto"/>
            <w:u w:val="none"/>
          </w:rPr>
          <w:t>. Tổng sản phẩm trên địa bàn theo giá hiện hành theo ngành nông, lâm nghiệp và thủy sản từ năm 2020-2024</w:t>
        </w:r>
        <w:r w:rsidRPr="00F06A78">
          <w:rPr>
            <w:webHidden/>
          </w:rPr>
          <w:tab/>
        </w:r>
        <w:r w:rsidRPr="00F06A78">
          <w:rPr>
            <w:webHidden/>
          </w:rPr>
          <w:fldChar w:fldCharType="begin"/>
        </w:r>
        <w:r w:rsidRPr="00F06A78">
          <w:rPr>
            <w:webHidden/>
          </w:rPr>
          <w:instrText xml:space="preserve"> PAGEREF _Toc213600730 \h </w:instrText>
        </w:r>
        <w:r w:rsidRPr="00F06A78">
          <w:rPr>
            <w:webHidden/>
          </w:rPr>
        </w:r>
        <w:r w:rsidRPr="00F06A78">
          <w:rPr>
            <w:webHidden/>
          </w:rPr>
          <w:fldChar w:fldCharType="separate"/>
        </w:r>
        <w:r w:rsidRPr="00F06A78">
          <w:rPr>
            <w:webHidden/>
          </w:rPr>
          <w:t>25</w:t>
        </w:r>
        <w:r w:rsidRPr="00F06A78">
          <w:rPr>
            <w:webHidden/>
          </w:rPr>
          <w:fldChar w:fldCharType="end"/>
        </w:r>
      </w:hyperlink>
    </w:p>
    <w:p w14:paraId="5096F572" w14:textId="7420BC52" w:rsidR="00085789" w:rsidRPr="00F06A78" w:rsidRDefault="00085789">
      <w:pPr>
        <w:pStyle w:val="TOC1"/>
        <w:rPr>
          <w:rStyle w:val="Hyperlink"/>
          <w:b w:val="0"/>
          <w:bCs w:val="0"/>
          <w:color w:val="000000" w:themeColor="text1"/>
          <w:u w:val="none"/>
        </w:rPr>
      </w:pPr>
      <w:hyperlink w:anchor="_Toc213600736" w:history="1">
        <w:r w:rsidRPr="00F06A78">
          <w:rPr>
            <w:rStyle w:val="Hyperlink"/>
            <w:b w:val="0"/>
            <w:bCs w:val="0"/>
            <w:color w:val="000000" w:themeColor="text1"/>
            <w:u w:val="none"/>
          </w:rPr>
          <w:t>Hình 1.</w:t>
        </w:r>
        <w:r w:rsidRPr="00F06A78">
          <w:rPr>
            <w:rStyle w:val="Hyperlink"/>
            <w:b w:val="0"/>
            <w:bCs w:val="0"/>
            <w:color w:val="000000" w:themeColor="text1"/>
            <w:u w:val="none"/>
            <w:lang w:val="en-US"/>
          </w:rPr>
          <w:t>5</w:t>
        </w:r>
        <w:r w:rsidRPr="00F06A78">
          <w:rPr>
            <w:rStyle w:val="Hyperlink"/>
            <w:b w:val="0"/>
            <w:bCs w:val="0"/>
            <w:color w:val="000000" w:themeColor="text1"/>
            <w:u w:val="none"/>
          </w:rPr>
          <w:t>. Giá trị kim ngạch xuất, nhập khẩu từ năm 2020-2024</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_Toc213600736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30</w:t>
        </w:r>
        <w:r w:rsidRPr="00F06A78">
          <w:rPr>
            <w:webHidden/>
            <w:color w:val="000000" w:themeColor="text1"/>
          </w:rPr>
          <w:fldChar w:fldCharType="end"/>
        </w:r>
      </w:hyperlink>
    </w:p>
    <w:p w14:paraId="4A52EF0E" w14:textId="6185FEF4" w:rsidR="00085789" w:rsidRPr="00F06A78" w:rsidRDefault="00085789">
      <w:pPr>
        <w:pStyle w:val="TOC1"/>
        <w:rPr>
          <w:rFonts w:eastAsiaTheme="minorEastAsia" w:cstheme="minorBidi"/>
          <w:color w:val="000000" w:themeColor="text1"/>
          <w:kern w:val="2"/>
          <w14:ligatures w14:val="standardContextual"/>
        </w:rPr>
      </w:pPr>
      <w:hyperlink w:anchor="_Toc213600745" w:history="1">
        <w:r w:rsidRPr="00F06A78">
          <w:rPr>
            <w:rStyle w:val="Hyperlink"/>
            <w:b w:val="0"/>
            <w:bCs w:val="0"/>
            <w:color w:val="000000" w:themeColor="text1"/>
            <w:u w:val="none"/>
          </w:rPr>
          <w:t>Hình 2.1. Diễn biến nước thải chăn nuôi phát sinh từ năm 2020-2025</w:t>
        </w:r>
        <w:r w:rsidRPr="00F06A78">
          <w:rPr>
            <w:webHidden/>
            <w:color w:val="000000" w:themeColor="text1"/>
          </w:rPr>
          <w:tab/>
        </w:r>
        <w:r w:rsidRPr="00F06A78">
          <w:rPr>
            <w:webHidden/>
            <w:color w:val="000000" w:themeColor="text1"/>
            <w:lang w:val="en-US"/>
          </w:rPr>
          <w:t>49</w:t>
        </w:r>
      </w:hyperlink>
    </w:p>
    <w:p w14:paraId="6AA9C15A" w14:textId="26E57EC4" w:rsidR="00085789" w:rsidRPr="00F06A78" w:rsidRDefault="00085789">
      <w:pPr>
        <w:pStyle w:val="TOC1"/>
        <w:rPr>
          <w:rFonts w:eastAsiaTheme="minorEastAsia" w:cstheme="minorBidi"/>
          <w:color w:val="000000" w:themeColor="text1"/>
          <w:kern w:val="2"/>
          <w14:ligatures w14:val="standardContextual"/>
        </w:rPr>
      </w:pPr>
      <w:hyperlink w:anchor="_Toc213600745" w:history="1">
        <w:r w:rsidRPr="00F06A78">
          <w:rPr>
            <w:rStyle w:val="Hyperlink"/>
            <w:b w:val="0"/>
            <w:bCs w:val="0"/>
            <w:color w:val="000000" w:themeColor="text1"/>
            <w:u w:val="none"/>
          </w:rPr>
          <w:t>Hình 2.2. Tỷ lệ phát sinh CTR chăn nuôi trung bình từ năm 2021-2025</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_Toc213600745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49</w:t>
        </w:r>
        <w:r w:rsidRPr="00F06A78">
          <w:rPr>
            <w:webHidden/>
            <w:color w:val="000000" w:themeColor="text1"/>
          </w:rPr>
          <w:fldChar w:fldCharType="end"/>
        </w:r>
      </w:hyperlink>
    </w:p>
    <w:p w14:paraId="0D6B8EA9" w14:textId="4D3CEB1C" w:rsidR="00085789" w:rsidRPr="00F06A78" w:rsidRDefault="00085789">
      <w:pPr>
        <w:pStyle w:val="TOC1"/>
        <w:rPr>
          <w:rStyle w:val="Hyperlink"/>
          <w:b w:val="0"/>
          <w:bCs w:val="0"/>
          <w:color w:val="000000" w:themeColor="text1"/>
          <w:u w:val="none"/>
        </w:rPr>
      </w:pPr>
      <w:hyperlink w:anchor="_Toc213600748" w:history="1">
        <w:r w:rsidRPr="00F06A78">
          <w:rPr>
            <w:rStyle w:val="Hyperlink"/>
            <w:b w:val="0"/>
            <w:bCs w:val="0"/>
            <w:color w:val="000000" w:themeColor="text1"/>
            <w:u w:val="none"/>
            <w:lang w:val="de-DE"/>
          </w:rPr>
          <w:t>Hình 2.3. Diễn biến lượng phát sinh nước thải NTTS từ năm 2020-2025</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_Toc213600748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50</w:t>
        </w:r>
        <w:r w:rsidRPr="00F06A78">
          <w:rPr>
            <w:webHidden/>
            <w:color w:val="000000" w:themeColor="text1"/>
          </w:rPr>
          <w:fldChar w:fldCharType="end"/>
        </w:r>
      </w:hyperlink>
    </w:p>
    <w:p w14:paraId="724CB19F" w14:textId="35147D12" w:rsidR="00085789" w:rsidRPr="00F06A78" w:rsidRDefault="00085789">
      <w:pPr>
        <w:pStyle w:val="TOC1"/>
        <w:rPr>
          <w:rFonts w:eastAsiaTheme="minorEastAsia" w:cstheme="minorBidi"/>
          <w:color w:val="000000" w:themeColor="text1"/>
          <w:kern w:val="2"/>
          <w14:ligatures w14:val="standardContextual"/>
        </w:rPr>
      </w:pPr>
      <w:hyperlink w:anchor="_Toc213600750" w:history="1">
        <w:r w:rsidRPr="00F06A78">
          <w:rPr>
            <w:rStyle w:val="Hyperlink"/>
            <w:b w:val="0"/>
            <w:bCs w:val="0"/>
            <w:color w:val="000000" w:themeColor="text1"/>
            <w:u w:val="none"/>
          </w:rPr>
          <w:t>Hình 2.4. Diễn biến lượng phát sinh bùn thải NTTS từ năm 2020-2025</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_Toc213600750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52</w:t>
        </w:r>
        <w:r w:rsidRPr="00F06A78">
          <w:rPr>
            <w:webHidden/>
            <w:color w:val="000000" w:themeColor="text1"/>
          </w:rPr>
          <w:fldChar w:fldCharType="end"/>
        </w:r>
      </w:hyperlink>
    </w:p>
    <w:p w14:paraId="034724DD" w14:textId="6E0EE497" w:rsidR="00085789" w:rsidRPr="00F06A78" w:rsidRDefault="00085789">
      <w:pPr>
        <w:pStyle w:val="TOC1"/>
        <w:rPr>
          <w:rFonts w:eastAsiaTheme="minorEastAsia" w:cstheme="minorBidi"/>
          <w:color w:val="000000" w:themeColor="text1"/>
          <w:kern w:val="2"/>
          <w14:ligatures w14:val="standardContextual"/>
        </w:rPr>
      </w:pPr>
      <w:hyperlink w:anchor="_Toc213600751" w:history="1">
        <w:r w:rsidRPr="00F06A78">
          <w:rPr>
            <w:rStyle w:val="Hyperlink"/>
            <w:b w:val="0"/>
            <w:bCs w:val="0"/>
            <w:color w:val="000000" w:themeColor="text1"/>
            <w:u w:val="none"/>
          </w:rPr>
          <w:t>Hình 2.5. Tác động môi trường của phát triển du lịch</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_Toc213600751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54</w:t>
        </w:r>
        <w:r w:rsidRPr="00F06A78">
          <w:rPr>
            <w:webHidden/>
            <w:color w:val="000000" w:themeColor="text1"/>
          </w:rPr>
          <w:fldChar w:fldCharType="end"/>
        </w:r>
      </w:hyperlink>
    </w:p>
    <w:p w14:paraId="5B5DEEC0" w14:textId="4C6478E1" w:rsidR="00085789" w:rsidRPr="00F06A78" w:rsidRDefault="00085789">
      <w:pPr>
        <w:pStyle w:val="TOC1"/>
        <w:rPr>
          <w:rFonts w:eastAsiaTheme="minorEastAsia" w:cstheme="minorBidi"/>
          <w:color w:val="000000" w:themeColor="text1"/>
          <w:kern w:val="2"/>
          <w14:ligatures w14:val="standardContextual"/>
        </w:rPr>
      </w:pPr>
      <w:hyperlink w:anchor="_Toc213600756" w:history="1">
        <w:r w:rsidRPr="00F06A78">
          <w:rPr>
            <w:rStyle w:val="Hyperlink"/>
            <w:rFonts w:eastAsia="Batang"/>
            <w:b w:val="0"/>
            <w:bCs w:val="0"/>
            <w:color w:val="000000" w:themeColor="text1"/>
            <w:u w:val="none"/>
          </w:rPr>
          <w:t xml:space="preserve">Hình 3.1. Diễn biến hàm lượng BOD5 </w:t>
        </w:r>
        <w:r w:rsidRPr="00F06A78">
          <w:rPr>
            <w:rStyle w:val="Hyperlink"/>
            <w:b w:val="0"/>
            <w:bCs w:val="0"/>
            <w:color w:val="000000" w:themeColor="text1"/>
            <w:u w:val="none"/>
          </w:rPr>
          <w:t>trong nước hệ thống sông Rào Cái</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_Toc213600756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64</w:t>
        </w:r>
        <w:r w:rsidRPr="00F06A78">
          <w:rPr>
            <w:webHidden/>
            <w:color w:val="000000" w:themeColor="text1"/>
          </w:rPr>
          <w:fldChar w:fldCharType="end"/>
        </w:r>
      </w:hyperlink>
    </w:p>
    <w:p w14:paraId="3D9D2BFF" w14:textId="457E2BAD" w:rsidR="00085789" w:rsidRPr="00F06A78" w:rsidRDefault="00085789">
      <w:pPr>
        <w:pStyle w:val="TOC1"/>
        <w:rPr>
          <w:rFonts w:eastAsiaTheme="minorEastAsia" w:cstheme="minorBidi"/>
          <w:color w:val="000000" w:themeColor="text1"/>
          <w:kern w:val="2"/>
          <w14:ligatures w14:val="standardContextual"/>
        </w:rPr>
      </w:pPr>
      <w:hyperlink w:anchor="_Toc213600757" w:history="1">
        <w:r w:rsidRPr="00F06A78">
          <w:rPr>
            <w:rStyle w:val="Hyperlink"/>
            <w:b w:val="0"/>
            <w:bCs w:val="0"/>
            <w:color w:val="000000" w:themeColor="text1"/>
            <w:u w:val="none"/>
          </w:rPr>
          <w:t>Hình 3.2. Diễn biến hàm lượng COD trong nước hệ thống sông Rào Cái</w:t>
        </w:r>
        <w:r w:rsidRPr="00F06A78">
          <w:rPr>
            <w:webHidden/>
            <w:color w:val="000000" w:themeColor="text1"/>
          </w:rPr>
          <w:tab/>
        </w:r>
        <w:r w:rsidRPr="00F06A78">
          <w:rPr>
            <w:webHidden/>
            <w:color w:val="000000" w:themeColor="text1"/>
          </w:rPr>
          <w:fldChar w:fldCharType="begin"/>
        </w:r>
        <w:r w:rsidRPr="00F06A78">
          <w:rPr>
            <w:webHidden/>
            <w:color w:val="000000" w:themeColor="text1"/>
          </w:rPr>
          <w:instrText xml:space="preserve"> PAGEREF _Toc213600757 \h </w:instrText>
        </w:r>
        <w:r w:rsidRPr="00F06A78">
          <w:rPr>
            <w:webHidden/>
            <w:color w:val="000000" w:themeColor="text1"/>
          </w:rPr>
        </w:r>
        <w:r w:rsidRPr="00F06A78">
          <w:rPr>
            <w:webHidden/>
            <w:color w:val="000000" w:themeColor="text1"/>
          </w:rPr>
          <w:fldChar w:fldCharType="separate"/>
        </w:r>
        <w:r w:rsidRPr="00F06A78">
          <w:rPr>
            <w:webHidden/>
            <w:color w:val="000000" w:themeColor="text1"/>
          </w:rPr>
          <w:t>65</w:t>
        </w:r>
        <w:r w:rsidRPr="00F06A78">
          <w:rPr>
            <w:webHidden/>
            <w:color w:val="000000" w:themeColor="text1"/>
          </w:rPr>
          <w:fldChar w:fldCharType="end"/>
        </w:r>
      </w:hyperlink>
    </w:p>
    <w:p w14:paraId="51ADA3DC" w14:textId="145E60D2" w:rsidR="00085789" w:rsidRPr="00F06A78" w:rsidRDefault="00085789">
      <w:pPr>
        <w:pStyle w:val="TOC1"/>
        <w:rPr>
          <w:rFonts w:eastAsiaTheme="minorEastAsia" w:cstheme="minorBidi"/>
          <w:kern w:val="2"/>
          <w14:ligatures w14:val="standardContextual"/>
        </w:rPr>
      </w:pPr>
      <w:hyperlink w:anchor="_Toc213600758" w:history="1">
        <w:r w:rsidRPr="00F06A78">
          <w:rPr>
            <w:rStyle w:val="Hyperlink"/>
            <w:b w:val="0"/>
            <w:bCs w:val="0"/>
            <w:color w:val="auto"/>
            <w:u w:val="none"/>
          </w:rPr>
          <w:t>Hình 3.3. Diễn biến hàm lượng TSS trong nước hệ thống sông Rào Cái</w:t>
        </w:r>
        <w:r w:rsidRPr="00F06A78">
          <w:rPr>
            <w:webHidden/>
          </w:rPr>
          <w:tab/>
        </w:r>
        <w:r w:rsidRPr="00F06A78">
          <w:rPr>
            <w:webHidden/>
          </w:rPr>
          <w:fldChar w:fldCharType="begin"/>
        </w:r>
        <w:r w:rsidRPr="00F06A78">
          <w:rPr>
            <w:webHidden/>
          </w:rPr>
          <w:instrText xml:space="preserve"> PAGEREF _Toc213600758 \h </w:instrText>
        </w:r>
        <w:r w:rsidRPr="00F06A78">
          <w:rPr>
            <w:webHidden/>
          </w:rPr>
        </w:r>
        <w:r w:rsidRPr="00F06A78">
          <w:rPr>
            <w:webHidden/>
          </w:rPr>
          <w:fldChar w:fldCharType="separate"/>
        </w:r>
        <w:r w:rsidRPr="00F06A78">
          <w:rPr>
            <w:webHidden/>
          </w:rPr>
          <w:t>65</w:t>
        </w:r>
        <w:r w:rsidRPr="00F06A78">
          <w:rPr>
            <w:webHidden/>
          </w:rPr>
          <w:fldChar w:fldCharType="end"/>
        </w:r>
      </w:hyperlink>
    </w:p>
    <w:p w14:paraId="0D74210B" w14:textId="03B50B05" w:rsidR="00085789" w:rsidRPr="00F06A78" w:rsidRDefault="00085789">
      <w:pPr>
        <w:pStyle w:val="TOC1"/>
        <w:rPr>
          <w:rFonts w:eastAsiaTheme="minorEastAsia" w:cstheme="minorBidi"/>
          <w:kern w:val="2"/>
          <w14:ligatures w14:val="standardContextual"/>
        </w:rPr>
      </w:pPr>
      <w:hyperlink w:anchor="_Toc213600759" w:history="1">
        <w:r w:rsidRPr="00F06A78">
          <w:rPr>
            <w:rStyle w:val="Hyperlink"/>
            <w:b w:val="0"/>
            <w:bCs w:val="0"/>
            <w:color w:val="auto"/>
            <w:u w:val="none"/>
          </w:rPr>
          <w:t>Hình 3.4. Diễn biến hàm lượng DO trong nước hệ thống sông Rào Cái</w:t>
        </w:r>
        <w:r w:rsidRPr="00F06A78">
          <w:rPr>
            <w:webHidden/>
          </w:rPr>
          <w:tab/>
        </w:r>
        <w:r w:rsidRPr="00F06A78">
          <w:rPr>
            <w:webHidden/>
          </w:rPr>
          <w:fldChar w:fldCharType="begin"/>
        </w:r>
        <w:r w:rsidRPr="00F06A78">
          <w:rPr>
            <w:webHidden/>
          </w:rPr>
          <w:instrText xml:space="preserve"> PAGEREF _Toc213600759 \h </w:instrText>
        </w:r>
        <w:r w:rsidRPr="00F06A78">
          <w:rPr>
            <w:webHidden/>
          </w:rPr>
        </w:r>
        <w:r w:rsidRPr="00F06A78">
          <w:rPr>
            <w:webHidden/>
          </w:rPr>
          <w:fldChar w:fldCharType="separate"/>
        </w:r>
        <w:r w:rsidRPr="00F06A78">
          <w:rPr>
            <w:webHidden/>
          </w:rPr>
          <w:t>66</w:t>
        </w:r>
        <w:r w:rsidRPr="00F06A78">
          <w:rPr>
            <w:webHidden/>
          </w:rPr>
          <w:fldChar w:fldCharType="end"/>
        </w:r>
      </w:hyperlink>
    </w:p>
    <w:p w14:paraId="3B24489C" w14:textId="5374712B" w:rsidR="00085789" w:rsidRPr="00F06A78" w:rsidRDefault="00085789">
      <w:pPr>
        <w:pStyle w:val="TOC1"/>
        <w:rPr>
          <w:rFonts w:eastAsiaTheme="minorEastAsia" w:cstheme="minorBidi"/>
          <w:kern w:val="2"/>
          <w14:ligatures w14:val="standardContextual"/>
        </w:rPr>
      </w:pPr>
      <w:hyperlink w:anchor="_Toc213600760" w:history="1">
        <w:r w:rsidRPr="00F06A78">
          <w:rPr>
            <w:rStyle w:val="Hyperlink"/>
            <w:b w:val="0"/>
            <w:bCs w:val="0"/>
            <w:color w:val="auto"/>
            <w:u w:val="none"/>
          </w:rPr>
          <w:t>Hình 3.5. Diễn biến hàm lượng Nitrat trong nước hệ thống sông Rào Cái</w:t>
        </w:r>
        <w:r w:rsidRPr="00F06A78">
          <w:rPr>
            <w:webHidden/>
          </w:rPr>
          <w:tab/>
        </w:r>
        <w:r w:rsidRPr="00F06A78">
          <w:rPr>
            <w:webHidden/>
          </w:rPr>
          <w:fldChar w:fldCharType="begin"/>
        </w:r>
        <w:r w:rsidRPr="00F06A78">
          <w:rPr>
            <w:webHidden/>
          </w:rPr>
          <w:instrText xml:space="preserve"> PAGEREF _Toc213600760 \h </w:instrText>
        </w:r>
        <w:r w:rsidRPr="00F06A78">
          <w:rPr>
            <w:webHidden/>
          </w:rPr>
        </w:r>
        <w:r w:rsidRPr="00F06A78">
          <w:rPr>
            <w:webHidden/>
          </w:rPr>
          <w:fldChar w:fldCharType="separate"/>
        </w:r>
        <w:r w:rsidRPr="00F06A78">
          <w:rPr>
            <w:webHidden/>
          </w:rPr>
          <w:t>66</w:t>
        </w:r>
        <w:r w:rsidRPr="00F06A78">
          <w:rPr>
            <w:webHidden/>
          </w:rPr>
          <w:fldChar w:fldCharType="end"/>
        </w:r>
      </w:hyperlink>
    </w:p>
    <w:p w14:paraId="7A02698D" w14:textId="35265ADC" w:rsidR="00085789" w:rsidRPr="00F06A78" w:rsidRDefault="00085789">
      <w:pPr>
        <w:pStyle w:val="TOC1"/>
        <w:rPr>
          <w:rFonts w:eastAsiaTheme="minorEastAsia" w:cstheme="minorBidi"/>
          <w:kern w:val="2"/>
          <w14:ligatures w14:val="standardContextual"/>
        </w:rPr>
      </w:pPr>
      <w:hyperlink w:anchor="_Toc213600761" w:history="1">
        <w:r w:rsidRPr="00F06A78">
          <w:rPr>
            <w:rStyle w:val="Hyperlink"/>
            <w:b w:val="0"/>
            <w:bCs w:val="0"/>
            <w:color w:val="auto"/>
            <w:u w:val="none"/>
          </w:rPr>
          <w:t xml:space="preserve">Hình 3.6. Diễn biến hàm lượng </w:t>
        </w:r>
        <w:r w:rsidRPr="00F06A78">
          <w:rPr>
            <w:rStyle w:val="Hyperlink"/>
            <w:b w:val="0"/>
            <w:bCs w:val="0"/>
            <w:color w:val="auto"/>
            <w:spacing w:val="-4"/>
            <w:u w:val="none"/>
          </w:rPr>
          <w:t>Photphat</w:t>
        </w:r>
        <w:r w:rsidRPr="00F06A78">
          <w:rPr>
            <w:rStyle w:val="Hyperlink"/>
            <w:b w:val="0"/>
            <w:bCs w:val="0"/>
            <w:color w:val="auto"/>
            <w:u w:val="none"/>
          </w:rPr>
          <w:t xml:space="preserve"> trong nước hệ thống sông Rào Cái</w:t>
        </w:r>
        <w:r w:rsidRPr="00F06A78">
          <w:rPr>
            <w:webHidden/>
          </w:rPr>
          <w:tab/>
        </w:r>
        <w:r w:rsidRPr="00F06A78">
          <w:rPr>
            <w:webHidden/>
          </w:rPr>
          <w:fldChar w:fldCharType="begin"/>
        </w:r>
        <w:r w:rsidRPr="00F06A78">
          <w:rPr>
            <w:webHidden/>
          </w:rPr>
          <w:instrText xml:space="preserve"> PAGEREF _Toc213600761 \h </w:instrText>
        </w:r>
        <w:r w:rsidRPr="00F06A78">
          <w:rPr>
            <w:webHidden/>
          </w:rPr>
        </w:r>
        <w:r w:rsidRPr="00F06A78">
          <w:rPr>
            <w:webHidden/>
          </w:rPr>
          <w:fldChar w:fldCharType="separate"/>
        </w:r>
        <w:r w:rsidRPr="00F06A78">
          <w:rPr>
            <w:webHidden/>
          </w:rPr>
          <w:t>67</w:t>
        </w:r>
        <w:r w:rsidRPr="00F06A78">
          <w:rPr>
            <w:webHidden/>
          </w:rPr>
          <w:fldChar w:fldCharType="end"/>
        </w:r>
      </w:hyperlink>
    </w:p>
    <w:p w14:paraId="4998411B" w14:textId="1B787467" w:rsidR="00085789" w:rsidRPr="00F06A78" w:rsidRDefault="00085789">
      <w:pPr>
        <w:pStyle w:val="TOC1"/>
        <w:rPr>
          <w:rFonts w:eastAsiaTheme="minorEastAsia" w:cstheme="minorBidi"/>
          <w:kern w:val="2"/>
          <w14:ligatures w14:val="standardContextual"/>
        </w:rPr>
      </w:pPr>
      <w:hyperlink w:anchor="_Toc213600762" w:history="1">
        <w:r w:rsidRPr="00F06A78">
          <w:rPr>
            <w:rStyle w:val="Hyperlink"/>
            <w:b w:val="0"/>
            <w:bCs w:val="0"/>
            <w:color w:val="auto"/>
            <w:u w:val="none"/>
          </w:rPr>
          <w:t>Hình 3.7. Diễn biến hàm lượng Coliform trong nước hệ thống sông Rào Cái</w:t>
        </w:r>
        <w:r w:rsidRPr="00F06A78">
          <w:rPr>
            <w:webHidden/>
          </w:rPr>
          <w:tab/>
        </w:r>
        <w:r w:rsidRPr="00F06A78">
          <w:rPr>
            <w:webHidden/>
          </w:rPr>
          <w:fldChar w:fldCharType="begin"/>
        </w:r>
        <w:r w:rsidRPr="00F06A78">
          <w:rPr>
            <w:webHidden/>
          </w:rPr>
          <w:instrText xml:space="preserve"> PAGEREF _Toc213600762 \h </w:instrText>
        </w:r>
        <w:r w:rsidRPr="00F06A78">
          <w:rPr>
            <w:webHidden/>
          </w:rPr>
        </w:r>
        <w:r w:rsidRPr="00F06A78">
          <w:rPr>
            <w:webHidden/>
          </w:rPr>
          <w:fldChar w:fldCharType="separate"/>
        </w:r>
        <w:r w:rsidRPr="00F06A78">
          <w:rPr>
            <w:webHidden/>
          </w:rPr>
          <w:t>67</w:t>
        </w:r>
        <w:r w:rsidRPr="00F06A78">
          <w:rPr>
            <w:webHidden/>
          </w:rPr>
          <w:fldChar w:fldCharType="end"/>
        </w:r>
      </w:hyperlink>
    </w:p>
    <w:p w14:paraId="71067E73" w14:textId="77165C05" w:rsidR="00085789" w:rsidRPr="00F06A78" w:rsidRDefault="00085789">
      <w:pPr>
        <w:pStyle w:val="TOC1"/>
        <w:rPr>
          <w:rFonts w:eastAsiaTheme="minorEastAsia" w:cstheme="minorBidi"/>
          <w:kern w:val="2"/>
          <w14:ligatures w14:val="standardContextual"/>
        </w:rPr>
      </w:pPr>
      <w:hyperlink w:anchor="_Toc213600763" w:history="1">
        <w:r w:rsidRPr="00F06A78">
          <w:rPr>
            <w:rStyle w:val="Hyperlink"/>
            <w:b w:val="0"/>
            <w:bCs w:val="0"/>
            <w:color w:val="auto"/>
            <w:u w:val="none"/>
            <w:lang w:val="pt-BR"/>
          </w:rPr>
          <w:t>Hình 3.8. Chỉ số WQI hệ thống thống sông Rào Cái giai đoạn 2021-2024.</w:t>
        </w:r>
        <w:r w:rsidRPr="00F06A78">
          <w:rPr>
            <w:webHidden/>
          </w:rPr>
          <w:tab/>
        </w:r>
        <w:r w:rsidRPr="00F06A78">
          <w:rPr>
            <w:webHidden/>
          </w:rPr>
          <w:fldChar w:fldCharType="begin"/>
        </w:r>
        <w:r w:rsidRPr="00F06A78">
          <w:rPr>
            <w:webHidden/>
          </w:rPr>
          <w:instrText xml:space="preserve"> PAGEREF _Toc213600763 \h </w:instrText>
        </w:r>
        <w:r w:rsidRPr="00F06A78">
          <w:rPr>
            <w:webHidden/>
          </w:rPr>
        </w:r>
        <w:r w:rsidRPr="00F06A78">
          <w:rPr>
            <w:webHidden/>
          </w:rPr>
          <w:fldChar w:fldCharType="separate"/>
        </w:r>
        <w:r w:rsidRPr="00F06A78">
          <w:rPr>
            <w:webHidden/>
          </w:rPr>
          <w:t>68</w:t>
        </w:r>
        <w:r w:rsidRPr="00F06A78">
          <w:rPr>
            <w:webHidden/>
          </w:rPr>
          <w:fldChar w:fldCharType="end"/>
        </w:r>
      </w:hyperlink>
    </w:p>
    <w:p w14:paraId="212DF339" w14:textId="2FD52C65" w:rsidR="00085789" w:rsidRPr="00F06A78" w:rsidRDefault="00085789">
      <w:pPr>
        <w:pStyle w:val="TOC1"/>
        <w:rPr>
          <w:lang w:val="en-US"/>
        </w:rPr>
      </w:pPr>
      <w:hyperlink w:anchor="_Toc213600764" w:history="1">
        <w:r w:rsidRPr="00F06A78">
          <w:rPr>
            <w:rStyle w:val="Hyperlink"/>
            <w:rFonts w:eastAsia="Batang"/>
            <w:b w:val="0"/>
            <w:bCs w:val="0"/>
            <w:color w:val="auto"/>
            <w:u w:val="none"/>
          </w:rPr>
          <w:t xml:space="preserve">Hình 3.9. Diễn biến hàm lượng BOD5 </w:t>
        </w:r>
        <w:r w:rsidRPr="00F06A78">
          <w:rPr>
            <w:rStyle w:val="Hyperlink"/>
            <w:b w:val="0"/>
            <w:bCs w:val="0"/>
            <w:color w:val="auto"/>
            <w:u w:val="none"/>
          </w:rPr>
          <w:t>trong nước hệ thống sông Nghèn</w:t>
        </w:r>
        <w:r w:rsidRPr="00F06A78">
          <w:rPr>
            <w:webHidden/>
          </w:rPr>
          <w:tab/>
        </w:r>
        <w:r w:rsidRPr="00F06A78">
          <w:rPr>
            <w:webHidden/>
          </w:rPr>
          <w:fldChar w:fldCharType="begin"/>
        </w:r>
        <w:r w:rsidRPr="00F06A78">
          <w:rPr>
            <w:webHidden/>
          </w:rPr>
          <w:instrText xml:space="preserve"> PAGEREF _Toc213600764 \h </w:instrText>
        </w:r>
        <w:r w:rsidRPr="00F06A78">
          <w:rPr>
            <w:webHidden/>
          </w:rPr>
        </w:r>
        <w:r w:rsidRPr="00F06A78">
          <w:rPr>
            <w:webHidden/>
          </w:rPr>
          <w:fldChar w:fldCharType="separate"/>
        </w:r>
        <w:r w:rsidRPr="00F06A78">
          <w:rPr>
            <w:webHidden/>
          </w:rPr>
          <w:t>69</w:t>
        </w:r>
        <w:r w:rsidRPr="00F06A78">
          <w:rPr>
            <w:webHidden/>
          </w:rPr>
          <w:fldChar w:fldCharType="end"/>
        </w:r>
      </w:hyperlink>
    </w:p>
    <w:p w14:paraId="62D50B46" w14:textId="2380926B" w:rsidR="007A3508" w:rsidRPr="00AA3A70" w:rsidRDefault="007A3508" w:rsidP="007A3508">
      <w:pPr>
        <w:pStyle w:val="TOC1"/>
        <w:rPr>
          <w:lang w:val="en-US"/>
        </w:rPr>
      </w:pPr>
      <w:hyperlink w:anchor="_Toc213600764" w:history="1">
        <w:r w:rsidRPr="00F06A78">
          <w:rPr>
            <w:rStyle w:val="Hyperlink"/>
            <w:rFonts w:eastAsia="Batang"/>
            <w:b w:val="0"/>
            <w:bCs w:val="0"/>
            <w:color w:val="auto"/>
            <w:u w:val="none"/>
          </w:rPr>
          <w:t>Hình 3.</w:t>
        </w:r>
        <w:r w:rsidRPr="00F06A78">
          <w:rPr>
            <w:rStyle w:val="Hyperlink"/>
            <w:rFonts w:eastAsia="Batang"/>
            <w:b w:val="0"/>
            <w:bCs w:val="0"/>
            <w:color w:val="auto"/>
            <w:u w:val="none"/>
            <w:lang w:val="en-US"/>
          </w:rPr>
          <w:t>10</w:t>
        </w:r>
        <w:r w:rsidRPr="00F06A78">
          <w:rPr>
            <w:rStyle w:val="Hyperlink"/>
            <w:rFonts w:eastAsia="Batang"/>
            <w:b w:val="0"/>
            <w:bCs w:val="0"/>
            <w:color w:val="auto"/>
            <w:u w:val="none"/>
          </w:rPr>
          <w:t xml:space="preserve">. Diễn biến hàm lượng </w:t>
        </w:r>
        <w:r w:rsidRPr="00F06A78">
          <w:rPr>
            <w:rStyle w:val="Hyperlink"/>
            <w:rFonts w:eastAsia="Batang"/>
            <w:b w:val="0"/>
            <w:bCs w:val="0"/>
            <w:color w:val="auto"/>
            <w:u w:val="none"/>
            <w:lang w:val="en-US"/>
          </w:rPr>
          <w:t>COD</w:t>
        </w:r>
        <w:r w:rsidRPr="00F06A78">
          <w:rPr>
            <w:rStyle w:val="Hyperlink"/>
            <w:rFonts w:eastAsia="Batang"/>
            <w:b w:val="0"/>
            <w:bCs w:val="0"/>
            <w:color w:val="auto"/>
            <w:u w:val="none"/>
          </w:rPr>
          <w:t xml:space="preserve"> </w:t>
        </w:r>
        <w:r w:rsidRPr="00F06A78">
          <w:rPr>
            <w:rStyle w:val="Hyperlink"/>
            <w:b w:val="0"/>
            <w:bCs w:val="0"/>
            <w:color w:val="auto"/>
            <w:u w:val="none"/>
          </w:rPr>
          <w:t>trong nước hệ thống sông Nghèn</w:t>
        </w:r>
        <w:r w:rsidRPr="00F06A78">
          <w:rPr>
            <w:webHidden/>
          </w:rPr>
          <w:tab/>
        </w:r>
        <w:r w:rsidRPr="00F06A78">
          <w:rPr>
            <w:webHidden/>
          </w:rPr>
          <w:fldChar w:fldCharType="begin"/>
        </w:r>
        <w:r w:rsidRPr="00F06A78">
          <w:rPr>
            <w:webHidden/>
          </w:rPr>
          <w:instrText xml:space="preserve"> PAGEREF _Toc213600764 \h </w:instrText>
        </w:r>
        <w:r w:rsidRPr="00F06A78">
          <w:rPr>
            <w:webHidden/>
          </w:rPr>
        </w:r>
        <w:r w:rsidRPr="00F06A78">
          <w:rPr>
            <w:webHidden/>
          </w:rPr>
          <w:fldChar w:fldCharType="separate"/>
        </w:r>
        <w:r w:rsidRPr="00F06A78">
          <w:rPr>
            <w:webHidden/>
          </w:rPr>
          <w:t>69</w:t>
        </w:r>
        <w:r w:rsidRPr="00F06A78">
          <w:rPr>
            <w:webHidden/>
          </w:rPr>
          <w:fldChar w:fldCharType="end"/>
        </w:r>
      </w:hyperlink>
    </w:p>
    <w:p w14:paraId="7AD8857B" w14:textId="2014ECD8" w:rsidR="00085789" w:rsidRDefault="00085789">
      <w:pPr>
        <w:pStyle w:val="TOC1"/>
        <w:rPr>
          <w:rFonts w:eastAsiaTheme="minorEastAsia" w:cstheme="minorBidi"/>
          <w:kern w:val="2"/>
          <w14:ligatures w14:val="standardContextual"/>
        </w:rPr>
      </w:pPr>
      <w:hyperlink w:anchor="_Toc213600765" w:history="1">
        <w:r>
          <w:rPr>
            <w:rStyle w:val="Hyperlink"/>
            <w:b w:val="0"/>
            <w:bCs w:val="0"/>
            <w:color w:val="auto"/>
            <w:u w:val="none"/>
          </w:rPr>
          <w:t>Hình 3.11. Diễn biến hàm lượng TSS trong nước hệ thống sông Nghèn</w:t>
        </w:r>
        <w:r>
          <w:rPr>
            <w:webHidden/>
          </w:rPr>
          <w:tab/>
        </w:r>
        <w:r>
          <w:rPr>
            <w:webHidden/>
          </w:rPr>
          <w:fldChar w:fldCharType="begin"/>
        </w:r>
        <w:r>
          <w:rPr>
            <w:webHidden/>
          </w:rPr>
          <w:instrText xml:space="preserve"> PAGEREF _Toc213600765 \h </w:instrText>
        </w:r>
        <w:r>
          <w:rPr>
            <w:webHidden/>
          </w:rPr>
        </w:r>
        <w:r>
          <w:rPr>
            <w:webHidden/>
          </w:rPr>
          <w:fldChar w:fldCharType="separate"/>
        </w:r>
        <w:r>
          <w:rPr>
            <w:webHidden/>
          </w:rPr>
          <w:t>70</w:t>
        </w:r>
        <w:r>
          <w:rPr>
            <w:webHidden/>
          </w:rPr>
          <w:fldChar w:fldCharType="end"/>
        </w:r>
      </w:hyperlink>
    </w:p>
    <w:p w14:paraId="5F85AD3A" w14:textId="5DCEDF40" w:rsidR="00085789" w:rsidRDefault="00085789">
      <w:pPr>
        <w:pStyle w:val="TOC1"/>
        <w:rPr>
          <w:rFonts w:eastAsiaTheme="minorEastAsia" w:cstheme="minorBidi"/>
          <w:kern w:val="2"/>
          <w14:ligatures w14:val="standardContextual"/>
        </w:rPr>
      </w:pPr>
      <w:hyperlink w:anchor="_Toc213600766" w:history="1">
        <w:r>
          <w:rPr>
            <w:rStyle w:val="Hyperlink"/>
            <w:b w:val="0"/>
            <w:bCs w:val="0"/>
            <w:color w:val="auto"/>
            <w:u w:val="none"/>
          </w:rPr>
          <w:t>Hình 3.12. Diễn biến hàm lượng DO trong nước hệ thống sông Nghèn</w:t>
        </w:r>
        <w:r>
          <w:rPr>
            <w:webHidden/>
          </w:rPr>
          <w:tab/>
        </w:r>
        <w:r>
          <w:rPr>
            <w:webHidden/>
          </w:rPr>
          <w:fldChar w:fldCharType="begin"/>
        </w:r>
        <w:r>
          <w:rPr>
            <w:webHidden/>
          </w:rPr>
          <w:instrText xml:space="preserve"> PAGEREF _Toc213600766 \h </w:instrText>
        </w:r>
        <w:r>
          <w:rPr>
            <w:webHidden/>
          </w:rPr>
        </w:r>
        <w:r>
          <w:rPr>
            <w:webHidden/>
          </w:rPr>
          <w:fldChar w:fldCharType="separate"/>
        </w:r>
        <w:r>
          <w:rPr>
            <w:webHidden/>
          </w:rPr>
          <w:t>71</w:t>
        </w:r>
        <w:r>
          <w:rPr>
            <w:webHidden/>
          </w:rPr>
          <w:fldChar w:fldCharType="end"/>
        </w:r>
      </w:hyperlink>
    </w:p>
    <w:p w14:paraId="2653797E" w14:textId="645790B6" w:rsidR="00085789" w:rsidRDefault="00085789">
      <w:pPr>
        <w:pStyle w:val="TOC1"/>
        <w:rPr>
          <w:rFonts w:eastAsiaTheme="minorEastAsia" w:cstheme="minorBidi"/>
          <w:kern w:val="2"/>
          <w14:ligatures w14:val="standardContextual"/>
        </w:rPr>
      </w:pPr>
      <w:hyperlink w:anchor="_Toc213600767" w:history="1">
        <w:r>
          <w:rPr>
            <w:rStyle w:val="Hyperlink"/>
            <w:b w:val="0"/>
            <w:bCs w:val="0"/>
            <w:color w:val="auto"/>
            <w:u w:val="none"/>
          </w:rPr>
          <w:t>Hình 3.13. Diễn biến hàm lượng Nitrat trong nước hệ thống sông Nghèn</w:t>
        </w:r>
        <w:r>
          <w:rPr>
            <w:webHidden/>
          </w:rPr>
          <w:tab/>
        </w:r>
        <w:r>
          <w:rPr>
            <w:webHidden/>
          </w:rPr>
          <w:fldChar w:fldCharType="begin"/>
        </w:r>
        <w:r>
          <w:rPr>
            <w:webHidden/>
          </w:rPr>
          <w:instrText xml:space="preserve"> PAGEREF _Toc213600767 \h </w:instrText>
        </w:r>
        <w:r>
          <w:rPr>
            <w:webHidden/>
          </w:rPr>
        </w:r>
        <w:r>
          <w:rPr>
            <w:webHidden/>
          </w:rPr>
          <w:fldChar w:fldCharType="separate"/>
        </w:r>
        <w:r>
          <w:rPr>
            <w:webHidden/>
          </w:rPr>
          <w:t>71</w:t>
        </w:r>
        <w:r>
          <w:rPr>
            <w:webHidden/>
          </w:rPr>
          <w:fldChar w:fldCharType="end"/>
        </w:r>
      </w:hyperlink>
    </w:p>
    <w:p w14:paraId="6B688E11" w14:textId="0E5776A1" w:rsidR="00085789" w:rsidRDefault="00085789">
      <w:pPr>
        <w:pStyle w:val="TOC1"/>
        <w:rPr>
          <w:rFonts w:eastAsiaTheme="minorEastAsia" w:cstheme="minorBidi"/>
          <w:kern w:val="2"/>
          <w14:ligatures w14:val="standardContextual"/>
        </w:rPr>
      </w:pPr>
      <w:hyperlink w:anchor="_Toc213600768" w:history="1">
        <w:r>
          <w:rPr>
            <w:rStyle w:val="Hyperlink"/>
            <w:b w:val="0"/>
            <w:bCs w:val="0"/>
            <w:color w:val="auto"/>
            <w:u w:val="none"/>
          </w:rPr>
          <w:t xml:space="preserve">Hình 3.14. Diễn biến hàm lượng </w:t>
        </w:r>
        <w:r>
          <w:rPr>
            <w:rStyle w:val="Hyperlink"/>
            <w:b w:val="0"/>
            <w:bCs w:val="0"/>
            <w:color w:val="auto"/>
            <w:spacing w:val="-4"/>
            <w:u w:val="none"/>
          </w:rPr>
          <w:t>Photphat</w:t>
        </w:r>
        <w:r>
          <w:rPr>
            <w:rStyle w:val="Hyperlink"/>
            <w:b w:val="0"/>
            <w:bCs w:val="0"/>
            <w:color w:val="auto"/>
            <w:u w:val="none"/>
          </w:rPr>
          <w:t xml:space="preserve"> trong nước hệ thống sông Nghèn</w:t>
        </w:r>
        <w:r>
          <w:rPr>
            <w:webHidden/>
          </w:rPr>
          <w:tab/>
        </w:r>
        <w:r>
          <w:rPr>
            <w:webHidden/>
          </w:rPr>
          <w:fldChar w:fldCharType="begin"/>
        </w:r>
        <w:r>
          <w:rPr>
            <w:webHidden/>
          </w:rPr>
          <w:instrText xml:space="preserve"> PAGEREF _Toc213600768 \h </w:instrText>
        </w:r>
        <w:r>
          <w:rPr>
            <w:webHidden/>
          </w:rPr>
        </w:r>
        <w:r>
          <w:rPr>
            <w:webHidden/>
          </w:rPr>
          <w:fldChar w:fldCharType="separate"/>
        </w:r>
        <w:r>
          <w:rPr>
            <w:webHidden/>
          </w:rPr>
          <w:t>72</w:t>
        </w:r>
        <w:r>
          <w:rPr>
            <w:webHidden/>
          </w:rPr>
          <w:fldChar w:fldCharType="end"/>
        </w:r>
      </w:hyperlink>
    </w:p>
    <w:p w14:paraId="251F2454" w14:textId="4C6EB02A" w:rsidR="00085789" w:rsidRDefault="00085789">
      <w:pPr>
        <w:pStyle w:val="TOC1"/>
        <w:rPr>
          <w:rFonts w:eastAsiaTheme="minorEastAsia" w:cstheme="minorBidi"/>
          <w:kern w:val="2"/>
          <w14:ligatures w14:val="standardContextual"/>
        </w:rPr>
      </w:pPr>
      <w:hyperlink w:anchor="_Toc213600769" w:history="1">
        <w:r>
          <w:rPr>
            <w:rStyle w:val="Hyperlink"/>
            <w:b w:val="0"/>
            <w:bCs w:val="0"/>
            <w:color w:val="auto"/>
            <w:u w:val="none"/>
          </w:rPr>
          <w:t>Hình 3.15. Diễn biến hàm lượng Coliform trong nước hệ thống sông Nghèn</w:t>
        </w:r>
        <w:r>
          <w:rPr>
            <w:webHidden/>
          </w:rPr>
          <w:tab/>
        </w:r>
        <w:r>
          <w:rPr>
            <w:webHidden/>
          </w:rPr>
          <w:fldChar w:fldCharType="begin"/>
        </w:r>
        <w:r>
          <w:rPr>
            <w:webHidden/>
          </w:rPr>
          <w:instrText xml:space="preserve"> PAGEREF _Toc213600769 \h </w:instrText>
        </w:r>
        <w:r>
          <w:rPr>
            <w:webHidden/>
          </w:rPr>
        </w:r>
        <w:r>
          <w:rPr>
            <w:webHidden/>
          </w:rPr>
          <w:fldChar w:fldCharType="separate"/>
        </w:r>
        <w:r>
          <w:rPr>
            <w:webHidden/>
          </w:rPr>
          <w:t>72</w:t>
        </w:r>
        <w:r>
          <w:rPr>
            <w:webHidden/>
          </w:rPr>
          <w:fldChar w:fldCharType="end"/>
        </w:r>
      </w:hyperlink>
    </w:p>
    <w:p w14:paraId="36C171A0" w14:textId="4D692581" w:rsidR="00085789" w:rsidRDefault="00085789">
      <w:pPr>
        <w:pStyle w:val="TOC1"/>
        <w:rPr>
          <w:rFonts w:eastAsiaTheme="minorEastAsia" w:cstheme="minorBidi"/>
          <w:kern w:val="2"/>
          <w14:ligatures w14:val="standardContextual"/>
        </w:rPr>
      </w:pPr>
      <w:hyperlink w:anchor="_Toc213600770" w:history="1">
        <w:r>
          <w:rPr>
            <w:rStyle w:val="Hyperlink"/>
            <w:b w:val="0"/>
            <w:bCs w:val="0"/>
            <w:color w:val="auto"/>
            <w:u w:val="none"/>
            <w:lang w:val="pt-BR"/>
          </w:rPr>
          <w:t>Hình 3.16. Chỉ số WQI nước mặt sông Nghèn giai đoạn 2021-2024.</w:t>
        </w:r>
        <w:r>
          <w:rPr>
            <w:webHidden/>
          </w:rPr>
          <w:tab/>
        </w:r>
        <w:r>
          <w:rPr>
            <w:webHidden/>
          </w:rPr>
          <w:fldChar w:fldCharType="begin"/>
        </w:r>
        <w:r>
          <w:rPr>
            <w:webHidden/>
          </w:rPr>
          <w:instrText xml:space="preserve"> PAGEREF _Toc213600770 \h </w:instrText>
        </w:r>
        <w:r>
          <w:rPr>
            <w:webHidden/>
          </w:rPr>
        </w:r>
        <w:r>
          <w:rPr>
            <w:webHidden/>
          </w:rPr>
          <w:fldChar w:fldCharType="separate"/>
        </w:r>
        <w:r>
          <w:rPr>
            <w:webHidden/>
          </w:rPr>
          <w:t>73</w:t>
        </w:r>
        <w:r>
          <w:rPr>
            <w:webHidden/>
          </w:rPr>
          <w:fldChar w:fldCharType="end"/>
        </w:r>
      </w:hyperlink>
    </w:p>
    <w:p w14:paraId="3630C910" w14:textId="55D0B56E" w:rsidR="00085789" w:rsidRDefault="00085789">
      <w:pPr>
        <w:pStyle w:val="TOC1"/>
        <w:rPr>
          <w:rFonts w:eastAsiaTheme="minorEastAsia" w:cstheme="minorBidi"/>
          <w:kern w:val="2"/>
          <w14:ligatures w14:val="standardContextual"/>
        </w:rPr>
      </w:pPr>
      <w:hyperlink w:anchor="_Toc213600771" w:history="1">
        <w:r>
          <w:rPr>
            <w:rStyle w:val="Hyperlink"/>
            <w:rFonts w:eastAsia="Batang"/>
            <w:b w:val="0"/>
            <w:bCs w:val="0"/>
            <w:color w:val="auto"/>
            <w:u w:val="none"/>
          </w:rPr>
          <w:t xml:space="preserve">Hình 3.17. Diễn biến hàm lượng BOD5 </w:t>
        </w:r>
        <w:r>
          <w:rPr>
            <w:rStyle w:val="Hyperlink"/>
            <w:b w:val="0"/>
            <w:bCs w:val="0"/>
            <w:color w:val="auto"/>
            <w:u w:val="none"/>
          </w:rPr>
          <w:t>trong nước hệ thống sông La</w:t>
        </w:r>
        <w:r>
          <w:rPr>
            <w:webHidden/>
          </w:rPr>
          <w:tab/>
        </w:r>
        <w:r>
          <w:rPr>
            <w:webHidden/>
          </w:rPr>
          <w:fldChar w:fldCharType="begin"/>
        </w:r>
        <w:r>
          <w:rPr>
            <w:webHidden/>
          </w:rPr>
          <w:instrText xml:space="preserve"> PAGEREF _Toc213600771 \h </w:instrText>
        </w:r>
        <w:r>
          <w:rPr>
            <w:webHidden/>
          </w:rPr>
        </w:r>
        <w:r>
          <w:rPr>
            <w:webHidden/>
          </w:rPr>
          <w:fldChar w:fldCharType="separate"/>
        </w:r>
        <w:r>
          <w:rPr>
            <w:webHidden/>
          </w:rPr>
          <w:t>74</w:t>
        </w:r>
        <w:r>
          <w:rPr>
            <w:webHidden/>
          </w:rPr>
          <w:fldChar w:fldCharType="end"/>
        </w:r>
      </w:hyperlink>
    </w:p>
    <w:p w14:paraId="089E3EA9" w14:textId="42CD288F" w:rsidR="00085789" w:rsidRDefault="00085789">
      <w:pPr>
        <w:pStyle w:val="TOC1"/>
        <w:rPr>
          <w:rFonts w:eastAsiaTheme="minorEastAsia" w:cstheme="minorBidi"/>
          <w:kern w:val="2"/>
          <w14:ligatures w14:val="standardContextual"/>
        </w:rPr>
      </w:pPr>
      <w:hyperlink w:anchor="_Toc213600772" w:history="1">
        <w:r>
          <w:rPr>
            <w:rStyle w:val="Hyperlink"/>
            <w:b w:val="0"/>
            <w:bCs w:val="0"/>
            <w:color w:val="auto"/>
            <w:u w:val="none"/>
          </w:rPr>
          <w:t>Hình 3.18. Diễn biến hàm lượng COD trong nước hệ thống sông La</w:t>
        </w:r>
        <w:r>
          <w:rPr>
            <w:webHidden/>
          </w:rPr>
          <w:tab/>
        </w:r>
        <w:r>
          <w:rPr>
            <w:webHidden/>
          </w:rPr>
          <w:fldChar w:fldCharType="begin"/>
        </w:r>
        <w:r>
          <w:rPr>
            <w:webHidden/>
          </w:rPr>
          <w:instrText xml:space="preserve"> PAGEREF _Toc213600772 \h </w:instrText>
        </w:r>
        <w:r>
          <w:rPr>
            <w:webHidden/>
          </w:rPr>
        </w:r>
        <w:r>
          <w:rPr>
            <w:webHidden/>
          </w:rPr>
          <w:fldChar w:fldCharType="separate"/>
        </w:r>
        <w:r>
          <w:rPr>
            <w:webHidden/>
          </w:rPr>
          <w:t>74</w:t>
        </w:r>
        <w:r>
          <w:rPr>
            <w:webHidden/>
          </w:rPr>
          <w:fldChar w:fldCharType="end"/>
        </w:r>
      </w:hyperlink>
    </w:p>
    <w:p w14:paraId="39D696B0" w14:textId="5399C97E" w:rsidR="00085789" w:rsidRDefault="00085789">
      <w:pPr>
        <w:pStyle w:val="TOC1"/>
        <w:rPr>
          <w:rFonts w:eastAsiaTheme="minorEastAsia" w:cstheme="minorBidi"/>
          <w:kern w:val="2"/>
          <w14:ligatures w14:val="standardContextual"/>
        </w:rPr>
      </w:pPr>
      <w:hyperlink w:anchor="_Toc213600773" w:history="1">
        <w:r>
          <w:rPr>
            <w:rStyle w:val="Hyperlink"/>
            <w:b w:val="0"/>
            <w:bCs w:val="0"/>
            <w:color w:val="auto"/>
            <w:u w:val="none"/>
          </w:rPr>
          <w:t>Hình 3.19. Diễn biến hàm lượng TSS trong nước hệ thống sông La</w:t>
        </w:r>
        <w:r>
          <w:rPr>
            <w:webHidden/>
          </w:rPr>
          <w:tab/>
        </w:r>
        <w:r>
          <w:rPr>
            <w:webHidden/>
          </w:rPr>
          <w:fldChar w:fldCharType="begin"/>
        </w:r>
        <w:r>
          <w:rPr>
            <w:webHidden/>
          </w:rPr>
          <w:instrText xml:space="preserve"> PAGEREF _Toc213600773 \h </w:instrText>
        </w:r>
        <w:r>
          <w:rPr>
            <w:webHidden/>
          </w:rPr>
        </w:r>
        <w:r>
          <w:rPr>
            <w:webHidden/>
          </w:rPr>
          <w:fldChar w:fldCharType="separate"/>
        </w:r>
        <w:r>
          <w:rPr>
            <w:webHidden/>
          </w:rPr>
          <w:t>75</w:t>
        </w:r>
        <w:r>
          <w:rPr>
            <w:webHidden/>
          </w:rPr>
          <w:fldChar w:fldCharType="end"/>
        </w:r>
      </w:hyperlink>
    </w:p>
    <w:p w14:paraId="785FA7BD" w14:textId="4DD3D4EB" w:rsidR="00085789" w:rsidRDefault="00085789">
      <w:pPr>
        <w:pStyle w:val="TOC1"/>
        <w:rPr>
          <w:rFonts w:eastAsiaTheme="minorEastAsia" w:cstheme="minorBidi"/>
          <w:kern w:val="2"/>
          <w14:ligatures w14:val="standardContextual"/>
        </w:rPr>
      </w:pPr>
      <w:hyperlink w:anchor="_Toc213600774" w:history="1">
        <w:r>
          <w:rPr>
            <w:rStyle w:val="Hyperlink"/>
            <w:b w:val="0"/>
            <w:bCs w:val="0"/>
            <w:color w:val="auto"/>
            <w:u w:val="none"/>
          </w:rPr>
          <w:t>Hình 3.20. Diễn biến hàm lượng DO trong nước hệ thống sông La</w:t>
        </w:r>
        <w:r>
          <w:rPr>
            <w:webHidden/>
          </w:rPr>
          <w:tab/>
        </w:r>
        <w:r>
          <w:rPr>
            <w:webHidden/>
          </w:rPr>
          <w:fldChar w:fldCharType="begin"/>
        </w:r>
        <w:r>
          <w:rPr>
            <w:webHidden/>
          </w:rPr>
          <w:instrText xml:space="preserve"> PAGEREF _Toc213600774 \h </w:instrText>
        </w:r>
        <w:r>
          <w:rPr>
            <w:webHidden/>
          </w:rPr>
        </w:r>
        <w:r>
          <w:rPr>
            <w:webHidden/>
          </w:rPr>
          <w:fldChar w:fldCharType="separate"/>
        </w:r>
        <w:r>
          <w:rPr>
            <w:webHidden/>
          </w:rPr>
          <w:t>75</w:t>
        </w:r>
        <w:r>
          <w:rPr>
            <w:webHidden/>
          </w:rPr>
          <w:fldChar w:fldCharType="end"/>
        </w:r>
      </w:hyperlink>
    </w:p>
    <w:p w14:paraId="08B2FAA5" w14:textId="529C15A9" w:rsidR="00085789" w:rsidRDefault="00085789">
      <w:pPr>
        <w:pStyle w:val="TOC1"/>
        <w:rPr>
          <w:rFonts w:eastAsiaTheme="minorEastAsia" w:cstheme="minorBidi"/>
          <w:kern w:val="2"/>
          <w14:ligatures w14:val="standardContextual"/>
        </w:rPr>
      </w:pPr>
      <w:hyperlink w:anchor="_Toc213600775" w:history="1">
        <w:r>
          <w:rPr>
            <w:rStyle w:val="Hyperlink"/>
            <w:b w:val="0"/>
            <w:bCs w:val="0"/>
            <w:color w:val="auto"/>
            <w:u w:val="none"/>
          </w:rPr>
          <w:t>Hình 3.21. Diễn biến hàm lượng Nitrat trong nước hệ thống sông La</w:t>
        </w:r>
        <w:r>
          <w:rPr>
            <w:webHidden/>
          </w:rPr>
          <w:tab/>
        </w:r>
        <w:r>
          <w:rPr>
            <w:webHidden/>
          </w:rPr>
          <w:fldChar w:fldCharType="begin"/>
        </w:r>
        <w:r>
          <w:rPr>
            <w:webHidden/>
          </w:rPr>
          <w:instrText xml:space="preserve"> PAGEREF _Toc213600775 \h </w:instrText>
        </w:r>
        <w:r>
          <w:rPr>
            <w:webHidden/>
          </w:rPr>
        </w:r>
        <w:r>
          <w:rPr>
            <w:webHidden/>
          </w:rPr>
          <w:fldChar w:fldCharType="separate"/>
        </w:r>
        <w:r>
          <w:rPr>
            <w:webHidden/>
          </w:rPr>
          <w:t>76</w:t>
        </w:r>
        <w:r>
          <w:rPr>
            <w:webHidden/>
          </w:rPr>
          <w:fldChar w:fldCharType="end"/>
        </w:r>
      </w:hyperlink>
    </w:p>
    <w:p w14:paraId="55463E84" w14:textId="48F7C983" w:rsidR="00085789" w:rsidRDefault="00085789">
      <w:pPr>
        <w:pStyle w:val="TOC1"/>
        <w:rPr>
          <w:rFonts w:eastAsiaTheme="minorEastAsia" w:cstheme="minorBidi"/>
          <w:kern w:val="2"/>
          <w14:ligatures w14:val="standardContextual"/>
        </w:rPr>
      </w:pPr>
      <w:hyperlink w:anchor="_Toc213600776" w:history="1">
        <w:r>
          <w:rPr>
            <w:rStyle w:val="Hyperlink"/>
            <w:b w:val="0"/>
            <w:bCs w:val="0"/>
            <w:color w:val="auto"/>
            <w:u w:val="none"/>
          </w:rPr>
          <w:t xml:space="preserve">Hình 3.22. Diễn biến hàm lượng </w:t>
        </w:r>
        <w:r>
          <w:rPr>
            <w:rStyle w:val="Hyperlink"/>
            <w:b w:val="0"/>
            <w:bCs w:val="0"/>
            <w:color w:val="auto"/>
            <w:spacing w:val="-4"/>
            <w:u w:val="none"/>
          </w:rPr>
          <w:t>Photphat</w:t>
        </w:r>
        <w:r>
          <w:rPr>
            <w:rStyle w:val="Hyperlink"/>
            <w:b w:val="0"/>
            <w:bCs w:val="0"/>
            <w:color w:val="auto"/>
            <w:u w:val="none"/>
          </w:rPr>
          <w:t xml:space="preserve"> trong nước hệ thống sông La</w:t>
        </w:r>
        <w:r>
          <w:rPr>
            <w:webHidden/>
          </w:rPr>
          <w:tab/>
        </w:r>
        <w:r>
          <w:rPr>
            <w:webHidden/>
          </w:rPr>
          <w:fldChar w:fldCharType="begin"/>
        </w:r>
        <w:r>
          <w:rPr>
            <w:webHidden/>
          </w:rPr>
          <w:instrText xml:space="preserve"> PAGEREF _Toc213600776 \h </w:instrText>
        </w:r>
        <w:r>
          <w:rPr>
            <w:webHidden/>
          </w:rPr>
        </w:r>
        <w:r>
          <w:rPr>
            <w:webHidden/>
          </w:rPr>
          <w:fldChar w:fldCharType="separate"/>
        </w:r>
        <w:r>
          <w:rPr>
            <w:webHidden/>
          </w:rPr>
          <w:t>76</w:t>
        </w:r>
        <w:r>
          <w:rPr>
            <w:webHidden/>
          </w:rPr>
          <w:fldChar w:fldCharType="end"/>
        </w:r>
      </w:hyperlink>
    </w:p>
    <w:p w14:paraId="02D93F19" w14:textId="64FA8D9D" w:rsidR="00085789" w:rsidRDefault="00085789">
      <w:pPr>
        <w:pStyle w:val="TOC1"/>
        <w:rPr>
          <w:rFonts w:eastAsiaTheme="minorEastAsia" w:cstheme="minorBidi"/>
          <w:kern w:val="2"/>
          <w14:ligatures w14:val="standardContextual"/>
        </w:rPr>
      </w:pPr>
      <w:hyperlink w:anchor="_Toc213600777" w:history="1">
        <w:r>
          <w:rPr>
            <w:rStyle w:val="Hyperlink"/>
            <w:b w:val="0"/>
            <w:bCs w:val="0"/>
            <w:color w:val="auto"/>
            <w:u w:val="none"/>
            <w:lang w:val="pt-BR"/>
          </w:rPr>
          <w:t xml:space="preserve">Hình 3.24. Chỉ số WQI nước mặt hệ thống sông La </w:t>
        </w:r>
        <w:r>
          <w:rPr>
            <w:rStyle w:val="Hyperlink"/>
            <w:b w:val="0"/>
            <w:bCs w:val="0"/>
            <w:color w:val="auto"/>
            <w:spacing w:val="-2"/>
            <w:u w:val="none"/>
            <w:lang w:val="pt-BR"/>
          </w:rPr>
          <w:t>giai đoạn 2021-2024</w:t>
        </w:r>
        <w:r>
          <w:rPr>
            <w:webHidden/>
          </w:rPr>
          <w:tab/>
        </w:r>
        <w:r>
          <w:rPr>
            <w:webHidden/>
          </w:rPr>
          <w:fldChar w:fldCharType="begin"/>
        </w:r>
        <w:r>
          <w:rPr>
            <w:webHidden/>
          </w:rPr>
          <w:instrText xml:space="preserve"> PAGEREF _Toc213600777 \h </w:instrText>
        </w:r>
        <w:r>
          <w:rPr>
            <w:webHidden/>
          </w:rPr>
        </w:r>
        <w:r>
          <w:rPr>
            <w:webHidden/>
          </w:rPr>
          <w:fldChar w:fldCharType="separate"/>
        </w:r>
        <w:r>
          <w:rPr>
            <w:webHidden/>
          </w:rPr>
          <w:t>77</w:t>
        </w:r>
        <w:r>
          <w:rPr>
            <w:webHidden/>
          </w:rPr>
          <w:fldChar w:fldCharType="end"/>
        </w:r>
      </w:hyperlink>
    </w:p>
    <w:p w14:paraId="63566032" w14:textId="7B17B6DE" w:rsidR="00085789" w:rsidRDefault="00085789">
      <w:pPr>
        <w:pStyle w:val="TOC1"/>
        <w:rPr>
          <w:rFonts w:eastAsiaTheme="minorEastAsia" w:cstheme="minorBidi"/>
          <w:kern w:val="2"/>
          <w14:ligatures w14:val="standardContextual"/>
        </w:rPr>
      </w:pPr>
      <w:hyperlink w:anchor="_Toc213600778" w:history="1">
        <w:r>
          <w:rPr>
            <w:rStyle w:val="Hyperlink"/>
            <w:rFonts w:eastAsia="Batang"/>
            <w:b w:val="0"/>
            <w:bCs w:val="0"/>
            <w:color w:val="auto"/>
            <w:u w:val="none"/>
          </w:rPr>
          <w:t xml:space="preserve">Hình 3.25. Diễn biến hàm lượng BOD5 </w:t>
        </w:r>
        <w:r>
          <w:rPr>
            <w:rStyle w:val="Hyperlink"/>
            <w:b w:val="0"/>
            <w:bCs w:val="0"/>
            <w:color w:val="auto"/>
            <w:u w:val="none"/>
          </w:rPr>
          <w:t>trong nước hệ thống sông Quyền</w:t>
        </w:r>
        <w:r>
          <w:rPr>
            <w:webHidden/>
          </w:rPr>
          <w:tab/>
        </w:r>
        <w:r>
          <w:rPr>
            <w:webHidden/>
          </w:rPr>
          <w:fldChar w:fldCharType="begin"/>
        </w:r>
        <w:r>
          <w:rPr>
            <w:webHidden/>
          </w:rPr>
          <w:instrText xml:space="preserve"> PAGEREF _Toc213600778 \h </w:instrText>
        </w:r>
        <w:r>
          <w:rPr>
            <w:webHidden/>
          </w:rPr>
        </w:r>
        <w:r>
          <w:rPr>
            <w:webHidden/>
          </w:rPr>
          <w:fldChar w:fldCharType="separate"/>
        </w:r>
        <w:r>
          <w:rPr>
            <w:webHidden/>
          </w:rPr>
          <w:t>78</w:t>
        </w:r>
        <w:r>
          <w:rPr>
            <w:webHidden/>
          </w:rPr>
          <w:fldChar w:fldCharType="end"/>
        </w:r>
      </w:hyperlink>
    </w:p>
    <w:p w14:paraId="03B54E43" w14:textId="57CF65FF" w:rsidR="00085789" w:rsidRDefault="00085789">
      <w:pPr>
        <w:pStyle w:val="TOC1"/>
        <w:rPr>
          <w:rFonts w:eastAsiaTheme="minorEastAsia" w:cstheme="minorBidi"/>
          <w:kern w:val="2"/>
          <w14:ligatures w14:val="standardContextual"/>
        </w:rPr>
      </w:pPr>
      <w:hyperlink w:anchor="_Toc213600779" w:history="1">
        <w:r>
          <w:rPr>
            <w:rStyle w:val="Hyperlink"/>
            <w:b w:val="0"/>
            <w:bCs w:val="0"/>
            <w:color w:val="auto"/>
            <w:u w:val="none"/>
          </w:rPr>
          <w:t>Hình 3.26. Diễn biến hàm lượng COD trong nước hệ thống sông Quyền</w:t>
        </w:r>
        <w:r>
          <w:rPr>
            <w:webHidden/>
          </w:rPr>
          <w:tab/>
        </w:r>
        <w:r>
          <w:rPr>
            <w:webHidden/>
          </w:rPr>
          <w:fldChar w:fldCharType="begin"/>
        </w:r>
        <w:r>
          <w:rPr>
            <w:webHidden/>
          </w:rPr>
          <w:instrText xml:space="preserve"> PAGEREF _Toc213600779 \h </w:instrText>
        </w:r>
        <w:r>
          <w:rPr>
            <w:webHidden/>
          </w:rPr>
        </w:r>
        <w:r>
          <w:rPr>
            <w:webHidden/>
          </w:rPr>
          <w:fldChar w:fldCharType="separate"/>
        </w:r>
        <w:r>
          <w:rPr>
            <w:webHidden/>
          </w:rPr>
          <w:t>79</w:t>
        </w:r>
        <w:r>
          <w:rPr>
            <w:webHidden/>
          </w:rPr>
          <w:fldChar w:fldCharType="end"/>
        </w:r>
      </w:hyperlink>
    </w:p>
    <w:p w14:paraId="5D8820A0" w14:textId="4A88D183" w:rsidR="00085789" w:rsidRDefault="00085789">
      <w:pPr>
        <w:pStyle w:val="TOC1"/>
        <w:rPr>
          <w:rFonts w:eastAsiaTheme="minorEastAsia" w:cstheme="minorBidi"/>
          <w:kern w:val="2"/>
          <w14:ligatures w14:val="standardContextual"/>
        </w:rPr>
      </w:pPr>
      <w:hyperlink w:anchor="_Toc213600780" w:history="1">
        <w:r>
          <w:rPr>
            <w:rStyle w:val="Hyperlink"/>
            <w:b w:val="0"/>
            <w:bCs w:val="0"/>
            <w:color w:val="auto"/>
            <w:u w:val="none"/>
          </w:rPr>
          <w:t>Hình 3.27. Diễn biến hàm lượng TSS trong nước hệ thống sông Quyền</w:t>
        </w:r>
        <w:r>
          <w:rPr>
            <w:webHidden/>
          </w:rPr>
          <w:tab/>
        </w:r>
        <w:r>
          <w:rPr>
            <w:webHidden/>
          </w:rPr>
          <w:fldChar w:fldCharType="begin"/>
        </w:r>
        <w:r>
          <w:rPr>
            <w:webHidden/>
          </w:rPr>
          <w:instrText xml:space="preserve"> PAGEREF _Toc213600780 \h </w:instrText>
        </w:r>
        <w:r>
          <w:rPr>
            <w:webHidden/>
          </w:rPr>
        </w:r>
        <w:r>
          <w:rPr>
            <w:webHidden/>
          </w:rPr>
          <w:fldChar w:fldCharType="separate"/>
        </w:r>
        <w:r>
          <w:rPr>
            <w:webHidden/>
          </w:rPr>
          <w:t>79</w:t>
        </w:r>
        <w:r>
          <w:rPr>
            <w:webHidden/>
          </w:rPr>
          <w:fldChar w:fldCharType="end"/>
        </w:r>
      </w:hyperlink>
    </w:p>
    <w:p w14:paraId="4A58947C" w14:textId="7DDA5B50" w:rsidR="00085789" w:rsidRDefault="00085789">
      <w:pPr>
        <w:pStyle w:val="TOC1"/>
        <w:rPr>
          <w:rFonts w:eastAsiaTheme="minorEastAsia" w:cstheme="minorBidi"/>
          <w:kern w:val="2"/>
          <w14:ligatures w14:val="standardContextual"/>
        </w:rPr>
      </w:pPr>
      <w:hyperlink w:anchor="_Toc213600781" w:history="1">
        <w:r>
          <w:rPr>
            <w:rStyle w:val="Hyperlink"/>
            <w:b w:val="0"/>
            <w:bCs w:val="0"/>
            <w:color w:val="auto"/>
            <w:u w:val="none"/>
          </w:rPr>
          <w:t>Hình 3.28. Diễn biến hàm lượng DO trong nước hệ thống sông Quyền</w:t>
        </w:r>
        <w:r>
          <w:rPr>
            <w:webHidden/>
          </w:rPr>
          <w:tab/>
        </w:r>
        <w:r>
          <w:rPr>
            <w:webHidden/>
          </w:rPr>
          <w:fldChar w:fldCharType="begin"/>
        </w:r>
        <w:r>
          <w:rPr>
            <w:webHidden/>
          </w:rPr>
          <w:instrText xml:space="preserve"> PAGEREF _Toc213600781 \h </w:instrText>
        </w:r>
        <w:r>
          <w:rPr>
            <w:webHidden/>
          </w:rPr>
        </w:r>
        <w:r>
          <w:rPr>
            <w:webHidden/>
          </w:rPr>
          <w:fldChar w:fldCharType="separate"/>
        </w:r>
        <w:r>
          <w:rPr>
            <w:webHidden/>
          </w:rPr>
          <w:t>79</w:t>
        </w:r>
        <w:r>
          <w:rPr>
            <w:webHidden/>
          </w:rPr>
          <w:fldChar w:fldCharType="end"/>
        </w:r>
      </w:hyperlink>
    </w:p>
    <w:p w14:paraId="43452446" w14:textId="3CEE0C44" w:rsidR="00085789" w:rsidRDefault="00085789">
      <w:pPr>
        <w:pStyle w:val="TOC1"/>
        <w:rPr>
          <w:rFonts w:eastAsiaTheme="minorEastAsia" w:cstheme="minorBidi"/>
          <w:kern w:val="2"/>
          <w14:ligatures w14:val="standardContextual"/>
        </w:rPr>
      </w:pPr>
      <w:hyperlink w:anchor="_Toc213600782" w:history="1">
        <w:r>
          <w:rPr>
            <w:rStyle w:val="Hyperlink"/>
            <w:b w:val="0"/>
            <w:bCs w:val="0"/>
            <w:color w:val="auto"/>
            <w:u w:val="none"/>
          </w:rPr>
          <w:t>Hình 3.29. Diễn biến hàm lượng Nitrat trong nước hệ thống sông Quyền.</w:t>
        </w:r>
        <w:r>
          <w:rPr>
            <w:webHidden/>
          </w:rPr>
          <w:tab/>
        </w:r>
        <w:r>
          <w:rPr>
            <w:webHidden/>
          </w:rPr>
          <w:fldChar w:fldCharType="begin"/>
        </w:r>
        <w:r>
          <w:rPr>
            <w:webHidden/>
          </w:rPr>
          <w:instrText xml:space="preserve"> PAGEREF _Toc213600782 \h </w:instrText>
        </w:r>
        <w:r>
          <w:rPr>
            <w:webHidden/>
          </w:rPr>
        </w:r>
        <w:r>
          <w:rPr>
            <w:webHidden/>
          </w:rPr>
          <w:fldChar w:fldCharType="separate"/>
        </w:r>
        <w:r>
          <w:rPr>
            <w:webHidden/>
          </w:rPr>
          <w:t>80</w:t>
        </w:r>
        <w:r>
          <w:rPr>
            <w:webHidden/>
          </w:rPr>
          <w:fldChar w:fldCharType="end"/>
        </w:r>
      </w:hyperlink>
    </w:p>
    <w:p w14:paraId="4E8D795B" w14:textId="13595E74" w:rsidR="00085789" w:rsidRDefault="00085789">
      <w:pPr>
        <w:pStyle w:val="TOC1"/>
        <w:rPr>
          <w:rFonts w:eastAsiaTheme="minorEastAsia" w:cstheme="minorBidi"/>
          <w:kern w:val="2"/>
          <w14:ligatures w14:val="standardContextual"/>
        </w:rPr>
      </w:pPr>
      <w:hyperlink w:anchor="_Toc213600783" w:history="1">
        <w:r>
          <w:rPr>
            <w:rStyle w:val="Hyperlink"/>
            <w:b w:val="0"/>
            <w:bCs w:val="0"/>
            <w:color w:val="auto"/>
            <w:u w:val="none"/>
          </w:rPr>
          <w:t xml:space="preserve">Hình 3.30. Diễn biến hàm lượng </w:t>
        </w:r>
        <w:r>
          <w:rPr>
            <w:rStyle w:val="Hyperlink"/>
            <w:b w:val="0"/>
            <w:bCs w:val="0"/>
            <w:color w:val="auto"/>
            <w:spacing w:val="-4"/>
            <w:u w:val="none"/>
          </w:rPr>
          <w:t>Photphat</w:t>
        </w:r>
        <w:r>
          <w:rPr>
            <w:rStyle w:val="Hyperlink"/>
            <w:b w:val="0"/>
            <w:bCs w:val="0"/>
            <w:color w:val="auto"/>
            <w:u w:val="none"/>
          </w:rPr>
          <w:t xml:space="preserve"> trong nước hệ thống sông Quyền.</w:t>
        </w:r>
        <w:r>
          <w:rPr>
            <w:webHidden/>
          </w:rPr>
          <w:tab/>
        </w:r>
        <w:r>
          <w:rPr>
            <w:webHidden/>
          </w:rPr>
          <w:fldChar w:fldCharType="begin"/>
        </w:r>
        <w:r>
          <w:rPr>
            <w:webHidden/>
          </w:rPr>
          <w:instrText xml:space="preserve"> PAGEREF _Toc213600783 \h </w:instrText>
        </w:r>
        <w:r>
          <w:rPr>
            <w:webHidden/>
          </w:rPr>
        </w:r>
        <w:r>
          <w:rPr>
            <w:webHidden/>
          </w:rPr>
          <w:fldChar w:fldCharType="separate"/>
        </w:r>
        <w:r>
          <w:rPr>
            <w:webHidden/>
          </w:rPr>
          <w:t>80</w:t>
        </w:r>
        <w:r>
          <w:rPr>
            <w:webHidden/>
          </w:rPr>
          <w:fldChar w:fldCharType="end"/>
        </w:r>
      </w:hyperlink>
    </w:p>
    <w:p w14:paraId="24756F6D" w14:textId="66894222" w:rsidR="00085789" w:rsidRDefault="00085789">
      <w:pPr>
        <w:pStyle w:val="TOC1"/>
        <w:rPr>
          <w:rFonts w:eastAsiaTheme="minorEastAsia" w:cstheme="minorBidi"/>
          <w:kern w:val="2"/>
          <w14:ligatures w14:val="standardContextual"/>
        </w:rPr>
      </w:pPr>
      <w:hyperlink w:anchor="_Toc213600784" w:history="1">
        <w:r>
          <w:rPr>
            <w:rStyle w:val="Hyperlink"/>
            <w:b w:val="0"/>
            <w:bCs w:val="0"/>
            <w:color w:val="auto"/>
            <w:u w:val="none"/>
          </w:rPr>
          <w:t>Hình 3.31. Diễn biến hàm lượng Coliform trong nước hệ thống sông Quyền.</w:t>
        </w:r>
        <w:r>
          <w:rPr>
            <w:webHidden/>
          </w:rPr>
          <w:tab/>
        </w:r>
        <w:r>
          <w:rPr>
            <w:webHidden/>
          </w:rPr>
          <w:fldChar w:fldCharType="begin"/>
        </w:r>
        <w:r>
          <w:rPr>
            <w:webHidden/>
          </w:rPr>
          <w:instrText xml:space="preserve"> PAGEREF _Toc213600784 \h </w:instrText>
        </w:r>
        <w:r>
          <w:rPr>
            <w:webHidden/>
          </w:rPr>
        </w:r>
        <w:r>
          <w:rPr>
            <w:webHidden/>
          </w:rPr>
          <w:fldChar w:fldCharType="separate"/>
        </w:r>
        <w:r>
          <w:rPr>
            <w:webHidden/>
          </w:rPr>
          <w:t>81</w:t>
        </w:r>
        <w:r>
          <w:rPr>
            <w:webHidden/>
          </w:rPr>
          <w:fldChar w:fldCharType="end"/>
        </w:r>
      </w:hyperlink>
    </w:p>
    <w:p w14:paraId="48407A7E" w14:textId="3ABB02D2" w:rsidR="00085789" w:rsidRDefault="00085789">
      <w:pPr>
        <w:pStyle w:val="TOC1"/>
        <w:rPr>
          <w:rFonts w:eastAsiaTheme="minorEastAsia" w:cstheme="minorBidi"/>
          <w:kern w:val="2"/>
          <w14:ligatures w14:val="standardContextual"/>
        </w:rPr>
      </w:pPr>
      <w:hyperlink w:anchor="_Toc213600785" w:history="1">
        <w:r>
          <w:rPr>
            <w:rStyle w:val="Hyperlink"/>
            <w:b w:val="0"/>
            <w:bCs w:val="0"/>
            <w:color w:val="auto"/>
            <w:u w:val="none"/>
            <w:lang w:val="pt-BR"/>
          </w:rPr>
          <w:t xml:space="preserve">Hình 3.32. Chỉ số WQI nước mặt hệ thống sông Quyền </w:t>
        </w:r>
        <w:r>
          <w:rPr>
            <w:rStyle w:val="Hyperlink"/>
            <w:b w:val="0"/>
            <w:bCs w:val="0"/>
            <w:color w:val="auto"/>
            <w:spacing w:val="-2"/>
            <w:u w:val="none"/>
            <w:lang w:val="pt-BR"/>
          </w:rPr>
          <w:t>giai đoạn 2021-2024</w:t>
        </w:r>
        <w:r>
          <w:rPr>
            <w:rStyle w:val="Hyperlink"/>
            <w:b w:val="0"/>
            <w:bCs w:val="0"/>
            <w:color w:val="auto"/>
            <w:u w:val="none"/>
            <w:lang w:val="pt-BR"/>
          </w:rPr>
          <w:t>.</w:t>
        </w:r>
        <w:r>
          <w:rPr>
            <w:webHidden/>
          </w:rPr>
          <w:tab/>
        </w:r>
        <w:r>
          <w:rPr>
            <w:webHidden/>
          </w:rPr>
          <w:fldChar w:fldCharType="begin"/>
        </w:r>
        <w:r>
          <w:rPr>
            <w:webHidden/>
          </w:rPr>
          <w:instrText xml:space="preserve"> PAGEREF _Toc213600785 \h </w:instrText>
        </w:r>
        <w:r>
          <w:rPr>
            <w:webHidden/>
          </w:rPr>
        </w:r>
        <w:r>
          <w:rPr>
            <w:webHidden/>
          </w:rPr>
          <w:fldChar w:fldCharType="separate"/>
        </w:r>
        <w:r>
          <w:rPr>
            <w:webHidden/>
          </w:rPr>
          <w:t>81</w:t>
        </w:r>
        <w:r>
          <w:rPr>
            <w:webHidden/>
          </w:rPr>
          <w:fldChar w:fldCharType="end"/>
        </w:r>
      </w:hyperlink>
    </w:p>
    <w:p w14:paraId="6CA82211" w14:textId="3367FE6B" w:rsidR="00085789" w:rsidRDefault="00085789">
      <w:pPr>
        <w:pStyle w:val="TOC1"/>
        <w:rPr>
          <w:rFonts w:eastAsiaTheme="minorEastAsia" w:cstheme="minorBidi"/>
          <w:kern w:val="2"/>
          <w14:ligatures w14:val="standardContextual"/>
        </w:rPr>
      </w:pPr>
      <w:hyperlink w:anchor="_Toc213600786" w:history="1">
        <w:r>
          <w:rPr>
            <w:rStyle w:val="Hyperlink"/>
            <w:rFonts w:eastAsia="Batang"/>
            <w:b w:val="0"/>
            <w:bCs w:val="0"/>
            <w:color w:val="auto"/>
            <w:u w:val="none"/>
          </w:rPr>
          <w:t xml:space="preserve">Hình 3.33. Diễn biến hàm lượng BOD5 </w:t>
        </w:r>
        <w:r>
          <w:rPr>
            <w:rStyle w:val="Hyperlink"/>
            <w:b w:val="0"/>
            <w:bCs w:val="0"/>
            <w:color w:val="auto"/>
            <w:u w:val="none"/>
          </w:rPr>
          <w:t>trong nước các sông/suối khác.</w:t>
        </w:r>
        <w:r>
          <w:rPr>
            <w:webHidden/>
          </w:rPr>
          <w:tab/>
        </w:r>
        <w:r>
          <w:rPr>
            <w:webHidden/>
          </w:rPr>
          <w:fldChar w:fldCharType="begin"/>
        </w:r>
        <w:r>
          <w:rPr>
            <w:webHidden/>
          </w:rPr>
          <w:instrText xml:space="preserve"> PAGEREF _Toc213600786 \h </w:instrText>
        </w:r>
        <w:r>
          <w:rPr>
            <w:webHidden/>
          </w:rPr>
        </w:r>
        <w:r>
          <w:rPr>
            <w:webHidden/>
          </w:rPr>
          <w:fldChar w:fldCharType="separate"/>
        </w:r>
        <w:r>
          <w:rPr>
            <w:webHidden/>
          </w:rPr>
          <w:t>82</w:t>
        </w:r>
        <w:r>
          <w:rPr>
            <w:webHidden/>
          </w:rPr>
          <w:fldChar w:fldCharType="end"/>
        </w:r>
      </w:hyperlink>
    </w:p>
    <w:p w14:paraId="092FCE68" w14:textId="37981754" w:rsidR="00085789" w:rsidRDefault="00085789">
      <w:pPr>
        <w:pStyle w:val="TOC1"/>
        <w:rPr>
          <w:rFonts w:eastAsiaTheme="minorEastAsia" w:cstheme="minorBidi"/>
          <w:kern w:val="2"/>
          <w14:ligatures w14:val="standardContextual"/>
        </w:rPr>
      </w:pPr>
      <w:hyperlink w:anchor="_Toc213600787" w:history="1">
        <w:r>
          <w:rPr>
            <w:rStyle w:val="Hyperlink"/>
            <w:b w:val="0"/>
            <w:bCs w:val="0"/>
            <w:color w:val="auto"/>
            <w:u w:val="none"/>
          </w:rPr>
          <w:t>Hình 3.34. Diễn biến hàm lượng COD trong nước các sông/suối khác.</w:t>
        </w:r>
        <w:r>
          <w:rPr>
            <w:webHidden/>
          </w:rPr>
          <w:tab/>
        </w:r>
        <w:r>
          <w:rPr>
            <w:webHidden/>
          </w:rPr>
          <w:fldChar w:fldCharType="begin"/>
        </w:r>
        <w:r>
          <w:rPr>
            <w:webHidden/>
          </w:rPr>
          <w:instrText xml:space="preserve"> PAGEREF _Toc213600787 \h </w:instrText>
        </w:r>
        <w:r>
          <w:rPr>
            <w:webHidden/>
          </w:rPr>
        </w:r>
        <w:r>
          <w:rPr>
            <w:webHidden/>
          </w:rPr>
          <w:fldChar w:fldCharType="separate"/>
        </w:r>
        <w:r>
          <w:rPr>
            <w:webHidden/>
          </w:rPr>
          <w:t>82</w:t>
        </w:r>
        <w:r>
          <w:rPr>
            <w:webHidden/>
          </w:rPr>
          <w:fldChar w:fldCharType="end"/>
        </w:r>
      </w:hyperlink>
    </w:p>
    <w:p w14:paraId="0A0E125F" w14:textId="60C3BDCA" w:rsidR="00085789" w:rsidRDefault="00085789">
      <w:pPr>
        <w:pStyle w:val="TOC1"/>
        <w:rPr>
          <w:rFonts w:eastAsiaTheme="minorEastAsia" w:cstheme="minorBidi"/>
          <w:kern w:val="2"/>
          <w14:ligatures w14:val="standardContextual"/>
        </w:rPr>
      </w:pPr>
      <w:hyperlink w:anchor="_Toc213600788" w:history="1">
        <w:r>
          <w:rPr>
            <w:rStyle w:val="Hyperlink"/>
            <w:b w:val="0"/>
            <w:bCs w:val="0"/>
            <w:color w:val="auto"/>
            <w:u w:val="none"/>
          </w:rPr>
          <w:t>Hình 3.35. Diễn biến hàm lượng TSS trong nước các sông/suối khác</w:t>
        </w:r>
        <w:r>
          <w:rPr>
            <w:webHidden/>
          </w:rPr>
          <w:tab/>
        </w:r>
        <w:r>
          <w:rPr>
            <w:webHidden/>
          </w:rPr>
          <w:fldChar w:fldCharType="begin"/>
        </w:r>
        <w:r>
          <w:rPr>
            <w:webHidden/>
          </w:rPr>
          <w:instrText xml:space="preserve"> PAGEREF _Toc213600788 \h </w:instrText>
        </w:r>
        <w:r>
          <w:rPr>
            <w:webHidden/>
          </w:rPr>
        </w:r>
        <w:r>
          <w:rPr>
            <w:webHidden/>
          </w:rPr>
          <w:fldChar w:fldCharType="separate"/>
        </w:r>
        <w:r>
          <w:rPr>
            <w:webHidden/>
          </w:rPr>
          <w:t>83</w:t>
        </w:r>
        <w:r>
          <w:rPr>
            <w:webHidden/>
          </w:rPr>
          <w:fldChar w:fldCharType="end"/>
        </w:r>
      </w:hyperlink>
    </w:p>
    <w:p w14:paraId="58E38EE4" w14:textId="5054EB23" w:rsidR="00085789" w:rsidRDefault="00085789">
      <w:pPr>
        <w:pStyle w:val="TOC1"/>
        <w:rPr>
          <w:rFonts w:eastAsiaTheme="minorEastAsia" w:cstheme="minorBidi"/>
          <w:kern w:val="2"/>
          <w14:ligatures w14:val="standardContextual"/>
        </w:rPr>
      </w:pPr>
      <w:hyperlink w:anchor="_Toc213600789" w:history="1">
        <w:r>
          <w:rPr>
            <w:rStyle w:val="Hyperlink"/>
            <w:b w:val="0"/>
            <w:bCs w:val="0"/>
            <w:color w:val="auto"/>
            <w:u w:val="none"/>
          </w:rPr>
          <w:t>Hình 3.36. Diễn biến hàm lượng DO trong nước các sông/suối khác</w:t>
        </w:r>
        <w:r>
          <w:rPr>
            <w:webHidden/>
          </w:rPr>
          <w:tab/>
        </w:r>
        <w:r>
          <w:rPr>
            <w:webHidden/>
          </w:rPr>
          <w:fldChar w:fldCharType="begin"/>
        </w:r>
        <w:r>
          <w:rPr>
            <w:webHidden/>
          </w:rPr>
          <w:instrText xml:space="preserve"> PAGEREF _Toc213600789 \h </w:instrText>
        </w:r>
        <w:r>
          <w:rPr>
            <w:webHidden/>
          </w:rPr>
        </w:r>
        <w:r>
          <w:rPr>
            <w:webHidden/>
          </w:rPr>
          <w:fldChar w:fldCharType="separate"/>
        </w:r>
        <w:r>
          <w:rPr>
            <w:webHidden/>
          </w:rPr>
          <w:t>84</w:t>
        </w:r>
        <w:r>
          <w:rPr>
            <w:webHidden/>
          </w:rPr>
          <w:fldChar w:fldCharType="end"/>
        </w:r>
      </w:hyperlink>
    </w:p>
    <w:p w14:paraId="2CEDAC80" w14:textId="64CD881C" w:rsidR="00085789" w:rsidRDefault="00085789">
      <w:pPr>
        <w:pStyle w:val="TOC1"/>
        <w:rPr>
          <w:rFonts w:eastAsiaTheme="minorEastAsia" w:cstheme="minorBidi"/>
          <w:kern w:val="2"/>
          <w14:ligatures w14:val="standardContextual"/>
        </w:rPr>
      </w:pPr>
      <w:hyperlink w:anchor="_Toc213600790" w:history="1">
        <w:r>
          <w:rPr>
            <w:rStyle w:val="Hyperlink"/>
            <w:b w:val="0"/>
            <w:bCs w:val="0"/>
            <w:color w:val="auto"/>
            <w:u w:val="none"/>
          </w:rPr>
          <w:t>Hình 3.37. Diễn biến hàm lượng Nitrat trong nước các sông/suối khác</w:t>
        </w:r>
        <w:r>
          <w:rPr>
            <w:webHidden/>
          </w:rPr>
          <w:tab/>
        </w:r>
        <w:r>
          <w:rPr>
            <w:webHidden/>
          </w:rPr>
          <w:fldChar w:fldCharType="begin"/>
        </w:r>
        <w:r>
          <w:rPr>
            <w:webHidden/>
          </w:rPr>
          <w:instrText xml:space="preserve"> PAGEREF _Toc213600790 \h </w:instrText>
        </w:r>
        <w:r>
          <w:rPr>
            <w:webHidden/>
          </w:rPr>
        </w:r>
        <w:r>
          <w:rPr>
            <w:webHidden/>
          </w:rPr>
          <w:fldChar w:fldCharType="separate"/>
        </w:r>
        <w:r>
          <w:rPr>
            <w:webHidden/>
          </w:rPr>
          <w:t>84</w:t>
        </w:r>
        <w:r>
          <w:rPr>
            <w:webHidden/>
          </w:rPr>
          <w:fldChar w:fldCharType="end"/>
        </w:r>
      </w:hyperlink>
    </w:p>
    <w:p w14:paraId="34FF8504" w14:textId="3BEB97AD" w:rsidR="00085789" w:rsidRDefault="00085789">
      <w:pPr>
        <w:pStyle w:val="TOC1"/>
        <w:rPr>
          <w:rFonts w:eastAsiaTheme="minorEastAsia" w:cstheme="minorBidi"/>
          <w:kern w:val="2"/>
          <w14:ligatures w14:val="standardContextual"/>
        </w:rPr>
      </w:pPr>
      <w:hyperlink w:anchor="_Toc213600791" w:history="1">
        <w:r>
          <w:rPr>
            <w:rStyle w:val="Hyperlink"/>
            <w:b w:val="0"/>
            <w:bCs w:val="0"/>
            <w:color w:val="auto"/>
            <w:u w:val="none"/>
          </w:rPr>
          <w:t xml:space="preserve">Hình 3.38. Diễn biến hàm lượng </w:t>
        </w:r>
        <w:r>
          <w:rPr>
            <w:rStyle w:val="Hyperlink"/>
            <w:b w:val="0"/>
            <w:bCs w:val="0"/>
            <w:color w:val="auto"/>
            <w:spacing w:val="-4"/>
            <w:u w:val="none"/>
          </w:rPr>
          <w:t>Photphat</w:t>
        </w:r>
        <w:r>
          <w:rPr>
            <w:rStyle w:val="Hyperlink"/>
            <w:b w:val="0"/>
            <w:bCs w:val="0"/>
            <w:color w:val="auto"/>
            <w:u w:val="none"/>
          </w:rPr>
          <w:t xml:space="preserve"> trong nước các sông/suối khác</w:t>
        </w:r>
        <w:r>
          <w:rPr>
            <w:webHidden/>
          </w:rPr>
          <w:tab/>
        </w:r>
        <w:r>
          <w:rPr>
            <w:webHidden/>
          </w:rPr>
          <w:fldChar w:fldCharType="begin"/>
        </w:r>
        <w:r>
          <w:rPr>
            <w:webHidden/>
          </w:rPr>
          <w:instrText xml:space="preserve"> PAGEREF _Toc213600791 \h </w:instrText>
        </w:r>
        <w:r>
          <w:rPr>
            <w:webHidden/>
          </w:rPr>
        </w:r>
        <w:r>
          <w:rPr>
            <w:webHidden/>
          </w:rPr>
          <w:fldChar w:fldCharType="separate"/>
        </w:r>
        <w:r>
          <w:rPr>
            <w:webHidden/>
          </w:rPr>
          <w:t>85</w:t>
        </w:r>
        <w:r>
          <w:rPr>
            <w:webHidden/>
          </w:rPr>
          <w:fldChar w:fldCharType="end"/>
        </w:r>
      </w:hyperlink>
    </w:p>
    <w:p w14:paraId="499EAE1D" w14:textId="5826AB34" w:rsidR="00085789" w:rsidRDefault="00085789">
      <w:pPr>
        <w:pStyle w:val="TOC1"/>
        <w:rPr>
          <w:rFonts w:eastAsiaTheme="minorEastAsia" w:cstheme="minorBidi"/>
          <w:kern w:val="2"/>
          <w14:ligatures w14:val="standardContextual"/>
        </w:rPr>
      </w:pPr>
      <w:hyperlink w:anchor="_Toc213600792" w:history="1">
        <w:r>
          <w:rPr>
            <w:rStyle w:val="Hyperlink"/>
            <w:b w:val="0"/>
            <w:bCs w:val="0"/>
            <w:color w:val="auto"/>
            <w:u w:val="none"/>
          </w:rPr>
          <w:t>Hình 3.39. Diễn biến hàm lượng Coliform trong nước các sông/suối khác</w:t>
        </w:r>
        <w:r>
          <w:rPr>
            <w:webHidden/>
          </w:rPr>
          <w:tab/>
        </w:r>
        <w:r>
          <w:rPr>
            <w:webHidden/>
          </w:rPr>
          <w:fldChar w:fldCharType="begin"/>
        </w:r>
        <w:r>
          <w:rPr>
            <w:webHidden/>
          </w:rPr>
          <w:instrText xml:space="preserve"> PAGEREF _Toc213600792 \h </w:instrText>
        </w:r>
        <w:r>
          <w:rPr>
            <w:webHidden/>
          </w:rPr>
        </w:r>
        <w:r>
          <w:rPr>
            <w:webHidden/>
          </w:rPr>
          <w:fldChar w:fldCharType="separate"/>
        </w:r>
        <w:r>
          <w:rPr>
            <w:webHidden/>
          </w:rPr>
          <w:t>85</w:t>
        </w:r>
        <w:r>
          <w:rPr>
            <w:webHidden/>
          </w:rPr>
          <w:fldChar w:fldCharType="end"/>
        </w:r>
      </w:hyperlink>
    </w:p>
    <w:p w14:paraId="678A6932" w14:textId="5E82BE2F" w:rsidR="00085789" w:rsidRDefault="00085789">
      <w:pPr>
        <w:pStyle w:val="TOC1"/>
        <w:rPr>
          <w:rFonts w:eastAsiaTheme="minorEastAsia" w:cstheme="minorBidi"/>
          <w:kern w:val="2"/>
          <w14:ligatures w14:val="standardContextual"/>
        </w:rPr>
      </w:pPr>
      <w:hyperlink w:anchor="_Toc213600793" w:history="1">
        <w:r>
          <w:rPr>
            <w:rStyle w:val="Hyperlink"/>
            <w:b w:val="0"/>
            <w:bCs w:val="0"/>
            <w:color w:val="auto"/>
            <w:u w:val="none"/>
            <w:lang w:val="pt-BR"/>
          </w:rPr>
          <w:t xml:space="preserve">Hình 3.40. Chỉ số WQI các sông, suối khác trên địa bàn tỉnh </w:t>
        </w:r>
        <w:r>
          <w:rPr>
            <w:rStyle w:val="Hyperlink"/>
            <w:b w:val="0"/>
            <w:bCs w:val="0"/>
            <w:color w:val="auto"/>
            <w:spacing w:val="-2"/>
            <w:u w:val="none"/>
            <w:lang w:val="pt-BR"/>
          </w:rPr>
          <w:t>giai đoạn 2021-2024</w:t>
        </w:r>
        <w:r>
          <w:rPr>
            <w:webHidden/>
          </w:rPr>
          <w:tab/>
        </w:r>
        <w:r>
          <w:rPr>
            <w:webHidden/>
          </w:rPr>
          <w:fldChar w:fldCharType="begin"/>
        </w:r>
        <w:r>
          <w:rPr>
            <w:webHidden/>
          </w:rPr>
          <w:instrText xml:space="preserve"> PAGEREF _Toc213600793 \h </w:instrText>
        </w:r>
        <w:r>
          <w:rPr>
            <w:webHidden/>
          </w:rPr>
        </w:r>
        <w:r>
          <w:rPr>
            <w:webHidden/>
          </w:rPr>
          <w:fldChar w:fldCharType="separate"/>
        </w:r>
        <w:r>
          <w:rPr>
            <w:webHidden/>
          </w:rPr>
          <w:t>86</w:t>
        </w:r>
        <w:r>
          <w:rPr>
            <w:webHidden/>
          </w:rPr>
          <w:fldChar w:fldCharType="end"/>
        </w:r>
      </w:hyperlink>
    </w:p>
    <w:p w14:paraId="43F29B20" w14:textId="58C6F82D" w:rsidR="00085789" w:rsidRDefault="00085789">
      <w:pPr>
        <w:pStyle w:val="TOC1"/>
        <w:rPr>
          <w:rFonts w:eastAsiaTheme="minorEastAsia" w:cstheme="minorBidi"/>
          <w:kern w:val="2"/>
          <w14:ligatures w14:val="standardContextual"/>
        </w:rPr>
      </w:pPr>
      <w:hyperlink w:anchor="_Toc213600794" w:history="1">
        <w:r>
          <w:rPr>
            <w:rStyle w:val="Hyperlink"/>
            <w:rFonts w:eastAsia="Batang"/>
            <w:b w:val="0"/>
            <w:bCs w:val="0"/>
            <w:color w:val="auto"/>
            <w:u w:val="none"/>
          </w:rPr>
          <w:t xml:space="preserve">Hình 3.41. Diễn biến hàm lượng BOD5 </w:t>
        </w:r>
        <w:r>
          <w:rPr>
            <w:rStyle w:val="Hyperlink"/>
            <w:b w:val="0"/>
            <w:bCs w:val="0"/>
            <w:color w:val="auto"/>
            <w:u w:val="none"/>
          </w:rPr>
          <w:t>trong nước mặt các hồ/đập trên địa bàn tỉnh</w:t>
        </w:r>
        <w:r>
          <w:rPr>
            <w:webHidden/>
          </w:rPr>
          <w:tab/>
        </w:r>
        <w:r>
          <w:rPr>
            <w:webHidden/>
          </w:rPr>
          <w:fldChar w:fldCharType="begin"/>
        </w:r>
        <w:r>
          <w:rPr>
            <w:webHidden/>
          </w:rPr>
          <w:instrText xml:space="preserve"> PAGEREF _Toc213600794 \h </w:instrText>
        </w:r>
        <w:r>
          <w:rPr>
            <w:webHidden/>
          </w:rPr>
        </w:r>
        <w:r>
          <w:rPr>
            <w:webHidden/>
          </w:rPr>
          <w:fldChar w:fldCharType="separate"/>
        </w:r>
        <w:r>
          <w:rPr>
            <w:webHidden/>
          </w:rPr>
          <w:t>88</w:t>
        </w:r>
        <w:r>
          <w:rPr>
            <w:webHidden/>
          </w:rPr>
          <w:fldChar w:fldCharType="end"/>
        </w:r>
      </w:hyperlink>
    </w:p>
    <w:p w14:paraId="4D35ED0C" w14:textId="642BADC9" w:rsidR="00085789" w:rsidRDefault="00085789">
      <w:pPr>
        <w:pStyle w:val="TOC1"/>
        <w:rPr>
          <w:rFonts w:eastAsiaTheme="minorEastAsia" w:cstheme="minorBidi"/>
          <w:kern w:val="2"/>
          <w14:ligatures w14:val="standardContextual"/>
        </w:rPr>
      </w:pPr>
      <w:hyperlink w:anchor="_Toc213600795" w:history="1">
        <w:r>
          <w:rPr>
            <w:rStyle w:val="Hyperlink"/>
            <w:b w:val="0"/>
            <w:bCs w:val="0"/>
            <w:color w:val="auto"/>
            <w:u w:val="none"/>
          </w:rPr>
          <w:t>Hình 3.42. Diễn biến hàm lượng COD trong nước mặt các hồ/đập trên địa bàn tỉnh</w:t>
        </w:r>
        <w:r>
          <w:rPr>
            <w:webHidden/>
          </w:rPr>
          <w:tab/>
        </w:r>
        <w:r>
          <w:rPr>
            <w:webHidden/>
          </w:rPr>
          <w:fldChar w:fldCharType="begin"/>
        </w:r>
        <w:r>
          <w:rPr>
            <w:webHidden/>
          </w:rPr>
          <w:instrText xml:space="preserve"> PAGEREF _Toc213600795 \h </w:instrText>
        </w:r>
        <w:r>
          <w:rPr>
            <w:webHidden/>
          </w:rPr>
        </w:r>
        <w:r>
          <w:rPr>
            <w:webHidden/>
          </w:rPr>
          <w:fldChar w:fldCharType="separate"/>
        </w:r>
        <w:r>
          <w:rPr>
            <w:webHidden/>
          </w:rPr>
          <w:t>89</w:t>
        </w:r>
        <w:r>
          <w:rPr>
            <w:webHidden/>
          </w:rPr>
          <w:fldChar w:fldCharType="end"/>
        </w:r>
      </w:hyperlink>
    </w:p>
    <w:p w14:paraId="28D3B7B5" w14:textId="7AB6F73F" w:rsidR="00085789" w:rsidRDefault="00085789">
      <w:pPr>
        <w:pStyle w:val="TOC1"/>
        <w:rPr>
          <w:rFonts w:eastAsiaTheme="minorEastAsia" w:cstheme="minorBidi"/>
          <w:kern w:val="2"/>
          <w14:ligatures w14:val="standardContextual"/>
        </w:rPr>
      </w:pPr>
      <w:hyperlink w:anchor="_Toc213600796" w:history="1">
        <w:r>
          <w:rPr>
            <w:rStyle w:val="Hyperlink"/>
            <w:b w:val="0"/>
            <w:bCs w:val="0"/>
            <w:color w:val="auto"/>
            <w:u w:val="none"/>
          </w:rPr>
          <w:t>Hình 3.43. Diễn biến hàm lượng TSS trong nước mặt các hồ/đập trên địa bàn tỉnh</w:t>
        </w:r>
        <w:r>
          <w:rPr>
            <w:webHidden/>
          </w:rPr>
          <w:tab/>
        </w:r>
        <w:r>
          <w:rPr>
            <w:webHidden/>
          </w:rPr>
          <w:fldChar w:fldCharType="begin"/>
        </w:r>
        <w:r>
          <w:rPr>
            <w:webHidden/>
          </w:rPr>
          <w:instrText xml:space="preserve"> PAGEREF _Toc213600796 \h </w:instrText>
        </w:r>
        <w:r>
          <w:rPr>
            <w:webHidden/>
          </w:rPr>
        </w:r>
        <w:r>
          <w:rPr>
            <w:webHidden/>
          </w:rPr>
          <w:fldChar w:fldCharType="separate"/>
        </w:r>
        <w:r>
          <w:rPr>
            <w:webHidden/>
          </w:rPr>
          <w:t>90</w:t>
        </w:r>
        <w:r>
          <w:rPr>
            <w:webHidden/>
          </w:rPr>
          <w:fldChar w:fldCharType="end"/>
        </w:r>
      </w:hyperlink>
    </w:p>
    <w:p w14:paraId="5D3B6621" w14:textId="5838160F" w:rsidR="00085789" w:rsidRDefault="00085789">
      <w:pPr>
        <w:pStyle w:val="TOC1"/>
        <w:rPr>
          <w:rFonts w:eastAsiaTheme="minorEastAsia" w:cstheme="minorBidi"/>
          <w:kern w:val="2"/>
          <w14:ligatures w14:val="standardContextual"/>
        </w:rPr>
      </w:pPr>
      <w:hyperlink w:anchor="_Toc213600797" w:history="1">
        <w:r>
          <w:rPr>
            <w:rStyle w:val="Hyperlink"/>
            <w:b w:val="0"/>
            <w:bCs w:val="0"/>
            <w:color w:val="auto"/>
            <w:u w:val="none"/>
          </w:rPr>
          <w:t>Hình 3.44. Diễn biến hàm lượng DO trong nước mặt các hồ/đập trên địa bàn tỉnh</w:t>
        </w:r>
        <w:r>
          <w:rPr>
            <w:webHidden/>
          </w:rPr>
          <w:tab/>
        </w:r>
        <w:r>
          <w:rPr>
            <w:webHidden/>
          </w:rPr>
          <w:fldChar w:fldCharType="begin"/>
        </w:r>
        <w:r>
          <w:rPr>
            <w:webHidden/>
          </w:rPr>
          <w:instrText xml:space="preserve"> PAGEREF _Toc213600797 \h </w:instrText>
        </w:r>
        <w:r>
          <w:rPr>
            <w:webHidden/>
          </w:rPr>
        </w:r>
        <w:r>
          <w:rPr>
            <w:webHidden/>
          </w:rPr>
          <w:fldChar w:fldCharType="separate"/>
        </w:r>
        <w:r>
          <w:rPr>
            <w:webHidden/>
          </w:rPr>
          <w:t>91</w:t>
        </w:r>
        <w:r>
          <w:rPr>
            <w:webHidden/>
          </w:rPr>
          <w:fldChar w:fldCharType="end"/>
        </w:r>
      </w:hyperlink>
    </w:p>
    <w:p w14:paraId="4AC9F5DA" w14:textId="7AB3261F" w:rsidR="00085789" w:rsidRDefault="00085789">
      <w:pPr>
        <w:pStyle w:val="TOC1"/>
        <w:rPr>
          <w:rFonts w:eastAsiaTheme="minorEastAsia" w:cstheme="minorBidi"/>
          <w:kern w:val="2"/>
          <w14:ligatures w14:val="standardContextual"/>
        </w:rPr>
      </w:pPr>
      <w:hyperlink w:anchor="_Toc213600798" w:history="1">
        <w:r>
          <w:rPr>
            <w:rStyle w:val="Hyperlink"/>
            <w:b w:val="0"/>
            <w:bCs w:val="0"/>
            <w:color w:val="auto"/>
            <w:u w:val="none"/>
          </w:rPr>
          <w:t>Hình 3.45. Diễn biến hàm lượng Nitrat trong nước mặt các hồ/đập trên địa bàn tỉnh</w:t>
        </w:r>
        <w:r>
          <w:rPr>
            <w:webHidden/>
          </w:rPr>
          <w:tab/>
        </w:r>
        <w:r>
          <w:rPr>
            <w:webHidden/>
          </w:rPr>
          <w:fldChar w:fldCharType="begin"/>
        </w:r>
        <w:r>
          <w:rPr>
            <w:webHidden/>
          </w:rPr>
          <w:instrText xml:space="preserve"> PAGEREF _Toc213600798 \h </w:instrText>
        </w:r>
        <w:r>
          <w:rPr>
            <w:webHidden/>
          </w:rPr>
        </w:r>
        <w:r>
          <w:rPr>
            <w:webHidden/>
          </w:rPr>
          <w:fldChar w:fldCharType="separate"/>
        </w:r>
        <w:r>
          <w:rPr>
            <w:webHidden/>
          </w:rPr>
          <w:t>92</w:t>
        </w:r>
        <w:r>
          <w:rPr>
            <w:webHidden/>
          </w:rPr>
          <w:fldChar w:fldCharType="end"/>
        </w:r>
      </w:hyperlink>
    </w:p>
    <w:p w14:paraId="40E97B52" w14:textId="45CA69F3" w:rsidR="00085789" w:rsidRDefault="00085789">
      <w:pPr>
        <w:pStyle w:val="TOC1"/>
        <w:rPr>
          <w:rFonts w:eastAsiaTheme="minorEastAsia" w:cstheme="minorBidi"/>
          <w:kern w:val="2"/>
          <w14:ligatures w14:val="standardContextual"/>
        </w:rPr>
      </w:pPr>
      <w:hyperlink w:anchor="_Toc213600799" w:history="1">
        <w:r>
          <w:rPr>
            <w:rStyle w:val="Hyperlink"/>
            <w:b w:val="0"/>
            <w:bCs w:val="0"/>
            <w:color w:val="auto"/>
            <w:u w:val="none"/>
          </w:rPr>
          <w:t xml:space="preserve">Hình 3.46. Diễn biến hàm lượng </w:t>
        </w:r>
        <w:r>
          <w:rPr>
            <w:rStyle w:val="Hyperlink"/>
            <w:b w:val="0"/>
            <w:bCs w:val="0"/>
            <w:color w:val="auto"/>
            <w:spacing w:val="-4"/>
            <w:u w:val="none"/>
          </w:rPr>
          <w:t>Photphat</w:t>
        </w:r>
        <w:r>
          <w:rPr>
            <w:rStyle w:val="Hyperlink"/>
            <w:b w:val="0"/>
            <w:bCs w:val="0"/>
            <w:color w:val="auto"/>
            <w:u w:val="none"/>
          </w:rPr>
          <w:t xml:space="preserve"> trong nước mặt các hồ/đập trên địa bàn tỉnh</w:t>
        </w:r>
        <w:r>
          <w:rPr>
            <w:webHidden/>
          </w:rPr>
          <w:tab/>
        </w:r>
        <w:r>
          <w:rPr>
            <w:webHidden/>
          </w:rPr>
          <w:fldChar w:fldCharType="begin"/>
        </w:r>
        <w:r>
          <w:rPr>
            <w:webHidden/>
          </w:rPr>
          <w:instrText xml:space="preserve"> PAGEREF _Toc213600799 \h </w:instrText>
        </w:r>
        <w:r>
          <w:rPr>
            <w:webHidden/>
          </w:rPr>
        </w:r>
        <w:r>
          <w:rPr>
            <w:webHidden/>
          </w:rPr>
          <w:fldChar w:fldCharType="separate"/>
        </w:r>
        <w:r>
          <w:rPr>
            <w:webHidden/>
          </w:rPr>
          <w:t>93</w:t>
        </w:r>
        <w:r>
          <w:rPr>
            <w:webHidden/>
          </w:rPr>
          <w:fldChar w:fldCharType="end"/>
        </w:r>
      </w:hyperlink>
    </w:p>
    <w:p w14:paraId="582CCB6F" w14:textId="014F5E55" w:rsidR="00085789" w:rsidRDefault="00085789">
      <w:pPr>
        <w:pStyle w:val="TOC1"/>
        <w:rPr>
          <w:rFonts w:eastAsiaTheme="minorEastAsia" w:cstheme="minorBidi"/>
          <w:kern w:val="2"/>
          <w14:ligatures w14:val="standardContextual"/>
        </w:rPr>
      </w:pPr>
      <w:hyperlink w:anchor="_Toc213600800" w:history="1">
        <w:r>
          <w:rPr>
            <w:rStyle w:val="Hyperlink"/>
            <w:b w:val="0"/>
            <w:bCs w:val="0"/>
            <w:color w:val="auto"/>
            <w:u w:val="none"/>
          </w:rPr>
          <w:t>Hình 3.47. Diễn biến hàm lượng Coliform trong nước mặt các hồ/đập trên địa bàn tỉnh</w:t>
        </w:r>
        <w:r>
          <w:rPr>
            <w:webHidden/>
          </w:rPr>
          <w:tab/>
        </w:r>
        <w:r>
          <w:rPr>
            <w:webHidden/>
          </w:rPr>
          <w:fldChar w:fldCharType="begin"/>
        </w:r>
        <w:r>
          <w:rPr>
            <w:webHidden/>
          </w:rPr>
          <w:instrText xml:space="preserve"> PAGEREF _Toc213600800 \h </w:instrText>
        </w:r>
        <w:r>
          <w:rPr>
            <w:webHidden/>
          </w:rPr>
        </w:r>
        <w:r>
          <w:rPr>
            <w:webHidden/>
          </w:rPr>
          <w:fldChar w:fldCharType="separate"/>
        </w:r>
        <w:r>
          <w:rPr>
            <w:webHidden/>
          </w:rPr>
          <w:t>94</w:t>
        </w:r>
        <w:r>
          <w:rPr>
            <w:webHidden/>
          </w:rPr>
          <w:fldChar w:fldCharType="end"/>
        </w:r>
      </w:hyperlink>
    </w:p>
    <w:p w14:paraId="49854893" w14:textId="5CE28831" w:rsidR="00085789" w:rsidRDefault="00085789">
      <w:pPr>
        <w:pStyle w:val="TOC1"/>
        <w:rPr>
          <w:rFonts w:eastAsiaTheme="minorEastAsia" w:cstheme="minorBidi"/>
          <w:kern w:val="2"/>
          <w14:ligatures w14:val="standardContextual"/>
        </w:rPr>
      </w:pPr>
      <w:hyperlink w:anchor="_Toc213600801" w:history="1">
        <w:r>
          <w:rPr>
            <w:rStyle w:val="Hyperlink"/>
            <w:b w:val="0"/>
            <w:bCs w:val="0"/>
            <w:color w:val="auto"/>
            <w:u w:val="none"/>
          </w:rPr>
          <w:t xml:space="preserve">Hình 3.48. Chỉ số WQI trong nước mặt các hồ/đập trên địa bàn tỉnh </w:t>
        </w:r>
        <w:r>
          <w:rPr>
            <w:rStyle w:val="Hyperlink"/>
            <w:b w:val="0"/>
            <w:bCs w:val="0"/>
            <w:color w:val="auto"/>
            <w:spacing w:val="-2"/>
            <w:u w:val="none"/>
          </w:rPr>
          <w:t>giai đoạn 2021-2024</w:t>
        </w:r>
        <w:r>
          <w:rPr>
            <w:webHidden/>
          </w:rPr>
          <w:tab/>
        </w:r>
        <w:r>
          <w:rPr>
            <w:webHidden/>
          </w:rPr>
          <w:fldChar w:fldCharType="begin"/>
        </w:r>
        <w:r>
          <w:rPr>
            <w:webHidden/>
          </w:rPr>
          <w:instrText xml:space="preserve"> PAGEREF _Toc213600801 \h </w:instrText>
        </w:r>
        <w:r>
          <w:rPr>
            <w:webHidden/>
          </w:rPr>
        </w:r>
        <w:r>
          <w:rPr>
            <w:webHidden/>
          </w:rPr>
          <w:fldChar w:fldCharType="separate"/>
        </w:r>
        <w:r>
          <w:rPr>
            <w:webHidden/>
          </w:rPr>
          <w:t>95</w:t>
        </w:r>
        <w:r>
          <w:rPr>
            <w:webHidden/>
          </w:rPr>
          <w:fldChar w:fldCharType="end"/>
        </w:r>
      </w:hyperlink>
    </w:p>
    <w:p w14:paraId="193E14C8" w14:textId="798FAB2C" w:rsidR="00085789" w:rsidRDefault="00085789">
      <w:pPr>
        <w:pStyle w:val="TOC1"/>
        <w:rPr>
          <w:lang w:val="en-US"/>
        </w:rPr>
      </w:pPr>
      <w:hyperlink w:anchor="_Toc213600802" w:history="1">
        <w:r>
          <w:rPr>
            <w:rStyle w:val="Hyperlink"/>
            <w:b w:val="0"/>
            <w:bCs w:val="0"/>
            <w:color w:val="auto"/>
            <w:u w:val="none"/>
          </w:rPr>
          <w:t>Hình 3.49. Hình ảnh sông Nghèn về phía Cầu Già</w:t>
        </w:r>
        <w:r>
          <w:rPr>
            <w:webHidden/>
          </w:rPr>
          <w:tab/>
        </w:r>
        <w:r>
          <w:rPr>
            <w:webHidden/>
          </w:rPr>
          <w:fldChar w:fldCharType="begin"/>
        </w:r>
        <w:r>
          <w:rPr>
            <w:webHidden/>
          </w:rPr>
          <w:instrText xml:space="preserve"> PAGEREF _Toc213600802 \h </w:instrText>
        </w:r>
        <w:r>
          <w:rPr>
            <w:webHidden/>
          </w:rPr>
        </w:r>
        <w:r>
          <w:rPr>
            <w:webHidden/>
          </w:rPr>
          <w:fldChar w:fldCharType="separate"/>
        </w:r>
        <w:r>
          <w:rPr>
            <w:webHidden/>
          </w:rPr>
          <w:t>97</w:t>
        </w:r>
        <w:r>
          <w:rPr>
            <w:webHidden/>
          </w:rPr>
          <w:fldChar w:fldCharType="end"/>
        </w:r>
      </w:hyperlink>
    </w:p>
    <w:p w14:paraId="15108867" w14:textId="244CD1F1" w:rsidR="007A3508" w:rsidRDefault="007A3508" w:rsidP="007A3508">
      <w:pPr>
        <w:pStyle w:val="TOC1"/>
        <w:rPr>
          <w:lang w:val="en-US"/>
        </w:rPr>
      </w:pPr>
      <w:hyperlink w:anchor="_Toc213600802" w:history="1">
        <w:r w:rsidRPr="00F06A78">
          <w:rPr>
            <w:rStyle w:val="Hyperlink"/>
            <w:b w:val="0"/>
            <w:bCs w:val="0"/>
            <w:color w:val="auto"/>
            <w:u w:val="none"/>
          </w:rPr>
          <w:t>Hình 3.</w:t>
        </w:r>
        <w:r w:rsidRPr="00F06A78">
          <w:rPr>
            <w:rStyle w:val="Hyperlink"/>
            <w:b w:val="0"/>
            <w:bCs w:val="0"/>
            <w:color w:val="auto"/>
            <w:u w:val="none"/>
            <w:lang w:val="en-US"/>
          </w:rPr>
          <w:t>50</w:t>
        </w:r>
        <w:r w:rsidRPr="00F06A78">
          <w:rPr>
            <w:rStyle w:val="Hyperlink"/>
            <w:b w:val="0"/>
            <w:bCs w:val="0"/>
            <w:color w:val="auto"/>
            <w:u w:val="none"/>
          </w:rPr>
          <w:t>. Hình ảnh cá chết trôi dạt vào bờ gây mùi hôi, thối tại hồ Khe Lang</w:t>
        </w:r>
        <w:r w:rsidRPr="00F06A78">
          <w:rPr>
            <w:webHidden/>
          </w:rPr>
          <w:tab/>
        </w:r>
        <w:r w:rsidRPr="00F06A78">
          <w:rPr>
            <w:webHidden/>
          </w:rPr>
          <w:fldChar w:fldCharType="begin"/>
        </w:r>
        <w:r w:rsidRPr="00F06A78">
          <w:rPr>
            <w:webHidden/>
          </w:rPr>
          <w:instrText xml:space="preserve"> PAGEREF _Toc213600802 \h </w:instrText>
        </w:r>
        <w:r w:rsidRPr="00F06A78">
          <w:rPr>
            <w:webHidden/>
          </w:rPr>
        </w:r>
        <w:r w:rsidRPr="00F06A78">
          <w:rPr>
            <w:webHidden/>
          </w:rPr>
          <w:fldChar w:fldCharType="separate"/>
        </w:r>
        <w:r w:rsidRPr="00F06A78">
          <w:rPr>
            <w:webHidden/>
          </w:rPr>
          <w:t>97</w:t>
        </w:r>
        <w:r w:rsidRPr="00F06A78">
          <w:rPr>
            <w:webHidden/>
          </w:rPr>
          <w:fldChar w:fldCharType="end"/>
        </w:r>
      </w:hyperlink>
    </w:p>
    <w:p w14:paraId="7DB00D47" w14:textId="17A6A774" w:rsidR="00085789" w:rsidRDefault="00085789">
      <w:pPr>
        <w:pStyle w:val="TOC1"/>
        <w:rPr>
          <w:rFonts w:eastAsiaTheme="minorEastAsia" w:cstheme="minorBidi"/>
          <w:kern w:val="2"/>
          <w14:ligatures w14:val="standardContextual"/>
        </w:rPr>
      </w:pPr>
      <w:hyperlink w:anchor="_Toc213600804" w:history="1">
        <w:r>
          <w:rPr>
            <w:rStyle w:val="Hyperlink"/>
            <w:b w:val="0"/>
            <w:bCs w:val="0"/>
            <w:color w:val="auto"/>
            <w:u w:val="none"/>
          </w:rPr>
          <w:t>Hình 3.51. Diễn biến độ pH trong nước dưới đất vùng ven biển</w:t>
        </w:r>
        <w:r>
          <w:rPr>
            <w:webHidden/>
          </w:rPr>
          <w:tab/>
        </w:r>
        <w:r>
          <w:rPr>
            <w:webHidden/>
          </w:rPr>
          <w:fldChar w:fldCharType="begin"/>
        </w:r>
        <w:r>
          <w:rPr>
            <w:webHidden/>
          </w:rPr>
          <w:instrText xml:space="preserve"> PAGEREF _Toc213600804 \h </w:instrText>
        </w:r>
        <w:r>
          <w:rPr>
            <w:webHidden/>
          </w:rPr>
        </w:r>
        <w:r>
          <w:rPr>
            <w:webHidden/>
          </w:rPr>
          <w:fldChar w:fldCharType="separate"/>
        </w:r>
        <w:r>
          <w:rPr>
            <w:webHidden/>
          </w:rPr>
          <w:t>105</w:t>
        </w:r>
        <w:r>
          <w:rPr>
            <w:webHidden/>
          </w:rPr>
          <w:fldChar w:fldCharType="end"/>
        </w:r>
      </w:hyperlink>
    </w:p>
    <w:p w14:paraId="65FA47B7" w14:textId="6F72D957" w:rsidR="00085789" w:rsidRDefault="00085789">
      <w:pPr>
        <w:pStyle w:val="TOC1"/>
        <w:rPr>
          <w:rFonts w:eastAsiaTheme="minorEastAsia" w:cstheme="minorBidi"/>
          <w:kern w:val="2"/>
          <w14:ligatures w14:val="standardContextual"/>
        </w:rPr>
      </w:pPr>
      <w:hyperlink w:anchor="_Toc213600805" w:history="1">
        <w:r>
          <w:rPr>
            <w:rStyle w:val="Hyperlink"/>
            <w:b w:val="0"/>
            <w:bCs w:val="0"/>
            <w:color w:val="auto"/>
            <w:u w:val="none"/>
          </w:rPr>
          <w:t>Hình 3.52. Diễn biến hàm lượng Coliform trong nước dưới đất vùng ven biển</w:t>
        </w:r>
        <w:r>
          <w:rPr>
            <w:webHidden/>
          </w:rPr>
          <w:tab/>
        </w:r>
        <w:r>
          <w:rPr>
            <w:webHidden/>
          </w:rPr>
          <w:fldChar w:fldCharType="begin"/>
        </w:r>
        <w:r>
          <w:rPr>
            <w:webHidden/>
          </w:rPr>
          <w:instrText xml:space="preserve"> PAGEREF _Toc213600805 \h </w:instrText>
        </w:r>
        <w:r>
          <w:rPr>
            <w:webHidden/>
          </w:rPr>
        </w:r>
        <w:r>
          <w:rPr>
            <w:webHidden/>
          </w:rPr>
          <w:fldChar w:fldCharType="separate"/>
        </w:r>
        <w:r>
          <w:rPr>
            <w:webHidden/>
          </w:rPr>
          <w:t>106</w:t>
        </w:r>
        <w:r>
          <w:rPr>
            <w:webHidden/>
          </w:rPr>
          <w:fldChar w:fldCharType="end"/>
        </w:r>
      </w:hyperlink>
    </w:p>
    <w:p w14:paraId="4D9E191D" w14:textId="2408D465" w:rsidR="00085789" w:rsidRDefault="00085789">
      <w:pPr>
        <w:pStyle w:val="TOC1"/>
        <w:rPr>
          <w:rFonts w:eastAsiaTheme="minorEastAsia" w:cstheme="minorBidi"/>
          <w:kern w:val="2"/>
          <w14:ligatures w14:val="standardContextual"/>
        </w:rPr>
      </w:pPr>
      <w:hyperlink w:anchor="_Toc213600806" w:history="1">
        <w:r>
          <w:rPr>
            <w:rStyle w:val="Hyperlink"/>
            <w:b w:val="0"/>
            <w:bCs w:val="0"/>
            <w:color w:val="auto"/>
            <w:u w:val="none"/>
          </w:rPr>
          <w:t>Hình 3.53. Diễn biến hàm lượng Nitrat trong nước dưới đất vùng ven biển</w:t>
        </w:r>
        <w:r>
          <w:rPr>
            <w:webHidden/>
          </w:rPr>
          <w:tab/>
        </w:r>
        <w:r>
          <w:rPr>
            <w:webHidden/>
          </w:rPr>
          <w:fldChar w:fldCharType="begin"/>
        </w:r>
        <w:r>
          <w:rPr>
            <w:webHidden/>
          </w:rPr>
          <w:instrText xml:space="preserve"> PAGEREF _Toc213600806 \h </w:instrText>
        </w:r>
        <w:r>
          <w:rPr>
            <w:webHidden/>
          </w:rPr>
        </w:r>
        <w:r>
          <w:rPr>
            <w:webHidden/>
          </w:rPr>
          <w:fldChar w:fldCharType="separate"/>
        </w:r>
        <w:r>
          <w:rPr>
            <w:webHidden/>
          </w:rPr>
          <w:t>107</w:t>
        </w:r>
        <w:r>
          <w:rPr>
            <w:webHidden/>
          </w:rPr>
          <w:fldChar w:fldCharType="end"/>
        </w:r>
      </w:hyperlink>
    </w:p>
    <w:p w14:paraId="45363B03" w14:textId="01C8EEDA" w:rsidR="00085789" w:rsidRDefault="00085789">
      <w:pPr>
        <w:pStyle w:val="TOC1"/>
        <w:rPr>
          <w:rFonts w:eastAsiaTheme="minorEastAsia" w:cstheme="minorBidi"/>
          <w:kern w:val="2"/>
          <w14:ligatures w14:val="standardContextual"/>
        </w:rPr>
      </w:pPr>
      <w:hyperlink w:anchor="_Toc213600807" w:history="1">
        <w:r>
          <w:rPr>
            <w:rStyle w:val="Hyperlink"/>
            <w:b w:val="0"/>
            <w:bCs w:val="0"/>
            <w:color w:val="auto"/>
            <w:u w:val="none"/>
          </w:rPr>
          <w:t>Hình 3.54. Diễn biến hàm lượng Amoni trong nước dưới đất vùng ven biển</w:t>
        </w:r>
        <w:r>
          <w:rPr>
            <w:webHidden/>
          </w:rPr>
          <w:tab/>
        </w:r>
        <w:r>
          <w:rPr>
            <w:webHidden/>
          </w:rPr>
          <w:fldChar w:fldCharType="begin"/>
        </w:r>
        <w:r>
          <w:rPr>
            <w:webHidden/>
          </w:rPr>
          <w:instrText xml:space="preserve"> PAGEREF _Toc213600807 \h </w:instrText>
        </w:r>
        <w:r>
          <w:rPr>
            <w:webHidden/>
          </w:rPr>
        </w:r>
        <w:r>
          <w:rPr>
            <w:webHidden/>
          </w:rPr>
          <w:fldChar w:fldCharType="separate"/>
        </w:r>
        <w:r>
          <w:rPr>
            <w:webHidden/>
          </w:rPr>
          <w:t>108</w:t>
        </w:r>
        <w:r>
          <w:rPr>
            <w:webHidden/>
          </w:rPr>
          <w:fldChar w:fldCharType="end"/>
        </w:r>
      </w:hyperlink>
    </w:p>
    <w:p w14:paraId="4C82B4E3" w14:textId="147FD19A" w:rsidR="00085789" w:rsidRDefault="00085789">
      <w:pPr>
        <w:pStyle w:val="TOC1"/>
        <w:rPr>
          <w:rFonts w:eastAsiaTheme="minorEastAsia" w:cstheme="minorBidi"/>
          <w:kern w:val="2"/>
          <w14:ligatures w14:val="standardContextual"/>
        </w:rPr>
      </w:pPr>
      <w:hyperlink w:anchor="_Toc213600808" w:history="1">
        <w:r>
          <w:rPr>
            <w:rStyle w:val="Hyperlink"/>
            <w:b w:val="0"/>
            <w:bCs w:val="0"/>
            <w:color w:val="auto"/>
            <w:u w:val="none"/>
          </w:rPr>
          <w:t>Hình 3.55. Diễn biến hàm lượng TDS trong nước dưới đất vùng ven biển</w:t>
        </w:r>
        <w:r>
          <w:rPr>
            <w:webHidden/>
          </w:rPr>
          <w:tab/>
        </w:r>
        <w:r>
          <w:rPr>
            <w:webHidden/>
          </w:rPr>
          <w:fldChar w:fldCharType="begin"/>
        </w:r>
        <w:r>
          <w:rPr>
            <w:webHidden/>
          </w:rPr>
          <w:instrText xml:space="preserve"> PAGEREF _Toc213600808 \h </w:instrText>
        </w:r>
        <w:r>
          <w:rPr>
            <w:webHidden/>
          </w:rPr>
        </w:r>
        <w:r>
          <w:rPr>
            <w:webHidden/>
          </w:rPr>
          <w:fldChar w:fldCharType="separate"/>
        </w:r>
        <w:r>
          <w:rPr>
            <w:webHidden/>
          </w:rPr>
          <w:t>109</w:t>
        </w:r>
        <w:r>
          <w:rPr>
            <w:webHidden/>
          </w:rPr>
          <w:fldChar w:fldCharType="end"/>
        </w:r>
      </w:hyperlink>
    </w:p>
    <w:p w14:paraId="4D62374A" w14:textId="0698C177" w:rsidR="00085789" w:rsidRDefault="00085789">
      <w:pPr>
        <w:pStyle w:val="TOC1"/>
        <w:rPr>
          <w:rFonts w:eastAsiaTheme="minorEastAsia" w:cstheme="minorBidi"/>
          <w:kern w:val="2"/>
          <w14:ligatures w14:val="standardContextual"/>
        </w:rPr>
      </w:pPr>
      <w:hyperlink w:anchor="_Toc213600809" w:history="1">
        <w:r>
          <w:rPr>
            <w:rStyle w:val="Hyperlink"/>
            <w:b w:val="0"/>
            <w:bCs w:val="0"/>
            <w:color w:val="auto"/>
            <w:u w:val="none"/>
          </w:rPr>
          <w:t>Hình 3.56. Diễn biến độ cứng (hàm lượng CaCO3) trong nước dưới đất vùng ven biển</w:t>
        </w:r>
        <w:r>
          <w:rPr>
            <w:webHidden/>
          </w:rPr>
          <w:tab/>
        </w:r>
        <w:r>
          <w:rPr>
            <w:webHidden/>
          </w:rPr>
          <w:fldChar w:fldCharType="begin"/>
        </w:r>
        <w:r>
          <w:rPr>
            <w:webHidden/>
          </w:rPr>
          <w:instrText xml:space="preserve"> PAGEREF _Toc213600809 \h </w:instrText>
        </w:r>
        <w:r>
          <w:rPr>
            <w:webHidden/>
          </w:rPr>
        </w:r>
        <w:r>
          <w:rPr>
            <w:webHidden/>
          </w:rPr>
          <w:fldChar w:fldCharType="separate"/>
        </w:r>
        <w:r>
          <w:rPr>
            <w:webHidden/>
          </w:rPr>
          <w:t>110</w:t>
        </w:r>
        <w:r>
          <w:rPr>
            <w:webHidden/>
          </w:rPr>
          <w:fldChar w:fldCharType="end"/>
        </w:r>
      </w:hyperlink>
    </w:p>
    <w:p w14:paraId="4BEFEF05" w14:textId="2D42A568" w:rsidR="00085789" w:rsidRDefault="00085789">
      <w:pPr>
        <w:pStyle w:val="TOC1"/>
        <w:rPr>
          <w:rFonts w:eastAsiaTheme="minorEastAsia" w:cstheme="minorBidi"/>
          <w:kern w:val="2"/>
          <w14:ligatures w14:val="standardContextual"/>
        </w:rPr>
      </w:pPr>
      <w:hyperlink w:anchor="_Toc213600810" w:history="1">
        <w:r>
          <w:rPr>
            <w:rStyle w:val="Hyperlink"/>
            <w:b w:val="0"/>
            <w:bCs w:val="0"/>
            <w:color w:val="auto"/>
            <w:u w:val="none"/>
          </w:rPr>
          <w:t xml:space="preserve">Hình 3.57. Diễn biến </w:t>
        </w:r>
        <w:r>
          <w:rPr>
            <w:rStyle w:val="Hyperlink"/>
            <w:b w:val="0"/>
            <w:bCs w:val="0"/>
            <w:color w:val="auto"/>
            <w:spacing w:val="-4"/>
            <w:u w:val="none"/>
          </w:rPr>
          <w:t xml:space="preserve">Asenic (As) </w:t>
        </w:r>
        <w:r>
          <w:rPr>
            <w:rStyle w:val="Hyperlink"/>
            <w:b w:val="0"/>
            <w:bCs w:val="0"/>
            <w:color w:val="auto"/>
            <w:u w:val="none"/>
          </w:rPr>
          <w:t>trong nước dưới đất vùng ven biển</w:t>
        </w:r>
        <w:r>
          <w:rPr>
            <w:webHidden/>
          </w:rPr>
          <w:tab/>
        </w:r>
        <w:r>
          <w:rPr>
            <w:webHidden/>
          </w:rPr>
          <w:fldChar w:fldCharType="begin"/>
        </w:r>
        <w:r>
          <w:rPr>
            <w:webHidden/>
          </w:rPr>
          <w:instrText xml:space="preserve"> PAGEREF _Toc213600810 \h </w:instrText>
        </w:r>
        <w:r>
          <w:rPr>
            <w:webHidden/>
          </w:rPr>
        </w:r>
        <w:r>
          <w:rPr>
            <w:webHidden/>
          </w:rPr>
          <w:fldChar w:fldCharType="separate"/>
        </w:r>
        <w:r>
          <w:rPr>
            <w:webHidden/>
          </w:rPr>
          <w:t>111</w:t>
        </w:r>
        <w:r>
          <w:rPr>
            <w:webHidden/>
          </w:rPr>
          <w:fldChar w:fldCharType="end"/>
        </w:r>
      </w:hyperlink>
    </w:p>
    <w:p w14:paraId="4EB16430" w14:textId="70D062F1" w:rsidR="00085789" w:rsidRDefault="00085789">
      <w:pPr>
        <w:pStyle w:val="TOC1"/>
        <w:rPr>
          <w:rFonts w:eastAsiaTheme="minorEastAsia" w:cstheme="minorBidi"/>
          <w:kern w:val="2"/>
          <w14:ligatures w14:val="standardContextual"/>
        </w:rPr>
      </w:pPr>
      <w:hyperlink w:anchor="_Toc213600811" w:history="1">
        <w:r>
          <w:rPr>
            <w:rStyle w:val="Hyperlink"/>
            <w:b w:val="0"/>
            <w:bCs w:val="0"/>
            <w:color w:val="auto"/>
            <w:u w:val="none"/>
          </w:rPr>
          <w:t xml:space="preserve">Hình 3.58. Diễn biến </w:t>
        </w:r>
        <w:r>
          <w:rPr>
            <w:rStyle w:val="Hyperlink"/>
            <w:b w:val="0"/>
            <w:bCs w:val="0"/>
            <w:color w:val="auto"/>
            <w:spacing w:val="-4"/>
            <w:u w:val="none"/>
          </w:rPr>
          <w:t xml:space="preserve">Cloride (Cl-) </w:t>
        </w:r>
        <w:r>
          <w:rPr>
            <w:rStyle w:val="Hyperlink"/>
            <w:b w:val="0"/>
            <w:bCs w:val="0"/>
            <w:color w:val="auto"/>
            <w:u w:val="none"/>
          </w:rPr>
          <w:t>trong nước dưới đất vùng ven biển</w:t>
        </w:r>
        <w:r>
          <w:rPr>
            <w:webHidden/>
          </w:rPr>
          <w:tab/>
        </w:r>
        <w:r>
          <w:rPr>
            <w:webHidden/>
          </w:rPr>
          <w:fldChar w:fldCharType="begin"/>
        </w:r>
        <w:r>
          <w:rPr>
            <w:webHidden/>
          </w:rPr>
          <w:instrText xml:space="preserve"> PAGEREF _Toc213600811 \h </w:instrText>
        </w:r>
        <w:r>
          <w:rPr>
            <w:webHidden/>
          </w:rPr>
        </w:r>
        <w:r>
          <w:rPr>
            <w:webHidden/>
          </w:rPr>
          <w:fldChar w:fldCharType="separate"/>
        </w:r>
        <w:r>
          <w:rPr>
            <w:webHidden/>
          </w:rPr>
          <w:t>112</w:t>
        </w:r>
        <w:r>
          <w:rPr>
            <w:webHidden/>
          </w:rPr>
          <w:fldChar w:fldCharType="end"/>
        </w:r>
      </w:hyperlink>
    </w:p>
    <w:p w14:paraId="065D6952" w14:textId="0570A16E" w:rsidR="00085789" w:rsidRDefault="00085789">
      <w:pPr>
        <w:pStyle w:val="TOC1"/>
        <w:rPr>
          <w:rFonts w:eastAsiaTheme="minorEastAsia" w:cstheme="minorBidi"/>
          <w:kern w:val="2"/>
          <w14:ligatures w14:val="standardContextual"/>
        </w:rPr>
      </w:pPr>
      <w:hyperlink w:anchor="_Toc213600812" w:history="1">
        <w:r>
          <w:rPr>
            <w:rStyle w:val="Hyperlink"/>
            <w:b w:val="0"/>
            <w:bCs w:val="0"/>
            <w:color w:val="auto"/>
            <w:u w:val="none"/>
          </w:rPr>
          <w:t>Hình 3.59. Diễn biến độ pH trong nước dưới đất vùng đồng bằng</w:t>
        </w:r>
        <w:r>
          <w:rPr>
            <w:webHidden/>
          </w:rPr>
          <w:tab/>
        </w:r>
        <w:r>
          <w:rPr>
            <w:webHidden/>
          </w:rPr>
          <w:fldChar w:fldCharType="begin"/>
        </w:r>
        <w:r>
          <w:rPr>
            <w:webHidden/>
          </w:rPr>
          <w:instrText xml:space="preserve"> PAGEREF _Toc213600812 \h </w:instrText>
        </w:r>
        <w:r>
          <w:rPr>
            <w:webHidden/>
          </w:rPr>
        </w:r>
        <w:r>
          <w:rPr>
            <w:webHidden/>
          </w:rPr>
          <w:fldChar w:fldCharType="separate"/>
        </w:r>
        <w:r>
          <w:rPr>
            <w:webHidden/>
          </w:rPr>
          <w:t>113</w:t>
        </w:r>
        <w:r>
          <w:rPr>
            <w:webHidden/>
          </w:rPr>
          <w:fldChar w:fldCharType="end"/>
        </w:r>
      </w:hyperlink>
    </w:p>
    <w:p w14:paraId="489E2723" w14:textId="4CED9F66" w:rsidR="00085789" w:rsidRDefault="00085789">
      <w:pPr>
        <w:pStyle w:val="TOC1"/>
        <w:rPr>
          <w:rFonts w:eastAsiaTheme="minorEastAsia" w:cstheme="minorBidi"/>
          <w:kern w:val="2"/>
          <w14:ligatures w14:val="standardContextual"/>
        </w:rPr>
      </w:pPr>
      <w:hyperlink w:anchor="_Toc213600813" w:history="1">
        <w:r>
          <w:rPr>
            <w:rStyle w:val="Hyperlink"/>
            <w:b w:val="0"/>
            <w:bCs w:val="0"/>
            <w:color w:val="auto"/>
            <w:u w:val="none"/>
          </w:rPr>
          <w:t>Hình 3.60. Diễn biến hàm lượng Coliform trong nước dưới đất vùng đồng bằng</w:t>
        </w:r>
        <w:r>
          <w:rPr>
            <w:webHidden/>
          </w:rPr>
          <w:tab/>
        </w:r>
        <w:r>
          <w:rPr>
            <w:webHidden/>
          </w:rPr>
          <w:fldChar w:fldCharType="begin"/>
        </w:r>
        <w:r>
          <w:rPr>
            <w:webHidden/>
          </w:rPr>
          <w:instrText xml:space="preserve"> PAGEREF _Toc213600813 \h </w:instrText>
        </w:r>
        <w:r>
          <w:rPr>
            <w:webHidden/>
          </w:rPr>
        </w:r>
        <w:r>
          <w:rPr>
            <w:webHidden/>
          </w:rPr>
          <w:fldChar w:fldCharType="separate"/>
        </w:r>
        <w:r>
          <w:rPr>
            <w:webHidden/>
          </w:rPr>
          <w:t>114</w:t>
        </w:r>
        <w:r>
          <w:rPr>
            <w:webHidden/>
          </w:rPr>
          <w:fldChar w:fldCharType="end"/>
        </w:r>
      </w:hyperlink>
    </w:p>
    <w:p w14:paraId="765033F7" w14:textId="5308ECDC" w:rsidR="00085789" w:rsidRDefault="00085789">
      <w:pPr>
        <w:pStyle w:val="TOC1"/>
        <w:rPr>
          <w:rFonts w:eastAsiaTheme="minorEastAsia" w:cstheme="minorBidi"/>
          <w:kern w:val="2"/>
          <w14:ligatures w14:val="standardContextual"/>
        </w:rPr>
      </w:pPr>
      <w:hyperlink w:anchor="_Toc213600814" w:history="1">
        <w:r>
          <w:rPr>
            <w:rStyle w:val="Hyperlink"/>
            <w:b w:val="0"/>
            <w:bCs w:val="0"/>
            <w:color w:val="auto"/>
            <w:u w:val="none"/>
          </w:rPr>
          <w:t>Hình 3.61. Diễn biến hàm lượng Nitrat trong nước dưới đất vùng đồng bằng</w:t>
        </w:r>
        <w:r>
          <w:rPr>
            <w:webHidden/>
          </w:rPr>
          <w:tab/>
        </w:r>
        <w:r>
          <w:rPr>
            <w:webHidden/>
          </w:rPr>
          <w:fldChar w:fldCharType="begin"/>
        </w:r>
        <w:r>
          <w:rPr>
            <w:webHidden/>
          </w:rPr>
          <w:instrText xml:space="preserve"> PAGEREF _Toc213600814 \h </w:instrText>
        </w:r>
        <w:r>
          <w:rPr>
            <w:webHidden/>
          </w:rPr>
        </w:r>
        <w:r>
          <w:rPr>
            <w:webHidden/>
          </w:rPr>
          <w:fldChar w:fldCharType="separate"/>
        </w:r>
        <w:r>
          <w:rPr>
            <w:webHidden/>
          </w:rPr>
          <w:t>115</w:t>
        </w:r>
        <w:r>
          <w:rPr>
            <w:webHidden/>
          </w:rPr>
          <w:fldChar w:fldCharType="end"/>
        </w:r>
      </w:hyperlink>
    </w:p>
    <w:p w14:paraId="7DE68B27" w14:textId="1873A7D7" w:rsidR="00085789" w:rsidRDefault="00085789">
      <w:pPr>
        <w:pStyle w:val="TOC1"/>
        <w:rPr>
          <w:rFonts w:eastAsiaTheme="minorEastAsia" w:cstheme="minorBidi"/>
          <w:kern w:val="2"/>
          <w14:ligatures w14:val="standardContextual"/>
        </w:rPr>
      </w:pPr>
      <w:hyperlink w:anchor="_Toc213600815" w:history="1">
        <w:r>
          <w:rPr>
            <w:rStyle w:val="Hyperlink"/>
            <w:b w:val="0"/>
            <w:bCs w:val="0"/>
            <w:color w:val="auto"/>
            <w:u w:val="none"/>
          </w:rPr>
          <w:t>Hình 3.62. Diễn biến hàm lượng Amoni trong nước dưới đất vùng đồng bằng</w:t>
        </w:r>
        <w:r>
          <w:rPr>
            <w:webHidden/>
          </w:rPr>
          <w:tab/>
        </w:r>
        <w:r>
          <w:rPr>
            <w:webHidden/>
          </w:rPr>
          <w:fldChar w:fldCharType="begin"/>
        </w:r>
        <w:r>
          <w:rPr>
            <w:webHidden/>
          </w:rPr>
          <w:instrText xml:space="preserve"> PAGEREF _Toc213600815 \h </w:instrText>
        </w:r>
        <w:r>
          <w:rPr>
            <w:webHidden/>
          </w:rPr>
        </w:r>
        <w:r>
          <w:rPr>
            <w:webHidden/>
          </w:rPr>
          <w:fldChar w:fldCharType="separate"/>
        </w:r>
        <w:r>
          <w:rPr>
            <w:webHidden/>
          </w:rPr>
          <w:t>116</w:t>
        </w:r>
        <w:r>
          <w:rPr>
            <w:webHidden/>
          </w:rPr>
          <w:fldChar w:fldCharType="end"/>
        </w:r>
      </w:hyperlink>
    </w:p>
    <w:p w14:paraId="10756443" w14:textId="27FA9682" w:rsidR="00085789" w:rsidRDefault="00085789">
      <w:pPr>
        <w:pStyle w:val="TOC1"/>
        <w:rPr>
          <w:rFonts w:eastAsiaTheme="minorEastAsia" w:cstheme="minorBidi"/>
          <w:kern w:val="2"/>
          <w14:ligatures w14:val="standardContextual"/>
        </w:rPr>
      </w:pPr>
      <w:hyperlink w:anchor="_Toc213600816" w:history="1">
        <w:r>
          <w:rPr>
            <w:rStyle w:val="Hyperlink"/>
            <w:b w:val="0"/>
            <w:bCs w:val="0"/>
            <w:color w:val="auto"/>
            <w:u w:val="none"/>
          </w:rPr>
          <w:t>Hình 3.63. Diễn biến hàm lượng TDS trong nước dưới đất vùng đồng bằng</w:t>
        </w:r>
        <w:r>
          <w:rPr>
            <w:webHidden/>
          </w:rPr>
          <w:tab/>
        </w:r>
        <w:r>
          <w:rPr>
            <w:webHidden/>
          </w:rPr>
          <w:fldChar w:fldCharType="begin"/>
        </w:r>
        <w:r>
          <w:rPr>
            <w:webHidden/>
          </w:rPr>
          <w:instrText xml:space="preserve"> PAGEREF _Toc213600816 \h </w:instrText>
        </w:r>
        <w:r>
          <w:rPr>
            <w:webHidden/>
          </w:rPr>
        </w:r>
        <w:r>
          <w:rPr>
            <w:webHidden/>
          </w:rPr>
          <w:fldChar w:fldCharType="separate"/>
        </w:r>
        <w:r>
          <w:rPr>
            <w:webHidden/>
          </w:rPr>
          <w:t>117</w:t>
        </w:r>
        <w:r>
          <w:rPr>
            <w:webHidden/>
          </w:rPr>
          <w:fldChar w:fldCharType="end"/>
        </w:r>
      </w:hyperlink>
    </w:p>
    <w:p w14:paraId="02941305" w14:textId="536CC3EE" w:rsidR="00085789" w:rsidRDefault="00085789">
      <w:pPr>
        <w:pStyle w:val="TOC1"/>
        <w:rPr>
          <w:rFonts w:eastAsiaTheme="minorEastAsia" w:cstheme="minorBidi"/>
          <w:kern w:val="2"/>
          <w14:ligatures w14:val="standardContextual"/>
        </w:rPr>
      </w:pPr>
      <w:hyperlink w:anchor="_Toc213600817" w:history="1">
        <w:r>
          <w:rPr>
            <w:rStyle w:val="Hyperlink"/>
            <w:b w:val="0"/>
            <w:bCs w:val="0"/>
            <w:color w:val="auto"/>
            <w:u w:val="none"/>
          </w:rPr>
          <w:t>Hình 3.64. Diễn biến độ cứng (hàm lượng CaCO3) trong nước dưới đất vùng đồng bằng</w:t>
        </w:r>
        <w:r>
          <w:rPr>
            <w:webHidden/>
          </w:rPr>
          <w:tab/>
        </w:r>
        <w:r>
          <w:rPr>
            <w:webHidden/>
          </w:rPr>
          <w:fldChar w:fldCharType="begin"/>
        </w:r>
        <w:r>
          <w:rPr>
            <w:webHidden/>
          </w:rPr>
          <w:instrText xml:space="preserve"> PAGEREF _Toc213600817 \h </w:instrText>
        </w:r>
        <w:r>
          <w:rPr>
            <w:webHidden/>
          </w:rPr>
        </w:r>
        <w:r>
          <w:rPr>
            <w:webHidden/>
          </w:rPr>
          <w:fldChar w:fldCharType="separate"/>
        </w:r>
        <w:r>
          <w:rPr>
            <w:webHidden/>
          </w:rPr>
          <w:t>118</w:t>
        </w:r>
        <w:r>
          <w:rPr>
            <w:webHidden/>
          </w:rPr>
          <w:fldChar w:fldCharType="end"/>
        </w:r>
      </w:hyperlink>
    </w:p>
    <w:p w14:paraId="05AA4E88" w14:textId="0EA55EFA" w:rsidR="00085789" w:rsidRDefault="00085789">
      <w:pPr>
        <w:pStyle w:val="TOC1"/>
        <w:rPr>
          <w:rFonts w:eastAsiaTheme="minorEastAsia" w:cstheme="minorBidi"/>
          <w:kern w:val="2"/>
          <w14:ligatures w14:val="standardContextual"/>
        </w:rPr>
      </w:pPr>
      <w:hyperlink w:anchor="_Toc213600818" w:history="1">
        <w:r>
          <w:rPr>
            <w:rStyle w:val="Hyperlink"/>
            <w:b w:val="0"/>
            <w:bCs w:val="0"/>
            <w:color w:val="auto"/>
            <w:u w:val="none"/>
          </w:rPr>
          <w:t xml:space="preserve">Hình 3.65. Diễn biến </w:t>
        </w:r>
        <w:r>
          <w:rPr>
            <w:rStyle w:val="Hyperlink"/>
            <w:b w:val="0"/>
            <w:bCs w:val="0"/>
            <w:color w:val="auto"/>
            <w:spacing w:val="-4"/>
            <w:u w:val="none"/>
          </w:rPr>
          <w:t xml:space="preserve">Asenic (As) </w:t>
        </w:r>
        <w:r>
          <w:rPr>
            <w:rStyle w:val="Hyperlink"/>
            <w:b w:val="0"/>
            <w:bCs w:val="0"/>
            <w:color w:val="auto"/>
            <w:u w:val="none"/>
          </w:rPr>
          <w:t>trong nước dưới đất vùng đồng bằng</w:t>
        </w:r>
        <w:r>
          <w:rPr>
            <w:webHidden/>
          </w:rPr>
          <w:tab/>
        </w:r>
        <w:r>
          <w:rPr>
            <w:webHidden/>
          </w:rPr>
          <w:fldChar w:fldCharType="begin"/>
        </w:r>
        <w:r>
          <w:rPr>
            <w:webHidden/>
          </w:rPr>
          <w:instrText xml:space="preserve"> PAGEREF _Toc213600818 \h </w:instrText>
        </w:r>
        <w:r>
          <w:rPr>
            <w:webHidden/>
          </w:rPr>
        </w:r>
        <w:r>
          <w:rPr>
            <w:webHidden/>
          </w:rPr>
          <w:fldChar w:fldCharType="separate"/>
        </w:r>
        <w:r>
          <w:rPr>
            <w:webHidden/>
          </w:rPr>
          <w:t>119</w:t>
        </w:r>
        <w:r>
          <w:rPr>
            <w:webHidden/>
          </w:rPr>
          <w:fldChar w:fldCharType="end"/>
        </w:r>
      </w:hyperlink>
    </w:p>
    <w:p w14:paraId="71937539" w14:textId="7939444E" w:rsidR="00085789" w:rsidRDefault="00085789">
      <w:pPr>
        <w:pStyle w:val="TOC1"/>
        <w:rPr>
          <w:rFonts w:eastAsiaTheme="minorEastAsia" w:cstheme="minorBidi"/>
          <w:kern w:val="2"/>
          <w14:ligatures w14:val="standardContextual"/>
        </w:rPr>
      </w:pPr>
      <w:hyperlink w:anchor="_Toc213600819" w:history="1">
        <w:r>
          <w:rPr>
            <w:rStyle w:val="Hyperlink"/>
            <w:b w:val="0"/>
            <w:bCs w:val="0"/>
            <w:color w:val="auto"/>
            <w:u w:val="none"/>
          </w:rPr>
          <w:t xml:space="preserve">Hình 3.66. Diễn biến </w:t>
        </w:r>
        <w:r>
          <w:rPr>
            <w:rStyle w:val="Hyperlink"/>
            <w:b w:val="0"/>
            <w:bCs w:val="0"/>
            <w:color w:val="auto"/>
            <w:spacing w:val="-4"/>
            <w:u w:val="none"/>
          </w:rPr>
          <w:t xml:space="preserve">Cloride (Cl-) </w:t>
        </w:r>
        <w:r>
          <w:rPr>
            <w:rStyle w:val="Hyperlink"/>
            <w:b w:val="0"/>
            <w:bCs w:val="0"/>
            <w:color w:val="auto"/>
            <w:u w:val="none"/>
          </w:rPr>
          <w:t>trong nước dưới đất vùng đồng bằng</w:t>
        </w:r>
        <w:r>
          <w:rPr>
            <w:webHidden/>
          </w:rPr>
          <w:tab/>
        </w:r>
        <w:r>
          <w:rPr>
            <w:webHidden/>
          </w:rPr>
          <w:fldChar w:fldCharType="begin"/>
        </w:r>
        <w:r>
          <w:rPr>
            <w:webHidden/>
          </w:rPr>
          <w:instrText xml:space="preserve"> PAGEREF _Toc213600819 \h </w:instrText>
        </w:r>
        <w:r>
          <w:rPr>
            <w:webHidden/>
          </w:rPr>
        </w:r>
        <w:r>
          <w:rPr>
            <w:webHidden/>
          </w:rPr>
          <w:fldChar w:fldCharType="separate"/>
        </w:r>
        <w:r>
          <w:rPr>
            <w:webHidden/>
          </w:rPr>
          <w:t>120</w:t>
        </w:r>
        <w:r>
          <w:rPr>
            <w:webHidden/>
          </w:rPr>
          <w:fldChar w:fldCharType="end"/>
        </w:r>
      </w:hyperlink>
    </w:p>
    <w:p w14:paraId="4104F6EC" w14:textId="24FE59FA" w:rsidR="00085789" w:rsidRDefault="00085789">
      <w:pPr>
        <w:pStyle w:val="TOC1"/>
        <w:rPr>
          <w:rFonts w:eastAsiaTheme="minorEastAsia" w:cstheme="minorBidi"/>
          <w:kern w:val="2"/>
          <w14:ligatures w14:val="standardContextual"/>
        </w:rPr>
      </w:pPr>
      <w:hyperlink w:anchor="_Toc213600820" w:history="1">
        <w:r>
          <w:rPr>
            <w:rStyle w:val="Hyperlink"/>
            <w:b w:val="0"/>
            <w:bCs w:val="0"/>
            <w:color w:val="auto"/>
            <w:u w:val="none"/>
          </w:rPr>
          <w:t>Hình 3.67. Diễn biến độ pH trong nước dưới đất vùng miền núi</w:t>
        </w:r>
        <w:r>
          <w:rPr>
            <w:webHidden/>
          </w:rPr>
          <w:tab/>
        </w:r>
        <w:r>
          <w:rPr>
            <w:webHidden/>
          </w:rPr>
          <w:fldChar w:fldCharType="begin"/>
        </w:r>
        <w:r>
          <w:rPr>
            <w:webHidden/>
          </w:rPr>
          <w:instrText xml:space="preserve"> PAGEREF _Toc213600820 \h </w:instrText>
        </w:r>
        <w:r>
          <w:rPr>
            <w:webHidden/>
          </w:rPr>
        </w:r>
        <w:r>
          <w:rPr>
            <w:webHidden/>
          </w:rPr>
          <w:fldChar w:fldCharType="separate"/>
        </w:r>
        <w:r>
          <w:rPr>
            <w:webHidden/>
          </w:rPr>
          <w:t>121</w:t>
        </w:r>
        <w:r>
          <w:rPr>
            <w:webHidden/>
          </w:rPr>
          <w:fldChar w:fldCharType="end"/>
        </w:r>
      </w:hyperlink>
    </w:p>
    <w:p w14:paraId="76818396" w14:textId="4CCE8630" w:rsidR="00085789" w:rsidRDefault="00085789">
      <w:pPr>
        <w:pStyle w:val="TOC1"/>
        <w:rPr>
          <w:rFonts w:eastAsiaTheme="minorEastAsia" w:cstheme="minorBidi"/>
          <w:kern w:val="2"/>
          <w14:ligatures w14:val="standardContextual"/>
        </w:rPr>
      </w:pPr>
      <w:hyperlink w:anchor="_Toc213600821" w:history="1">
        <w:r>
          <w:rPr>
            <w:rStyle w:val="Hyperlink"/>
            <w:b w:val="0"/>
            <w:bCs w:val="0"/>
            <w:color w:val="auto"/>
            <w:u w:val="none"/>
          </w:rPr>
          <w:t>Hình 3.68. Diễn biến hàm lượng Coliform trong nước dưới đất vùng miền núi</w:t>
        </w:r>
        <w:r>
          <w:rPr>
            <w:webHidden/>
          </w:rPr>
          <w:tab/>
        </w:r>
        <w:r>
          <w:rPr>
            <w:webHidden/>
          </w:rPr>
          <w:fldChar w:fldCharType="begin"/>
        </w:r>
        <w:r>
          <w:rPr>
            <w:webHidden/>
          </w:rPr>
          <w:instrText xml:space="preserve"> PAGEREF _Toc213600821 \h </w:instrText>
        </w:r>
        <w:r>
          <w:rPr>
            <w:webHidden/>
          </w:rPr>
        </w:r>
        <w:r>
          <w:rPr>
            <w:webHidden/>
          </w:rPr>
          <w:fldChar w:fldCharType="separate"/>
        </w:r>
        <w:r>
          <w:rPr>
            <w:webHidden/>
          </w:rPr>
          <w:t>122</w:t>
        </w:r>
        <w:r>
          <w:rPr>
            <w:webHidden/>
          </w:rPr>
          <w:fldChar w:fldCharType="end"/>
        </w:r>
      </w:hyperlink>
    </w:p>
    <w:p w14:paraId="61A2191C" w14:textId="29FECC63" w:rsidR="00085789" w:rsidRDefault="00085789">
      <w:pPr>
        <w:pStyle w:val="TOC1"/>
        <w:rPr>
          <w:rFonts w:eastAsiaTheme="minorEastAsia" w:cstheme="minorBidi"/>
          <w:kern w:val="2"/>
          <w14:ligatures w14:val="standardContextual"/>
        </w:rPr>
      </w:pPr>
      <w:hyperlink w:anchor="_Toc213600822" w:history="1">
        <w:r>
          <w:rPr>
            <w:rStyle w:val="Hyperlink"/>
            <w:b w:val="0"/>
            <w:bCs w:val="0"/>
            <w:color w:val="auto"/>
            <w:u w:val="none"/>
          </w:rPr>
          <w:t>Hình 3.69. Diễn biến hàm lượng Nitrat trong nước dưới đất vùng miền núi</w:t>
        </w:r>
        <w:r>
          <w:rPr>
            <w:webHidden/>
          </w:rPr>
          <w:tab/>
        </w:r>
        <w:r>
          <w:rPr>
            <w:webHidden/>
          </w:rPr>
          <w:fldChar w:fldCharType="begin"/>
        </w:r>
        <w:r>
          <w:rPr>
            <w:webHidden/>
          </w:rPr>
          <w:instrText xml:space="preserve"> PAGEREF _Toc213600822 \h </w:instrText>
        </w:r>
        <w:r>
          <w:rPr>
            <w:webHidden/>
          </w:rPr>
        </w:r>
        <w:r>
          <w:rPr>
            <w:webHidden/>
          </w:rPr>
          <w:fldChar w:fldCharType="separate"/>
        </w:r>
        <w:r>
          <w:rPr>
            <w:webHidden/>
          </w:rPr>
          <w:t>123</w:t>
        </w:r>
        <w:r>
          <w:rPr>
            <w:webHidden/>
          </w:rPr>
          <w:fldChar w:fldCharType="end"/>
        </w:r>
      </w:hyperlink>
    </w:p>
    <w:p w14:paraId="22AA3EAF" w14:textId="2EF3A97D" w:rsidR="00085789" w:rsidRDefault="00085789">
      <w:pPr>
        <w:pStyle w:val="TOC1"/>
        <w:rPr>
          <w:rFonts w:eastAsiaTheme="minorEastAsia" w:cstheme="minorBidi"/>
          <w:kern w:val="2"/>
          <w14:ligatures w14:val="standardContextual"/>
        </w:rPr>
      </w:pPr>
      <w:hyperlink w:anchor="_Toc213600823" w:history="1">
        <w:r>
          <w:rPr>
            <w:rStyle w:val="Hyperlink"/>
            <w:b w:val="0"/>
            <w:bCs w:val="0"/>
            <w:color w:val="auto"/>
            <w:u w:val="none"/>
          </w:rPr>
          <w:t>Hình 3.70. Diễn biến hàm lượng Amoni trong nước dưới đất vùng miền núi</w:t>
        </w:r>
        <w:r>
          <w:rPr>
            <w:webHidden/>
          </w:rPr>
          <w:tab/>
        </w:r>
        <w:r>
          <w:rPr>
            <w:webHidden/>
          </w:rPr>
          <w:fldChar w:fldCharType="begin"/>
        </w:r>
        <w:r>
          <w:rPr>
            <w:webHidden/>
          </w:rPr>
          <w:instrText xml:space="preserve"> PAGEREF _Toc213600823 \h </w:instrText>
        </w:r>
        <w:r>
          <w:rPr>
            <w:webHidden/>
          </w:rPr>
        </w:r>
        <w:r>
          <w:rPr>
            <w:webHidden/>
          </w:rPr>
          <w:fldChar w:fldCharType="separate"/>
        </w:r>
        <w:r>
          <w:rPr>
            <w:webHidden/>
          </w:rPr>
          <w:t>124</w:t>
        </w:r>
        <w:r>
          <w:rPr>
            <w:webHidden/>
          </w:rPr>
          <w:fldChar w:fldCharType="end"/>
        </w:r>
      </w:hyperlink>
    </w:p>
    <w:p w14:paraId="78338E8C" w14:textId="54B9EABD" w:rsidR="00085789" w:rsidRDefault="00085789">
      <w:pPr>
        <w:pStyle w:val="TOC1"/>
        <w:rPr>
          <w:rFonts w:eastAsiaTheme="minorEastAsia" w:cstheme="minorBidi"/>
          <w:kern w:val="2"/>
          <w14:ligatures w14:val="standardContextual"/>
        </w:rPr>
      </w:pPr>
      <w:hyperlink w:anchor="_Toc213600824" w:history="1">
        <w:r>
          <w:rPr>
            <w:rStyle w:val="Hyperlink"/>
            <w:b w:val="0"/>
            <w:bCs w:val="0"/>
            <w:color w:val="auto"/>
            <w:u w:val="none"/>
          </w:rPr>
          <w:t>Hình 3.71. Diễn biến hàm lượng TDS trong nước dưới đất vùng miền núi</w:t>
        </w:r>
        <w:r>
          <w:rPr>
            <w:webHidden/>
          </w:rPr>
          <w:tab/>
        </w:r>
        <w:r>
          <w:rPr>
            <w:webHidden/>
          </w:rPr>
          <w:fldChar w:fldCharType="begin"/>
        </w:r>
        <w:r>
          <w:rPr>
            <w:webHidden/>
          </w:rPr>
          <w:instrText xml:space="preserve"> PAGEREF _Toc213600824 \h </w:instrText>
        </w:r>
        <w:r>
          <w:rPr>
            <w:webHidden/>
          </w:rPr>
        </w:r>
        <w:r>
          <w:rPr>
            <w:webHidden/>
          </w:rPr>
          <w:fldChar w:fldCharType="separate"/>
        </w:r>
        <w:r>
          <w:rPr>
            <w:webHidden/>
          </w:rPr>
          <w:t>125</w:t>
        </w:r>
        <w:r>
          <w:rPr>
            <w:webHidden/>
          </w:rPr>
          <w:fldChar w:fldCharType="end"/>
        </w:r>
      </w:hyperlink>
    </w:p>
    <w:p w14:paraId="6CF07BEE" w14:textId="7B6F35B0" w:rsidR="00085789" w:rsidRDefault="00085789">
      <w:pPr>
        <w:pStyle w:val="TOC1"/>
        <w:rPr>
          <w:rFonts w:eastAsiaTheme="minorEastAsia" w:cstheme="minorBidi"/>
          <w:kern w:val="2"/>
          <w14:ligatures w14:val="standardContextual"/>
        </w:rPr>
      </w:pPr>
      <w:hyperlink w:anchor="_Toc213600825" w:history="1">
        <w:r>
          <w:rPr>
            <w:rStyle w:val="Hyperlink"/>
            <w:b w:val="0"/>
            <w:bCs w:val="0"/>
            <w:color w:val="auto"/>
            <w:u w:val="none"/>
          </w:rPr>
          <w:t>Hình 3.72. Diễn biến độ cứng (hàm lượng CaCO3) trong nước dưới đất vùng miền núi</w:t>
        </w:r>
        <w:r>
          <w:rPr>
            <w:webHidden/>
          </w:rPr>
          <w:tab/>
        </w:r>
        <w:r>
          <w:rPr>
            <w:webHidden/>
          </w:rPr>
          <w:fldChar w:fldCharType="begin"/>
        </w:r>
        <w:r>
          <w:rPr>
            <w:webHidden/>
          </w:rPr>
          <w:instrText xml:space="preserve"> PAGEREF _Toc213600825 \h </w:instrText>
        </w:r>
        <w:r>
          <w:rPr>
            <w:webHidden/>
          </w:rPr>
        </w:r>
        <w:r>
          <w:rPr>
            <w:webHidden/>
          </w:rPr>
          <w:fldChar w:fldCharType="separate"/>
        </w:r>
        <w:r>
          <w:rPr>
            <w:webHidden/>
          </w:rPr>
          <w:t>125</w:t>
        </w:r>
        <w:r>
          <w:rPr>
            <w:webHidden/>
          </w:rPr>
          <w:fldChar w:fldCharType="end"/>
        </w:r>
      </w:hyperlink>
    </w:p>
    <w:p w14:paraId="60CF4907" w14:textId="746BA9C1" w:rsidR="00085789" w:rsidRDefault="00085789">
      <w:pPr>
        <w:pStyle w:val="TOC1"/>
        <w:rPr>
          <w:rFonts w:eastAsiaTheme="minorEastAsia" w:cstheme="minorBidi"/>
          <w:kern w:val="2"/>
          <w14:ligatures w14:val="standardContextual"/>
        </w:rPr>
      </w:pPr>
      <w:hyperlink w:anchor="_Toc213600826" w:history="1">
        <w:r>
          <w:rPr>
            <w:rStyle w:val="Hyperlink"/>
            <w:b w:val="0"/>
            <w:bCs w:val="0"/>
            <w:color w:val="auto"/>
            <w:u w:val="none"/>
          </w:rPr>
          <w:t xml:space="preserve">Hình 3.73. Diễn biến </w:t>
        </w:r>
        <w:r>
          <w:rPr>
            <w:rStyle w:val="Hyperlink"/>
            <w:b w:val="0"/>
            <w:bCs w:val="0"/>
            <w:color w:val="auto"/>
            <w:spacing w:val="-4"/>
            <w:u w:val="none"/>
          </w:rPr>
          <w:t xml:space="preserve">Asenic (As) </w:t>
        </w:r>
        <w:r>
          <w:rPr>
            <w:rStyle w:val="Hyperlink"/>
            <w:b w:val="0"/>
            <w:bCs w:val="0"/>
            <w:color w:val="auto"/>
            <w:u w:val="none"/>
          </w:rPr>
          <w:t>trong nước dưới đất vùng miền núi.</w:t>
        </w:r>
        <w:r>
          <w:rPr>
            <w:webHidden/>
          </w:rPr>
          <w:tab/>
        </w:r>
        <w:r>
          <w:rPr>
            <w:webHidden/>
          </w:rPr>
          <w:fldChar w:fldCharType="begin"/>
        </w:r>
        <w:r>
          <w:rPr>
            <w:webHidden/>
          </w:rPr>
          <w:instrText xml:space="preserve"> PAGEREF _Toc213600826 \h </w:instrText>
        </w:r>
        <w:r>
          <w:rPr>
            <w:webHidden/>
          </w:rPr>
        </w:r>
        <w:r>
          <w:rPr>
            <w:webHidden/>
          </w:rPr>
          <w:fldChar w:fldCharType="separate"/>
        </w:r>
        <w:r>
          <w:rPr>
            <w:webHidden/>
          </w:rPr>
          <w:t>126</w:t>
        </w:r>
        <w:r>
          <w:rPr>
            <w:webHidden/>
          </w:rPr>
          <w:fldChar w:fldCharType="end"/>
        </w:r>
      </w:hyperlink>
    </w:p>
    <w:p w14:paraId="0B317D38" w14:textId="615C4507" w:rsidR="00085789" w:rsidRDefault="00085789">
      <w:pPr>
        <w:pStyle w:val="TOC1"/>
        <w:rPr>
          <w:rFonts w:eastAsiaTheme="minorEastAsia" w:cstheme="minorBidi"/>
          <w:kern w:val="2"/>
          <w14:ligatures w14:val="standardContextual"/>
        </w:rPr>
      </w:pPr>
      <w:hyperlink w:anchor="_Toc213600827" w:history="1">
        <w:r>
          <w:rPr>
            <w:rStyle w:val="Hyperlink"/>
            <w:b w:val="0"/>
            <w:bCs w:val="0"/>
            <w:color w:val="auto"/>
            <w:u w:val="none"/>
          </w:rPr>
          <w:t xml:space="preserve">Hình 3.74. Diễn biến </w:t>
        </w:r>
        <w:r>
          <w:rPr>
            <w:rStyle w:val="Hyperlink"/>
            <w:b w:val="0"/>
            <w:bCs w:val="0"/>
            <w:color w:val="auto"/>
            <w:spacing w:val="-4"/>
            <w:u w:val="none"/>
          </w:rPr>
          <w:t xml:space="preserve">Cloride (Cl-) </w:t>
        </w:r>
        <w:r>
          <w:rPr>
            <w:rStyle w:val="Hyperlink"/>
            <w:b w:val="0"/>
            <w:bCs w:val="0"/>
            <w:color w:val="auto"/>
            <w:u w:val="none"/>
          </w:rPr>
          <w:t>trong nước dưới đất vùng miền núi.</w:t>
        </w:r>
        <w:r>
          <w:rPr>
            <w:webHidden/>
          </w:rPr>
          <w:tab/>
        </w:r>
        <w:r>
          <w:rPr>
            <w:webHidden/>
          </w:rPr>
          <w:fldChar w:fldCharType="begin"/>
        </w:r>
        <w:r>
          <w:rPr>
            <w:webHidden/>
          </w:rPr>
          <w:instrText xml:space="preserve"> PAGEREF _Toc213600827 \h </w:instrText>
        </w:r>
        <w:r>
          <w:rPr>
            <w:webHidden/>
          </w:rPr>
        </w:r>
        <w:r>
          <w:rPr>
            <w:webHidden/>
          </w:rPr>
          <w:fldChar w:fldCharType="separate"/>
        </w:r>
        <w:r>
          <w:rPr>
            <w:webHidden/>
          </w:rPr>
          <w:t>127</w:t>
        </w:r>
        <w:r>
          <w:rPr>
            <w:webHidden/>
          </w:rPr>
          <w:fldChar w:fldCharType="end"/>
        </w:r>
      </w:hyperlink>
    </w:p>
    <w:p w14:paraId="049D817F" w14:textId="2BD0F762" w:rsidR="00085789" w:rsidRDefault="00085789">
      <w:pPr>
        <w:pStyle w:val="TOC1"/>
        <w:rPr>
          <w:rFonts w:eastAsiaTheme="minorEastAsia" w:cstheme="minorBidi"/>
          <w:kern w:val="2"/>
          <w14:ligatures w14:val="standardContextual"/>
        </w:rPr>
      </w:pPr>
      <w:hyperlink w:anchor="_Toc213600830" w:history="1">
        <w:r>
          <w:rPr>
            <w:rStyle w:val="Hyperlink"/>
            <w:b w:val="0"/>
            <w:bCs w:val="0"/>
            <w:color w:val="auto"/>
            <w:u w:val="none"/>
          </w:rPr>
          <w:t>Hình 3.75. Diễn biến độ pH trong nước biển ven bờ</w:t>
        </w:r>
        <w:r>
          <w:rPr>
            <w:webHidden/>
          </w:rPr>
          <w:tab/>
        </w:r>
        <w:r>
          <w:rPr>
            <w:webHidden/>
          </w:rPr>
          <w:fldChar w:fldCharType="begin"/>
        </w:r>
        <w:r>
          <w:rPr>
            <w:webHidden/>
          </w:rPr>
          <w:instrText xml:space="preserve"> PAGEREF _Toc213600830 \h </w:instrText>
        </w:r>
        <w:r>
          <w:rPr>
            <w:webHidden/>
          </w:rPr>
        </w:r>
        <w:r>
          <w:rPr>
            <w:webHidden/>
          </w:rPr>
          <w:fldChar w:fldCharType="separate"/>
        </w:r>
        <w:r>
          <w:rPr>
            <w:webHidden/>
          </w:rPr>
          <w:t>130</w:t>
        </w:r>
        <w:r>
          <w:rPr>
            <w:webHidden/>
          </w:rPr>
          <w:fldChar w:fldCharType="end"/>
        </w:r>
      </w:hyperlink>
    </w:p>
    <w:p w14:paraId="297DA8CC" w14:textId="0AAF3C47" w:rsidR="00085789" w:rsidRDefault="00085789">
      <w:pPr>
        <w:pStyle w:val="TOC1"/>
        <w:rPr>
          <w:rFonts w:eastAsiaTheme="minorEastAsia" w:cstheme="minorBidi"/>
          <w:kern w:val="2"/>
          <w14:ligatures w14:val="standardContextual"/>
        </w:rPr>
      </w:pPr>
      <w:hyperlink w:anchor="_Toc213600831" w:history="1">
        <w:r>
          <w:rPr>
            <w:rStyle w:val="Hyperlink"/>
            <w:b w:val="0"/>
            <w:bCs w:val="0"/>
            <w:color w:val="auto"/>
            <w:u w:val="none"/>
          </w:rPr>
          <w:t>Hình 3.76. Diễn biến hàm lượng DO trong nước biển ven bờ</w:t>
        </w:r>
        <w:r>
          <w:rPr>
            <w:webHidden/>
          </w:rPr>
          <w:tab/>
        </w:r>
        <w:r>
          <w:rPr>
            <w:webHidden/>
          </w:rPr>
          <w:fldChar w:fldCharType="begin"/>
        </w:r>
        <w:r>
          <w:rPr>
            <w:webHidden/>
          </w:rPr>
          <w:instrText xml:space="preserve"> PAGEREF _Toc213600831 \h </w:instrText>
        </w:r>
        <w:r>
          <w:rPr>
            <w:webHidden/>
          </w:rPr>
        </w:r>
        <w:r>
          <w:rPr>
            <w:webHidden/>
          </w:rPr>
          <w:fldChar w:fldCharType="separate"/>
        </w:r>
        <w:r>
          <w:rPr>
            <w:webHidden/>
          </w:rPr>
          <w:t>130</w:t>
        </w:r>
        <w:r>
          <w:rPr>
            <w:webHidden/>
          </w:rPr>
          <w:fldChar w:fldCharType="end"/>
        </w:r>
      </w:hyperlink>
    </w:p>
    <w:p w14:paraId="54C174C6" w14:textId="7FA822D1" w:rsidR="00085789" w:rsidRDefault="00085789">
      <w:pPr>
        <w:pStyle w:val="TOC1"/>
        <w:rPr>
          <w:rFonts w:eastAsiaTheme="minorEastAsia" w:cstheme="minorBidi"/>
          <w:kern w:val="2"/>
          <w14:ligatures w14:val="standardContextual"/>
        </w:rPr>
      </w:pPr>
      <w:hyperlink w:anchor="_Toc213600832" w:history="1">
        <w:r>
          <w:rPr>
            <w:rStyle w:val="Hyperlink"/>
            <w:b w:val="0"/>
            <w:bCs w:val="0"/>
            <w:color w:val="auto"/>
            <w:u w:val="none"/>
          </w:rPr>
          <w:t>Hình 3.77. Diễn biến hàm lượng TSS trong nước biển ven bờ</w:t>
        </w:r>
        <w:r>
          <w:rPr>
            <w:webHidden/>
          </w:rPr>
          <w:tab/>
        </w:r>
        <w:r>
          <w:rPr>
            <w:webHidden/>
          </w:rPr>
          <w:fldChar w:fldCharType="begin"/>
        </w:r>
        <w:r>
          <w:rPr>
            <w:webHidden/>
          </w:rPr>
          <w:instrText xml:space="preserve"> PAGEREF _Toc213600832 \h </w:instrText>
        </w:r>
        <w:r>
          <w:rPr>
            <w:webHidden/>
          </w:rPr>
        </w:r>
        <w:r>
          <w:rPr>
            <w:webHidden/>
          </w:rPr>
          <w:fldChar w:fldCharType="separate"/>
        </w:r>
        <w:r>
          <w:rPr>
            <w:webHidden/>
          </w:rPr>
          <w:t>131</w:t>
        </w:r>
        <w:r>
          <w:rPr>
            <w:webHidden/>
          </w:rPr>
          <w:fldChar w:fldCharType="end"/>
        </w:r>
      </w:hyperlink>
    </w:p>
    <w:p w14:paraId="1CA9A187" w14:textId="704CA083" w:rsidR="00085789" w:rsidRDefault="00085789">
      <w:pPr>
        <w:pStyle w:val="TOC1"/>
        <w:rPr>
          <w:rFonts w:eastAsiaTheme="minorEastAsia" w:cstheme="minorBidi"/>
          <w:kern w:val="2"/>
          <w14:ligatures w14:val="standardContextual"/>
        </w:rPr>
      </w:pPr>
      <w:hyperlink w:anchor="_Toc213600833" w:history="1">
        <w:r>
          <w:rPr>
            <w:rStyle w:val="Hyperlink"/>
            <w:b w:val="0"/>
            <w:bCs w:val="0"/>
            <w:color w:val="auto"/>
            <w:u w:val="none"/>
          </w:rPr>
          <w:t>Hình 3.78. Diễn biến hàm lượng Coliform trong nước biển ven bờ</w:t>
        </w:r>
        <w:r>
          <w:rPr>
            <w:webHidden/>
          </w:rPr>
          <w:tab/>
        </w:r>
        <w:r>
          <w:rPr>
            <w:webHidden/>
          </w:rPr>
          <w:fldChar w:fldCharType="begin"/>
        </w:r>
        <w:r>
          <w:rPr>
            <w:webHidden/>
          </w:rPr>
          <w:instrText xml:space="preserve"> PAGEREF _Toc213600833 \h </w:instrText>
        </w:r>
        <w:r>
          <w:rPr>
            <w:webHidden/>
          </w:rPr>
        </w:r>
        <w:r>
          <w:rPr>
            <w:webHidden/>
          </w:rPr>
          <w:fldChar w:fldCharType="separate"/>
        </w:r>
        <w:r>
          <w:rPr>
            <w:webHidden/>
          </w:rPr>
          <w:t>131</w:t>
        </w:r>
        <w:r>
          <w:rPr>
            <w:webHidden/>
          </w:rPr>
          <w:fldChar w:fldCharType="end"/>
        </w:r>
      </w:hyperlink>
    </w:p>
    <w:p w14:paraId="32A68A77" w14:textId="46B6B3B5" w:rsidR="00085789" w:rsidRDefault="00085789">
      <w:pPr>
        <w:pStyle w:val="TOC1"/>
        <w:rPr>
          <w:rFonts w:eastAsiaTheme="minorEastAsia" w:cstheme="minorBidi"/>
          <w:kern w:val="2"/>
          <w14:ligatures w14:val="standardContextual"/>
        </w:rPr>
      </w:pPr>
      <w:hyperlink w:anchor="_Toc213600834" w:history="1">
        <w:r>
          <w:rPr>
            <w:rStyle w:val="Hyperlink"/>
            <w:b w:val="0"/>
            <w:bCs w:val="0"/>
            <w:color w:val="auto"/>
            <w:u w:val="none"/>
          </w:rPr>
          <w:t>Hình 3.79. Diễn biến hàm lượng Amoni trong nước biển ven bờ</w:t>
        </w:r>
        <w:r>
          <w:rPr>
            <w:webHidden/>
          </w:rPr>
          <w:tab/>
        </w:r>
        <w:r>
          <w:rPr>
            <w:webHidden/>
          </w:rPr>
          <w:fldChar w:fldCharType="begin"/>
        </w:r>
        <w:r>
          <w:rPr>
            <w:webHidden/>
          </w:rPr>
          <w:instrText xml:space="preserve"> PAGEREF _Toc213600834 \h </w:instrText>
        </w:r>
        <w:r>
          <w:rPr>
            <w:webHidden/>
          </w:rPr>
        </w:r>
        <w:r>
          <w:rPr>
            <w:webHidden/>
          </w:rPr>
          <w:fldChar w:fldCharType="separate"/>
        </w:r>
        <w:r>
          <w:rPr>
            <w:webHidden/>
          </w:rPr>
          <w:t>132</w:t>
        </w:r>
        <w:r>
          <w:rPr>
            <w:webHidden/>
          </w:rPr>
          <w:fldChar w:fldCharType="end"/>
        </w:r>
      </w:hyperlink>
    </w:p>
    <w:p w14:paraId="3A1AC994" w14:textId="6A18F2CE" w:rsidR="00085789" w:rsidRDefault="00085789">
      <w:pPr>
        <w:pStyle w:val="TOC1"/>
        <w:rPr>
          <w:rFonts w:eastAsiaTheme="minorEastAsia" w:cstheme="minorBidi"/>
          <w:kern w:val="2"/>
          <w14:ligatures w14:val="standardContextual"/>
        </w:rPr>
      </w:pPr>
      <w:hyperlink w:anchor="_Toc213600835" w:history="1">
        <w:r>
          <w:rPr>
            <w:rStyle w:val="Hyperlink"/>
            <w:b w:val="0"/>
            <w:bCs w:val="0"/>
            <w:color w:val="auto"/>
            <w:u w:val="none"/>
          </w:rPr>
          <w:t>Hình 3.80. Diễn biến hàm lượng Phosphat trong nước biển ven bờ</w:t>
        </w:r>
        <w:r>
          <w:rPr>
            <w:webHidden/>
          </w:rPr>
          <w:tab/>
        </w:r>
        <w:r>
          <w:rPr>
            <w:webHidden/>
          </w:rPr>
          <w:fldChar w:fldCharType="begin"/>
        </w:r>
        <w:r>
          <w:rPr>
            <w:webHidden/>
          </w:rPr>
          <w:instrText xml:space="preserve"> PAGEREF _Toc213600835 \h </w:instrText>
        </w:r>
        <w:r>
          <w:rPr>
            <w:webHidden/>
          </w:rPr>
        </w:r>
        <w:r>
          <w:rPr>
            <w:webHidden/>
          </w:rPr>
          <w:fldChar w:fldCharType="separate"/>
        </w:r>
        <w:r>
          <w:rPr>
            <w:webHidden/>
          </w:rPr>
          <w:t>133</w:t>
        </w:r>
        <w:r>
          <w:rPr>
            <w:webHidden/>
          </w:rPr>
          <w:fldChar w:fldCharType="end"/>
        </w:r>
      </w:hyperlink>
    </w:p>
    <w:p w14:paraId="30B3FE25" w14:textId="5A27B0AF" w:rsidR="00085789" w:rsidRDefault="00085789">
      <w:pPr>
        <w:pStyle w:val="TOC1"/>
        <w:rPr>
          <w:rFonts w:eastAsiaTheme="minorEastAsia" w:cstheme="minorBidi"/>
          <w:kern w:val="2"/>
          <w14:ligatures w14:val="standardContextual"/>
        </w:rPr>
      </w:pPr>
      <w:hyperlink w:anchor="_Toc213600836" w:history="1">
        <w:r>
          <w:rPr>
            <w:rStyle w:val="Hyperlink"/>
            <w:b w:val="0"/>
            <w:bCs w:val="0"/>
            <w:color w:val="auto"/>
            <w:u w:val="none"/>
          </w:rPr>
          <w:t>Hình 3.81. Diễn biến hàm lượng Florua trong nước biển ven bờ</w:t>
        </w:r>
        <w:r>
          <w:rPr>
            <w:webHidden/>
          </w:rPr>
          <w:tab/>
        </w:r>
        <w:r>
          <w:rPr>
            <w:webHidden/>
          </w:rPr>
          <w:fldChar w:fldCharType="begin"/>
        </w:r>
        <w:r>
          <w:rPr>
            <w:webHidden/>
          </w:rPr>
          <w:instrText xml:space="preserve"> PAGEREF _Toc213600836 \h </w:instrText>
        </w:r>
        <w:r>
          <w:rPr>
            <w:webHidden/>
          </w:rPr>
        </w:r>
        <w:r>
          <w:rPr>
            <w:webHidden/>
          </w:rPr>
          <w:fldChar w:fldCharType="separate"/>
        </w:r>
        <w:r>
          <w:rPr>
            <w:webHidden/>
          </w:rPr>
          <w:t>134</w:t>
        </w:r>
        <w:r>
          <w:rPr>
            <w:webHidden/>
          </w:rPr>
          <w:fldChar w:fldCharType="end"/>
        </w:r>
      </w:hyperlink>
    </w:p>
    <w:p w14:paraId="0429A0F2" w14:textId="3FB22056" w:rsidR="00085789" w:rsidRDefault="00085789">
      <w:pPr>
        <w:pStyle w:val="TOC1"/>
        <w:jc w:val="left"/>
        <w:rPr>
          <w:rFonts w:eastAsiaTheme="minorEastAsia" w:cstheme="minorBidi"/>
          <w:kern w:val="2"/>
          <w14:ligatures w14:val="standardContextual"/>
        </w:rPr>
      </w:pPr>
      <w:hyperlink w:anchor="_Toc213600838" w:history="1">
        <w:r>
          <w:rPr>
            <w:rStyle w:val="Hyperlink"/>
            <w:b w:val="0"/>
            <w:bCs w:val="0"/>
            <w:color w:val="auto"/>
            <w:u w:val="none"/>
          </w:rPr>
          <w:t xml:space="preserve">Hình 4.1. Diễn biến tổng bụi lơ lửng (TSP) trong môi trường không khí khu vực đô thị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_Toc213600838 \h </w:instrText>
        </w:r>
        <w:r>
          <w:rPr>
            <w:webHidden/>
          </w:rPr>
        </w:r>
        <w:r>
          <w:rPr>
            <w:webHidden/>
          </w:rPr>
          <w:fldChar w:fldCharType="separate"/>
        </w:r>
        <w:r>
          <w:rPr>
            <w:webHidden/>
          </w:rPr>
          <w:t>140</w:t>
        </w:r>
        <w:r>
          <w:rPr>
            <w:webHidden/>
          </w:rPr>
          <w:fldChar w:fldCharType="end"/>
        </w:r>
      </w:hyperlink>
    </w:p>
    <w:p w14:paraId="4C100CAD" w14:textId="2F8F5943" w:rsidR="00085789" w:rsidRDefault="00085789">
      <w:pPr>
        <w:pStyle w:val="TOC1"/>
        <w:jc w:val="left"/>
        <w:rPr>
          <w:rFonts w:eastAsiaTheme="minorEastAsia" w:cstheme="minorBidi"/>
          <w:kern w:val="2"/>
          <w14:ligatures w14:val="standardContextual"/>
        </w:rPr>
      </w:pPr>
      <w:hyperlink w:anchor="_Toc213600839" w:history="1">
        <w:r>
          <w:rPr>
            <w:rStyle w:val="Hyperlink"/>
            <w:b w:val="0"/>
            <w:bCs w:val="0"/>
            <w:color w:val="auto"/>
            <w:u w:val="none"/>
          </w:rPr>
          <w:t xml:space="preserve">Hình 4.2. Diễn biến nồng độ SO2 trong môi trường không khí khu vực đô thị </w:t>
        </w:r>
        <w:r>
          <w:rPr>
            <w:rStyle w:val="Hyperlink"/>
            <w:b w:val="0"/>
            <w:bCs w:val="0"/>
            <w:color w:val="auto"/>
            <w:spacing w:val="-4"/>
            <w:u w:val="none"/>
            <w:lang w:val="pt-BR"/>
          </w:rPr>
          <w:t>từ năm 2021-Quý II/2025</w:t>
        </w:r>
        <w:r>
          <w:rPr>
            <w:rStyle w:val="Hyperlink"/>
            <w:b w:val="0"/>
            <w:bCs w:val="0"/>
            <w:color w:val="auto"/>
            <w:u w:val="none"/>
          </w:rPr>
          <w:t>.</w:t>
        </w:r>
        <w:r>
          <w:rPr>
            <w:webHidden/>
          </w:rPr>
          <w:tab/>
        </w:r>
        <w:r>
          <w:rPr>
            <w:webHidden/>
          </w:rPr>
          <w:fldChar w:fldCharType="begin"/>
        </w:r>
        <w:r>
          <w:rPr>
            <w:webHidden/>
          </w:rPr>
          <w:instrText xml:space="preserve"> PAGEREF _Toc213600839 \h </w:instrText>
        </w:r>
        <w:r>
          <w:rPr>
            <w:webHidden/>
          </w:rPr>
        </w:r>
        <w:r>
          <w:rPr>
            <w:webHidden/>
          </w:rPr>
          <w:fldChar w:fldCharType="separate"/>
        </w:r>
        <w:r>
          <w:rPr>
            <w:webHidden/>
          </w:rPr>
          <w:t>141</w:t>
        </w:r>
        <w:r>
          <w:rPr>
            <w:webHidden/>
          </w:rPr>
          <w:fldChar w:fldCharType="end"/>
        </w:r>
      </w:hyperlink>
    </w:p>
    <w:p w14:paraId="1EC31B7F" w14:textId="296026E6" w:rsidR="00085789" w:rsidRDefault="00085789">
      <w:pPr>
        <w:pStyle w:val="TOC1"/>
        <w:jc w:val="left"/>
        <w:rPr>
          <w:rFonts w:eastAsiaTheme="minorEastAsia" w:cstheme="minorBidi"/>
          <w:kern w:val="2"/>
          <w14:ligatures w14:val="standardContextual"/>
        </w:rPr>
      </w:pPr>
      <w:hyperlink w:anchor="_Toc213600840" w:history="1">
        <w:r>
          <w:rPr>
            <w:rStyle w:val="Hyperlink"/>
            <w:b w:val="0"/>
            <w:bCs w:val="0"/>
            <w:color w:val="auto"/>
            <w:u w:val="none"/>
          </w:rPr>
          <w:t xml:space="preserve">Hình 4.3. Diễn biến nồng độ NO2 trong môi trường không khí khu vực đô thị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_Toc213600840 \h </w:instrText>
        </w:r>
        <w:r>
          <w:rPr>
            <w:webHidden/>
          </w:rPr>
        </w:r>
        <w:r>
          <w:rPr>
            <w:webHidden/>
          </w:rPr>
          <w:fldChar w:fldCharType="separate"/>
        </w:r>
        <w:r>
          <w:rPr>
            <w:webHidden/>
          </w:rPr>
          <w:t>141</w:t>
        </w:r>
        <w:r>
          <w:rPr>
            <w:webHidden/>
          </w:rPr>
          <w:fldChar w:fldCharType="end"/>
        </w:r>
      </w:hyperlink>
    </w:p>
    <w:p w14:paraId="3E029806" w14:textId="68C10AF0" w:rsidR="00085789" w:rsidRDefault="00085789">
      <w:pPr>
        <w:pStyle w:val="TOC1"/>
        <w:jc w:val="left"/>
        <w:rPr>
          <w:rFonts w:eastAsiaTheme="minorEastAsia" w:cstheme="minorBidi"/>
          <w:kern w:val="2"/>
          <w14:ligatures w14:val="standardContextual"/>
        </w:rPr>
      </w:pPr>
      <w:hyperlink w:anchor="_Toc213600841" w:history="1">
        <w:r>
          <w:rPr>
            <w:rStyle w:val="Hyperlink"/>
            <w:b w:val="0"/>
            <w:bCs w:val="0"/>
            <w:color w:val="auto"/>
            <w:u w:val="none"/>
          </w:rPr>
          <w:t xml:space="preserve">Hình 4.4. Diễn biến tiếng ồn trong môi trường không khí khu vực đô thị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_Toc213600841 \h </w:instrText>
        </w:r>
        <w:r>
          <w:rPr>
            <w:webHidden/>
          </w:rPr>
        </w:r>
        <w:r>
          <w:rPr>
            <w:webHidden/>
          </w:rPr>
          <w:fldChar w:fldCharType="separate"/>
        </w:r>
        <w:r>
          <w:rPr>
            <w:webHidden/>
          </w:rPr>
          <w:t>142</w:t>
        </w:r>
        <w:r>
          <w:rPr>
            <w:webHidden/>
          </w:rPr>
          <w:fldChar w:fldCharType="end"/>
        </w:r>
      </w:hyperlink>
    </w:p>
    <w:p w14:paraId="048F0390" w14:textId="50CD7AAB" w:rsidR="00085789" w:rsidRDefault="00085789">
      <w:pPr>
        <w:pStyle w:val="TOC1"/>
        <w:jc w:val="left"/>
        <w:rPr>
          <w:rFonts w:eastAsiaTheme="minorEastAsia" w:cstheme="minorBidi"/>
          <w:kern w:val="2"/>
          <w14:ligatures w14:val="standardContextual"/>
        </w:rPr>
      </w:pPr>
      <w:hyperlink w:anchor="_Toc213600842" w:history="1">
        <w:r>
          <w:rPr>
            <w:rStyle w:val="Hyperlink"/>
            <w:b w:val="0"/>
            <w:bCs w:val="0"/>
            <w:color w:val="auto"/>
            <w:u w:val="none"/>
          </w:rPr>
          <w:t xml:space="preserve">Hình 4.5. Diễn biến độ rung trong môi trường không khí khu vực đô thị </w:t>
        </w:r>
        <w:r>
          <w:rPr>
            <w:rStyle w:val="Hyperlink"/>
            <w:b w:val="0"/>
            <w:bCs w:val="0"/>
            <w:color w:val="auto"/>
            <w:spacing w:val="-4"/>
            <w:u w:val="none"/>
            <w:lang w:val="pt-BR"/>
          </w:rPr>
          <w:t>từ năm 2021-Quý II/2025</w:t>
        </w:r>
        <w:r>
          <w:rPr>
            <w:rStyle w:val="Hyperlink"/>
            <w:b w:val="0"/>
            <w:bCs w:val="0"/>
            <w:color w:val="auto"/>
            <w:u w:val="none"/>
          </w:rPr>
          <w:t>.</w:t>
        </w:r>
        <w:r>
          <w:rPr>
            <w:webHidden/>
          </w:rPr>
          <w:tab/>
        </w:r>
        <w:r>
          <w:rPr>
            <w:webHidden/>
          </w:rPr>
          <w:fldChar w:fldCharType="begin"/>
        </w:r>
        <w:r>
          <w:rPr>
            <w:webHidden/>
          </w:rPr>
          <w:instrText xml:space="preserve"> PAGEREF _Toc213600842 \h </w:instrText>
        </w:r>
        <w:r>
          <w:rPr>
            <w:webHidden/>
          </w:rPr>
        </w:r>
        <w:r>
          <w:rPr>
            <w:webHidden/>
          </w:rPr>
          <w:fldChar w:fldCharType="separate"/>
        </w:r>
        <w:r>
          <w:rPr>
            <w:webHidden/>
          </w:rPr>
          <w:t>143</w:t>
        </w:r>
        <w:r>
          <w:rPr>
            <w:webHidden/>
          </w:rPr>
          <w:fldChar w:fldCharType="end"/>
        </w:r>
      </w:hyperlink>
    </w:p>
    <w:p w14:paraId="7D885592" w14:textId="75E7D805" w:rsidR="00085789" w:rsidRDefault="00085789">
      <w:pPr>
        <w:pStyle w:val="TOC1"/>
        <w:jc w:val="left"/>
        <w:rPr>
          <w:rFonts w:eastAsiaTheme="minorEastAsia" w:cstheme="minorBidi"/>
          <w:kern w:val="2"/>
          <w14:ligatures w14:val="standardContextual"/>
        </w:rPr>
      </w:pPr>
      <w:hyperlink w:anchor="_Toc213600843" w:history="1">
        <w:r>
          <w:rPr>
            <w:rStyle w:val="Hyperlink"/>
            <w:b w:val="0"/>
            <w:bCs w:val="0"/>
            <w:color w:val="auto"/>
            <w:u w:val="none"/>
          </w:rPr>
          <w:t xml:space="preserve">Hình 4.6. Diễn biến tổng bụi lơ lửng (TSP)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_Toc213600843 \h </w:instrText>
        </w:r>
        <w:r>
          <w:rPr>
            <w:webHidden/>
          </w:rPr>
        </w:r>
        <w:r>
          <w:rPr>
            <w:webHidden/>
          </w:rPr>
          <w:fldChar w:fldCharType="separate"/>
        </w:r>
        <w:r>
          <w:rPr>
            <w:webHidden/>
          </w:rPr>
          <w:t>144</w:t>
        </w:r>
        <w:r>
          <w:rPr>
            <w:webHidden/>
          </w:rPr>
          <w:fldChar w:fldCharType="end"/>
        </w:r>
      </w:hyperlink>
    </w:p>
    <w:p w14:paraId="7247ACF6" w14:textId="5A573937" w:rsidR="00085789" w:rsidRDefault="00085789">
      <w:pPr>
        <w:pStyle w:val="TOC1"/>
        <w:jc w:val="left"/>
        <w:rPr>
          <w:rFonts w:eastAsiaTheme="minorEastAsia" w:cstheme="minorBidi"/>
          <w:kern w:val="2"/>
          <w14:ligatures w14:val="standardContextual"/>
        </w:rPr>
      </w:pPr>
      <w:hyperlink w:anchor="_Toc213600844" w:history="1">
        <w:r>
          <w:rPr>
            <w:rStyle w:val="Hyperlink"/>
            <w:b w:val="0"/>
            <w:bCs w:val="0"/>
            <w:color w:val="auto"/>
            <w:u w:val="none"/>
          </w:rPr>
          <w:t xml:space="preserve">Hình 4.7. Diễn biến nồng độ SO2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_Toc213600844 \h </w:instrText>
        </w:r>
        <w:r>
          <w:rPr>
            <w:webHidden/>
          </w:rPr>
        </w:r>
        <w:r>
          <w:rPr>
            <w:webHidden/>
          </w:rPr>
          <w:fldChar w:fldCharType="separate"/>
        </w:r>
        <w:r>
          <w:rPr>
            <w:webHidden/>
          </w:rPr>
          <w:t>145</w:t>
        </w:r>
        <w:r>
          <w:rPr>
            <w:webHidden/>
          </w:rPr>
          <w:fldChar w:fldCharType="end"/>
        </w:r>
      </w:hyperlink>
    </w:p>
    <w:p w14:paraId="42C33B00" w14:textId="5F3AE77E" w:rsidR="00085789" w:rsidRDefault="00085789">
      <w:pPr>
        <w:pStyle w:val="TOC1"/>
        <w:jc w:val="left"/>
        <w:rPr>
          <w:rFonts w:eastAsiaTheme="minorEastAsia" w:cstheme="minorBidi"/>
          <w:kern w:val="2"/>
          <w14:ligatures w14:val="standardContextual"/>
        </w:rPr>
      </w:pPr>
      <w:hyperlink w:anchor="_Toc213600845" w:history="1">
        <w:r>
          <w:rPr>
            <w:rStyle w:val="Hyperlink"/>
            <w:b w:val="0"/>
            <w:bCs w:val="0"/>
            <w:color w:val="auto"/>
            <w:u w:val="none"/>
          </w:rPr>
          <w:t xml:space="preserve">Hình 4.8. Diễn biến nồng độ NO2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_Toc213600845 \h </w:instrText>
        </w:r>
        <w:r>
          <w:rPr>
            <w:webHidden/>
          </w:rPr>
        </w:r>
        <w:r>
          <w:rPr>
            <w:webHidden/>
          </w:rPr>
          <w:fldChar w:fldCharType="separate"/>
        </w:r>
        <w:r>
          <w:rPr>
            <w:webHidden/>
          </w:rPr>
          <w:t>145</w:t>
        </w:r>
        <w:r>
          <w:rPr>
            <w:webHidden/>
          </w:rPr>
          <w:fldChar w:fldCharType="end"/>
        </w:r>
      </w:hyperlink>
    </w:p>
    <w:p w14:paraId="56BB3C8D" w14:textId="71CFB7EB" w:rsidR="00085789" w:rsidRDefault="00085789">
      <w:pPr>
        <w:pStyle w:val="TOC1"/>
        <w:jc w:val="left"/>
        <w:rPr>
          <w:rFonts w:eastAsiaTheme="minorEastAsia" w:cstheme="minorBidi"/>
          <w:kern w:val="2"/>
          <w14:ligatures w14:val="standardContextual"/>
        </w:rPr>
      </w:pPr>
      <w:hyperlink w:anchor="_Toc213600846" w:history="1">
        <w:r>
          <w:rPr>
            <w:rStyle w:val="Hyperlink"/>
            <w:b w:val="0"/>
            <w:bCs w:val="0"/>
            <w:color w:val="auto"/>
            <w:u w:val="none"/>
          </w:rPr>
          <w:t xml:space="preserve">Hình 4.9. Diễn biến tiếng ồn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_Toc213600846 \h </w:instrText>
        </w:r>
        <w:r>
          <w:rPr>
            <w:webHidden/>
          </w:rPr>
        </w:r>
        <w:r>
          <w:rPr>
            <w:webHidden/>
          </w:rPr>
          <w:fldChar w:fldCharType="separate"/>
        </w:r>
        <w:r>
          <w:rPr>
            <w:webHidden/>
          </w:rPr>
          <w:t>146</w:t>
        </w:r>
        <w:r>
          <w:rPr>
            <w:webHidden/>
          </w:rPr>
          <w:fldChar w:fldCharType="end"/>
        </w:r>
      </w:hyperlink>
    </w:p>
    <w:p w14:paraId="680EC6FC" w14:textId="48CFA8D5" w:rsidR="00085789" w:rsidRDefault="00085789">
      <w:pPr>
        <w:pStyle w:val="TOC1"/>
        <w:jc w:val="left"/>
        <w:rPr>
          <w:rFonts w:eastAsiaTheme="minorEastAsia" w:cstheme="minorBidi"/>
          <w:kern w:val="2"/>
          <w14:ligatures w14:val="standardContextual"/>
        </w:rPr>
      </w:pPr>
      <w:hyperlink w:anchor="_Toc213600847" w:history="1">
        <w:r>
          <w:rPr>
            <w:rStyle w:val="Hyperlink"/>
            <w:b w:val="0"/>
            <w:bCs w:val="0"/>
            <w:color w:val="auto"/>
            <w:u w:val="none"/>
          </w:rPr>
          <w:t xml:space="preserve">Hình 4.10. Diễn biến độ rung trong môi trường không khí khu vực giao thông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_Toc213600847 \h </w:instrText>
        </w:r>
        <w:r>
          <w:rPr>
            <w:webHidden/>
          </w:rPr>
        </w:r>
        <w:r>
          <w:rPr>
            <w:webHidden/>
          </w:rPr>
          <w:fldChar w:fldCharType="separate"/>
        </w:r>
        <w:r>
          <w:rPr>
            <w:webHidden/>
          </w:rPr>
          <w:t>147</w:t>
        </w:r>
        <w:r>
          <w:rPr>
            <w:webHidden/>
          </w:rPr>
          <w:fldChar w:fldCharType="end"/>
        </w:r>
      </w:hyperlink>
    </w:p>
    <w:p w14:paraId="19F4A29E" w14:textId="618CD3F6" w:rsidR="00085789" w:rsidRDefault="00085789">
      <w:pPr>
        <w:pStyle w:val="TOC1"/>
        <w:jc w:val="left"/>
        <w:rPr>
          <w:rFonts w:eastAsiaTheme="minorEastAsia" w:cstheme="minorBidi"/>
          <w:kern w:val="2"/>
          <w14:ligatures w14:val="standardContextual"/>
        </w:rPr>
      </w:pPr>
      <w:hyperlink w:anchor="_Toc213600848" w:history="1">
        <w:r>
          <w:rPr>
            <w:rStyle w:val="Hyperlink"/>
            <w:b w:val="0"/>
            <w:bCs w:val="0"/>
            <w:color w:val="auto"/>
            <w:u w:val="none"/>
          </w:rPr>
          <w:t xml:space="preserve">Hình 4.11. Diễn biến tổng bụi lơ lửng (TSP) trong môi trường không khí khu vực </w:t>
        </w:r>
        <w:r>
          <w:rPr>
            <w:rStyle w:val="Hyperlink"/>
            <w:b w:val="0"/>
            <w:bCs w:val="0"/>
            <w:color w:val="auto"/>
            <w:spacing w:val="-4"/>
            <w:u w:val="none"/>
          </w:rPr>
          <w:t xml:space="preserve">sản xuất công nghiệp tập trung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_Toc213600848 \h </w:instrText>
        </w:r>
        <w:r>
          <w:rPr>
            <w:webHidden/>
          </w:rPr>
        </w:r>
        <w:r>
          <w:rPr>
            <w:webHidden/>
          </w:rPr>
          <w:fldChar w:fldCharType="separate"/>
        </w:r>
        <w:r>
          <w:rPr>
            <w:webHidden/>
          </w:rPr>
          <w:t>148</w:t>
        </w:r>
        <w:r>
          <w:rPr>
            <w:webHidden/>
          </w:rPr>
          <w:fldChar w:fldCharType="end"/>
        </w:r>
      </w:hyperlink>
    </w:p>
    <w:p w14:paraId="590F3E8B" w14:textId="72AC6360" w:rsidR="00085789" w:rsidRDefault="00085789">
      <w:pPr>
        <w:pStyle w:val="TOC1"/>
        <w:jc w:val="left"/>
        <w:rPr>
          <w:rFonts w:eastAsiaTheme="minorEastAsia" w:cstheme="minorBidi"/>
          <w:kern w:val="2"/>
          <w14:ligatures w14:val="standardContextual"/>
        </w:rPr>
      </w:pPr>
      <w:hyperlink w:anchor="_Toc213600849" w:history="1">
        <w:r>
          <w:rPr>
            <w:rStyle w:val="Hyperlink"/>
            <w:b w:val="0"/>
            <w:bCs w:val="0"/>
            <w:color w:val="auto"/>
            <w:u w:val="none"/>
          </w:rPr>
          <w:t xml:space="preserve">Hình 4.12. Diễn biến nồng độ SO2 trong môi trường không khí khu vực sản xuất công nghiệp tập trung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_Toc213600849 \h </w:instrText>
        </w:r>
        <w:r>
          <w:rPr>
            <w:webHidden/>
          </w:rPr>
        </w:r>
        <w:r>
          <w:rPr>
            <w:webHidden/>
          </w:rPr>
          <w:fldChar w:fldCharType="separate"/>
        </w:r>
        <w:r>
          <w:rPr>
            <w:webHidden/>
          </w:rPr>
          <w:t>148</w:t>
        </w:r>
        <w:r>
          <w:rPr>
            <w:webHidden/>
          </w:rPr>
          <w:fldChar w:fldCharType="end"/>
        </w:r>
      </w:hyperlink>
    </w:p>
    <w:p w14:paraId="38DF4EB6" w14:textId="5A6D4000" w:rsidR="00085789" w:rsidRDefault="00085789">
      <w:pPr>
        <w:pStyle w:val="TOC1"/>
        <w:jc w:val="left"/>
        <w:rPr>
          <w:rFonts w:eastAsiaTheme="minorEastAsia" w:cstheme="minorBidi"/>
          <w:kern w:val="2"/>
          <w14:ligatures w14:val="standardContextual"/>
        </w:rPr>
      </w:pPr>
      <w:hyperlink w:anchor="_Toc213600850" w:history="1">
        <w:r>
          <w:rPr>
            <w:rStyle w:val="Hyperlink"/>
            <w:b w:val="0"/>
            <w:bCs w:val="0"/>
            <w:color w:val="auto"/>
            <w:u w:val="none"/>
          </w:rPr>
          <w:t xml:space="preserve">Hình 4.13. Diễn biến nồng độ NO2 trong môi trường không khí khu vực sản xuất công nghiệp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_Toc213600850 \h </w:instrText>
        </w:r>
        <w:r>
          <w:rPr>
            <w:webHidden/>
          </w:rPr>
        </w:r>
        <w:r>
          <w:rPr>
            <w:webHidden/>
          </w:rPr>
          <w:fldChar w:fldCharType="separate"/>
        </w:r>
        <w:r>
          <w:rPr>
            <w:webHidden/>
          </w:rPr>
          <w:t>149</w:t>
        </w:r>
        <w:r>
          <w:rPr>
            <w:webHidden/>
          </w:rPr>
          <w:fldChar w:fldCharType="end"/>
        </w:r>
      </w:hyperlink>
    </w:p>
    <w:p w14:paraId="69DB6B64" w14:textId="2C3D3005" w:rsidR="00085789" w:rsidRDefault="00085789">
      <w:pPr>
        <w:pStyle w:val="TOC1"/>
        <w:jc w:val="left"/>
        <w:rPr>
          <w:rFonts w:eastAsiaTheme="minorEastAsia" w:cstheme="minorBidi"/>
          <w:kern w:val="2"/>
          <w14:ligatures w14:val="standardContextual"/>
        </w:rPr>
      </w:pPr>
      <w:hyperlink w:anchor="_Toc213600851" w:history="1">
        <w:r>
          <w:rPr>
            <w:rStyle w:val="Hyperlink"/>
            <w:b w:val="0"/>
            <w:bCs w:val="0"/>
            <w:color w:val="auto"/>
            <w:u w:val="none"/>
          </w:rPr>
          <w:t xml:space="preserve">Hình 4.14. Diễn biến tiếng ồn trong môi trường không khí khu vực sản xuất công nghiệp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_Toc213600851 \h </w:instrText>
        </w:r>
        <w:r>
          <w:rPr>
            <w:webHidden/>
          </w:rPr>
        </w:r>
        <w:r>
          <w:rPr>
            <w:webHidden/>
          </w:rPr>
          <w:fldChar w:fldCharType="separate"/>
        </w:r>
        <w:r>
          <w:rPr>
            <w:webHidden/>
          </w:rPr>
          <w:t>150</w:t>
        </w:r>
        <w:r>
          <w:rPr>
            <w:webHidden/>
          </w:rPr>
          <w:fldChar w:fldCharType="end"/>
        </w:r>
      </w:hyperlink>
    </w:p>
    <w:p w14:paraId="21B3BBEA" w14:textId="4267F87F" w:rsidR="00085789" w:rsidRDefault="00085789">
      <w:pPr>
        <w:pStyle w:val="TOC1"/>
        <w:jc w:val="left"/>
        <w:rPr>
          <w:rFonts w:eastAsiaTheme="minorEastAsia" w:cstheme="minorBidi"/>
          <w:kern w:val="2"/>
          <w14:ligatures w14:val="standardContextual"/>
        </w:rPr>
      </w:pPr>
      <w:hyperlink w:anchor="_Toc213600852" w:history="1">
        <w:r>
          <w:rPr>
            <w:rStyle w:val="Hyperlink"/>
            <w:b w:val="0"/>
            <w:bCs w:val="0"/>
            <w:color w:val="auto"/>
            <w:u w:val="none"/>
          </w:rPr>
          <w:t xml:space="preserve">Hình 4.15. Diễn biến độ rung trong môi trường không khí khu vực sản xuất công nghiệp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_Toc213600852 \h </w:instrText>
        </w:r>
        <w:r>
          <w:rPr>
            <w:webHidden/>
          </w:rPr>
        </w:r>
        <w:r>
          <w:rPr>
            <w:webHidden/>
          </w:rPr>
          <w:fldChar w:fldCharType="separate"/>
        </w:r>
        <w:r>
          <w:rPr>
            <w:webHidden/>
          </w:rPr>
          <w:t>151</w:t>
        </w:r>
        <w:r>
          <w:rPr>
            <w:webHidden/>
          </w:rPr>
          <w:fldChar w:fldCharType="end"/>
        </w:r>
      </w:hyperlink>
    </w:p>
    <w:p w14:paraId="073CB8A8" w14:textId="29B50152" w:rsidR="00085789" w:rsidRDefault="00085789">
      <w:pPr>
        <w:pStyle w:val="TOC1"/>
        <w:rPr>
          <w:rFonts w:eastAsiaTheme="minorEastAsia" w:cstheme="minorBidi"/>
          <w:kern w:val="2"/>
          <w14:ligatures w14:val="standardContextual"/>
        </w:rPr>
      </w:pPr>
      <w:hyperlink w:anchor="_Toc213600855" w:history="1">
        <w:r>
          <w:rPr>
            <w:rStyle w:val="Hyperlink"/>
            <w:b w:val="0"/>
            <w:bCs w:val="0"/>
            <w:color w:val="auto"/>
            <w:u w:val="none"/>
          </w:rPr>
          <w:t>Hình 5.1. Biểu đồ hiện trạng đất theo vùng</w:t>
        </w:r>
        <w:r>
          <w:rPr>
            <w:webHidden/>
          </w:rPr>
          <w:tab/>
        </w:r>
        <w:r>
          <w:rPr>
            <w:webHidden/>
          </w:rPr>
          <w:fldChar w:fldCharType="begin"/>
        </w:r>
        <w:r>
          <w:rPr>
            <w:webHidden/>
          </w:rPr>
          <w:instrText xml:space="preserve"> PAGEREF _Toc213600855 \h </w:instrText>
        </w:r>
        <w:r>
          <w:rPr>
            <w:webHidden/>
          </w:rPr>
        </w:r>
        <w:r>
          <w:rPr>
            <w:webHidden/>
          </w:rPr>
          <w:fldChar w:fldCharType="separate"/>
        </w:r>
        <w:r>
          <w:rPr>
            <w:webHidden/>
          </w:rPr>
          <w:t>155</w:t>
        </w:r>
        <w:r>
          <w:rPr>
            <w:webHidden/>
          </w:rPr>
          <w:fldChar w:fldCharType="end"/>
        </w:r>
      </w:hyperlink>
    </w:p>
    <w:p w14:paraId="3F84C4CC" w14:textId="200070D2" w:rsidR="00085789" w:rsidRDefault="00085789">
      <w:pPr>
        <w:pStyle w:val="TOC1"/>
        <w:rPr>
          <w:rFonts w:eastAsiaTheme="minorEastAsia" w:cstheme="minorBidi"/>
          <w:kern w:val="2"/>
          <w14:ligatures w14:val="standardContextual"/>
        </w:rPr>
      </w:pPr>
      <w:hyperlink w:anchor="_Toc213600859" w:history="1">
        <w:r>
          <w:rPr>
            <w:rStyle w:val="Hyperlink"/>
            <w:b w:val="0"/>
            <w:bCs w:val="0"/>
            <w:color w:val="auto"/>
            <w:u w:val="none"/>
          </w:rPr>
          <w:t xml:space="preserve">Hình 5.2. Diễn biến hàm lượng Asen (As) trong môi trường đất </w:t>
        </w:r>
        <w:r>
          <w:rPr>
            <w:rStyle w:val="Hyperlink"/>
            <w:b w:val="0"/>
            <w:bCs w:val="0"/>
            <w:color w:val="auto"/>
            <w:spacing w:val="-4"/>
            <w:u w:val="none"/>
            <w:lang w:val="pt-BR"/>
          </w:rPr>
          <w:t>từ năm 2021-Quý II/2025</w:t>
        </w:r>
        <w:r>
          <w:rPr>
            <w:rStyle w:val="Hyperlink"/>
            <w:b w:val="0"/>
            <w:bCs w:val="0"/>
            <w:color w:val="auto"/>
            <w:u w:val="none"/>
          </w:rPr>
          <w:t>.</w:t>
        </w:r>
        <w:r>
          <w:rPr>
            <w:webHidden/>
          </w:rPr>
          <w:tab/>
        </w:r>
        <w:r>
          <w:rPr>
            <w:webHidden/>
          </w:rPr>
          <w:fldChar w:fldCharType="begin"/>
        </w:r>
        <w:r>
          <w:rPr>
            <w:webHidden/>
          </w:rPr>
          <w:instrText xml:space="preserve"> PAGEREF _Toc213600859 \h </w:instrText>
        </w:r>
        <w:r>
          <w:rPr>
            <w:webHidden/>
          </w:rPr>
        </w:r>
        <w:r>
          <w:rPr>
            <w:webHidden/>
          </w:rPr>
          <w:fldChar w:fldCharType="separate"/>
        </w:r>
        <w:r>
          <w:rPr>
            <w:webHidden/>
          </w:rPr>
          <w:t>160</w:t>
        </w:r>
        <w:r>
          <w:rPr>
            <w:webHidden/>
          </w:rPr>
          <w:fldChar w:fldCharType="end"/>
        </w:r>
      </w:hyperlink>
    </w:p>
    <w:p w14:paraId="637E8FB0" w14:textId="4BF4ED73" w:rsidR="00085789" w:rsidRDefault="00085789">
      <w:pPr>
        <w:pStyle w:val="TOC1"/>
        <w:rPr>
          <w:rFonts w:eastAsiaTheme="minorEastAsia" w:cstheme="minorBidi"/>
          <w:kern w:val="2"/>
          <w14:ligatures w14:val="standardContextual"/>
        </w:rPr>
      </w:pPr>
      <w:hyperlink w:anchor="_Toc213600860" w:history="1">
        <w:r>
          <w:rPr>
            <w:rStyle w:val="Hyperlink"/>
            <w:b w:val="0"/>
            <w:bCs w:val="0"/>
            <w:color w:val="auto"/>
            <w:u w:val="none"/>
          </w:rPr>
          <w:t xml:space="preserve">Hình 5.3. Diễn biến hàm lượng Cadimi (Cd)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_Toc213600860 \h </w:instrText>
        </w:r>
        <w:r>
          <w:rPr>
            <w:webHidden/>
          </w:rPr>
        </w:r>
        <w:r>
          <w:rPr>
            <w:webHidden/>
          </w:rPr>
          <w:fldChar w:fldCharType="separate"/>
        </w:r>
        <w:r>
          <w:rPr>
            <w:webHidden/>
          </w:rPr>
          <w:t>161</w:t>
        </w:r>
        <w:r>
          <w:rPr>
            <w:webHidden/>
          </w:rPr>
          <w:fldChar w:fldCharType="end"/>
        </w:r>
      </w:hyperlink>
    </w:p>
    <w:p w14:paraId="095B3B04" w14:textId="0E46215B" w:rsidR="00085789" w:rsidRDefault="00085789">
      <w:pPr>
        <w:pStyle w:val="TOC1"/>
        <w:rPr>
          <w:rFonts w:eastAsiaTheme="minorEastAsia" w:cstheme="minorBidi"/>
          <w:kern w:val="2"/>
          <w14:ligatures w14:val="standardContextual"/>
        </w:rPr>
      </w:pPr>
      <w:hyperlink w:anchor="_Toc213600861" w:history="1">
        <w:r>
          <w:rPr>
            <w:rStyle w:val="Hyperlink"/>
            <w:b w:val="0"/>
            <w:bCs w:val="0"/>
            <w:color w:val="auto"/>
            <w:u w:val="none"/>
          </w:rPr>
          <w:t xml:space="preserve">Hình 5.4. Diễn biến hàm lượng Chì (Pb)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_Toc213600861 \h </w:instrText>
        </w:r>
        <w:r>
          <w:rPr>
            <w:webHidden/>
          </w:rPr>
        </w:r>
        <w:r>
          <w:rPr>
            <w:webHidden/>
          </w:rPr>
          <w:fldChar w:fldCharType="separate"/>
        </w:r>
        <w:r>
          <w:rPr>
            <w:webHidden/>
          </w:rPr>
          <w:t>161</w:t>
        </w:r>
        <w:r>
          <w:rPr>
            <w:webHidden/>
          </w:rPr>
          <w:fldChar w:fldCharType="end"/>
        </w:r>
      </w:hyperlink>
    </w:p>
    <w:p w14:paraId="0BF3C765" w14:textId="337A6BF6" w:rsidR="00085789" w:rsidRDefault="00085789">
      <w:pPr>
        <w:pStyle w:val="TOC1"/>
        <w:rPr>
          <w:rFonts w:eastAsiaTheme="minorEastAsia" w:cstheme="minorBidi"/>
          <w:kern w:val="2"/>
          <w14:ligatures w14:val="standardContextual"/>
        </w:rPr>
      </w:pPr>
      <w:hyperlink w:anchor="_Toc213600862" w:history="1">
        <w:r>
          <w:rPr>
            <w:rStyle w:val="Hyperlink"/>
            <w:b w:val="0"/>
            <w:bCs w:val="0"/>
            <w:color w:val="auto"/>
            <w:u w:val="none"/>
          </w:rPr>
          <w:t xml:space="preserve">Hình 5.5. Diễn biến hàm lượng Crom (Cr)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_Toc213600862 \h </w:instrText>
        </w:r>
        <w:r>
          <w:rPr>
            <w:webHidden/>
          </w:rPr>
        </w:r>
        <w:r>
          <w:rPr>
            <w:webHidden/>
          </w:rPr>
          <w:fldChar w:fldCharType="separate"/>
        </w:r>
        <w:r>
          <w:rPr>
            <w:webHidden/>
          </w:rPr>
          <w:t>162</w:t>
        </w:r>
        <w:r>
          <w:rPr>
            <w:webHidden/>
          </w:rPr>
          <w:fldChar w:fldCharType="end"/>
        </w:r>
      </w:hyperlink>
    </w:p>
    <w:p w14:paraId="22353759" w14:textId="7A8C9647" w:rsidR="00085789" w:rsidRDefault="00085789">
      <w:pPr>
        <w:pStyle w:val="TOC1"/>
        <w:rPr>
          <w:rFonts w:eastAsiaTheme="minorEastAsia" w:cstheme="minorBidi"/>
          <w:kern w:val="2"/>
          <w14:ligatures w14:val="standardContextual"/>
        </w:rPr>
      </w:pPr>
      <w:hyperlink w:anchor="_Toc213600863" w:history="1">
        <w:r>
          <w:rPr>
            <w:rStyle w:val="Hyperlink"/>
            <w:b w:val="0"/>
            <w:bCs w:val="0"/>
            <w:color w:val="auto"/>
            <w:u w:val="none"/>
          </w:rPr>
          <w:t xml:space="preserve">Hình 5.6. Diễn biến hàm lượng Đồng (Cu)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_Toc213600863 \h </w:instrText>
        </w:r>
        <w:r>
          <w:rPr>
            <w:webHidden/>
          </w:rPr>
        </w:r>
        <w:r>
          <w:rPr>
            <w:webHidden/>
          </w:rPr>
          <w:fldChar w:fldCharType="separate"/>
        </w:r>
        <w:r>
          <w:rPr>
            <w:webHidden/>
          </w:rPr>
          <w:t>163</w:t>
        </w:r>
        <w:r>
          <w:rPr>
            <w:webHidden/>
          </w:rPr>
          <w:fldChar w:fldCharType="end"/>
        </w:r>
      </w:hyperlink>
    </w:p>
    <w:p w14:paraId="6E991A03" w14:textId="7E6E20CB" w:rsidR="00085789" w:rsidRDefault="00085789">
      <w:pPr>
        <w:pStyle w:val="TOC1"/>
        <w:rPr>
          <w:rFonts w:eastAsiaTheme="minorEastAsia" w:cstheme="minorBidi"/>
          <w:kern w:val="2"/>
          <w14:ligatures w14:val="standardContextual"/>
        </w:rPr>
      </w:pPr>
      <w:hyperlink w:anchor="_Toc213600864" w:history="1">
        <w:r>
          <w:rPr>
            <w:rStyle w:val="Hyperlink"/>
            <w:b w:val="0"/>
            <w:bCs w:val="0"/>
            <w:color w:val="auto"/>
            <w:u w:val="none"/>
          </w:rPr>
          <w:t xml:space="preserve">Hình 5.7. Diễn biến hàm lượng </w:t>
        </w:r>
        <w:r>
          <w:rPr>
            <w:rStyle w:val="Hyperlink"/>
            <w:b w:val="0"/>
            <w:bCs w:val="0"/>
            <w:color w:val="auto"/>
            <w:spacing w:val="-4"/>
            <w:u w:val="none"/>
          </w:rPr>
          <w:t>Kẽm (Zn)</w:t>
        </w:r>
        <w:r>
          <w:rPr>
            <w:rStyle w:val="Hyperlink"/>
            <w:b w:val="0"/>
            <w:bCs w:val="0"/>
            <w:color w:val="auto"/>
            <w:u w:val="none"/>
          </w:rPr>
          <w:t xml:space="preserve"> trong môi trường đất </w:t>
        </w:r>
        <w:r>
          <w:rPr>
            <w:rStyle w:val="Hyperlink"/>
            <w:b w:val="0"/>
            <w:bCs w:val="0"/>
            <w:color w:val="auto"/>
            <w:spacing w:val="-4"/>
            <w:u w:val="none"/>
            <w:lang w:val="pt-BR"/>
          </w:rPr>
          <w:t>từ năm 2021-Quý II/2025</w:t>
        </w:r>
        <w:r>
          <w:rPr>
            <w:webHidden/>
          </w:rPr>
          <w:tab/>
        </w:r>
        <w:r>
          <w:rPr>
            <w:webHidden/>
          </w:rPr>
          <w:fldChar w:fldCharType="begin"/>
        </w:r>
        <w:r>
          <w:rPr>
            <w:webHidden/>
          </w:rPr>
          <w:instrText xml:space="preserve"> PAGEREF _Toc213600864 \h </w:instrText>
        </w:r>
        <w:r>
          <w:rPr>
            <w:webHidden/>
          </w:rPr>
        </w:r>
        <w:r>
          <w:rPr>
            <w:webHidden/>
          </w:rPr>
          <w:fldChar w:fldCharType="separate"/>
        </w:r>
        <w:r>
          <w:rPr>
            <w:webHidden/>
          </w:rPr>
          <w:t>163</w:t>
        </w:r>
        <w:r>
          <w:rPr>
            <w:webHidden/>
          </w:rPr>
          <w:fldChar w:fldCharType="end"/>
        </w:r>
      </w:hyperlink>
    </w:p>
    <w:p w14:paraId="0287C647" w14:textId="61ED0773" w:rsidR="00085789" w:rsidRDefault="00085789">
      <w:pPr>
        <w:pStyle w:val="TOC1"/>
        <w:jc w:val="left"/>
        <w:rPr>
          <w:rFonts w:eastAsiaTheme="minorEastAsia" w:cstheme="minorBidi"/>
          <w:kern w:val="2"/>
          <w14:ligatures w14:val="standardContextual"/>
        </w:rPr>
      </w:pPr>
      <w:hyperlink w:anchor="_Toc213600890" w:history="1">
        <w:r>
          <w:rPr>
            <w:rStyle w:val="Hyperlink"/>
            <w:b w:val="0"/>
            <w:bCs w:val="0"/>
            <w:color w:val="auto"/>
            <w:u w:val="none"/>
          </w:rPr>
          <w:t>Hình 1</w:t>
        </w:r>
        <w:r>
          <w:rPr>
            <w:rStyle w:val="Hyperlink"/>
            <w:b w:val="0"/>
            <w:bCs w:val="0"/>
            <w:color w:val="auto"/>
            <w:u w:val="none"/>
            <w:lang w:val="da-DK"/>
          </w:rPr>
          <w:t>0</w:t>
        </w:r>
        <w:r>
          <w:rPr>
            <w:rStyle w:val="Hyperlink"/>
            <w:b w:val="0"/>
            <w:bCs w:val="0"/>
            <w:color w:val="auto"/>
            <w:u w:val="none"/>
          </w:rPr>
          <w:t xml:space="preserve">.1. Sơ đồ cơ cấu tổ chức bộ phận chuyên môn về bảo vệ môi trường từ ngày </w:t>
        </w:r>
        <w:r>
          <w:rPr>
            <w:rStyle w:val="Hyperlink"/>
            <w:b w:val="0"/>
            <w:bCs w:val="0"/>
            <w:color w:val="auto"/>
            <w:u w:val="none"/>
            <w:lang w:val="da-DK"/>
          </w:rPr>
          <w:t>01/7/2020 đến ngày 30/6/2025</w:t>
        </w:r>
        <w:r>
          <w:rPr>
            <w:webHidden/>
          </w:rPr>
          <w:tab/>
        </w:r>
        <w:r>
          <w:rPr>
            <w:webHidden/>
          </w:rPr>
          <w:fldChar w:fldCharType="begin"/>
        </w:r>
        <w:r>
          <w:rPr>
            <w:webHidden/>
          </w:rPr>
          <w:instrText xml:space="preserve"> PAGEREF _Toc213600890 \h </w:instrText>
        </w:r>
        <w:r>
          <w:rPr>
            <w:webHidden/>
          </w:rPr>
        </w:r>
        <w:r>
          <w:rPr>
            <w:webHidden/>
          </w:rPr>
          <w:fldChar w:fldCharType="separate"/>
        </w:r>
        <w:r>
          <w:rPr>
            <w:webHidden/>
          </w:rPr>
          <w:t>201</w:t>
        </w:r>
        <w:r>
          <w:rPr>
            <w:webHidden/>
          </w:rPr>
          <w:fldChar w:fldCharType="end"/>
        </w:r>
      </w:hyperlink>
    </w:p>
    <w:p w14:paraId="2DCE3589" w14:textId="5D43C2C8" w:rsidR="00085789" w:rsidRDefault="00085789">
      <w:pPr>
        <w:pStyle w:val="TOC1"/>
        <w:jc w:val="left"/>
        <w:rPr>
          <w:rFonts w:eastAsiaTheme="minorEastAsia" w:cstheme="minorBidi"/>
          <w:kern w:val="2"/>
          <w14:ligatures w14:val="standardContextual"/>
        </w:rPr>
      </w:pPr>
      <w:hyperlink w:anchor="_Toc213600891" w:history="1">
        <w:r>
          <w:rPr>
            <w:rStyle w:val="Hyperlink"/>
            <w:b w:val="0"/>
            <w:bCs w:val="0"/>
            <w:color w:val="auto"/>
            <w:u w:val="none"/>
          </w:rPr>
          <w:t>Hình 1</w:t>
        </w:r>
        <w:r>
          <w:rPr>
            <w:rStyle w:val="Hyperlink"/>
            <w:b w:val="0"/>
            <w:bCs w:val="0"/>
            <w:color w:val="auto"/>
            <w:u w:val="none"/>
            <w:lang w:val="da-DK"/>
          </w:rPr>
          <w:t>0</w:t>
        </w:r>
        <w:r>
          <w:rPr>
            <w:rStyle w:val="Hyperlink"/>
            <w:b w:val="0"/>
            <w:bCs w:val="0"/>
            <w:color w:val="auto"/>
            <w:u w:val="none"/>
          </w:rPr>
          <w:t>.2. Sơ đồ cơ cấu tổ chức bộ phận chuyên môn về bảo vệ môi trường từ ngày 01/7/2025</w:t>
        </w:r>
        <w:r>
          <w:rPr>
            <w:webHidden/>
          </w:rPr>
          <w:tab/>
        </w:r>
        <w:r>
          <w:rPr>
            <w:webHidden/>
          </w:rPr>
          <w:fldChar w:fldCharType="begin"/>
        </w:r>
        <w:r>
          <w:rPr>
            <w:webHidden/>
          </w:rPr>
          <w:instrText xml:space="preserve"> PAGEREF _Toc213600891 \h </w:instrText>
        </w:r>
        <w:r>
          <w:rPr>
            <w:webHidden/>
          </w:rPr>
        </w:r>
        <w:r>
          <w:rPr>
            <w:webHidden/>
          </w:rPr>
          <w:fldChar w:fldCharType="separate"/>
        </w:r>
        <w:r>
          <w:rPr>
            <w:webHidden/>
          </w:rPr>
          <w:t>202</w:t>
        </w:r>
        <w:r>
          <w:rPr>
            <w:webHidden/>
          </w:rPr>
          <w:fldChar w:fldCharType="end"/>
        </w:r>
      </w:hyperlink>
    </w:p>
    <w:p w14:paraId="5AE894E6" w14:textId="77777777" w:rsidR="00085789" w:rsidRDefault="00085789">
      <w:pPr>
        <w:rPr>
          <w:rFonts w:eastAsiaTheme="minorEastAsia"/>
        </w:rPr>
      </w:pPr>
    </w:p>
    <w:p w14:paraId="27A51B04" w14:textId="77777777" w:rsidR="00085789" w:rsidRDefault="00000000">
      <w:pPr>
        <w:pStyle w:val="s1"/>
        <w:spacing w:before="0" w:after="240"/>
        <w:ind w:firstLine="567"/>
        <w:rPr>
          <w:szCs w:val="26"/>
        </w:rPr>
      </w:pPr>
      <w:r>
        <w:rPr>
          <w:szCs w:val="26"/>
        </w:rPr>
        <w:br w:type="column"/>
      </w:r>
      <w:r>
        <w:rPr>
          <w:szCs w:val="26"/>
        </w:rPr>
        <w:lastRenderedPageBreak/>
        <w:t>DANH MỤC CHỮ VIẾT TẮT</w:t>
      </w:r>
    </w:p>
    <w:tbl>
      <w:tblPr>
        <w:tblW w:w="0" w:type="auto"/>
        <w:tblInd w:w="2579" w:type="dxa"/>
        <w:tblLook w:val="04A0" w:firstRow="1" w:lastRow="0" w:firstColumn="1" w:lastColumn="0" w:noHBand="0" w:noVBand="1"/>
      </w:tblPr>
      <w:tblGrid>
        <w:gridCol w:w="1999"/>
        <w:gridCol w:w="4348"/>
      </w:tblGrid>
      <w:tr w:rsidR="00085789" w14:paraId="6AB80DC7" w14:textId="77777777">
        <w:tc>
          <w:tcPr>
            <w:tcW w:w="1999" w:type="dxa"/>
          </w:tcPr>
          <w:p w14:paraId="040A2BAB" w14:textId="77777777" w:rsidR="00085789" w:rsidRDefault="00000000">
            <w:pPr>
              <w:spacing w:line="340" w:lineRule="exact"/>
              <w:rPr>
                <w:rFonts w:eastAsia="Calibri"/>
                <w:sz w:val="26"/>
                <w:szCs w:val="26"/>
              </w:rPr>
            </w:pPr>
            <w:r>
              <w:rPr>
                <w:rFonts w:eastAsia="Calibri"/>
                <w:sz w:val="26"/>
                <w:szCs w:val="26"/>
              </w:rPr>
              <w:t>ATNĐ:</w:t>
            </w:r>
          </w:p>
        </w:tc>
        <w:tc>
          <w:tcPr>
            <w:tcW w:w="4348" w:type="dxa"/>
          </w:tcPr>
          <w:p w14:paraId="1539EFFA" w14:textId="77777777" w:rsidR="00085789" w:rsidRDefault="00000000">
            <w:pPr>
              <w:spacing w:line="340" w:lineRule="exact"/>
              <w:rPr>
                <w:rFonts w:eastAsia="Calibri"/>
                <w:sz w:val="26"/>
                <w:szCs w:val="26"/>
              </w:rPr>
            </w:pPr>
            <w:r>
              <w:rPr>
                <w:rFonts w:eastAsia="Calibri"/>
                <w:sz w:val="26"/>
                <w:szCs w:val="26"/>
              </w:rPr>
              <w:t>Áp thấp nhiệt đới</w:t>
            </w:r>
          </w:p>
        </w:tc>
      </w:tr>
      <w:tr w:rsidR="00085789" w14:paraId="35AB03CC" w14:textId="77777777">
        <w:tc>
          <w:tcPr>
            <w:tcW w:w="1999" w:type="dxa"/>
          </w:tcPr>
          <w:p w14:paraId="31F581D5" w14:textId="77777777" w:rsidR="00085789" w:rsidRDefault="00000000">
            <w:pPr>
              <w:spacing w:line="340" w:lineRule="exact"/>
              <w:rPr>
                <w:rFonts w:eastAsia="Calibri"/>
                <w:sz w:val="26"/>
                <w:szCs w:val="26"/>
              </w:rPr>
            </w:pPr>
            <w:r>
              <w:rPr>
                <w:rFonts w:eastAsia="Calibri"/>
                <w:sz w:val="26"/>
                <w:szCs w:val="26"/>
              </w:rPr>
              <w:t>BĐKH:</w:t>
            </w:r>
          </w:p>
          <w:p w14:paraId="3282897E" w14:textId="77777777" w:rsidR="00085789" w:rsidRDefault="00000000">
            <w:pPr>
              <w:spacing w:line="340" w:lineRule="exact"/>
              <w:rPr>
                <w:rFonts w:eastAsia="Calibri"/>
                <w:sz w:val="26"/>
                <w:szCs w:val="26"/>
              </w:rPr>
            </w:pPr>
            <w:r>
              <w:rPr>
                <w:rFonts w:eastAsia="Calibri"/>
                <w:sz w:val="26"/>
                <w:szCs w:val="26"/>
              </w:rPr>
              <w:t>BTTN:</w:t>
            </w:r>
          </w:p>
          <w:p w14:paraId="54E17AB1" w14:textId="77777777" w:rsidR="00085789" w:rsidRDefault="00000000">
            <w:pPr>
              <w:spacing w:line="340" w:lineRule="exact"/>
              <w:rPr>
                <w:rFonts w:eastAsia="Calibri"/>
                <w:sz w:val="26"/>
                <w:szCs w:val="26"/>
              </w:rPr>
            </w:pPr>
            <w:r>
              <w:rPr>
                <w:rFonts w:eastAsia="Calibri"/>
                <w:sz w:val="26"/>
                <w:szCs w:val="26"/>
              </w:rPr>
              <w:t>BVMT:</w:t>
            </w:r>
          </w:p>
        </w:tc>
        <w:tc>
          <w:tcPr>
            <w:tcW w:w="4348" w:type="dxa"/>
          </w:tcPr>
          <w:p w14:paraId="692CC2EC" w14:textId="77777777" w:rsidR="00085789" w:rsidRDefault="00000000">
            <w:pPr>
              <w:spacing w:line="340" w:lineRule="exact"/>
              <w:rPr>
                <w:rFonts w:eastAsia="Calibri"/>
                <w:sz w:val="26"/>
                <w:szCs w:val="26"/>
              </w:rPr>
            </w:pPr>
            <w:r>
              <w:rPr>
                <w:rFonts w:eastAsia="Calibri"/>
                <w:sz w:val="26"/>
                <w:szCs w:val="26"/>
              </w:rPr>
              <w:t>Biến đổi khí hậu</w:t>
            </w:r>
          </w:p>
          <w:p w14:paraId="753EC3C7" w14:textId="77777777" w:rsidR="00085789" w:rsidRDefault="00000000">
            <w:pPr>
              <w:spacing w:line="340" w:lineRule="exact"/>
              <w:rPr>
                <w:rFonts w:eastAsia="Calibri"/>
                <w:sz w:val="26"/>
                <w:szCs w:val="26"/>
              </w:rPr>
            </w:pPr>
            <w:r>
              <w:rPr>
                <w:rFonts w:eastAsia="Calibri"/>
                <w:sz w:val="26"/>
                <w:szCs w:val="26"/>
              </w:rPr>
              <w:t>Bảo tồn thiên nhiên</w:t>
            </w:r>
          </w:p>
          <w:p w14:paraId="03E9A6A7" w14:textId="77777777" w:rsidR="00085789" w:rsidRDefault="00000000">
            <w:pPr>
              <w:spacing w:line="340" w:lineRule="exact"/>
              <w:rPr>
                <w:rFonts w:eastAsia="Calibri"/>
                <w:sz w:val="26"/>
                <w:szCs w:val="26"/>
              </w:rPr>
            </w:pPr>
            <w:r>
              <w:rPr>
                <w:rFonts w:eastAsia="Calibri"/>
                <w:sz w:val="26"/>
                <w:szCs w:val="26"/>
              </w:rPr>
              <w:t>Bảo vệ môi trường</w:t>
            </w:r>
          </w:p>
        </w:tc>
      </w:tr>
      <w:tr w:rsidR="00085789" w14:paraId="726F5327" w14:textId="77777777">
        <w:tc>
          <w:tcPr>
            <w:tcW w:w="1999" w:type="dxa"/>
          </w:tcPr>
          <w:p w14:paraId="7CBD8C9C" w14:textId="77777777" w:rsidR="00085789" w:rsidRDefault="00000000">
            <w:pPr>
              <w:spacing w:line="340" w:lineRule="exact"/>
              <w:rPr>
                <w:rFonts w:eastAsia="Calibri"/>
                <w:sz w:val="26"/>
                <w:szCs w:val="26"/>
              </w:rPr>
            </w:pPr>
            <w:r>
              <w:rPr>
                <w:rFonts w:eastAsia="Calibri"/>
                <w:sz w:val="26"/>
                <w:szCs w:val="26"/>
              </w:rPr>
              <w:t>CBCN:</w:t>
            </w:r>
          </w:p>
          <w:p w14:paraId="0EC84545" w14:textId="77777777" w:rsidR="00085789" w:rsidRDefault="00000000">
            <w:pPr>
              <w:spacing w:line="340" w:lineRule="exact"/>
              <w:rPr>
                <w:rFonts w:eastAsia="Calibri"/>
                <w:sz w:val="26"/>
                <w:szCs w:val="26"/>
              </w:rPr>
            </w:pPr>
            <w:r>
              <w:rPr>
                <w:rFonts w:eastAsia="Calibri"/>
                <w:sz w:val="26"/>
                <w:szCs w:val="26"/>
              </w:rPr>
              <w:t>CBCNV:</w:t>
            </w:r>
          </w:p>
          <w:p w14:paraId="341620A3" w14:textId="77777777" w:rsidR="00085789" w:rsidRDefault="00000000">
            <w:pPr>
              <w:spacing w:line="340" w:lineRule="exact"/>
              <w:rPr>
                <w:rFonts w:eastAsia="Calibri"/>
                <w:sz w:val="26"/>
                <w:szCs w:val="26"/>
              </w:rPr>
            </w:pPr>
            <w:r>
              <w:rPr>
                <w:rFonts w:eastAsia="Calibri"/>
                <w:sz w:val="26"/>
                <w:szCs w:val="26"/>
              </w:rPr>
              <w:t>CCN:</w:t>
            </w:r>
          </w:p>
          <w:p w14:paraId="4FEEEC60" w14:textId="77777777" w:rsidR="00085789" w:rsidRDefault="00000000">
            <w:pPr>
              <w:spacing w:line="340" w:lineRule="exact"/>
              <w:rPr>
                <w:rFonts w:eastAsia="Calibri"/>
                <w:sz w:val="26"/>
                <w:szCs w:val="26"/>
              </w:rPr>
            </w:pPr>
            <w:r>
              <w:rPr>
                <w:rFonts w:eastAsia="Calibri"/>
                <w:sz w:val="26"/>
                <w:szCs w:val="26"/>
              </w:rPr>
              <w:t>CTNH:</w:t>
            </w:r>
          </w:p>
          <w:p w14:paraId="1BEEEC94" w14:textId="77777777" w:rsidR="00085789" w:rsidRDefault="00000000">
            <w:pPr>
              <w:spacing w:line="340" w:lineRule="exact"/>
              <w:rPr>
                <w:rFonts w:eastAsia="Calibri"/>
                <w:sz w:val="26"/>
                <w:szCs w:val="26"/>
              </w:rPr>
            </w:pPr>
            <w:r>
              <w:rPr>
                <w:rFonts w:eastAsia="Calibri"/>
                <w:sz w:val="26"/>
                <w:szCs w:val="26"/>
              </w:rPr>
              <w:t>CTR:</w:t>
            </w:r>
          </w:p>
          <w:p w14:paraId="37F6AB1B" w14:textId="77777777" w:rsidR="00085789" w:rsidRDefault="00000000">
            <w:pPr>
              <w:spacing w:line="340" w:lineRule="exact"/>
              <w:rPr>
                <w:rFonts w:eastAsia="Calibri"/>
                <w:sz w:val="26"/>
                <w:szCs w:val="26"/>
              </w:rPr>
            </w:pPr>
            <w:r>
              <w:rPr>
                <w:rFonts w:eastAsia="Calibri"/>
                <w:sz w:val="26"/>
                <w:szCs w:val="26"/>
              </w:rPr>
              <w:t>CTRSH:</w:t>
            </w:r>
          </w:p>
          <w:p w14:paraId="0D0EED46" w14:textId="77777777" w:rsidR="00085789" w:rsidRDefault="00000000">
            <w:pPr>
              <w:spacing w:line="340" w:lineRule="exact"/>
              <w:rPr>
                <w:rFonts w:eastAsia="Calibri"/>
                <w:sz w:val="26"/>
                <w:szCs w:val="26"/>
              </w:rPr>
            </w:pPr>
            <w:r>
              <w:rPr>
                <w:rFonts w:eastAsia="Calibri"/>
                <w:sz w:val="26"/>
                <w:szCs w:val="26"/>
              </w:rPr>
              <w:t>ĐDSH:</w:t>
            </w:r>
          </w:p>
          <w:p w14:paraId="10B14E54" w14:textId="77777777" w:rsidR="00085789" w:rsidRDefault="00000000">
            <w:pPr>
              <w:spacing w:line="340" w:lineRule="exact"/>
              <w:rPr>
                <w:rFonts w:eastAsia="Calibri"/>
                <w:sz w:val="26"/>
                <w:szCs w:val="26"/>
              </w:rPr>
            </w:pPr>
            <w:r>
              <w:rPr>
                <w:rFonts w:eastAsia="Calibri"/>
                <w:sz w:val="26"/>
                <w:szCs w:val="26"/>
              </w:rPr>
              <w:t>ĐTM:</w:t>
            </w:r>
          </w:p>
          <w:p w14:paraId="7D16B352" w14:textId="77777777" w:rsidR="00085789" w:rsidRDefault="00000000">
            <w:pPr>
              <w:spacing w:line="340" w:lineRule="exact"/>
              <w:rPr>
                <w:sz w:val="26"/>
                <w:szCs w:val="26"/>
              </w:rPr>
            </w:pPr>
            <w:r>
              <w:rPr>
                <w:sz w:val="26"/>
                <w:szCs w:val="26"/>
              </w:rPr>
              <w:t>GTSX:</w:t>
            </w:r>
          </w:p>
          <w:p w14:paraId="6AEA4394" w14:textId="77777777" w:rsidR="00085789" w:rsidRDefault="00000000">
            <w:pPr>
              <w:spacing w:line="340" w:lineRule="exact"/>
              <w:rPr>
                <w:rFonts w:eastAsia="Calibri"/>
                <w:sz w:val="26"/>
                <w:szCs w:val="26"/>
              </w:rPr>
            </w:pPr>
            <w:r>
              <w:rPr>
                <w:rFonts w:eastAsia="Calibri"/>
                <w:sz w:val="26"/>
                <w:szCs w:val="26"/>
              </w:rPr>
              <w:t>HST:</w:t>
            </w:r>
          </w:p>
        </w:tc>
        <w:tc>
          <w:tcPr>
            <w:tcW w:w="4348" w:type="dxa"/>
          </w:tcPr>
          <w:p w14:paraId="382F6918" w14:textId="77777777" w:rsidR="00085789" w:rsidRDefault="00000000">
            <w:pPr>
              <w:spacing w:line="340" w:lineRule="exact"/>
              <w:rPr>
                <w:rFonts w:eastAsia="Calibri"/>
                <w:sz w:val="26"/>
                <w:szCs w:val="26"/>
              </w:rPr>
            </w:pPr>
            <w:r>
              <w:rPr>
                <w:rFonts w:eastAsia="Calibri"/>
                <w:sz w:val="26"/>
                <w:szCs w:val="26"/>
              </w:rPr>
              <w:t>Cán bộ công nhân</w:t>
            </w:r>
          </w:p>
          <w:p w14:paraId="0DDF9FF4" w14:textId="77777777" w:rsidR="00085789" w:rsidRDefault="00000000">
            <w:pPr>
              <w:spacing w:line="340" w:lineRule="exact"/>
              <w:rPr>
                <w:rFonts w:eastAsia="Calibri"/>
                <w:sz w:val="26"/>
                <w:szCs w:val="26"/>
              </w:rPr>
            </w:pPr>
            <w:r>
              <w:rPr>
                <w:rFonts w:eastAsia="Calibri"/>
                <w:sz w:val="26"/>
                <w:szCs w:val="26"/>
              </w:rPr>
              <w:t>Cán bộ công nhân viên</w:t>
            </w:r>
          </w:p>
          <w:p w14:paraId="57080C23" w14:textId="77777777" w:rsidR="00085789" w:rsidRDefault="00000000">
            <w:pPr>
              <w:spacing w:line="340" w:lineRule="exact"/>
              <w:rPr>
                <w:rFonts w:eastAsia="Calibri"/>
                <w:sz w:val="26"/>
                <w:szCs w:val="26"/>
              </w:rPr>
            </w:pPr>
            <w:r>
              <w:rPr>
                <w:rFonts w:eastAsia="Calibri"/>
                <w:sz w:val="26"/>
                <w:szCs w:val="26"/>
              </w:rPr>
              <w:t>Cụm công nghiệp</w:t>
            </w:r>
          </w:p>
          <w:p w14:paraId="6AC672E7" w14:textId="77777777" w:rsidR="00085789" w:rsidRDefault="00000000">
            <w:pPr>
              <w:spacing w:line="340" w:lineRule="exact"/>
              <w:rPr>
                <w:rFonts w:eastAsia="Calibri"/>
                <w:sz w:val="26"/>
                <w:szCs w:val="26"/>
              </w:rPr>
            </w:pPr>
            <w:r>
              <w:rPr>
                <w:rFonts w:eastAsia="Calibri"/>
                <w:sz w:val="26"/>
                <w:szCs w:val="26"/>
              </w:rPr>
              <w:t>Chất thải nguy hại</w:t>
            </w:r>
          </w:p>
          <w:p w14:paraId="5A33001A" w14:textId="77777777" w:rsidR="00085789" w:rsidRDefault="00000000">
            <w:pPr>
              <w:spacing w:line="340" w:lineRule="exact"/>
              <w:rPr>
                <w:rFonts w:eastAsia="Calibri"/>
                <w:sz w:val="26"/>
                <w:szCs w:val="26"/>
              </w:rPr>
            </w:pPr>
            <w:r>
              <w:rPr>
                <w:rFonts w:eastAsia="Calibri"/>
                <w:sz w:val="26"/>
                <w:szCs w:val="26"/>
              </w:rPr>
              <w:t>Chất thải rắn</w:t>
            </w:r>
          </w:p>
          <w:p w14:paraId="7197CCC5" w14:textId="77777777" w:rsidR="00085789" w:rsidRDefault="00000000">
            <w:pPr>
              <w:spacing w:line="340" w:lineRule="exact"/>
              <w:rPr>
                <w:rFonts w:eastAsia="Calibri"/>
                <w:sz w:val="26"/>
                <w:szCs w:val="26"/>
              </w:rPr>
            </w:pPr>
            <w:r>
              <w:rPr>
                <w:rFonts w:eastAsia="Calibri"/>
                <w:sz w:val="26"/>
                <w:szCs w:val="26"/>
              </w:rPr>
              <w:t>Chất thải rắn sinh hoạt</w:t>
            </w:r>
          </w:p>
          <w:p w14:paraId="67978DE9" w14:textId="77777777" w:rsidR="00085789" w:rsidRDefault="00000000">
            <w:pPr>
              <w:spacing w:line="340" w:lineRule="exact"/>
              <w:rPr>
                <w:rFonts w:eastAsia="Calibri"/>
                <w:sz w:val="26"/>
                <w:szCs w:val="26"/>
              </w:rPr>
            </w:pPr>
            <w:r>
              <w:rPr>
                <w:rFonts w:eastAsia="Calibri"/>
                <w:sz w:val="26"/>
                <w:szCs w:val="26"/>
              </w:rPr>
              <w:t>Đa dạng sinh học</w:t>
            </w:r>
          </w:p>
          <w:p w14:paraId="3C2C16A9" w14:textId="77777777" w:rsidR="00085789" w:rsidRDefault="00000000">
            <w:pPr>
              <w:spacing w:line="340" w:lineRule="exact"/>
              <w:rPr>
                <w:rFonts w:eastAsia="Calibri"/>
                <w:sz w:val="26"/>
                <w:szCs w:val="26"/>
              </w:rPr>
            </w:pPr>
            <w:r>
              <w:rPr>
                <w:rFonts w:eastAsia="Calibri"/>
                <w:sz w:val="26"/>
                <w:szCs w:val="26"/>
              </w:rPr>
              <w:t>Đánh giá tác động môi trường</w:t>
            </w:r>
          </w:p>
          <w:p w14:paraId="026E2445" w14:textId="77777777" w:rsidR="00085789" w:rsidRDefault="00000000">
            <w:pPr>
              <w:spacing w:line="340" w:lineRule="exact"/>
              <w:rPr>
                <w:sz w:val="26"/>
                <w:szCs w:val="26"/>
              </w:rPr>
            </w:pPr>
            <w:r>
              <w:rPr>
                <w:sz w:val="26"/>
                <w:szCs w:val="26"/>
              </w:rPr>
              <w:t>Giá trị sản xuất</w:t>
            </w:r>
          </w:p>
          <w:p w14:paraId="56721A7F" w14:textId="77777777" w:rsidR="00085789" w:rsidRDefault="00000000">
            <w:pPr>
              <w:spacing w:line="340" w:lineRule="exact"/>
              <w:rPr>
                <w:rFonts w:eastAsia="Calibri"/>
                <w:sz w:val="26"/>
                <w:szCs w:val="26"/>
              </w:rPr>
            </w:pPr>
            <w:r>
              <w:rPr>
                <w:rFonts w:eastAsia="Calibri"/>
                <w:sz w:val="26"/>
                <w:szCs w:val="26"/>
              </w:rPr>
              <w:t>Hệ sinh thái</w:t>
            </w:r>
          </w:p>
        </w:tc>
      </w:tr>
      <w:tr w:rsidR="00085789" w14:paraId="1532796E" w14:textId="77777777">
        <w:tc>
          <w:tcPr>
            <w:tcW w:w="1999" w:type="dxa"/>
          </w:tcPr>
          <w:p w14:paraId="33D5E7EB" w14:textId="77777777" w:rsidR="00085789" w:rsidRDefault="00000000">
            <w:pPr>
              <w:spacing w:line="340" w:lineRule="exact"/>
              <w:rPr>
                <w:rFonts w:eastAsia="Calibri"/>
                <w:sz w:val="26"/>
                <w:szCs w:val="26"/>
              </w:rPr>
            </w:pPr>
            <w:r>
              <w:rPr>
                <w:rFonts w:eastAsia="Calibri"/>
                <w:sz w:val="26"/>
                <w:szCs w:val="26"/>
              </w:rPr>
              <w:t>KCN:</w:t>
            </w:r>
          </w:p>
        </w:tc>
        <w:tc>
          <w:tcPr>
            <w:tcW w:w="4348" w:type="dxa"/>
          </w:tcPr>
          <w:p w14:paraId="302EF9D0" w14:textId="77777777" w:rsidR="00085789" w:rsidRDefault="00000000">
            <w:pPr>
              <w:spacing w:line="340" w:lineRule="exact"/>
              <w:rPr>
                <w:rFonts w:eastAsia="Calibri"/>
                <w:sz w:val="26"/>
                <w:szCs w:val="26"/>
              </w:rPr>
            </w:pPr>
            <w:r>
              <w:rPr>
                <w:rFonts w:eastAsia="Calibri"/>
                <w:sz w:val="26"/>
                <w:szCs w:val="26"/>
              </w:rPr>
              <w:t>Khu công nghiệp</w:t>
            </w:r>
          </w:p>
        </w:tc>
      </w:tr>
      <w:tr w:rsidR="00085789" w14:paraId="10DA8910" w14:textId="77777777">
        <w:tc>
          <w:tcPr>
            <w:tcW w:w="1999" w:type="dxa"/>
          </w:tcPr>
          <w:p w14:paraId="4C6934C5" w14:textId="77777777" w:rsidR="00085789" w:rsidRDefault="00000000">
            <w:pPr>
              <w:spacing w:line="340" w:lineRule="exact"/>
              <w:rPr>
                <w:rFonts w:eastAsia="Calibri"/>
                <w:sz w:val="26"/>
                <w:szCs w:val="26"/>
                <w:lang w:val="sv-SE"/>
              </w:rPr>
            </w:pPr>
            <w:r>
              <w:rPr>
                <w:rFonts w:eastAsia="Calibri"/>
                <w:sz w:val="26"/>
                <w:szCs w:val="26"/>
                <w:lang w:val="sv-SE"/>
              </w:rPr>
              <w:t>KH&amp;KT:</w:t>
            </w:r>
          </w:p>
          <w:p w14:paraId="7B1A522A" w14:textId="77777777" w:rsidR="00085789" w:rsidRDefault="00000000">
            <w:pPr>
              <w:spacing w:line="340" w:lineRule="exact"/>
              <w:rPr>
                <w:rFonts w:eastAsia="Calibri"/>
                <w:sz w:val="26"/>
                <w:szCs w:val="26"/>
                <w:lang w:val="sv-SE"/>
              </w:rPr>
            </w:pPr>
            <w:r>
              <w:rPr>
                <w:rFonts w:eastAsia="Calibri"/>
                <w:sz w:val="26"/>
                <w:szCs w:val="26"/>
                <w:lang w:val="sv-SE"/>
              </w:rPr>
              <w:t>KTMT:</w:t>
            </w:r>
          </w:p>
          <w:p w14:paraId="3BCF04FA" w14:textId="77777777" w:rsidR="00085789" w:rsidRDefault="00000000">
            <w:pPr>
              <w:spacing w:line="340" w:lineRule="exact"/>
              <w:rPr>
                <w:rFonts w:eastAsia="Calibri"/>
                <w:sz w:val="26"/>
                <w:szCs w:val="26"/>
                <w:lang w:val="sv-SE"/>
              </w:rPr>
            </w:pPr>
            <w:r>
              <w:rPr>
                <w:rFonts w:eastAsia="Calibri"/>
                <w:sz w:val="26"/>
                <w:szCs w:val="26"/>
                <w:lang w:val="sv-SE"/>
              </w:rPr>
              <w:t>KT-XH:</w:t>
            </w:r>
          </w:p>
        </w:tc>
        <w:tc>
          <w:tcPr>
            <w:tcW w:w="4348" w:type="dxa"/>
          </w:tcPr>
          <w:p w14:paraId="0FFEBE12" w14:textId="77777777" w:rsidR="00085789" w:rsidRDefault="00000000">
            <w:pPr>
              <w:spacing w:line="340" w:lineRule="exact"/>
              <w:rPr>
                <w:rFonts w:eastAsia="Calibri"/>
                <w:sz w:val="26"/>
                <w:szCs w:val="26"/>
                <w:lang w:val="sv-SE"/>
              </w:rPr>
            </w:pPr>
            <w:r>
              <w:rPr>
                <w:rFonts w:eastAsia="Calibri"/>
                <w:sz w:val="26"/>
                <w:szCs w:val="26"/>
                <w:lang w:val="sv-SE"/>
              </w:rPr>
              <w:t>Khoa học và kỹ thuật</w:t>
            </w:r>
          </w:p>
          <w:p w14:paraId="3ACE6473" w14:textId="77777777" w:rsidR="00085789" w:rsidRDefault="00000000">
            <w:pPr>
              <w:spacing w:line="340" w:lineRule="exact"/>
              <w:rPr>
                <w:rFonts w:eastAsia="Calibri"/>
                <w:sz w:val="26"/>
                <w:szCs w:val="26"/>
                <w:lang w:val="sv-SE"/>
              </w:rPr>
            </w:pPr>
            <w:r>
              <w:rPr>
                <w:rFonts w:eastAsia="Calibri"/>
                <w:sz w:val="26"/>
                <w:szCs w:val="26"/>
                <w:lang w:val="sv-SE"/>
              </w:rPr>
              <w:t>Kỹ thuật môi trường</w:t>
            </w:r>
          </w:p>
          <w:p w14:paraId="1AF05431" w14:textId="77777777" w:rsidR="00085789" w:rsidRDefault="00000000">
            <w:pPr>
              <w:spacing w:line="340" w:lineRule="exact"/>
              <w:rPr>
                <w:rFonts w:eastAsia="Calibri"/>
                <w:sz w:val="26"/>
                <w:szCs w:val="26"/>
              </w:rPr>
            </w:pPr>
            <w:r>
              <w:rPr>
                <w:rFonts w:eastAsia="Calibri"/>
                <w:sz w:val="26"/>
                <w:szCs w:val="26"/>
              </w:rPr>
              <w:t>Kinh tế - xã hội</w:t>
            </w:r>
          </w:p>
        </w:tc>
      </w:tr>
      <w:tr w:rsidR="00085789" w14:paraId="1DF54D5A" w14:textId="77777777">
        <w:trPr>
          <w:trHeight w:val="95"/>
        </w:trPr>
        <w:tc>
          <w:tcPr>
            <w:tcW w:w="1999" w:type="dxa"/>
          </w:tcPr>
          <w:p w14:paraId="2AC8D333" w14:textId="77777777" w:rsidR="00085789" w:rsidRDefault="00000000">
            <w:pPr>
              <w:spacing w:line="340" w:lineRule="exact"/>
              <w:rPr>
                <w:rFonts w:eastAsia="Calibri"/>
                <w:sz w:val="26"/>
                <w:szCs w:val="26"/>
                <w:lang w:val="sv-SE"/>
              </w:rPr>
            </w:pPr>
            <w:r>
              <w:rPr>
                <w:rFonts w:eastAsia="Calibri"/>
                <w:sz w:val="26"/>
                <w:szCs w:val="26"/>
                <w:lang w:val="sv-SE"/>
              </w:rPr>
              <w:t>MT:</w:t>
            </w:r>
          </w:p>
          <w:p w14:paraId="755B21B1" w14:textId="77777777" w:rsidR="00085789" w:rsidRDefault="00000000">
            <w:pPr>
              <w:spacing w:line="340" w:lineRule="exact"/>
              <w:rPr>
                <w:rFonts w:eastAsia="Calibri"/>
                <w:sz w:val="26"/>
                <w:szCs w:val="26"/>
                <w:lang w:val="sv-SE"/>
              </w:rPr>
            </w:pPr>
            <w:r>
              <w:rPr>
                <w:rFonts w:eastAsia="Calibri"/>
                <w:sz w:val="26"/>
                <w:szCs w:val="26"/>
                <w:lang w:val="sv-SE"/>
              </w:rPr>
              <w:t>TNMT:</w:t>
            </w:r>
          </w:p>
          <w:p w14:paraId="44287F28" w14:textId="77777777" w:rsidR="00085789" w:rsidRDefault="00000000">
            <w:pPr>
              <w:spacing w:line="340" w:lineRule="exact"/>
              <w:rPr>
                <w:rFonts w:eastAsia="Calibri"/>
                <w:sz w:val="26"/>
                <w:szCs w:val="26"/>
                <w:lang w:val="sv-SE"/>
              </w:rPr>
            </w:pPr>
            <w:r>
              <w:rPr>
                <w:rFonts w:eastAsia="Calibri"/>
                <w:sz w:val="26"/>
                <w:szCs w:val="26"/>
                <w:lang w:val="sv-SE"/>
              </w:rPr>
              <w:t>NN&amp;MT:</w:t>
            </w:r>
          </w:p>
          <w:p w14:paraId="60A3051C" w14:textId="77777777" w:rsidR="00085789" w:rsidRDefault="00000000">
            <w:pPr>
              <w:spacing w:line="340" w:lineRule="exact"/>
              <w:rPr>
                <w:rFonts w:eastAsia="Calibri"/>
                <w:sz w:val="26"/>
                <w:szCs w:val="26"/>
                <w:lang w:val="sv-SE"/>
              </w:rPr>
            </w:pPr>
            <w:r>
              <w:rPr>
                <w:rFonts w:eastAsia="Calibri"/>
                <w:sz w:val="26"/>
                <w:szCs w:val="26"/>
                <w:lang w:val="sv-SE"/>
              </w:rPr>
              <w:t>NTM:</w:t>
            </w:r>
          </w:p>
          <w:p w14:paraId="6907EC5E" w14:textId="77777777" w:rsidR="00085789" w:rsidRDefault="00000000">
            <w:pPr>
              <w:spacing w:line="340" w:lineRule="exact"/>
              <w:rPr>
                <w:rFonts w:eastAsia="Calibri"/>
                <w:sz w:val="26"/>
                <w:szCs w:val="26"/>
              </w:rPr>
            </w:pPr>
            <w:r>
              <w:rPr>
                <w:rFonts w:eastAsia="Calibri"/>
                <w:sz w:val="26"/>
                <w:szCs w:val="26"/>
              </w:rPr>
              <w:t>NTTS:</w:t>
            </w:r>
          </w:p>
        </w:tc>
        <w:tc>
          <w:tcPr>
            <w:tcW w:w="4348" w:type="dxa"/>
          </w:tcPr>
          <w:p w14:paraId="7003D33F" w14:textId="77777777" w:rsidR="00085789" w:rsidRDefault="00000000">
            <w:pPr>
              <w:spacing w:line="340" w:lineRule="exact"/>
              <w:rPr>
                <w:rFonts w:eastAsia="Calibri"/>
                <w:sz w:val="26"/>
                <w:szCs w:val="26"/>
              </w:rPr>
            </w:pPr>
            <w:r>
              <w:rPr>
                <w:rFonts w:eastAsia="Calibri"/>
                <w:sz w:val="26"/>
                <w:szCs w:val="26"/>
              </w:rPr>
              <w:t>Môi trường</w:t>
            </w:r>
          </w:p>
          <w:p w14:paraId="5DCC16D0" w14:textId="77777777" w:rsidR="00085789" w:rsidRDefault="00000000">
            <w:pPr>
              <w:spacing w:line="340" w:lineRule="exact"/>
              <w:rPr>
                <w:rFonts w:eastAsia="Calibri"/>
                <w:sz w:val="26"/>
                <w:szCs w:val="26"/>
              </w:rPr>
            </w:pPr>
            <w:r>
              <w:rPr>
                <w:rFonts w:eastAsia="Calibri"/>
                <w:sz w:val="26"/>
                <w:szCs w:val="26"/>
              </w:rPr>
              <w:t>Tài nguyên môi trường</w:t>
            </w:r>
          </w:p>
          <w:p w14:paraId="79941E5F" w14:textId="77777777" w:rsidR="00085789" w:rsidRDefault="00000000">
            <w:pPr>
              <w:spacing w:line="340" w:lineRule="exact"/>
              <w:rPr>
                <w:rFonts w:eastAsia="Calibri"/>
                <w:sz w:val="26"/>
                <w:szCs w:val="26"/>
              </w:rPr>
            </w:pPr>
            <w:r>
              <w:rPr>
                <w:rFonts w:eastAsia="Calibri"/>
                <w:sz w:val="26"/>
                <w:szCs w:val="26"/>
              </w:rPr>
              <w:t>Nông</w:t>
            </w:r>
            <w:r>
              <w:rPr>
                <w:rFonts w:eastAsia="Calibri"/>
                <w:sz w:val="26"/>
                <w:szCs w:val="26"/>
                <w:lang w:val="vi-VN"/>
              </w:rPr>
              <w:t xml:space="preserve"> nghiệp </w:t>
            </w:r>
            <w:r>
              <w:rPr>
                <w:rFonts w:eastAsia="Calibri"/>
                <w:sz w:val="26"/>
                <w:szCs w:val="26"/>
              </w:rPr>
              <w:t>và Môi trường</w:t>
            </w:r>
          </w:p>
          <w:p w14:paraId="425E2988" w14:textId="77777777" w:rsidR="00085789" w:rsidRDefault="00000000">
            <w:pPr>
              <w:spacing w:line="340" w:lineRule="exact"/>
              <w:rPr>
                <w:rFonts w:eastAsia="Calibri"/>
                <w:sz w:val="26"/>
                <w:szCs w:val="26"/>
              </w:rPr>
            </w:pPr>
            <w:r>
              <w:rPr>
                <w:rFonts w:eastAsia="Calibri"/>
                <w:sz w:val="26"/>
                <w:szCs w:val="26"/>
              </w:rPr>
              <w:t>Nông thôn mới</w:t>
            </w:r>
          </w:p>
          <w:p w14:paraId="316C2C89" w14:textId="77777777" w:rsidR="00085789" w:rsidRDefault="00000000">
            <w:pPr>
              <w:spacing w:line="340" w:lineRule="exact"/>
              <w:rPr>
                <w:rFonts w:eastAsia="Calibri"/>
                <w:sz w:val="26"/>
                <w:szCs w:val="26"/>
              </w:rPr>
            </w:pPr>
            <w:r>
              <w:rPr>
                <w:rFonts w:eastAsia="Calibri"/>
                <w:sz w:val="26"/>
                <w:szCs w:val="26"/>
              </w:rPr>
              <w:t>Nuôi trồng thuỷ sản</w:t>
            </w:r>
          </w:p>
        </w:tc>
      </w:tr>
      <w:tr w:rsidR="00085789" w14:paraId="48FDF3A6" w14:textId="77777777">
        <w:tc>
          <w:tcPr>
            <w:tcW w:w="1999" w:type="dxa"/>
          </w:tcPr>
          <w:p w14:paraId="66A53768" w14:textId="77777777" w:rsidR="00085789" w:rsidRDefault="00000000">
            <w:pPr>
              <w:spacing w:line="340" w:lineRule="exact"/>
              <w:rPr>
                <w:rFonts w:eastAsia="Calibri"/>
                <w:sz w:val="26"/>
                <w:szCs w:val="26"/>
              </w:rPr>
            </w:pPr>
            <w:r>
              <w:rPr>
                <w:rFonts w:eastAsia="Calibri"/>
                <w:sz w:val="26"/>
                <w:szCs w:val="26"/>
              </w:rPr>
              <w:t>NXB:</w:t>
            </w:r>
          </w:p>
        </w:tc>
        <w:tc>
          <w:tcPr>
            <w:tcW w:w="4348" w:type="dxa"/>
          </w:tcPr>
          <w:p w14:paraId="6B4B7615" w14:textId="77777777" w:rsidR="00085789" w:rsidRDefault="00000000">
            <w:pPr>
              <w:spacing w:line="340" w:lineRule="exact"/>
              <w:rPr>
                <w:rFonts w:eastAsia="Calibri"/>
                <w:sz w:val="26"/>
                <w:szCs w:val="26"/>
              </w:rPr>
            </w:pPr>
            <w:r>
              <w:rPr>
                <w:rFonts w:eastAsia="Calibri"/>
                <w:sz w:val="26"/>
                <w:szCs w:val="26"/>
              </w:rPr>
              <w:t>Nhà xuất bản</w:t>
            </w:r>
          </w:p>
        </w:tc>
      </w:tr>
      <w:tr w:rsidR="00085789" w14:paraId="009374DC" w14:textId="77777777">
        <w:tc>
          <w:tcPr>
            <w:tcW w:w="1999" w:type="dxa"/>
          </w:tcPr>
          <w:p w14:paraId="5178F00F" w14:textId="77777777" w:rsidR="00085789" w:rsidRDefault="00000000">
            <w:pPr>
              <w:spacing w:line="340" w:lineRule="exact"/>
              <w:rPr>
                <w:rFonts w:eastAsia="Calibri"/>
                <w:sz w:val="26"/>
                <w:szCs w:val="26"/>
              </w:rPr>
            </w:pPr>
            <w:r>
              <w:rPr>
                <w:rFonts w:eastAsia="Calibri"/>
                <w:sz w:val="26"/>
                <w:szCs w:val="26"/>
              </w:rPr>
              <w:t>PCCC:</w:t>
            </w:r>
          </w:p>
        </w:tc>
        <w:tc>
          <w:tcPr>
            <w:tcW w:w="4348" w:type="dxa"/>
          </w:tcPr>
          <w:p w14:paraId="279E579A" w14:textId="77777777" w:rsidR="00085789" w:rsidRDefault="00000000">
            <w:pPr>
              <w:spacing w:line="340" w:lineRule="exact"/>
              <w:rPr>
                <w:rFonts w:eastAsia="Calibri"/>
                <w:sz w:val="26"/>
                <w:szCs w:val="26"/>
              </w:rPr>
            </w:pPr>
            <w:r>
              <w:rPr>
                <w:rFonts w:eastAsia="Calibri"/>
                <w:sz w:val="26"/>
                <w:szCs w:val="26"/>
              </w:rPr>
              <w:t>Phóng cháy chữa cháy</w:t>
            </w:r>
          </w:p>
        </w:tc>
      </w:tr>
      <w:tr w:rsidR="00085789" w14:paraId="584BA517" w14:textId="77777777">
        <w:tc>
          <w:tcPr>
            <w:tcW w:w="1999" w:type="dxa"/>
          </w:tcPr>
          <w:p w14:paraId="33F6BB18" w14:textId="77777777" w:rsidR="00085789" w:rsidRDefault="00000000">
            <w:pPr>
              <w:spacing w:line="340" w:lineRule="exact"/>
              <w:rPr>
                <w:rFonts w:eastAsia="Calibri"/>
                <w:sz w:val="26"/>
                <w:szCs w:val="26"/>
              </w:rPr>
            </w:pPr>
            <w:r>
              <w:rPr>
                <w:rFonts w:eastAsia="Calibri"/>
                <w:sz w:val="26"/>
                <w:szCs w:val="26"/>
              </w:rPr>
              <w:t>PTMT:</w:t>
            </w:r>
          </w:p>
        </w:tc>
        <w:tc>
          <w:tcPr>
            <w:tcW w:w="4348" w:type="dxa"/>
          </w:tcPr>
          <w:p w14:paraId="1B7450C7" w14:textId="77777777" w:rsidR="00085789" w:rsidRDefault="00000000">
            <w:pPr>
              <w:spacing w:line="340" w:lineRule="exact"/>
              <w:rPr>
                <w:rFonts w:eastAsia="Calibri"/>
                <w:sz w:val="26"/>
                <w:szCs w:val="26"/>
              </w:rPr>
            </w:pPr>
            <w:r>
              <w:rPr>
                <w:rFonts w:eastAsia="Calibri"/>
                <w:sz w:val="26"/>
                <w:szCs w:val="26"/>
              </w:rPr>
              <w:t>Phân tích môi trường</w:t>
            </w:r>
          </w:p>
        </w:tc>
      </w:tr>
      <w:tr w:rsidR="00085789" w14:paraId="2C7F91DA" w14:textId="77777777">
        <w:tc>
          <w:tcPr>
            <w:tcW w:w="1999" w:type="dxa"/>
          </w:tcPr>
          <w:p w14:paraId="69094DCA" w14:textId="77777777" w:rsidR="00085789" w:rsidRDefault="00000000">
            <w:pPr>
              <w:spacing w:line="340" w:lineRule="exact"/>
              <w:rPr>
                <w:rFonts w:eastAsia="Calibri"/>
                <w:sz w:val="26"/>
                <w:szCs w:val="26"/>
              </w:rPr>
            </w:pPr>
            <w:r>
              <w:rPr>
                <w:rFonts w:eastAsia="Calibri"/>
                <w:sz w:val="26"/>
                <w:szCs w:val="26"/>
              </w:rPr>
              <w:t>QCVN:</w:t>
            </w:r>
          </w:p>
        </w:tc>
        <w:tc>
          <w:tcPr>
            <w:tcW w:w="4348" w:type="dxa"/>
          </w:tcPr>
          <w:p w14:paraId="24FA2C3B" w14:textId="77777777" w:rsidR="00085789" w:rsidRDefault="00000000">
            <w:pPr>
              <w:spacing w:line="340" w:lineRule="exact"/>
              <w:rPr>
                <w:rFonts w:eastAsia="Calibri"/>
                <w:sz w:val="26"/>
                <w:szCs w:val="26"/>
              </w:rPr>
            </w:pPr>
            <w:r>
              <w:rPr>
                <w:rFonts w:eastAsia="Calibri"/>
                <w:sz w:val="26"/>
                <w:szCs w:val="26"/>
              </w:rPr>
              <w:t>Quy chuẩn Việt Nam</w:t>
            </w:r>
          </w:p>
        </w:tc>
      </w:tr>
      <w:tr w:rsidR="00085789" w14:paraId="5C2F1F0D" w14:textId="77777777">
        <w:tc>
          <w:tcPr>
            <w:tcW w:w="1999" w:type="dxa"/>
          </w:tcPr>
          <w:p w14:paraId="350B1770" w14:textId="77777777" w:rsidR="00085789" w:rsidRDefault="00000000">
            <w:pPr>
              <w:spacing w:line="340" w:lineRule="exact"/>
              <w:rPr>
                <w:rFonts w:eastAsia="Calibri"/>
                <w:sz w:val="26"/>
                <w:szCs w:val="26"/>
              </w:rPr>
            </w:pPr>
            <w:r>
              <w:rPr>
                <w:rFonts w:eastAsia="Calibri"/>
                <w:sz w:val="26"/>
                <w:szCs w:val="26"/>
              </w:rPr>
              <w:t>QLNN:</w:t>
            </w:r>
          </w:p>
          <w:p w14:paraId="058EE2DB" w14:textId="77777777" w:rsidR="00085789" w:rsidRDefault="00000000">
            <w:pPr>
              <w:spacing w:line="340" w:lineRule="exact"/>
              <w:rPr>
                <w:rFonts w:eastAsia="Calibri"/>
                <w:sz w:val="26"/>
                <w:szCs w:val="26"/>
              </w:rPr>
            </w:pPr>
            <w:r>
              <w:rPr>
                <w:rFonts w:eastAsia="Calibri"/>
                <w:sz w:val="26"/>
                <w:szCs w:val="26"/>
              </w:rPr>
              <w:t>TBNMN:</w:t>
            </w:r>
          </w:p>
        </w:tc>
        <w:tc>
          <w:tcPr>
            <w:tcW w:w="4348" w:type="dxa"/>
          </w:tcPr>
          <w:p w14:paraId="55A1A3C1" w14:textId="77777777" w:rsidR="00085789" w:rsidRDefault="00000000">
            <w:pPr>
              <w:spacing w:line="340" w:lineRule="exact"/>
              <w:rPr>
                <w:rFonts w:eastAsia="Calibri"/>
                <w:sz w:val="26"/>
                <w:szCs w:val="26"/>
              </w:rPr>
            </w:pPr>
            <w:r>
              <w:rPr>
                <w:rFonts w:eastAsia="Calibri"/>
                <w:sz w:val="26"/>
                <w:szCs w:val="26"/>
              </w:rPr>
              <w:t>Quản lý nhà nước</w:t>
            </w:r>
          </w:p>
          <w:p w14:paraId="351405CB" w14:textId="77777777" w:rsidR="00085789" w:rsidRDefault="00000000">
            <w:pPr>
              <w:spacing w:line="340" w:lineRule="exact"/>
              <w:rPr>
                <w:rFonts w:eastAsia="Calibri"/>
                <w:sz w:val="26"/>
                <w:szCs w:val="26"/>
              </w:rPr>
            </w:pPr>
            <w:r>
              <w:rPr>
                <w:rFonts w:eastAsia="Calibri"/>
                <w:sz w:val="26"/>
                <w:szCs w:val="26"/>
              </w:rPr>
              <w:t>Trạm bơm nhà máy nước</w:t>
            </w:r>
          </w:p>
        </w:tc>
      </w:tr>
      <w:tr w:rsidR="00085789" w14:paraId="070F4372" w14:textId="77777777">
        <w:tc>
          <w:tcPr>
            <w:tcW w:w="1999" w:type="dxa"/>
          </w:tcPr>
          <w:p w14:paraId="16C71B8E" w14:textId="77777777" w:rsidR="00085789" w:rsidRDefault="00000000">
            <w:pPr>
              <w:spacing w:line="340" w:lineRule="exact"/>
              <w:rPr>
                <w:rFonts w:eastAsia="Calibri"/>
                <w:sz w:val="26"/>
                <w:szCs w:val="26"/>
              </w:rPr>
            </w:pPr>
            <w:r>
              <w:rPr>
                <w:rFonts w:eastAsia="Calibri"/>
                <w:sz w:val="26"/>
                <w:szCs w:val="26"/>
              </w:rPr>
              <w:t>TBNN:</w:t>
            </w:r>
          </w:p>
        </w:tc>
        <w:tc>
          <w:tcPr>
            <w:tcW w:w="4348" w:type="dxa"/>
          </w:tcPr>
          <w:p w14:paraId="6F78C44A" w14:textId="77777777" w:rsidR="00085789" w:rsidRDefault="00000000">
            <w:pPr>
              <w:spacing w:line="340" w:lineRule="exact"/>
              <w:rPr>
                <w:rFonts w:eastAsia="Calibri"/>
                <w:sz w:val="26"/>
                <w:szCs w:val="26"/>
              </w:rPr>
            </w:pPr>
            <w:r>
              <w:rPr>
                <w:rFonts w:eastAsia="Calibri"/>
                <w:sz w:val="26"/>
                <w:szCs w:val="26"/>
              </w:rPr>
              <w:t>Trung bình nhiều năm</w:t>
            </w:r>
          </w:p>
        </w:tc>
      </w:tr>
      <w:tr w:rsidR="00085789" w14:paraId="7523583C" w14:textId="77777777">
        <w:tc>
          <w:tcPr>
            <w:tcW w:w="1999" w:type="dxa"/>
          </w:tcPr>
          <w:p w14:paraId="6F9B29ED" w14:textId="77777777" w:rsidR="00085789" w:rsidRDefault="00000000">
            <w:pPr>
              <w:spacing w:line="340" w:lineRule="exact"/>
              <w:rPr>
                <w:rFonts w:eastAsia="Calibri"/>
                <w:sz w:val="26"/>
                <w:szCs w:val="26"/>
              </w:rPr>
            </w:pPr>
            <w:r>
              <w:rPr>
                <w:rFonts w:eastAsia="Calibri"/>
                <w:sz w:val="26"/>
                <w:szCs w:val="26"/>
              </w:rPr>
              <w:t>TCVN:</w:t>
            </w:r>
          </w:p>
        </w:tc>
        <w:tc>
          <w:tcPr>
            <w:tcW w:w="4348" w:type="dxa"/>
          </w:tcPr>
          <w:p w14:paraId="2EA46E2C" w14:textId="77777777" w:rsidR="00085789" w:rsidRDefault="00000000">
            <w:pPr>
              <w:spacing w:line="340" w:lineRule="exact"/>
              <w:rPr>
                <w:rFonts w:eastAsia="Calibri"/>
                <w:sz w:val="26"/>
                <w:szCs w:val="26"/>
              </w:rPr>
            </w:pPr>
            <w:r>
              <w:rPr>
                <w:rFonts w:eastAsia="Calibri"/>
                <w:sz w:val="26"/>
                <w:szCs w:val="26"/>
              </w:rPr>
              <w:t>Tiêu chuẩn Việt Nam</w:t>
            </w:r>
          </w:p>
        </w:tc>
      </w:tr>
      <w:tr w:rsidR="00085789" w14:paraId="04572EA8" w14:textId="77777777">
        <w:tc>
          <w:tcPr>
            <w:tcW w:w="1999" w:type="dxa"/>
          </w:tcPr>
          <w:p w14:paraId="67FCF639" w14:textId="77777777" w:rsidR="00085789" w:rsidRDefault="00000000">
            <w:pPr>
              <w:spacing w:line="340" w:lineRule="exact"/>
              <w:rPr>
                <w:rFonts w:eastAsia="Calibri"/>
                <w:sz w:val="26"/>
                <w:szCs w:val="26"/>
              </w:rPr>
            </w:pPr>
            <w:r>
              <w:rPr>
                <w:rFonts w:eastAsia="Calibri"/>
                <w:sz w:val="26"/>
                <w:szCs w:val="26"/>
              </w:rPr>
              <w:t>TDP:</w:t>
            </w:r>
          </w:p>
          <w:p w14:paraId="6E7ECF6E" w14:textId="77777777" w:rsidR="00085789" w:rsidRDefault="00000000">
            <w:pPr>
              <w:spacing w:line="340" w:lineRule="exact"/>
              <w:rPr>
                <w:rStyle w:val="fontstyle01"/>
                <w:rFonts w:ascii="Times New Roman" w:hAnsi="Times New Roman" w:cs="Times New Roman"/>
                <w:color w:val="auto"/>
              </w:rPr>
            </w:pPr>
            <w:r>
              <w:rPr>
                <w:rStyle w:val="fontstyle01"/>
                <w:rFonts w:ascii="Times New Roman" w:hAnsi="Times New Roman" w:cs="Times New Roman"/>
                <w:color w:val="auto"/>
              </w:rPr>
              <w:t>TTYT:</w:t>
            </w:r>
          </w:p>
          <w:p w14:paraId="11E8B04A" w14:textId="77777777" w:rsidR="00085789" w:rsidRDefault="00000000">
            <w:pPr>
              <w:spacing w:line="340" w:lineRule="exact"/>
              <w:rPr>
                <w:rFonts w:eastAsia="Calibri"/>
                <w:sz w:val="26"/>
                <w:szCs w:val="26"/>
              </w:rPr>
            </w:pPr>
            <w:r>
              <w:rPr>
                <w:rFonts w:eastAsia="Calibri"/>
                <w:sz w:val="26"/>
                <w:szCs w:val="26"/>
              </w:rPr>
              <w:t>UBND:</w:t>
            </w:r>
          </w:p>
          <w:p w14:paraId="26BFCE24" w14:textId="77777777" w:rsidR="00085789" w:rsidRDefault="00000000">
            <w:pPr>
              <w:spacing w:line="340" w:lineRule="exact"/>
              <w:rPr>
                <w:rFonts w:eastAsia="Calibri"/>
                <w:sz w:val="26"/>
                <w:szCs w:val="26"/>
              </w:rPr>
            </w:pPr>
            <w:r>
              <w:rPr>
                <w:rFonts w:eastAsia="Calibri"/>
                <w:sz w:val="26"/>
                <w:szCs w:val="26"/>
              </w:rPr>
              <w:t>VLXD:</w:t>
            </w:r>
          </w:p>
          <w:p w14:paraId="27540AF4" w14:textId="77777777" w:rsidR="00085789" w:rsidRDefault="00000000">
            <w:pPr>
              <w:spacing w:line="340" w:lineRule="exact"/>
              <w:rPr>
                <w:rFonts w:eastAsia="Calibri"/>
                <w:sz w:val="26"/>
                <w:szCs w:val="26"/>
              </w:rPr>
            </w:pPr>
            <w:r>
              <w:rPr>
                <w:rFonts w:eastAsia="Calibri"/>
                <w:sz w:val="26"/>
                <w:szCs w:val="26"/>
              </w:rPr>
              <w:t>VQG:</w:t>
            </w:r>
          </w:p>
        </w:tc>
        <w:tc>
          <w:tcPr>
            <w:tcW w:w="4348" w:type="dxa"/>
          </w:tcPr>
          <w:p w14:paraId="5E34FE3E" w14:textId="77777777" w:rsidR="00085789" w:rsidRDefault="00000000">
            <w:pPr>
              <w:spacing w:line="340" w:lineRule="exact"/>
              <w:rPr>
                <w:sz w:val="26"/>
                <w:szCs w:val="26"/>
              </w:rPr>
            </w:pPr>
            <w:r>
              <w:rPr>
                <w:sz w:val="26"/>
                <w:szCs w:val="26"/>
              </w:rPr>
              <w:t>Tổ dân phố</w:t>
            </w:r>
          </w:p>
          <w:p w14:paraId="320A74EE" w14:textId="77777777" w:rsidR="00085789" w:rsidRDefault="00000000">
            <w:pPr>
              <w:spacing w:line="340" w:lineRule="exact"/>
              <w:rPr>
                <w:sz w:val="26"/>
                <w:szCs w:val="26"/>
              </w:rPr>
            </w:pPr>
            <w:r>
              <w:rPr>
                <w:sz w:val="26"/>
                <w:szCs w:val="26"/>
              </w:rPr>
              <w:t>Trung tâm y tế</w:t>
            </w:r>
          </w:p>
          <w:p w14:paraId="56349139" w14:textId="77777777" w:rsidR="00085789" w:rsidRDefault="00000000">
            <w:pPr>
              <w:spacing w:line="340" w:lineRule="exact"/>
              <w:rPr>
                <w:rFonts w:eastAsia="Calibri"/>
                <w:sz w:val="26"/>
                <w:szCs w:val="26"/>
              </w:rPr>
            </w:pPr>
            <w:r>
              <w:rPr>
                <w:rFonts w:eastAsia="Calibri"/>
                <w:sz w:val="26"/>
                <w:szCs w:val="26"/>
              </w:rPr>
              <w:t>Ủy ban nhân dân</w:t>
            </w:r>
          </w:p>
          <w:p w14:paraId="39B40B7A" w14:textId="77777777" w:rsidR="00085789" w:rsidRDefault="00000000">
            <w:pPr>
              <w:spacing w:line="340" w:lineRule="exact"/>
              <w:rPr>
                <w:rFonts w:eastAsia="Calibri"/>
                <w:sz w:val="26"/>
                <w:szCs w:val="26"/>
              </w:rPr>
            </w:pPr>
            <w:r>
              <w:rPr>
                <w:rFonts w:eastAsia="Calibri"/>
                <w:sz w:val="26"/>
                <w:szCs w:val="26"/>
              </w:rPr>
              <w:t>Vật liệu xây dựng</w:t>
            </w:r>
          </w:p>
          <w:p w14:paraId="4B292402" w14:textId="77777777" w:rsidR="00085789" w:rsidRDefault="00000000">
            <w:pPr>
              <w:spacing w:line="340" w:lineRule="exact"/>
              <w:rPr>
                <w:rFonts w:eastAsia="Calibri"/>
                <w:sz w:val="26"/>
                <w:szCs w:val="26"/>
              </w:rPr>
            </w:pPr>
            <w:r>
              <w:rPr>
                <w:rFonts w:eastAsia="Calibri"/>
                <w:sz w:val="26"/>
                <w:szCs w:val="26"/>
              </w:rPr>
              <w:t>Vườn Quốc gia</w:t>
            </w:r>
          </w:p>
        </w:tc>
      </w:tr>
      <w:tr w:rsidR="00085789" w14:paraId="16BFD832" w14:textId="77777777">
        <w:tc>
          <w:tcPr>
            <w:tcW w:w="1999" w:type="dxa"/>
          </w:tcPr>
          <w:p w14:paraId="1FA592EA" w14:textId="77777777" w:rsidR="00085789" w:rsidRDefault="00000000">
            <w:pPr>
              <w:spacing w:line="340" w:lineRule="exact"/>
              <w:rPr>
                <w:rFonts w:eastAsia="Calibri"/>
                <w:sz w:val="26"/>
                <w:szCs w:val="26"/>
              </w:rPr>
            </w:pPr>
            <w:r>
              <w:rPr>
                <w:rFonts w:eastAsia="Calibri"/>
                <w:sz w:val="26"/>
                <w:szCs w:val="26"/>
              </w:rPr>
              <w:t>XLNT:</w:t>
            </w:r>
          </w:p>
        </w:tc>
        <w:tc>
          <w:tcPr>
            <w:tcW w:w="4348" w:type="dxa"/>
          </w:tcPr>
          <w:p w14:paraId="2E01D11C" w14:textId="77777777" w:rsidR="00085789" w:rsidRDefault="00000000">
            <w:pPr>
              <w:spacing w:line="340" w:lineRule="exact"/>
              <w:rPr>
                <w:rFonts w:eastAsia="Calibri"/>
                <w:sz w:val="26"/>
                <w:szCs w:val="26"/>
              </w:rPr>
            </w:pPr>
            <w:r>
              <w:rPr>
                <w:rFonts w:eastAsia="Calibri"/>
                <w:sz w:val="26"/>
                <w:szCs w:val="26"/>
              </w:rPr>
              <w:t>Xử lý nước thải</w:t>
            </w:r>
          </w:p>
        </w:tc>
      </w:tr>
      <w:tr w:rsidR="00085789" w14:paraId="7F5F37D8" w14:textId="77777777">
        <w:trPr>
          <w:trHeight w:val="95"/>
        </w:trPr>
        <w:tc>
          <w:tcPr>
            <w:tcW w:w="1999" w:type="dxa"/>
          </w:tcPr>
          <w:p w14:paraId="58D5B268" w14:textId="77777777" w:rsidR="00085789" w:rsidRDefault="00000000">
            <w:pPr>
              <w:spacing w:line="340" w:lineRule="exact"/>
              <w:rPr>
                <w:rFonts w:eastAsia="Calibri"/>
                <w:sz w:val="26"/>
                <w:szCs w:val="26"/>
              </w:rPr>
            </w:pPr>
            <w:r>
              <w:rPr>
                <w:rFonts w:eastAsia="Calibri"/>
                <w:sz w:val="26"/>
                <w:szCs w:val="26"/>
              </w:rPr>
              <w:t>WB:</w:t>
            </w:r>
          </w:p>
        </w:tc>
        <w:tc>
          <w:tcPr>
            <w:tcW w:w="4348" w:type="dxa"/>
          </w:tcPr>
          <w:p w14:paraId="192A1B1F" w14:textId="77777777" w:rsidR="00085789" w:rsidRDefault="00000000">
            <w:pPr>
              <w:spacing w:line="340" w:lineRule="exact"/>
              <w:rPr>
                <w:rFonts w:eastAsia="Calibri"/>
                <w:sz w:val="26"/>
                <w:szCs w:val="26"/>
              </w:rPr>
            </w:pPr>
            <w:r>
              <w:rPr>
                <w:rFonts w:eastAsia="Calibri"/>
                <w:sz w:val="26"/>
                <w:szCs w:val="26"/>
              </w:rPr>
              <w:t>Ngân hàng Thế giới</w:t>
            </w:r>
          </w:p>
        </w:tc>
      </w:tr>
      <w:tr w:rsidR="00085789" w14:paraId="0BF5E5C3" w14:textId="77777777">
        <w:tc>
          <w:tcPr>
            <w:tcW w:w="1999" w:type="dxa"/>
          </w:tcPr>
          <w:p w14:paraId="02EE5388" w14:textId="77777777" w:rsidR="00085789" w:rsidRDefault="00000000">
            <w:pPr>
              <w:spacing w:line="340" w:lineRule="exact"/>
              <w:rPr>
                <w:rFonts w:eastAsia="Calibri"/>
                <w:sz w:val="26"/>
                <w:szCs w:val="26"/>
              </w:rPr>
            </w:pPr>
            <w:r>
              <w:rPr>
                <w:rFonts w:eastAsia="Calibri"/>
                <w:sz w:val="26"/>
                <w:szCs w:val="26"/>
              </w:rPr>
              <w:t>WHO:</w:t>
            </w:r>
          </w:p>
        </w:tc>
        <w:tc>
          <w:tcPr>
            <w:tcW w:w="4348" w:type="dxa"/>
          </w:tcPr>
          <w:p w14:paraId="0C0737D7" w14:textId="77777777" w:rsidR="00085789" w:rsidRDefault="00000000">
            <w:pPr>
              <w:spacing w:line="340" w:lineRule="exact"/>
              <w:rPr>
                <w:rFonts w:eastAsia="Calibri"/>
                <w:sz w:val="26"/>
                <w:szCs w:val="26"/>
              </w:rPr>
            </w:pPr>
            <w:r>
              <w:rPr>
                <w:rFonts w:eastAsia="Calibri"/>
                <w:sz w:val="26"/>
                <w:szCs w:val="26"/>
              </w:rPr>
              <w:t>Tổ chức Y tế Thế giới</w:t>
            </w:r>
          </w:p>
        </w:tc>
      </w:tr>
      <w:tr w:rsidR="00085789" w14:paraId="442D4091" w14:textId="77777777">
        <w:tc>
          <w:tcPr>
            <w:tcW w:w="1999" w:type="dxa"/>
          </w:tcPr>
          <w:p w14:paraId="737C2C37" w14:textId="77777777" w:rsidR="00085789" w:rsidRDefault="00085789">
            <w:pPr>
              <w:spacing w:line="340" w:lineRule="exact"/>
              <w:rPr>
                <w:rFonts w:eastAsia="Calibri"/>
                <w:sz w:val="26"/>
                <w:szCs w:val="26"/>
              </w:rPr>
            </w:pPr>
          </w:p>
          <w:p w14:paraId="7DB92860" w14:textId="77777777" w:rsidR="00085789" w:rsidRDefault="00085789">
            <w:pPr>
              <w:spacing w:line="340" w:lineRule="exact"/>
              <w:rPr>
                <w:rFonts w:eastAsia="Calibri"/>
                <w:sz w:val="26"/>
                <w:szCs w:val="26"/>
              </w:rPr>
            </w:pPr>
          </w:p>
        </w:tc>
        <w:tc>
          <w:tcPr>
            <w:tcW w:w="4348" w:type="dxa"/>
          </w:tcPr>
          <w:p w14:paraId="434EE17D" w14:textId="77777777" w:rsidR="00085789" w:rsidRDefault="00085789">
            <w:pPr>
              <w:spacing w:line="340" w:lineRule="exact"/>
              <w:rPr>
                <w:rFonts w:eastAsia="Calibri"/>
                <w:sz w:val="26"/>
                <w:szCs w:val="26"/>
              </w:rPr>
            </w:pPr>
          </w:p>
        </w:tc>
      </w:tr>
    </w:tbl>
    <w:p w14:paraId="1712D172" w14:textId="77777777" w:rsidR="00085789" w:rsidRDefault="00000000">
      <w:pPr>
        <w:pStyle w:val="s1"/>
        <w:spacing w:before="80" w:after="80" w:line="240" w:lineRule="auto"/>
        <w:rPr>
          <w:szCs w:val="26"/>
          <w:u w:val="single"/>
        </w:rPr>
      </w:pPr>
      <w:r>
        <w:rPr>
          <w:szCs w:val="26"/>
          <w:u w:val="single"/>
        </w:rPr>
        <w:lastRenderedPageBreak/>
        <w:t>MỤC LỤC</w:t>
      </w:r>
    </w:p>
    <w:p w14:paraId="47F9C2ED" w14:textId="77777777" w:rsidR="00085789" w:rsidRDefault="00085789">
      <w:pPr>
        <w:pStyle w:val="TOC1"/>
        <w:rPr>
          <w:rFonts w:eastAsiaTheme="minorEastAsia" w:cstheme="minorBidi"/>
          <w:kern w:val="2"/>
          <w14:ligatures w14:val="standardContextual"/>
        </w:rPr>
      </w:pPr>
      <w:hyperlink w:anchor="_Toc205915623" w:history="1">
        <w:r>
          <w:rPr>
            <w:rStyle w:val="Hyperlink"/>
            <w:color w:val="auto"/>
            <w:u w:val="none"/>
          </w:rPr>
          <w:t>LỜI NÓI ĐẦU</w:t>
        </w:r>
        <w:r>
          <w:rPr>
            <w:webHidden/>
          </w:rPr>
          <w:tab/>
        </w:r>
        <w:r>
          <w:rPr>
            <w:webHidden/>
          </w:rPr>
          <w:fldChar w:fldCharType="begin"/>
        </w:r>
        <w:r>
          <w:rPr>
            <w:webHidden/>
          </w:rPr>
          <w:instrText xml:space="preserve"> PAGEREF _Toc205915623 \h </w:instrText>
        </w:r>
        <w:r>
          <w:rPr>
            <w:webHidden/>
          </w:rPr>
        </w:r>
        <w:r>
          <w:rPr>
            <w:webHidden/>
          </w:rPr>
          <w:fldChar w:fldCharType="separate"/>
        </w:r>
        <w:r>
          <w:rPr>
            <w:webHidden/>
          </w:rPr>
          <w:t>1</w:t>
        </w:r>
        <w:r>
          <w:rPr>
            <w:caps/>
            <w:webHidden/>
          </w:rPr>
          <w:t>1</w:t>
        </w:r>
        <w:r>
          <w:rPr>
            <w:webHidden/>
          </w:rPr>
          <w:fldChar w:fldCharType="end"/>
        </w:r>
      </w:hyperlink>
    </w:p>
    <w:p w14:paraId="5125A9DD" w14:textId="30A9A10F" w:rsidR="00085789" w:rsidRDefault="00000000">
      <w:pPr>
        <w:pStyle w:val="TOC1"/>
        <w:rPr>
          <w:rFonts w:asciiTheme="minorHAnsi" w:eastAsiaTheme="minorEastAsia" w:hAnsiTheme="minorHAnsi" w:cstheme="minorBidi"/>
          <w:kern w:val="2"/>
          <w:lang w:val="en-US"/>
          <w14:ligatures w14:val="standardContextual"/>
        </w:rPr>
      </w:pPr>
      <w:r>
        <w:rPr>
          <w:szCs w:val="20"/>
        </w:rPr>
        <w:fldChar w:fldCharType="begin"/>
      </w:r>
      <w:r>
        <w:instrText xml:space="preserve"> TOC \h \z \t "- bac 3,1,- bac 1,1,- bac 2,1,bac 2,1,Hình1,1" </w:instrText>
      </w:r>
      <w:r>
        <w:rPr>
          <w:szCs w:val="20"/>
        </w:rPr>
        <w:fldChar w:fldCharType="separate"/>
      </w:r>
      <w:hyperlink w:anchor="_Toc214311195" w:history="1">
        <w:r w:rsidR="00085789">
          <w:rPr>
            <w:rStyle w:val="Hyperlink"/>
            <w:lang w:val="sv-SE"/>
          </w:rPr>
          <w:t>CHƯƠNG I</w:t>
        </w:r>
      </w:hyperlink>
    </w:p>
    <w:p w14:paraId="2CF26C56" w14:textId="3A512958" w:rsidR="00085789" w:rsidRDefault="00085789">
      <w:pPr>
        <w:pStyle w:val="TOC1"/>
        <w:rPr>
          <w:rFonts w:asciiTheme="minorHAnsi" w:eastAsiaTheme="minorEastAsia" w:hAnsiTheme="minorHAnsi" w:cstheme="minorBidi"/>
          <w:kern w:val="2"/>
          <w:lang w:val="en-US"/>
          <w14:ligatures w14:val="standardContextual"/>
        </w:rPr>
      </w:pPr>
      <w:hyperlink w:anchor="_Toc214311196" w:history="1">
        <w:r>
          <w:rPr>
            <w:rStyle w:val="Hyperlink"/>
            <w:lang w:val="sv-SE"/>
          </w:rPr>
          <w:t>TỔNG QUAN VỀ ĐẶC ĐIỂM ĐIỀU KIỆN TỰ NHIÊN</w:t>
        </w:r>
      </w:hyperlink>
    </w:p>
    <w:p w14:paraId="6B32EC0B" w14:textId="1C4E9460" w:rsidR="00085789" w:rsidRDefault="00085789">
      <w:pPr>
        <w:pStyle w:val="TOC1"/>
        <w:rPr>
          <w:rStyle w:val="Hyperlink"/>
        </w:rPr>
      </w:pPr>
      <w:hyperlink w:anchor="_Toc214311197" w:history="1">
        <w:r>
          <w:rPr>
            <w:rStyle w:val="Hyperlink"/>
            <w:lang w:val="sv-SE"/>
          </w:rPr>
          <w:t>VÀ TÌNH HÌNH PHÁT TRIỂN KT-XH</w:t>
        </w:r>
      </w:hyperlink>
    </w:p>
    <w:p w14:paraId="1B9642CE" w14:textId="566EE611" w:rsidR="00085789" w:rsidRDefault="00085789">
      <w:pPr>
        <w:pStyle w:val="TOC1"/>
        <w:rPr>
          <w:rFonts w:asciiTheme="minorHAnsi" w:eastAsiaTheme="minorEastAsia" w:hAnsiTheme="minorHAnsi" w:cstheme="minorBidi"/>
          <w:kern w:val="2"/>
          <w:lang w:val="en-US"/>
          <w14:ligatures w14:val="standardContextual"/>
        </w:rPr>
      </w:pPr>
      <w:hyperlink w:anchor="_Toc214311198" w:history="1">
        <w:r>
          <w:rPr>
            <w:rStyle w:val="Hyperlink"/>
          </w:rPr>
          <w:t>1.1. Tổng quan đặc điểm điều kiện tự nhiên</w:t>
        </w:r>
        <w:r>
          <w:rPr>
            <w:webHidden/>
          </w:rPr>
          <w:tab/>
        </w:r>
        <w:r>
          <w:rPr>
            <w:webHidden/>
          </w:rPr>
          <w:fldChar w:fldCharType="begin"/>
        </w:r>
        <w:r>
          <w:rPr>
            <w:webHidden/>
          </w:rPr>
          <w:instrText xml:space="preserve"> PAGEREF _Toc214311198 \h </w:instrText>
        </w:r>
        <w:r>
          <w:rPr>
            <w:webHidden/>
          </w:rPr>
        </w:r>
        <w:r>
          <w:rPr>
            <w:webHidden/>
          </w:rPr>
          <w:fldChar w:fldCharType="separate"/>
        </w:r>
        <w:r w:rsidR="001A08FA">
          <w:rPr>
            <w:webHidden/>
          </w:rPr>
          <w:t>13</w:t>
        </w:r>
        <w:r>
          <w:rPr>
            <w:webHidden/>
          </w:rPr>
          <w:fldChar w:fldCharType="end"/>
        </w:r>
      </w:hyperlink>
    </w:p>
    <w:p w14:paraId="6E8DA662" w14:textId="6B3B43EA" w:rsidR="00085789" w:rsidRDefault="00085789">
      <w:pPr>
        <w:pStyle w:val="TOC1"/>
        <w:rPr>
          <w:rFonts w:asciiTheme="minorHAnsi" w:eastAsiaTheme="minorEastAsia" w:hAnsiTheme="minorHAnsi" w:cstheme="minorBidi"/>
          <w:kern w:val="2"/>
          <w:lang w:val="en-US"/>
          <w14:ligatures w14:val="standardContextual"/>
        </w:rPr>
      </w:pPr>
      <w:hyperlink w:anchor="_Toc214311198" w:history="1">
        <w:r>
          <w:rPr>
            <w:rStyle w:val="Hyperlink"/>
            <w:b w:val="0"/>
            <w:bCs w:val="0"/>
          </w:rPr>
          <w:t>1.1.1. Vị trí địa lý</w:t>
        </w:r>
        <w:r>
          <w:rPr>
            <w:webHidden/>
          </w:rPr>
          <w:tab/>
        </w:r>
        <w:r>
          <w:rPr>
            <w:webHidden/>
          </w:rPr>
          <w:fldChar w:fldCharType="begin"/>
        </w:r>
        <w:r>
          <w:rPr>
            <w:webHidden/>
          </w:rPr>
          <w:instrText xml:space="preserve"> PAGEREF _Toc214311198 \h </w:instrText>
        </w:r>
        <w:r>
          <w:rPr>
            <w:webHidden/>
          </w:rPr>
        </w:r>
        <w:r>
          <w:rPr>
            <w:webHidden/>
          </w:rPr>
          <w:fldChar w:fldCharType="separate"/>
        </w:r>
        <w:r w:rsidR="001A08FA">
          <w:rPr>
            <w:webHidden/>
          </w:rPr>
          <w:t>13</w:t>
        </w:r>
        <w:r>
          <w:rPr>
            <w:webHidden/>
          </w:rPr>
          <w:fldChar w:fldCharType="end"/>
        </w:r>
      </w:hyperlink>
    </w:p>
    <w:p w14:paraId="4B34FDBB" w14:textId="2295F399" w:rsidR="00085789" w:rsidRDefault="00085789">
      <w:pPr>
        <w:pStyle w:val="TOC1"/>
        <w:rPr>
          <w:rFonts w:asciiTheme="minorHAnsi" w:eastAsiaTheme="minorEastAsia" w:hAnsiTheme="minorHAnsi" w:cstheme="minorBidi"/>
          <w:kern w:val="2"/>
          <w:lang w:val="en-US"/>
          <w14:ligatures w14:val="standardContextual"/>
        </w:rPr>
      </w:pPr>
      <w:hyperlink w:anchor="_Toc214311199" w:history="1">
        <w:r>
          <w:rPr>
            <w:rStyle w:val="Hyperlink"/>
            <w:b w:val="0"/>
            <w:bCs w:val="0"/>
          </w:rPr>
          <w:t>1.1.2. Địa hình, địa mạo</w:t>
        </w:r>
        <w:r>
          <w:rPr>
            <w:webHidden/>
          </w:rPr>
          <w:tab/>
        </w:r>
        <w:r>
          <w:rPr>
            <w:webHidden/>
          </w:rPr>
          <w:fldChar w:fldCharType="begin"/>
        </w:r>
        <w:r>
          <w:rPr>
            <w:webHidden/>
          </w:rPr>
          <w:instrText xml:space="preserve"> PAGEREF _Toc214311199 \h </w:instrText>
        </w:r>
        <w:r>
          <w:rPr>
            <w:webHidden/>
          </w:rPr>
        </w:r>
        <w:r>
          <w:rPr>
            <w:webHidden/>
          </w:rPr>
          <w:fldChar w:fldCharType="separate"/>
        </w:r>
        <w:r w:rsidR="001A08FA">
          <w:rPr>
            <w:webHidden/>
          </w:rPr>
          <w:t>13</w:t>
        </w:r>
        <w:r>
          <w:rPr>
            <w:webHidden/>
          </w:rPr>
          <w:fldChar w:fldCharType="end"/>
        </w:r>
      </w:hyperlink>
    </w:p>
    <w:p w14:paraId="4AF6B9C9" w14:textId="1016BA2A" w:rsidR="00085789" w:rsidRDefault="00085789">
      <w:pPr>
        <w:pStyle w:val="TOC1"/>
        <w:rPr>
          <w:rFonts w:asciiTheme="minorHAnsi" w:eastAsiaTheme="minorEastAsia" w:hAnsiTheme="minorHAnsi" w:cstheme="minorBidi"/>
          <w:kern w:val="2"/>
          <w:lang w:val="en-US"/>
          <w14:ligatures w14:val="standardContextual"/>
        </w:rPr>
      </w:pPr>
      <w:hyperlink w:anchor="_Toc214311200" w:history="1">
        <w:r>
          <w:rPr>
            <w:rStyle w:val="Hyperlink"/>
            <w:b w:val="0"/>
            <w:bCs w:val="0"/>
          </w:rPr>
          <w:t>1.1.3. Khí hậu - khí tượng</w:t>
        </w:r>
        <w:r>
          <w:rPr>
            <w:webHidden/>
          </w:rPr>
          <w:tab/>
        </w:r>
        <w:r>
          <w:rPr>
            <w:webHidden/>
          </w:rPr>
          <w:fldChar w:fldCharType="begin"/>
        </w:r>
        <w:r>
          <w:rPr>
            <w:webHidden/>
          </w:rPr>
          <w:instrText xml:space="preserve"> PAGEREF _Toc214311200 \h </w:instrText>
        </w:r>
        <w:r>
          <w:rPr>
            <w:webHidden/>
          </w:rPr>
        </w:r>
        <w:r>
          <w:rPr>
            <w:webHidden/>
          </w:rPr>
          <w:fldChar w:fldCharType="separate"/>
        </w:r>
        <w:r w:rsidR="001A08FA">
          <w:rPr>
            <w:webHidden/>
          </w:rPr>
          <w:t>14</w:t>
        </w:r>
        <w:r>
          <w:rPr>
            <w:webHidden/>
          </w:rPr>
          <w:fldChar w:fldCharType="end"/>
        </w:r>
      </w:hyperlink>
    </w:p>
    <w:p w14:paraId="76423F77" w14:textId="27AF4123" w:rsidR="00085789" w:rsidRDefault="00085789">
      <w:pPr>
        <w:pStyle w:val="TOC1"/>
        <w:rPr>
          <w:rFonts w:asciiTheme="minorHAnsi" w:eastAsiaTheme="minorEastAsia" w:hAnsiTheme="minorHAnsi" w:cstheme="minorBidi"/>
          <w:kern w:val="2"/>
          <w:lang w:val="en-US"/>
          <w14:ligatures w14:val="standardContextual"/>
        </w:rPr>
      </w:pPr>
      <w:hyperlink w:anchor="_Toc214311201" w:history="1">
        <w:r>
          <w:rPr>
            <w:rStyle w:val="Hyperlink"/>
            <w:b w:val="0"/>
            <w:bCs w:val="0"/>
          </w:rPr>
          <w:t>1.1.4. Đặc điểm thuỷ văn</w:t>
        </w:r>
        <w:r>
          <w:rPr>
            <w:webHidden/>
          </w:rPr>
          <w:tab/>
        </w:r>
        <w:r>
          <w:rPr>
            <w:webHidden/>
          </w:rPr>
          <w:fldChar w:fldCharType="begin"/>
        </w:r>
        <w:r>
          <w:rPr>
            <w:webHidden/>
          </w:rPr>
          <w:instrText xml:space="preserve"> PAGEREF _Toc214311201 \h </w:instrText>
        </w:r>
        <w:r>
          <w:rPr>
            <w:webHidden/>
          </w:rPr>
        </w:r>
        <w:r>
          <w:rPr>
            <w:webHidden/>
          </w:rPr>
          <w:fldChar w:fldCharType="separate"/>
        </w:r>
        <w:r w:rsidR="001A08FA">
          <w:rPr>
            <w:webHidden/>
          </w:rPr>
          <w:t>17</w:t>
        </w:r>
        <w:r>
          <w:rPr>
            <w:webHidden/>
          </w:rPr>
          <w:fldChar w:fldCharType="end"/>
        </w:r>
      </w:hyperlink>
    </w:p>
    <w:p w14:paraId="6689A433" w14:textId="558FDEFC" w:rsidR="00085789" w:rsidRDefault="00085789">
      <w:pPr>
        <w:pStyle w:val="TOC1"/>
        <w:rPr>
          <w:rFonts w:asciiTheme="minorHAnsi" w:eastAsiaTheme="minorEastAsia" w:hAnsiTheme="minorHAnsi" w:cstheme="minorBidi"/>
          <w:kern w:val="2"/>
          <w:lang w:val="en-US"/>
          <w14:ligatures w14:val="standardContextual"/>
        </w:rPr>
      </w:pPr>
      <w:hyperlink w:anchor="_Toc214311202" w:history="1">
        <w:r>
          <w:rPr>
            <w:rStyle w:val="Hyperlink"/>
            <w:b w:val="0"/>
            <w:bCs w:val="0"/>
          </w:rPr>
          <w:t>1.1.5. Về tài nguyên thiên nhiên</w:t>
        </w:r>
        <w:r>
          <w:rPr>
            <w:webHidden/>
          </w:rPr>
          <w:tab/>
        </w:r>
        <w:r>
          <w:rPr>
            <w:webHidden/>
          </w:rPr>
          <w:fldChar w:fldCharType="begin"/>
        </w:r>
        <w:r>
          <w:rPr>
            <w:webHidden/>
          </w:rPr>
          <w:instrText xml:space="preserve"> PAGEREF _Toc214311202 \h </w:instrText>
        </w:r>
        <w:r>
          <w:rPr>
            <w:webHidden/>
          </w:rPr>
        </w:r>
        <w:r>
          <w:rPr>
            <w:webHidden/>
          </w:rPr>
          <w:fldChar w:fldCharType="separate"/>
        </w:r>
        <w:r w:rsidR="001A08FA">
          <w:rPr>
            <w:webHidden/>
          </w:rPr>
          <w:t>18</w:t>
        </w:r>
        <w:r>
          <w:rPr>
            <w:webHidden/>
          </w:rPr>
          <w:fldChar w:fldCharType="end"/>
        </w:r>
      </w:hyperlink>
    </w:p>
    <w:p w14:paraId="496D2EFD" w14:textId="6D33BE81" w:rsidR="00085789" w:rsidRDefault="00085789">
      <w:pPr>
        <w:pStyle w:val="TOC1"/>
        <w:rPr>
          <w:rFonts w:asciiTheme="minorHAnsi" w:eastAsiaTheme="minorEastAsia" w:hAnsiTheme="minorHAnsi" w:cstheme="minorBidi"/>
          <w:kern w:val="2"/>
          <w:lang w:val="en-US"/>
          <w14:ligatures w14:val="standardContextual"/>
        </w:rPr>
      </w:pPr>
      <w:hyperlink w:anchor="_Toc214311203" w:history="1">
        <w:r>
          <w:rPr>
            <w:rStyle w:val="Hyperlink"/>
          </w:rPr>
          <w:t xml:space="preserve">1.2. Tình hình phát triển </w:t>
        </w:r>
        <w:r>
          <w:rPr>
            <w:rStyle w:val="Hyperlink"/>
            <w:rFonts w:ascii="Times New Roman" w:hAnsi="Times New Roman"/>
          </w:rPr>
          <w:t>KT-XH</w:t>
        </w:r>
        <w:r>
          <w:rPr>
            <w:webHidden/>
          </w:rPr>
          <w:tab/>
        </w:r>
        <w:r>
          <w:rPr>
            <w:webHidden/>
          </w:rPr>
          <w:fldChar w:fldCharType="begin"/>
        </w:r>
        <w:r>
          <w:rPr>
            <w:webHidden/>
          </w:rPr>
          <w:instrText xml:space="preserve"> PAGEREF _Toc214311203 \h </w:instrText>
        </w:r>
        <w:r>
          <w:rPr>
            <w:webHidden/>
          </w:rPr>
        </w:r>
        <w:r>
          <w:rPr>
            <w:webHidden/>
          </w:rPr>
          <w:fldChar w:fldCharType="separate"/>
        </w:r>
        <w:r w:rsidR="001A08FA">
          <w:rPr>
            <w:webHidden/>
          </w:rPr>
          <w:t>19</w:t>
        </w:r>
        <w:r>
          <w:rPr>
            <w:webHidden/>
          </w:rPr>
          <w:fldChar w:fldCharType="end"/>
        </w:r>
      </w:hyperlink>
    </w:p>
    <w:p w14:paraId="7CB0806A" w14:textId="2F2FC856" w:rsidR="00085789" w:rsidRDefault="00085789">
      <w:pPr>
        <w:pStyle w:val="TOC1"/>
        <w:rPr>
          <w:rFonts w:asciiTheme="minorHAnsi" w:eastAsiaTheme="minorEastAsia" w:hAnsiTheme="minorHAnsi" w:cstheme="minorBidi"/>
          <w:kern w:val="2"/>
          <w:lang w:val="en-US"/>
          <w14:ligatures w14:val="standardContextual"/>
        </w:rPr>
      </w:pPr>
      <w:hyperlink w:anchor="_Toc214311204" w:history="1">
        <w:r>
          <w:rPr>
            <w:rStyle w:val="Hyperlink"/>
            <w:b w:val="0"/>
            <w:bCs w:val="0"/>
            <w:lang w:eastAsia="ja-JP"/>
          </w:rPr>
          <w:t>1.2.1. Tình hình phát triển kinh tế</w:t>
        </w:r>
        <w:r>
          <w:rPr>
            <w:webHidden/>
          </w:rPr>
          <w:tab/>
        </w:r>
        <w:r>
          <w:rPr>
            <w:webHidden/>
          </w:rPr>
          <w:fldChar w:fldCharType="begin"/>
        </w:r>
        <w:r>
          <w:rPr>
            <w:webHidden/>
          </w:rPr>
          <w:instrText xml:space="preserve"> PAGEREF _Toc214311204 \h </w:instrText>
        </w:r>
        <w:r>
          <w:rPr>
            <w:webHidden/>
          </w:rPr>
        </w:r>
        <w:r>
          <w:rPr>
            <w:webHidden/>
          </w:rPr>
          <w:fldChar w:fldCharType="separate"/>
        </w:r>
        <w:r w:rsidR="001A08FA">
          <w:rPr>
            <w:webHidden/>
          </w:rPr>
          <w:t>19</w:t>
        </w:r>
        <w:r>
          <w:rPr>
            <w:webHidden/>
          </w:rPr>
          <w:fldChar w:fldCharType="end"/>
        </w:r>
      </w:hyperlink>
    </w:p>
    <w:p w14:paraId="1A3B60EA" w14:textId="0DCFD4EC" w:rsidR="00085789" w:rsidRDefault="00085789">
      <w:pPr>
        <w:pStyle w:val="TOC1"/>
        <w:rPr>
          <w:rFonts w:asciiTheme="minorHAnsi" w:eastAsiaTheme="minorEastAsia" w:hAnsiTheme="minorHAnsi" w:cstheme="minorBidi"/>
          <w:kern w:val="2"/>
          <w:lang w:val="en-US"/>
          <w14:ligatures w14:val="standardContextual"/>
        </w:rPr>
      </w:pPr>
      <w:hyperlink w:anchor="_Toc214311205" w:history="1">
        <w:r>
          <w:rPr>
            <w:rStyle w:val="Hyperlink"/>
            <w:b w:val="0"/>
            <w:bCs w:val="0"/>
          </w:rPr>
          <w:t>1.2.1.1. Phát triển công nghiệp</w:t>
        </w:r>
        <w:r>
          <w:rPr>
            <w:webHidden/>
          </w:rPr>
          <w:tab/>
        </w:r>
        <w:r>
          <w:rPr>
            <w:webHidden/>
          </w:rPr>
          <w:fldChar w:fldCharType="begin"/>
        </w:r>
        <w:r>
          <w:rPr>
            <w:webHidden/>
          </w:rPr>
          <w:instrText xml:space="preserve"> PAGEREF _Toc214311205 \h </w:instrText>
        </w:r>
        <w:r>
          <w:rPr>
            <w:webHidden/>
          </w:rPr>
        </w:r>
        <w:r>
          <w:rPr>
            <w:webHidden/>
          </w:rPr>
          <w:fldChar w:fldCharType="separate"/>
        </w:r>
        <w:r w:rsidR="001A08FA">
          <w:rPr>
            <w:webHidden/>
          </w:rPr>
          <w:t>20</w:t>
        </w:r>
        <w:r>
          <w:rPr>
            <w:webHidden/>
          </w:rPr>
          <w:fldChar w:fldCharType="end"/>
        </w:r>
      </w:hyperlink>
    </w:p>
    <w:p w14:paraId="7301B4F7" w14:textId="64685B12" w:rsidR="00085789" w:rsidRDefault="00085789">
      <w:pPr>
        <w:pStyle w:val="TOC1"/>
        <w:rPr>
          <w:rFonts w:asciiTheme="minorHAnsi" w:eastAsiaTheme="minorEastAsia" w:hAnsiTheme="minorHAnsi" w:cstheme="minorBidi"/>
          <w:kern w:val="2"/>
          <w:lang w:val="en-US"/>
          <w14:ligatures w14:val="standardContextual"/>
        </w:rPr>
      </w:pPr>
      <w:hyperlink w:anchor="_Toc214311206" w:history="1">
        <w:r>
          <w:rPr>
            <w:rStyle w:val="Hyperlink"/>
            <w:b w:val="0"/>
            <w:bCs w:val="0"/>
          </w:rPr>
          <w:t>1.2.1.2.  Phát triển xây dựng</w:t>
        </w:r>
        <w:r>
          <w:rPr>
            <w:webHidden/>
          </w:rPr>
          <w:tab/>
        </w:r>
        <w:r>
          <w:rPr>
            <w:webHidden/>
          </w:rPr>
          <w:fldChar w:fldCharType="begin"/>
        </w:r>
        <w:r>
          <w:rPr>
            <w:webHidden/>
          </w:rPr>
          <w:instrText xml:space="preserve"> PAGEREF _Toc214311206 \h </w:instrText>
        </w:r>
        <w:r>
          <w:rPr>
            <w:webHidden/>
          </w:rPr>
        </w:r>
        <w:r>
          <w:rPr>
            <w:webHidden/>
          </w:rPr>
          <w:fldChar w:fldCharType="separate"/>
        </w:r>
        <w:r w:rsidR="001A08FA">
          <w:rPr>
            <w:webHidden/>
          </w:rPr>
          <w:t>22</w:t>
        </w:r>
        <w:r>
          <w:rPr>
            <w:webHidden/>
          </w:rPr>
          <w:fldChar w:fldCharType="end"/>
        </w:r>
      </w:hyperlink>
    </w:p>
    <w:p w14:paraId="23885E45" w14:textId="36E1A4E7" w:rsidR="00085789" w:rsidRDefault="00085789">
      <w:pPr>
        <w:pStyle w:val="TOC1"/>
        <w:rPr>
          <w:rFonts w:asciiTheme="minorHAnsi" w:eastAsiaTheme="minorEastAsia" w:hAnsiTheme="minorHAnsi" w:cstheme="minorBidi"/>
          <w:kern w:val="2"/>
          <w:lang w:val="en-US"/>
          <w14:ligatures w14:val="standardContextual"/>
        </w:rPr>
      </w:pPr>
      <w:hyperlink w:anchor="_Toc214311207" w:history="1">
        <w:r>
          <w:rPr>
            <w:rStyle w:val="Hyperlink"/>
            <w:b w:val="0"/>
            <w:bCs w:val="0"/>
            <w:lang w:val="nl-NL"/>
          </w:rPr>
          <w:t>1.2.1.3.  Phát triển năng lượng</w:t>
        </w:r>
        <w:r>
          <w:rPr>
            <w:webHidden/>
          </w:rPr>
          <w:tab/>
        </w:r>
        <w:r>
          <w:rPr>
            <w:webHidden/>
          </w:rPr>
          <w:fldChar w:fldCharType="begin"/>
        </w:r>
        <w:r>
          <w:rPr>
            <w:webHidden/>
          </w:rPr>
          <w:instrText xml:space="preserve"> PAGEREF _Toc214311207 \h </w:instrText>
        </w:r>
        <w:r>
          <w:rPr>
            <w:webHidden/>
          </w:rPr>
        </w:r>
        <w:r>
          <w:rPr>
            <w:webHidden/>
          </w:rPr>
          <w:fldChar w:fldCharType="separate"/>
        </w:r>
        <w:r w:rsidR="001A08FA">
          <w:rPr>
            <w:webHidden/>
          </w:rPr>
          <w:t>23</w:t>
        </w:r>
        <w:r>
          <w:rPr>
            <w:webHidden/>
          </w:rPr>
          <w:fldChar w:fldCharType="end"/>
        </w:r>
      </w:hyperlink>
    </w:p>
    <w:p w14:paraId="41953E54" w14:textId="44245DD6" w:rsidR="00085789" w:rsidRDefault="00085789">
      <w:pPr>
        <w:pStyle w:val="TOC1"/>
        <w:rPr>
          <w:rFonts w:asciiTheme="minorHAnsi" w:eastAsiaTheme="minorEastAsia" w:hAnsiTheme="minorHAnsi" w:cstheme="minorBidi"/>
          <w:kern w:val="2"/>
          <w:lang w:val="en-US"/>
          <w14:ligatures w14:val="standardContextual"/>
        </w:rPr>
      </w:pPr>
      <w:hyperlink w:anchor="_Toc214311208" w:history="1">
        <w:r>
          <w:rPr>
            <w:rStyle w:val="Hyperlink"/>
            <w:b w:val="0"/>
            <w:bCs w:val="0"/>
            <w:lang w:val="nl-NL"/>
          </w:rPr>
          <w:t>1.2.1.4. Phát triển giao thông vận tải</w:t>
        </w:r>
        <w:r>
          <w:rPr>
            <w:webHidden/>
          </w:rPr>
          <w:tab/>
        </w:r>
        <w:r>
          <w:rPr>
            <w:webHidden/>
          </w:rPr>
          <w:fldChar w:fldCharType="begin"/>
        </w:r>
        <w:r>
          <w:rPr>
            <w:webHidden/>
          </w:rPr>
          <w:instrText xml:space="preserve"> PAGEREF _Toc214311208 \h </w:instrText>
        </w:r>
        <w:r>
          <w:rPr>
            <w:webHidden/>
          </w:rPr>
        </w:r>
        <w:r>
          <w:rPr>
            <w:webHidden/>
          </w:rPr>
          <w:fldChar w:fldCharType="separate"/>
        </w:r>
        <w:r w:rsidR="001A08FA">
          <w:rPr>
            <w:webHidden/>
          </w:rPr>
          <w:t>24</w:t>
        </w:r>
        <w:r>
          <w:rPr>
            <w:webHidden/>
          </w:rPr>
          <w:fldChar w:fldCharType="end"/>
        </w:r>
      </w:hyperlink>
    </w:p>
    <w:p w14:paraId="1584FE60" w14:textId="73D2E9B2" w:rsidR="00085789" w:rsidRDefault="00085789">
      <w:pPr>
        <w:pStyle w:val="TOC1"/>
        <w:rPr>
          <w:rFonts w:asciiTheme="minorHAnsi" w:eastAsiaTheme="minorEastAsia" w:hAnsiTheme="minorHAnsi" w:cstheme="minorBidi"/>
          <w:kern w:val="2"/>
          <w:lang w:val="en-US"/>
          <w14:ligatures w14:val="standardContextual"/>
        </w:rPr>
      </w:pPr>
      <w:hyperlink w:anchor="_Toc214311209" w:history="1">
        <w:r>
          <w:rPr>
            <w:rStyle w:val="Hyperlink"/>
            <w:b w:val="0"/>
            <w:bCs w:val="0"/>
            <w:lang w:val="nl-NL"/>
          </w:rPr>
          <w:t>1.2.1.5.  Phát triển nông - lâm nghiệp và thủy sản</w:t>
        </w:r>
        <w:r>
          <w:rPr>
            <w:webHidden/>
          </w:rPr>
          <w:tab/>
        </w:r>
        <w:r>
          <w:rPr>
            <w:webHidden/>
          </w:rPr>
          <w:fldChar w:fldCharType="begin"/>
        </w:r>
        <w:r>
          <w:rPr>
            <w:webHidden/>
          </w:rPr>
          <w:instrText xml:space="preserve"> PAGEREF _Toc214311209 \h </w:instrText>
        </w:r>
        <w:r>
          <w:rPr>
            <w:webHidden/>
          </w:rPr>
        </w:r>
        <w:r>
          <w:rPr>
            <w:webHidden/>
          </w:rPr>
          <w:fldChar w:fldCharType="separate"/>
        </w:r>
        <w:r w:rsidR="001A08FA">
          <w:rPr>
            <w:webHidden/>
          </w:rPr>
          <w:t>25</w:t>
        </w:r>
        <w:r>
          <w:rPr>
            <w:webHidden/>
          </w:rPr>
          <w:fldChar w:fldCharType="end"/>
        </w:r>
      </w:hyperlink>
    </w:p>
    <w:p w14:paraId="2A1F64E5" w14:textId="39338EB3" w:rsidR="00085789" w:rsidRDefault="00085789">
      <w:pPr>
        <w:pStyle w:val="TOC1"/>
        <w:rPr>
          <w:rFonts w:asciiTheme="minorHAnsi" w:eastAsiaTheme="minorEastAsia" w:hAnsiTheme="minorHAnsi" w:cstheme="minorBidi"/>
          <w:kern w:val="2"/>
          <w:lang w:val="en-US"/>
          <w14:ligatures w14:val="standardContextual"/>
        </w:rPr>
      </w:pPr>
      <w:hyperlink w:anchor="_Toc214311210" w:history="1">
        <w:r>
          <w:rPr>
            <w:rStyle w:val="Hyperlink"/>
            <w:b w:val="0"/>
            <w:bCs w:val="0"/>
            <w:lang w:val="nl-NL"/>
          </w:rPr>
          <w:t>1.2.1.6. Hoạt động y tế</w:t>
        </w:r>
        <w:r>
          <w:rPr>
            <w:webHidden/>
          </w:rPr>
          <w:tab/>
        </w:r>
        <w:r>
          <w:rPr>
            <w:webHidden/>
          </w:rPr>
          <w:fldChar w:fldCharType="begin"/>
        </w:r>
        <w:r>
          <w:rPr>
            <w:webHidden/>
          </w:rPr>
          <w:instrText xml:space="preserve"> PAGEREF _Toc214311210 \h </w:instrText>
        </w:r>
        <w:r>
          <w:rPr>
            <w:webHidden/>
          </w:rPr>
        </w:r>
        <w:r>
          <w:rPr>
            <w:webHidden/>
          </w:rPr>
          <w:fldChar w:fldCharType="separate"/>
        </w:r>
        <w:r w:rsidR="001A08FA">
          <w:rPr>
            <w:webHidden/>
          </w:rPr>
          <w:t>28</w:t>
        </w:r>
        <w:r>
          <w:rPr>
            <w:webHidden/>
          </w:rPr>
          <w:fldChar w:fldCharType="end"/>
        </w:r>
      </w:hyperlink>
    </w:p>
    <w:p w14:paraId="116E6BA1" w14:textId="604169AD" w:rsidR="00085789" w:rsidRDefault="00085789">
      <w:pPr>
        <w:pStyle w:val="TOC1"/>
        <w:rPr>
          <w:rFonts w:asciiTheme="minorHAnsi" w:eastAsiaTheme="minorEastAsia" w:hAnsiTheme="minorHAnsi" w:cstheme="minorBidi"/>
          <w:kern w:val="2"/>
          <w:lang w:val="en-US"/>
          <w14:ligatures w14:val="standardContextual"/>
        </w:rPr>
      </w:pPr>
      <w:hyperlink w:anchor="_Toc214311211" w:history="1">
        <w:r>
          <w:rPr>
            <w:rStyle w:val="Hyperlink"/>
            <w:b w:val="0"/>
            <w:bCs w:val="0"/>
          </w:rPr>
          <w:t>1.2.1.7.  Phát triển du lịch, dịch vụ, kinh doanh, thương mại và xuất nhập khẩu</w:t>
        </w:r>
        <w:r>
          <w:rPr>
            <w:webHidden/>
          </w:rPr>
          <w:tab/>
        </w:r>
        <w:r>
          <w:rPr>
            <w:webHidden/>
          </w:rPr>
          <w:fldChar w:fldCharType="begin"/>
        </w:r>
        <w:r>
          <w:rPr>
            <w:webHidden/>
          </w:rPr>
          <w:instrText xml:space="preserve"> PAGEREF _Toc214311211 \h </w:instrText>
        </w:r>
        <w:r>
          <w:rPr>
            <w:webHidden/>
          </w:rPr>
        </w:r>
        <w:r>
          <w:rPr>
            <w:webHidden/>
          </w:rPr>
          <w:fldChar w:fldCharType="separate"/>
        </w:r>
        <w:r w:rsidR="001A08FA">
          <w:rPr>
            <w:webHidden/>
          </w:rPr>
          <w:t>28</w:t>
        </w:r>
        <w:r>
          <w:rPr>
            <w:webHidden/>
          </w:rPr>
          <w:fldChar w:fldCharType="end"/>
        </w:r>
      </w:hyperlink>
    </w:p>
    <w:p w14:paraId="5423A913" w14:textId="5E3367FE" w:rsidR="00085789" w:rsidRDefault="00085789">
      <w:pPr>
        <w:pStyle w:val="TOC1"/>
        <w:rPr>
          <w:rFonts w:asciiTheme="minorHAnsi" w:eastAsiaTheme="minorEastAsia" w:hAnsiTheme="minorHAnsi" w:cstheme="minorBidi"/>
          <w:kern w:val="2"/>
          <w:lang w:val="en-US"/>
          <w14:ligatures w14:val="standardContextual"/>
        </w:rPr>
      </w:pPr>
      <w:hyperlink w:anchor="_Toc214311212" w:history="1">
        <w:r>
          <w:rPr>
            <w:rStyle w:val="Hyperlink"/>
            <w:b w:val="0"/>
            <w:bCs w:val="0"/>
          </w:rPr>
          <w:t>1.2.2. Tình hình xã hội</w:t>
        </w:r>
        <w:r>
          <w:rPr>
            <w:webHidden/>
          </w:rPr>
          <w:tab/>
        </w:r>
        <w:r>
          <w:rPr>
            <w:webHidden/>
          </w:rPr>
          <w:fldChar w:fldCharType="begin"/>
        </w:r>
        <w:r>
          <w:rPr>
            <w:webHidden/>
          </w:rPr>
          <w:instrText xml:space="preserve"> PAGEREF _Toc214311212 \h </w:instrText>
        </w:r>
        <w:r>
          <w:rPr>
            <w:webHidden/>
          </w:rPr>
        </w:r>
        <w:r>
          <w:rPr>
            <w:webHidden/>
          </w:rPr>
          <w:fldChar w:fldCharType="separate"/>
        </w:r>
        <w:r w:rsidR="001A08FA">
          <w:rPr>
            <w:webHidden/>
          </w:rPr>
          <w:t>30</w:t>
        </w:r>
        <w:r>
          <w:rPr>
            <w:webHidden/>
          </w:rPr>
          <w:fldChar w:fldCharType="end"/>
        </w:r>
      </w:hyperlink>
    </w:p>
    <w:p w14:paraId="771A1078" w14:textId="792CE53D" w:rsidR="00085789" w:rsidRDefault="00085789">
      <w:pPr>
        <w:pStyle w:val="TOC1"/>
        <w:jc w:val="left"/>
        <w:rPr>
          <w:rFonts w:asciiTheme="minorHAnsi" w:eastAsiaTheme="minorEastAsia" w:hAnsiTheme="minorHAnsi" w:cstheme="minorBidi"/>
          <w:kern w:val="2"/>
          <w:lang w:val="en-US"/>
          <w14:ligatures w14:val="standardContextual"/>
        </w:rPr>
      </w:pPr>
      <w:hyperlink w:anchor="_Toc214311213" w:history="1">
        <w:r>
          <w:rPr>
            <w:rStyle w:val="Hyperlink"/>
            <w:b w:val="0"/>
            <w:bCs w:val="0"/>
          </w:rPr>
          <w:t>1.2.2.1. Tăng trưởng dân số cơ học và sự chuyển dịch thành phần dân cư các khu vực đô thị, nông thôn</w:t>
        </w:r>
        <w:r>
          <w:rPr>
            <w:webHidden/>
          </w:rPr>
          <w:tab/>
        </w:r>
        <w:r>
          <w:rPr>
            <w:webHidden/>
          </w:rPr>
          <w:fldChar w:fldCharType="begin"/>
        </w:r>
        <w:r>
          <w:rPr>
            <w:webHidden/>
          </w:rPr>
          <w:instrText xml:space="preserve"> PAGEREF _Toc214311213 \h </w:instrText>
        </w:r>
        <w:r>
          <w:rPr>
            <w:webHidden/>
          </w:rPr>
        </w:r>
        <w:r>
          <w:rPr>
            <w:webHidden/>
          </w:rPr>
          <w:fldChar w:fldCharType="separate"/>
        </w:r>
        <w:r w:rsidR="001A08FA">
          <w:rPr>
            <w:webHidden/>
          </w:rPr>
          <w:t>30</w:t>
        </w:r>
        <w:r>
          <w:rPr>
            <w:webHidden/>
          </w:rPr>
          <w:fldChar w:fldCharType="end"/>
        </w:r>
      </w:hyperlink>
    </w:p>
    <w:p w14:paraId="3DF6D23E" w14:textId="19841A43" w:rsidR="00085789" w:rsidRDefault="00085789">
      <w:pPr>
        <w:pStyle w:val="TOC1"/>
        <w:rPr>
          <w:rFonts w:asciiTheme="minorHAnsi" w:eastAsiaTheme="minorEastAsia" w:hAnsiTheme="minorHAnsi" w:cstheme="minorBidi"/>
          <w:kern w:val="2"/>
          <w:lang w:val="en-US"/>
          <w14:ligatures w14:val="standardContextual"/>
        </w:rPr>
      </w:pPr>
      <w:hyperlink w:anchor="_Toc214311214" w:history="1">
        <w:r>
          <w:rPr>
            <w:rStyle w:val="Hyperlink"/>
            <w:b w:val="0"/>
            <w:bCs w:val="0"/>
          </w:rPr>
          <w:t>1.2.2.2. Dự báo sự gia tăng dân số, vấn đề di cư vào các vùng đô thị</w:t>
        </w:r>
        <w:r>
          <w:rPr>
            <w:webHidden/>
          </w:rPr>
          <w:tab/>
        </w:r>
        <w:r>
          <w:rPr>
            <w:webHidden/>
          </w:rPr>
          <w:fldChar w:fldCharType="begin"/>
        </w:r>
        <w:r>
          <w:rPr>
            <w:webHidden/>
          </w:rPr>
          <w:instrText xml:space="preserve"> PAGEREF _Toc214311214 \h </w:instrText>
        </w:r>
        <w:r>
          <w:rPr>
            <w:webHidden/>
          </w:rPr>
        </w:r>
        <w:r>
          <w:rPr>
            <w:webHidden/>
          </w:rPr>
          <w:fldChar w:fldCharType="separate"/>
        </w:r>
        <w:r w:rsidR="001A08FA">
          <w:rPr>
            <w:webHidden/>
          </w:rPr>
          <w:t>31</w:t>
        </w:r>
        <w:r>
          <w:rPr>
            <w:webHidden/>
          </w:rPr>
          <w:fldChar w:fldCharType="end"/>
        </w:r>
      </w:hyperlink>
    </w:p>
    <w:p w14:paraId="40EC57BC" w14:textId="7148CE96" w:rsidR="00085789" w:rsidRDefault="00085789">
      <w:pPr>
        <w:pStyle w:val="TOC1"/>
        <w:rPr>
          <w:rFonts w:asciiTheme="minorHAnsi" w:eastAsiaTheme="minorEastAsia" w:hAnsiTheme="minorHAnsi" w:cstheme="minorBidi"/>
          <w:kern w:val="2"/>
          <w:lang w:val="en-US"/>
          <w14:ligatures w14:val="standardContextual"/>
        </w:rPr>
      </w:pPr>
      <w:hyperlink w:anchor="_Toc214311215" w:history="1">
        <w:r>
          <w:rPr>
            <w:rStyle w:val="Hyperlink"/>
            <w:b w:val="0"/>
            <w:bCs w:val="0"/>
          </w:rPr>
          <w:t>1.2.2.3. Khái quát tác động của gia tăng dân số và di dân đối với môi trường</w:t>
        </w:r>
        <w:r>
          <w:rPr>
            <w:webHidden/>
          </w:rPr>
          <w:tab/>
        </w:r>
        <w:r>
          <w:rPr>
            <w:webHidden/>
          </w:rPr>
          <w:fldChar w:fldCharType="begin"/>
        </w:r>
        <w:r>
          <w:rPr>
            <w:webHidden/>
          </w:rPr>
          <w:instrText xml:space="preserve"> PAGEREF _Toc214311215 \h </w:instrText>
        </w:r>
        <w:r>
          <w:rPr>
            <w:webHidden/>
          </w:rPr>
        </w:r>
        <w:r>
          <w:rPr>
            <w:webHidden/>
          </w:rPr>
          <w:fldChar w:fldCharType="separate"/>
        </w:r>
        <w:r w:rsidR="001A08FA">
          <w:rPr>
            <w:webHidden/>
          </w:rPr>
          <w:t>31</w:t>
        </w:r>
        <w:r>
          <w:rPr>
            <w:webHidden/>
          </w:rPr>
          <w:fldChar w:fldCharType="end"/>
        </w:r>
      </w:hyperlink>
    </w:p>
    <w:p w14:paraId="45EE9E83" w14:textId="2F889383" w:rsidR="00085789" w:rsidRDefault="00085789">
      <w:pPr>
        <w:pStyle w:val="TOC1"/>
        <w:rPr>
          <w:rStyle w:val="Hyperlink"/>
          <w:b w:val="0"/>
          <w:bCs w:val="0"/>
        </w:rPr>
      </w:pPr>
      <w:hyperlink w:anchor="_Toc214311216" w:history="1">
        <w:r>
          <w:rPr>
            <w:rStyle w:val="Hyperlink"/>
            <w:b w:val="0"/>
            <w:bCs w:val="0"/>
          </w:rPr>
          <w:t>1.2.3. Vấn đề hội nhập quốc tế</w:t>
        </w:r>
        <w:r>
          <w:rPr>
            <w:webHidden/>
          </w:rPr>
          <w:tab/>
        </w:r>
        <w:r>
          <w:rPr>
            <w:webHidden/>
          </w:rPr>
          <w:fldChar w:fldCharType="begin"/>
        </w:r>
        <w:r>
          <w:rPr>
            <w:webHidden/>
          </w:rPr>
          <w:instrText xml:space="preserve"> PAGEREF _Toc214311216 \h </w:instrText>
        </w:r>
        <w:r>
          <w:rPr>
            <w:webHidden/>
          </w:rPr>
        </w:r>
        <w:r>
          <w:rPr>
            <w:webHidden/>
          </w:rPr>
          <w:fldChar w:fldCharType="separate"/>
        </w:r>
        <w:r w:rsidR="001A08FA">
          <w:rPr>
            <w:webHidden/>
          </w:rPr>
          <w:t>32</w:t>
        </w:r>
        <w:r>
          <w:rPr>
            <w:webHidden/>
          </w:rPr>
          <w:fldChar w:fldCharType="end"/>
        </w:r>
      </w:hyperlink>
    </w:p>
    <w:p w14:paraId="6E43F1E9" w14:textId="77777777" w:rsidR="00085789" w:rsidRDefault="00000000">
      <w:pPr>
        <w:spacing w:before="40" w:after="40" w:line="240" w:lineRule="auto"/>
        <w:jc w:val="center"/>
        <w:rPr>
          <w:rFonts w:eastAsiaTheme="minorEastAsia"/>
          <w:b/>
          <w:bCs/>
          <w:noProof/>
          <w:sz w:val="26"/>
          <w:szCs w:val="26"/>
          <w:lang w:val="nl-NL"/>
        </w:rPr>
      </w:pPr>
      <w:r>
        <w:rPr>
          <w:rFonts w:eastAsiaTheme="minorEastAsia"/>
          <w:b/>
          <w:bCs/>
          <w:noProof/>
          <w:sz w:val="26"/>
          <w:szCs w:val="26"/>
          <w:lang w:val="nl-NL"/>
        </w:rPr>
        <w:t>CHƯƠNG II</w:t>
      </w:r>
    </w:p>
    <w:p w14:paraId="3FA46E2E" w14:textId="77777777" w:rsidR="00085789" w:rsidRDefault="00000000">
      <w:pPr>
        <w:spacing w:before="40" w:after="40" w:line="240" w:lineRule="auto"/>
        <w:jc w:val="center"/>
        <w:rPr>
          <w:rFonts w:eastAsiaTheme="minorEastAsia"/>
          <w:b/>
          <w:bCs/>
          <w:noProof/>
          <w:sz w:val="26"/>
          <w:szCs w:val="26"/>
          <w:lang w:val="nl-NL"/>
        </w:rPr>
      </w:pPr>
      <w:r>
        <w:rPr>
          <w:rFonts w:eastAsiaTheme="minorEastAsia"/>
          <w:b/>
          <w:bCs/>
          <w:noProof/>
          <w:sz w:val="26"/>
          <w:szCs w:val="26"/>
          <w:lang w:val="nl-NL"/>
        </w:rPr>
        <w:t>SỨC ÉP CỦA PHÁT TRIỂN KINH TẾ - XÃ HỘI ĐỐI VỚI MÔI TRƯỜNG</w:t>
      </w:r>
    </w:p>
    <w:p w14:paraId="2223C257" w14:textId="66939A29" w:rsidR="00085789" w:rsidRDefault="00085789">
      <w:pPr>
        <w:pStyle w:val="TOC1"/>
        <w:rPr>
          <w:rStyle w:val="Hyperlink"/>
        </w:rPr>
      </w:pPr>
      <w:hyperlink w:anchor="_Toc214311217" w:history="1">
        <w:r>
          <w:rPr>
            <w:rStyle w:val="Hyperlink"/>
          </w:rPr>
          <w:t>2.1. Sức ép dân số, vấn đề di cư và quá trình đô thị hóa</w:t>
        </w:r>
        <w:r>
          <w:rPr>
            <w:webHidden/>
          </w:rPr>
          <w:tab/>
        </w:r>
        <w:r>
          <w:rPr>
            <w:webHidden/>
          </w:rPr>
          <w:fldChar w:fldCharType="begin"/>
        </w:r>
        <w:r>
          <w:rPr>
            <w:webHidden/>
          </w:rPr>
          <w:instrText xml:space="preserve"> PAGEREF _Toc214311217 \h </w:instrText>
        </w:r>
        <w:r>
          <w:rPr>
            <w:webHidden/>
          </w:rPr>
        </w:r>
        <w:r>
          <w:rPr>
            <w:webHidden/>
          </w:rPr>
          <w:fldChar w:fldCharType="separate"/>
        </w:r>
        <w:r w:rsidR="001A08FA">
          <w:rPr>
            <w:webHidden/>
          </w:rPr>
          <w:t>34</w:t>
        </w:r>
        <w:r>
          <w:rPr>
            <w:webHidden/>
          </w:rPr>
          <w:fldChar w:fldCharType="end"/>
        </w:r>
      </w:hyperlink>
    </w:p>
    <w:p w14:paraId="50E33F19" w14:textId="05837096" w:rsidR="00085789" w:rsidRDefault="00085789">
      <w:pPr>
        <w:pStyle w:val="TOC1"/>
        <w:rPr>
          <w:color w:val="0000FF"/>
          <w:u w:val="single"/>
          <w:lang w:val="nl-NL"/>
        </w:rPr>
      </w:pPr>
      <w:hyperlink w:anchor="_Toc214311217" w:history="1">
        <w:r>
          <w:rPr>
            <w:rStyle w:val="Hyperlink"/>
          </w:rPr>
          <w:t>2.</w:t>
        </w:r>
        <w:r>
          <w:rPr>
            <w:rStyle w:val="Hyperlink"/>
            <w:lang w:val="en-US"/>
          </w:rPr>
          <w:t>2</w:t>
        </w:r>
        <w:r>
          <w:rPr>
            <w:rStyle w:val="Hyperlink"/>
          </w:rPr>
          <w:t>. Sức ép hoạt động công nghiệp</w:t>
        </w:r>
        <w:r>
          <w:rPr>
            <w:webHidden/>
          </w:rPr>
          <w:tab/>
        </w:r>
        <w:r>
          <w:rPr>
            <w:webHidden/>
          </w:rPr>
          <w:fldChar w:fldCharType="begin"/>
        </w:r>
        <w:r>
          <w:rPr>
            <w:webHidden/>
          </w:rPr>
          <w:instrText xml:space="preserve"> PAGEREF _Toc214311217 \h </w:instrText>
        </w:r>
        <w:r>
          <w:rPr>
            <w:webHidden/>
          </w:rPr>
        </w:r>
        <w:r>
          <w:rPr>
            <w:webHidden/>
          </w:rPr>
          <w:fldChar w:fldCharType="separate"/>
        </w:r>
        <w:r w:rsidR="001A08FA">
          <w:rPr>
            <w:webHidden/>
          </w:rPr>
          <w:t>34</w:t>
        </w:r>
        <w:r>
          <w:rPr>
            <w:webHidden/>
          </w:rPr>
          <w:fldChar w:fldCharType="end"/>
        </w:r>
      </w:hyperlink>
    </w:p>
    <w:p w14:paraId="38F88477" w14:textId="136CCEFF" w:rsidR="00085789" w:rsidRDefault="00085789">
      <w:pPr>
        <w:pStyle w:val="TOC1"/>
        <w:rPr>
          <w:rStyle w:val="Hyperlink"/>
        </w:rPr>
      </w:pPr>
      <w:hyperlink w:anchor="_Toc214311218" w:history="1">
        <w:r>
          <w:rPr>
            <w:rStyle w:val="Hyperlink"/>
            <w:lang w:val="hsb-DE"/>
          </w:rPr>
          <w:t>2.3. Sức ép hoạt động xây dựng</w:t>
        </w:r>
        <w:r>
          <w:rPr>
            <w:webHidden/>
          </w:rPr>
          <w:tab/>
        </w:r>
        <w:r>
          <w:rPr>
            <w:webHidden/>
          </w:rPr>
          <w:fldChar w:fldCharType="begin"/>
        </w:r>
        <w:r>
          <w:rPr>
            <w:webHidden/>
          </w:rPr>
          <w:instrText xml:space="preserve"> PAGEREF _Toc214311218 \h </w:instrText>
        </w:r>
        <w:r>
          <w:rPr>
            <w:webHidden/>
          </w:rPr>
        </w:r>
        <w:r>
          <w:rPr>
            <w:webHidden/>
          </w:rPr>
          <w:fldChar w:fldCharType="separate"/>
        </w:r>
        <w:r w:rsidR="001A08FA">
          <w:rPr>
            <w:webHidden/>
          </w:rPr>
          <w:t>40</w:t>
        </w:r>
        <w:r>
          <w:rPr>
            <w:webHidden/>
          </w:rPr>
          <w:fldChar w:fldCharType="end"/>
        </w:r>
      </w:hyperlink>
    </w:p>
    <w:p w14:paraId="30FE8FAA" w14:textId="429972BF" w:rsidR="00085789" w:rsidRDefault="00085789">
      <w:pPr>
        <w:pStyle w:val="TOC1"/>
        <w:rPr>
          <w:color w:val="0000FF"/>
          <w:u w:val="single"/>
          <w:lang w:val="nl-NL"/>
        </w:rPr>
      </w:pPr>
      <w:hyperlink w:anchor="_Toc214311217" w:history="1">
        <w:r>
          <w:rPr>
            <w:rStyle w:val="Hyperlink"/>
          </w:rPr>
          <w:t>2.</w:t>
        </w:r>
        <w:r>
          <w:rPr>
            <w:rStyle w:val="Hyperlink"/>
            <w:lang w:val="en-US"/>
          </w:rPr>
          <w:t>4</w:t>
        </w:r>
        <w:r>
          <w:rPr>
            <w:rStyle w:val="Hyperlink"/>
          </w:rPr>
          <w:t>. Sức ép hoạt động phát triển năng lượng</w:t>
        </w:r>
        <w:r>
          <w:rPr>
            <w:webHidden/>
          </w:rPr>
          <w:tab/>
        </w:r>
        <w:r>
          <w:rPr>
            <w:webHidden/>
          </w:rPr>
          <w:fldChar w:fldCharType="begin"/>
        </w:r>
        <w:r>
          <w:rPr>
            <w:webHidden/>
          </w:rPr>
          <w:instrText xml:space="preserve"> PAGEREF _Toc214311217 \h </w:instrText>
        </w:r>
        <w:r>
          <w:rPr>
            <w:webHidden/>
          </w:rPr>
        </w:r>
        <w:r>
          <w:rPr>
            <w:webHidden/>
          </w:rPr>
          <w:fldChar w:fldCharType="separate"/>
        </w:r>
        <w:r w:rsidR="001A08FA">
          <w:rPr>
            <w:webHidden/>
          </w:rPr>
          <w:t>34</w:t>
        </w:r>
        <w:r>
          <w:rPr>
            <w:webHidden/>
          </w:rPr>
          <w:fldChar w:fldCharType="end"/>
        </w:r>
      </w:hyperlink>
    </w:p>
    <w:p w14:paraId="30DA3CB5" w14:textId="14AC2853" w:rsidR="00085789" w:rsidRDefault="00085789">
      <w:pPr>
        <w:pStyle w:val="TOC1"/>
        <w:rPr>
          <w:rFonts w:asciiTheme="minorHAnsi" w:eastAsiaTheme="minorEastAsia" w:hAnsiTheme="minorHAnsi" w:cstheme="minorBidi"/>
          <w:kern w:val="2"/>
          <w:lang w:val="en-US"/>
          <w14:ligatures w14:val="standardContextual"/>
        </w:rPr>
      </w:pPr>
      <w:hyperlink w:anchor="_Toc214311219" w:history="1">
        <w:r>
          <w:rPr>
            <w:rStyle w:val="Hyperlink"/>
          </w:rPr>
          <w:t>2.5. Sức ép hoạt động giao thông vận tải</w:t>
        </w:r>
        <w:r>
          <w:rPr>
            <w:webHidden/>
          </w:rPr>
          <w:tab/>
        </w:r>
        <w:r>
          <w:rPr>
            <w:webHidden/>
          </w:rPr>
          <w:fldChar w:fldCharType="begin"/>
        </w:r>
        <w:r>
          <w:rPr>
            <w:webHidden/>
          </w:rPr>
          <w:instrText xml:space="preserve"> PAGEREF _Toc214311219 \h </w:instrText>
        </w:r>
        <w:r>
          <w:rPr>
            <w:webHidden/>
          </w:rPr>
        </w:r>
        <w:r>
          <w:rPr>
            <w:webHidden/>
          </w:rPr>
          <w:fldChar w:fldCharType="separate"/>
        </w:r>
        <w:r w:rsidR="001A08FA">
          <w:rPr>
            <w:webHidden/>
          </w:rPr>
          <w:t>44</w:t>
        </w:r>
        <w:r>
          <w:rPr>
            <w:webHidden/>
          </w:rPr>
          <w:fldChar w:fldCharType="end"/>
        </w:r>
      </w:hyperlink>
    </w:p>
    <w:p w14:paraId="3F57BE53" w14:textId="1C12F553" w:rsidR="00085789" w:rsidRDefault="00085789">
      <w:pPr>
        <w:pStyle w:val="TOC1"/>
        <w:rPr>
          <w:rFonts w:asciiTheme="minorHAnsi" w:eastAsiaTheme="minorEastAsia" w:hAnsiTheme="minorHAnsi" w:cstheme="minorBidi"/>
          <w:kern w:val="2"/>
          <w:lang w:val="en-US"/>
          <w14:ligatures w14:val="standardContextual"/>
        </w:rPr>
      </w:pPr>
      <w:hyperlink w:anchor="_Toc214311220" w:history="1">
        <w:r>
          <w:rPr>
            <w:rStyle w:val="Hyperlink"/>
          </w:rPr>
          <w:t>2.6. Sức ép hoạt động nông - lâm nghiệp và thủy sản</w:t>
        </w:r>
        <w:r>
          <w:rPr>
            <w:webHidden/>
          </w:rPr>
          <w:tab/>
        </w:r>
        <w:r>
          <w:rPr>
            <w:webHidden/>
          </w:rPr>
          <w:fldChar w:fldCharType="begin"/>
        </w:r>
        <w:r>
          <w:rPr>
            <w:webHidden/>
          </w:rPr>
          <w:instrText xml:space="preserve"> PAGEREF _Toc214311220 \h </w:instrText>
        </w:r>
        <w:r>
          <w:rPr>
            <w:webHidden/>
          </w:rPr>
        </w:r>
        <w:r>
          <w:rPr>
            <w:webHidden/>
          </w:rPr>
          <w:fldChar w:fldCharType="separate"/>
        </w:r>
        <w:r w:rsidR="001A08FA">
          <w:rPr>
            <w:webHidden/>
          </w:rPr>
          <w:t>46</w:t>
        </w:r>
        <w:r>
          <w:rPr>
            <w:webHidden/>
          </w:rPr>
          <w:fldChar w:fldCharType="end"/>
        </w:r>
      </w:hyperlink>
    </w:p>
    <w:p w14:paraId="242D5670" w14:textId="19216279"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1" w:history="1">
        <w:r>
          <w:rPr>
            <w:rStyle w:val="Hyperlink"/>
            <w:b w:val="0"/>
            <w:bCs w:val="0"/>
            <w:lang w:val="da-DK"/>
          </w:rPr>
          <w:t>2.6.1. Hoạt động trồng trọt</w:t>
        </w:r>
        <w:r>
          <w:rPr>
            <w:b w:val="0"/>
            <w:bCs w:val="0"/>
            <w:webHidden/>
          </w:rPr>
          <w:tab/>
        </w:r>
        <w:r>
          <w:rPr>
            <w:b w:val="0"/>
            <w:bCs w:val="0"/>
            <w:webHidden/>
          </w:rPr>
          <w:fldChar w:fldCharType="begin"/>
        </w:r>
        <w:r>
          <w:rPr>
            <w:b w:val="0"/>
            <w:bCs w:val="0"/>
            <w:webHidden/>
          </w:rPr>
          <w:instrText xml:space="preserve"> PAGEREF _Toc214311221 \h </w:instrText>
        </w:r>
        <w:r>
          <w:rPr>
            <w:b w:val="0"/>
            <w:bCs w:val="0"/>
            <w:webHidden/>
          </w:rPr>
        </w:r>
        <w:r>
          <w:rPr>
            <w:b w:val="0"/>
            <w:bCs w:val="0"/>
            <w:webHidden/>
          </w:rPr>
          <w:fldChar w:fldCharType="separate"/>
        </w:r>
        <w:r w:rsidR="001A08FA">
          <w:rPr>
            <w:b w:val="0"/>
            <w:bCs w:val="0"/>
            <w:webHidden/>
          </w:rPr>
          <w:t>46</w:t>
        </w:r>
        <w:r>
          <w:rPr>
            <w:b w:val="0"/>
            <w:bCs w:val="0"/>
            <w:webHidden/>
          </w:rPr>
          <w:fldChar w:fldCharType="end"/>
        </w:r>
      </w:hyperlink>
    </w:p>
    <w:p w14:paraId="7A59C9D2" w14:textId="104CE59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2" w:history="1">
        <w:r>
          <w:rPr>
            <w:rStyle w:val="Hyperlink"/>
            <w:b w:val="0"/>
            <w:bCs w:val="0"/>
            <w:lang w:val="es-AR"/>
          </w:rPr>
          <w:t>2.6.2. Hoạt động lâm nghiệp</w:t>
        </w:r>
        <w:r>
          <w:rPr>
            <w:b w:val="0"/>
            <w:bCs w:val="0"/>
            <w:webHidden/>
          </w:rPr>
          <w:tab/>
        </w:r>
        <w:r>
          <w:rPr>
            <w:b w:val="0"/>
            <w:bCs w:val="0"/>
            <w:webHidden/>
          </w:rPr>
          <w:fldChar w:fldCharType="begin"/>
        </w:r>
        <w:r>
          <w:rPr>
            <w:b w:val="0"/>
            <w:bCs w:val="0"/>
            <w:webHidden/>
          </w:rPr>
          <w:instrText xml:space="preserve"> PAGEREF _Toc214311222 \h </w:instrText>
        </w:r>
        <w:r>
          <w:rPr>
            <w:b w:val="0"/>
            <w:bCs w:val="0"/>
            <w:webHidden/>
          </w:rPr>
        </w:r>
        <w:r>
          <w:rPr>
            <w:b w:val="0"/>
            <w:bCs w:val="0"/>
            <w:webHidden/>
          </w:rPr>
          <w:fldChar w:fldCharType="separate"/>
        </w:r>
        <w:r w:rsidR="001A08FA">
          <w:rPr>
            <w:b w:val="0"/>
            <w:bCs w:val="0"/>
            <w:webHidden/>
          </w:rPr>
          <w:t>47</w:t>
        </w:r>
        <w:r>
          <w:rPr>
            <w:b w:val="0"/>
            <w:bCs w:val="0"/>
            <w:webHidden/>
          </w:rPr>
          <w:fldChar w:fldCharType="end"/>
        </w:r>
      </w:hyperlink>
    </w:p>
    <w:p w14:paraId="61A073E6" w14:textId="0371BBF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3" w:history="1">
        <w:r>
          <w:rPr>
            <w:rStyle w:val="Hyperlink"/>
            <w:b w:val="0"/>
            <w:bCs w:val="0"/>
            <w:lang w:val="nl-NL"/>
          </w:rPr>
          <w:t>2.6.3. Hoạt động chăn nuôi</w:t>
        </w:r>
        <w:r>
          <w:rPr>
            <w:b w:val="0"/>
            <w:bCs w:val="0"/>
            <w:webHidden/>
          </w:rPr>
          <w:tab/>
        </w:r>
        <w:r>
          <w:rPr>
            <w:b w:val="0"/>
            <w:bCs w:val="0"/>
            <w:webHidden/>
          </w:rPr>
          <w:fldChar w:fldCharType="begin"/>
        </w:r>
        <w:r>
          <w:rPr>
            <w:b w:val="0"/>
            <w:bCs w:val="0"/>
            <w:webHidden/>
          </w:rPr>
          <w:instrText xml:space="preserve"> PAGEREF _Toc214311223 \h </w:instrText>
        </w:r>
        <w:r>
          <w:rPr>
            <w:b w:val="0"/>
            <w:bCs w:val="0"/>
            <w:webHidden/>
          </w:rPr>
        </w:r>
        <w:r>
          <w:rPr>
            <w:b w:val="0"/>
            <w:bCs w:val="0"/>
            <w:webHidden/>
          </w:rPr>
          <w:fldChar w:fldCharType="separate"/>
        </w:r>
        <w:r w:rsidR="001A08FA">
          <w:rPr>
            <w:b w:val="0"/>
            <w:bCs w:val="0"/>
            <w:webHidden/>
          </w:rPr>
          <w:t>47</w:t>
        </w:r>
        <w:r>
          <w:rPr>
            <w:b w:val="0"/>
            <w:bCs w:val="0"/>
            <w:webHidden/>
          </w:rPr>
          <w:fldChar w:fldCharType="end"/>
        </w:r>
      </w:hyperlink>
    </w:p>
    <w:p w14:paraId="638B2D12" w14:textId="7BD3AFF0"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24" w:history="1">
        <w:r>
          <w:rPr>
            <w:rStyle w:val="Hyperlink"/>
            <w:b w:val="0"/>
            <w:bCs w:val="0"/>
            <w:lang w:val="nb-NO"/>
          </w:rPr>
          <w:t xml:space="preserve">2.6.4. Hoạt động </w:t>
        </w:r>
        <w:r>
          <w:rPr>
            <w:rStyle w:val="Hyperlink"/>
            <w:b w:val="0"/>
            <w:bCs w:val="0"/>
            <w:spacing w:val="-2"/>
            <w:lang w:val="nb-NO"/>
          </w:rPr>
          <w:t>NTTS</w:t>
        </w:r>
        <w:r>
          <w:rPr>
            <w:b w:val="0"/>
            <w:bCs w:val="0"/>
            <w:webHidden/>
          </w:rPr>
          <w:tab/>
        </w:r>
        <w:r>
          <w:rPr>
            <w:b w:val="0"/>
            <w:bCs w:val="0"/>
            <w:webHidden/>
          </w:rPr>
          <w:fldChar w:fldCharType="begin"/>
        </w:r>
        <w:r>
          <w:rPr>
            <w:b w:val="0"/>
            <w:bCs w:val="0"/>
            <w:webHidden/>
          </w:rPr>
          <w:instrText xml:space="preserve"> PAGEREF _Toc214311224 \h </w:instrText>
        </w:r>
        <w:r>
          <w:rPr>
            <w:b w:val="0"/>
            <w:bCs w:val="0"/>
            <w:webHidden/>
          </w:rPr>
        </w:r>
        <w:r>
          <w:rPr>
            <w:b w:val="0"/>
            <w:bCs w:val="0"/>
            <w:webHidden/>
          </w:rPr>
          <w:fldChar w:fldCharType="separate"/>
        </w:r>
        <w:r w:rsidR="001A08FA">
          <w:rPr>
            <w:b w:val="0"/>
            <w:bCs w:val="0"/>
            <w:webHidden/>
          </w:rPr>
          <w:t>49</w:t>
        </w:r>
        <w:r>
          <w:rPr>
            <w:b w:val="0"/>
            <w:bCs w:val="0"/>
            <w:webHidden/>
          </w:rPr>
          <w:fldChar w:fldCharType="end"/>
        </w:r>
      </w:hyperlink>
    </w:p>
    <w:p w14:paraId="6D4D08AB" w14:textId="1394F7ED" w:rsidR="00085789" w:rsidRDefault="00085789">
      <w:pPr>
        <w:pStyle w:val="TOC1"/>
        <w:rPr>
          <w:rFonts w:asciiTheme="minorHAnsi" w:eastAsiaTheme="minorEastAsia" w:hAnsiTheme="minorHAnsi" w:cstheme="minorBidi"/>
          <w:kern w:val="2"/>
          <w:lang w:val="en-US"/>
          <w14:ligatures w14:val="standardContextual"/>
        </w:rPr>
      </w:pPr>
      <w:hyperlink w:anchor="_Toc214311225" w:history="1">
        <w:r>
          <w:rPr>
            <w:rStyle w:val="Hyperlink"/>
            <w:lang w:val="de-DE"/>
          </w:rPr>
          <w:t>2.7. Sức ép hoạt động y tế</w:t>
        </w:r>
        <w:r>
          <w:rPr>
            <w:webHidden/>
          </w:rPr>
          <w:tab/>
        </w:r>
        <w:r>
          <w:rPr>
            <w:webHidden/>
          </w:rPr>
          <w:fldChar w:fldCharType="begin"/>
        </w:r>
        <w:r>
          <w:rPr>
            <w:webHidden/>
          </w:rPr>
          <w:instrText xml:space="preserve"> PAGEREF _Toc214311225 \h </w:instrText>
        </w:r>
        <w:r>
          <w:rPr>
            <w:webHidden/>
          </w:rPr>
        </w:r>
        <w:r>
          <w:rPr>
            <w:webHidden/>
          </w:rPr>
          <w:fldChar w:fldCharType="separate"/>
        </w:r>
        <w:r w:rsidR="001A08FA">
          <w:rPr>
            <w:webHidden/>
          </w:rPr>
          <w:t>52</w:t>
        </w:r>
        <w:r>
          <w:rPr>
            <w:webHidden/>
          </w:rPr>
          <w:fldChar w:fldCharType="end"/>
        </w:r>
      </w:hyperlink>
    </w:p>
    <w:p w14:paraId="3F526EFF" w14:textId="483B6C0C" w:rsidR="00085789" w:rsidRDefault="00085789">
      <w:pPr>
        <w:pStyle w:val="TOC1"/>
        <w:rPr>
          <w:rFonts w:asciiTheme="minorHAnsi" w:eastAsiaTheme="minorEastAsia" w:hAnsiTheme="minorHAnsi" w:cstheme="minorBidi"/>
          <w:kern w:val="2"/>
          <w:lang w:val="en-US"/>
          <w14:ligatures w14:val="standardContextual"/>
        </w:rPr>
      </w:pPr>
      <w:hyperlink w:anchor="_Toc214311226" w:history="1">
        <w:r>
          <w:rPr>
            <w:rStyle w:val="Hyperlink"/>
            <w:lang w:val="hsb-DE"/>
          </w:rPr>
          <w:t>2.8. Sức ép hoạt động du lịch, dịch vụ, kinh doanh, thương mại và xuất nhập khẩu</w:t>
        </w:r>
        <w:r>
          <w:rPr>
            <w:webHidden/>
          </w:rPr>
          <w:tab/>
        </w:r>
        <w:r>
          <w:rPr>
            <w:webHidden/>
          </w:rPr>
          <w:fldChar w:fldCharType="begin"/>
        </w:r>
        <w:r>
          <w:rPr>
            <w:webHidden/>
          </w:rPr>
          <w:instrText xml:space="preserve"> PAGEREF _Toc214311226 \h </w:instrText>
        </w:r>
        <w:r>
          <w:rPr>
            <w:webHidden/>
          </w:rPr>
        </w:r>
        <w:r>
          <w:rPr>
            <w:webHidden/>
          </w:rPr>
          <w:fldChar w:fldCharType="separate"/>
        </w:r>
        <w:r w:rsidR="001A08FA">
          <w:rPr>
            <w:webHidden/>
          </w:rPr>
          <w:t>53</w:t>
        </w:r>
        <w:r>
          <w:rPr>
            <w:webHidden/>
          </w:rPr>
          <w:fldChar w:fldCharType="end"/>
        </w:r>
      </w:hyperlink>
    </w:p>
    <w:p w14:paraId="5879159C" w14:textId="4649065F" w:rsidR="00085789" w:rsidRDefault="00085789">
      <w:pPr>
        <w:pStyle w:val="TOC1"/>
        <w:rPr>
          <w:rStyle w:val="Hyperlink"/>
        </w:rPr>
      </w:pPr>
      <w:hyperlink w:anchor="_Toc214311227" w:history="1">
        <w:r>
          <w:rPr>
            <w:rStyle w:val="Hyperlink"/>
            <w:lang w:val="sv-SE"/>
          </w:rPr>
          <w:t>CHƯƠNG III</w:t>
        </w:r>
      </w:hyperlink>
    </w:p>
    <w:p w14:paraId="383EEDDE" w14:textId="77777777" w:rsidR="00085789" w:rsidRDefault="00000000">
      <w:pPr>
        <w:spacing w:before="40" w:after="40" w:line="240" w:lineRule="auto"/>
        <w:jc w:val="center"/>
        <w:rPr>
          <w:rFonts w:eastAsiaTheme="minorEastAsia"/>
          <w:b/>
          <w:bCs/>
          <w:noProof/>
          <w:lang w:val="nl-NL"/>
        </w:rPr>
      </w:pPr>
      <w:r>
        <w:rPr>
          <w:b/>
          <w:bCs/>
          <w:noProof/>
          <w:sz w:val="24"/>
          <w:szCs w:val="24"/>
        </w:rPr>
        <w:t>HIỆN TRẠNG MÔI TRƯỜNG NƯỚC</w:t>
      </w:r>
    </w:p>
    <w:p w14:paraId="61384293" w14:textId="058CAF1D" w:rsidR="00085789" w:rsidRDefault="00085789">
      <w:pPr>
        <w:pStyle w:val="TOC1"/>
        <w:rPr>
          <w:rFonts w:asciiTheme="minorHAnsi" w:eastAsiaTheme="minorEastAsia" w:hAnsiTheme="minorHAnsi" w:cstheme="minorBidi"/>
          <w:kern w:val="2"/>
          <w:lang w:val="en-US"/>
          <w14:ligatures w14:val="standardContextual"/>
        </w:rPr>
      </w:pPr>
      <w:hyperlink w:anchor="_Toc214311228" w:history="1">
        <w:r>
          <w:rPr>
            <w:rStyle w:val="Hyperlink"/>
            <w:lang w:val="sv-SE"/>
          </w:rPr>
          <w:t>3.1. Nước mặt lục địa</w:t>
        </w:r>
        <w:r>
          <w:rPr>
            <w:webHidden/>
          </w:rPr>
          <w:tab/>
        </w:r>
        <w:r>
          <w:rPr>
            <w:webHidden/>
          </w:rPr>
          <w:fldChar w:fldCharType="begin"/>
        </w:r>
        <w:r>
          <w:rPr>
            <w:webHidden/>
          </w:rPr>
          <w:instrText xml:space="preserve"> PAGEREF _Toc214311228 \h </w:instrText>
        </w:r>
        <w:r>
          <w:rPr>
            <w:webHidden/>
          </w:rPr>
        </w:r>
        <w:r>
          <w:rPr>
            <w:webHidden/>
          </w:rPr>
          <w:fldChar w:fldCharType="separate"/>
        </w:r>
        <w:r w:rsidR="001A08FA">
          <w:rPr>
            <w:webHidden/>
          </w:rPr>
          <w:t>56</w:t>
        </w:r>
        <w:r>
          <w:rPr>
            <w:webHidden/>
          </w:rPr>
          <w:fldChar w:fldCharType="end"/>
        </w:r>
      </w:hyperlink>
    </w:p>
    <w:p w14:paraId="465EF4F1" w14:textId="0988CF2D" w:rsidR="00085789" w:rsidRDefault="00085789">
      <w:pPr>
        <w:pStyle w:val="TOC1"/>
        <w:rPr>
          <w:rFonts w:asciiTheme="minorHAnsi" w:eastAsiaTheme="minorEastAsia" w:hAnsiTheme="minorHAnsi" w:cstheme="minorBidi"/>
          <w:kern w:val="2"/>
          <w:lang w:val="en-US"/>
          <w14:ligatures w14:val="standardContextual"/>
        </w:rPr>
      </w:pPr>
      <w:hyperlink w:anchor="_Toc214311229" w:history="1">
        <w:r>
          <w:rPr>
            <w:rStyle w:val="Hyperlink"/>
            <w:b w:val="0"/>
            <w:bCs w:val="0"/>
            <w:lang w:val="sv-SE"/>
          </w:rPr>
          <w:t>3.1.1. Tài nguyên nước mặt lục địa</w:t>
        </w:r>
        <w:r>
          <w:rPr>
            <w:webHidden/>
          </w:rPr>
          <w:tab/>
        </w:r>
        <w:r>
          <w:rPr>
            <w:webHidden/>
          </w:rPr>
          <w:fldChar w:fldCharType="begin"/>
        </w:r>
        <w:r>
          <w:rPr>
            <w:webHidden/>
          </w:rPr>
          <w:instrText xml:space="preserve"> PAGEREF _Toc214311229 \h </w:instrText>
        </w:r>
        <w:r>
          <w:rPr>
            <w:webHidden/>
          </w:rPr>
        </w:r>
        <w:r>
          <w:rPr>
            <w:webHidden/>
          </w:rPr>
          <w:fldChar w:fldCharType="separate"/>
        </w:r>
        <w:r w:rsidR="001A08FA">
          <w:rPr>
            <w:webHidden/>
          </w:rPr>
          <w:t>56</w:t>
        </w:r>
        <w:r>
          <w:rPr>
            <w:webHidden/>
          </w:rPr>
          <w:fldChar w:fldCharType="end"/>
        </w:r>
      </w:hyperlink>
    </w:p>
    <w:p w14:paraId="43E79ED6" w14:textId="7A7F6342" w:rsidR="00085789" w:rsidRDefault="00085789">
      <w:pPr>
        <w:pStyle w:val="TOC1"/>
        <w:rPr>
          <w:rFonts w:asciiTheme="minorHAnsi" w:eastAsiaTheme="minorEastAsia" w:hAnsiTheme="minorHAnsi" w:cstheme="minorBidi"/>
          <w:kern w:val="2"/>
          <w:lang w:val="en-US"/>
          <w14:ligatures w14:val="standardContextual"/>
        </w:rPr>
      </w:pPr>
      <w:hyperlink w:anchor="_Toc214311230" w:history="1">
        <w:r>
          <w:rPr>
            <w:rStyle w:val="Hyperlink"/>
            <w:b w:val="0"/>
            <w:bCs w:val="0"/>
          </w:rPr>
          <w:t>3.1.2. Diễn biến ô nhiễm</w:t>
        </w:r>
        <w:r>
          <w:rPr>
            <w:webHidden/>
          </w:rPr>
          <w:tab/>
        </w:r>
        <w:r>
          <w:rPr>
            <w:webHidden/>
          </w:rPr>
          <w:fldChar w:fldCharType="begin"/>
        </w:r>
        <w:r>
          <w:rPr>
            <w:webHidden/>
          </w:rPr>
          <w:instrText xml:space="preserve"> PAGEREF _Toc214311230 \h </w:instrText>
        </w:r>
        <w:r>
          <w:rPr>
            <w:webHidden/>
          </w:rPr>
        </w:r>
        <w:r>
          <w:rPr>
            <w:webHidden/>
          </w:rPr>
          <w:fldChar w:fldCharType="separate"/>
        </w:r>
        <w:r w:rsidR="001A08FA">
          <w:rPr>
            <w:webHidden/>
          </w:rPr>
          <w:t>60</w:t>
        </w:r>
        <w:r>
          <w:rPr>
            <w:webHidden/>
          </w:rPr>
          <w:fldChar w:fldCharType="end"/>
        </w:r>
      </w:hyperlink>
    </w:p>
    <w:p w14:paraId="27C5570E" w14:textId="35585BA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1" w:history="1">
        <w:r>
          <w:rPr>
            <w:rStyle w:val="Hyperlink"/>
            <w:b w:val="0"/>
            <w:bCs w:val="0"/>
          </w:rPr>
          <w:t>3.1.2.1. Khái quát diễn biến chất lượng nước mặt theo các thông số đặc trưng</w:t>
        </w:r>
        <w:r>
          <w:rPr>
            <w:b w:val="0"/>
            <w:bCs w:val="0"/>
            <w:webHidden/>
          </w:rPr>
          <w:tab/>
        </w:r>
        <w:r>
          <w:rPr>
            <w:b w:val="0"/>
            <w:bCs w:val="0"/>
            <w:webHidden/>
          </w:rPr>
          <w:fldChar w:fldCharType="begin"/>
        </w:r>
        <w:r>
          <w:rPr>
            <w:b w:val="0"/>
            <w:bCs w:val="0"/>
            <w:webHidden/>
          </w:rPr>
          <w:instrText xml:space="preserve"> PAGEREF _Toc214311231 \h </w:instrText>
        </w:r>
        <w:r>
          <w:rPr>
            <w:b w:val="0"/>
            <w:bCs w:val="0"/>
            <w:webHidden/>
          </w:rPr>
        </w:r>
        <w:r>
          <w:rPr>
            <w:b w:val="0"/>
            <w:bCs w:val="0"/>
            <w:webHidden/>
          </w:rPr>
          <w:fldChar w:fldCharType="separate"/>
        </w:r>
        <w:r w:rsidR="001A08FA">
          <w:rPr>
            <w:b w:val="0"/>
            <w:bCs w:val="0"/>
            <w:webHidden/>
          </w:rPr>
          <w:t>60</w:t>
        </w:r>
        <w:r>
          <w:rPr>
            <w:b w:val="0"/>
            <w:bCs w:val="0"/>
            <w:webHidden/>
          </w:rPr>
          <w:fldChar w:fldCharType="end"/>
        </w:r>
      </w:hyperlink>
    </w:p>
    <w:p w14:paraId="58A9695C" w14:textId="60E7FEC2"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2" w:history="1">
        <w:r>
          <w:rPr>
            <w:rStyle w:val="Hyperlink"/>
            <w:b w:val="0"/>
            <w:bCs w:val="0"/>
          </w:rPr>
          <w:t>3.1.2.1. Diễn biến ô nhiễm chất lượng nước sông, suối, kênh, mương</w:t>
        </w:r>
        <w:r>
          <w:rPr>
            <w:b w:val="0"/>
            <w:bCs w:val="0"/>
            <w:webHidden/>
          </w:rPr>
          <w:tab/>
        </w:r>
        <w:r>
          <w:rPr>
            <w:b w:val="0"/>
            <w:bCs w:val="0"/>
            <w:webHidden/>
          </w:rPr>
          <w:fldChar w:fldCharType="begin"/>
        </w:r>
        <w:r>
          <w:rPr>
            <w:b w:val="0"/>
            <w:bCs w:val="0"/>
            <w:webHidden/>
          </w:rPr>
          <w:instrText xml:space="preserve"> PAGEREF _Toc214311232 \h </w:instrText>
        </w:r>
        <w:r>
          <w:rPr>
            <w:b w:val="0"/>
            <w:bCs w:val="0"/>
            <w:webHidden/>
          </w:rPr>
        </w:r>
        <w:r>
          <w:rPr>
            <w:b w:val="0"/>
            <w:bCs w:val="0"/>
            <w:webHidden/>
          </w:rPr>
          <w:fldChar w:fldCharType="separate"/>
        </w:r>
        <w:r w:rsidR="001A08FA">
          <w:rPr>
            <w:b w:val="0"/>
            <w:bCs w:val="0"/>
            <w:webHidden/>
          </w:rPr>
          <w:t>62</w:t>
        </w:r>
        <w:r>
          <w:rPr>
            <w:b w:val="0"/>
            <w:bCs w:val="0"/>
            <w:webHidden/>
          </w:rPr>
          <w:fldChar w:fldCharType="end"/>
        </w:r>
      </w:hyperlink>
    </w:p>
    <w:p w14:paraId="763BCDE1" w14:textId="4BE0C42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3" w:history="1">
        <w:r>
          <w:rPr>
            <w:rStyle w:val="Hyperlink"/>
            <w:b w:val="0"/>
            <w:bCs w:val="0"/>
            <w:lang w:val="pt-BR"/>
          </w:rPr>
          <w:t>3.1.2.2. Hiện trạng môi trường nước mặt hồ, đập</w:t>
        </w:r>
        <w:r>
          <w:rPr>
            <w:b w:val="0"/>
            <w:bCs w:val="0"/>
            <w:webHidden/>
          </w:rPr>
          <w:tab/>
        </w:r>
        <w:r>
          <w:rPr>
            <w:b w:val="0"/>
            <w:bCs w:val="0"/>
            <w:webHidden/>
          </w:rPr>
          <w:fldChar w:fldCharType="begin"/>
        </w:r>
        <w:r>
          <w:rPr>
            <w:b w:val="0"/>
            <w:bCs w:val="0"/>
            <w:webHidden/>
          </w:rPr>
          <w:instrText xml:space="preserve"> PAGEREF _Toc214311233 \h </w:instrText>
        </w:r>
        <w:r>
          <w:rPr>
            <w:b w:val="0"/>
            <w:bCs w:val="0"/>
            <w:webHidden/>
          </w:rPr>
        </w:r>
        <w:r>
          <w:rPr>
            <w:b w:val="0"/>
            <w:bCs w:val="0"/>
            <w:webHidden/>
          </w:rPr>
          <w:fldChar w:fldCharType="separate"/>
        </w:r>
        <w:r w:rsidR="001A08FA">
          <w:rPr>
            <w:b w:val="0"/>
            <w:bCs w:val="0"/>
            <w:webHidden/>
          </w:rPr>
          <w:t>86</w:t>
        </w:r>
        <w:r>
          <w:rPr>
            <w:b w:val="0"/>
            <w:bCs w:val="0"/>
            <w:webHidden/>
          </w:rPr>
          <w:fldChar w:fldCharType="end"/>
        </w:r>
      </w:hyperlink>
    </w:p>
    <w:p w14:paraId="6F561A4F" w14:textId="01F8A40A"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4" w:history="1">
        <w:r>
          <w:rPr>
            <w:rStyle w:val="Hyperlink"/>
            <w:b w:val="0"/>
            <w:bCs w:val="0"/>
            <w:lang w:val="nl-NL"/>
          </w:rPr>
          <w:t>3.1.2.3. Các vấn đề môi trường nước mặt</w:t>
        </w:r>
        <w:r>
          <w:rPr>
            <w:b w:val="0"/>
            <w:bCs w:val="0"/>
            <w:webHidden/>
          </w:rPr>
          <w:tab/>
        </w:r>
        <w:r>
          <w:rPr>
            <w:b w:val="0"/>
            <w:bCs w:val="0"/>
            <w:webHidden/>
          </w:rPr>
          <w:fldChar w:fldCharType="begin"/>
        </w:r>
        <w:r>
          <w:rPr>
            <w:b w:val="0"/>
            <w:bCs w:val="0"/>
            <w:webHidden/>
          </w:rPr>
          <w:instrText xml:space="preserve"> PAGEREF _Toc214311234 \h </w:instrText>
        </w:r>
        <w:r>
          <w:rPr>
            <w:b w:val="0"/>
            <w:bCs w:val="0"/>
            <w:webHidden/>
          </w:rPr>
        </w:r>
        <w:r>
          <w:rPr>
            <w:b w:val="0"/>
            <w:bCs w:val="0"/>
            <w:webHidden/>
          </w:rPr>
          <w:fldChar w:fldCharType="separate"/>
        </w:r>
        <w:r w:rsidR="001A08FA">
          <w:rPr>
            <w:b w:val="0"/>
            <w:bCs w:val="0"/>
            <w:webHidden/>
          </w:rPr>
          <w:t>96</w:t>
        </w:r>
        <w:r>
          <w:rPr>
            <w:b w:val="0"/>
            <w:bCs w:val="0"/>
            <w:webHidden/>
          </w:rPr>
          <w:fldChar w:fldCharType="end"/>
        </w:r>
      </w:hyperlink>
    </w:p>
    <w:p w14:paraId="553C465A" w14:textId="1EEB0937" w:rsidR="00085789" w:rsidRDefault="00085789">
      <w:pPr>
        <w:pStyle w:val="TOC1"/>
        <w:rPr>
          <w:rFonts w:asciiTheme="minorHAnsi" w:eastAsiaTheme="minorEastAsia" w:hAnsiTheme="minorHAnsi" w:cstheme="minorBidi"/>
          <w:kern w:val="2"/>
          <w:lang w:val="en-US"/>
          <w14:ligatures w14:val="standardContextual"/>
        </w:rPr>
      </w:pPr>
      <w:hyperlink w:anchor="_Toc214311235" w:history="1">
        <w:r>
          <w:rPr>
            <w:rStyle w:val="Hyperlink"/>
            <w:lang w:val="nl-NL"/>
          </w:rPr>
          <w:t>3.2. Nước dưới đất</w:t>
        </w:r>
        <w:r>
          <w:rPr>
            <w:webHidden/>
          </w:rPr>
          <w:tab/>
        </w:r>
        <w:r>
          <w:rPr>
            <w:webHidden/>
          </w:rPr>
          <w:fldChar w:fldCharType="begin"/>
        </w:r>
        <w:r>
          <w:rPr>
            <w:webHidden/>
          </w:rPr>
          <w:instrText xml:space="preserve"> PAGEREF _Toc214311235 \h </w:instrText>
        </w:r>
        <w:r>
          <w:rPr>
            <w:webHidden/>
          </w:rPr>
        </w:r>
        <w:r>
          <w:rPr>
            <w:webHidden/>
          </w:rPr>
          <w:fldChar w:fldCharType="separate"/>
        </w:r>
        <w:r w:rsidR="001A08FA">
          <w:rPr>
            <w:webHidden/>
          </w:rPr>
          <w:t>98</w:t>
        </w:r>
        <w:r>
          <w:rPr>
            <w:webHidden/>
          </w:rPr>
          <w:fldChar w:fldCharType="end"/>
        </w:r>
      </w:hyperlink>
    </w:p>
    <w:p w14:paraId="0463DC11" w14:textId="017FEFF2"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6" w:history="1">
        <w:r>
          <w:rPr>
            <w:rStyle w:val="Hyperlink"/>
            <w:b w:val="0"/>
            <w:bCs w:val="0"/>
            <w:lang w:val="nl-NL"/>
          </w:rPr>
          <w:t>3.2.1. Tài nguyên nước dưới đất</w:t>
        </w:r>
        <w:r>
          <w:rPr>
            <w:b w:val="0"/>
            <w:bCs w:val="0"/>
            <w:webHidden/>
          </w:rPr>
          <w:tab/>
        </w:r>
        <w:r>
          <w:rPr>
            <w:b w:val="0"/>
            <w:bCs w:val="0"/>
            <w:webHidden/>
          </w:rPr>
          <w:fldChar w:fldCharType="begin"/>
        </w:r>
        <w:r>
          <w:rPr>
            <w:b w:val="0"/>
            <w:bCs w:val="0"/>
            <w:webHidden/>
          </w:rPr>
          <w:instrText xml:space="preserve"> PAGEREF _Toc214311236 \h </w:instrText>
        </w:r>
        <w:r>
          <w:rPr>
            <w:b w:val="0"/>
            <w:bCs w:val="0"/>
            <w:webHidden/>
          </w:rPr>
        </w:r>
        <w:r>
          <w:rPr>
            <w:b w:val="0"/>
            <w:bCs w:val="0"/>
            <w:webHidden/>
          </w:rPr>
          <w:fldChar w:fldCharType="separate"/>
        </w:r>
        <w:r w:rsidR="001A08FA">
          <w:rPr>
            <w:b w:val="0"/>
            <w:bCs w:val="0"/>
            <w:webHidden/>
          </w:rPr>
          <w:t>98</w:t>
        </w:r>
        <w:r>
          <w:rPr>
            <w:b w:val="0"/>
            <w:bCs w:val="0"/>
            <w:webHidden/>
          </w:rPr>
          <w:fldChar w:fldCharType="end"/>
        </w:r>
      </w:hyperlink>
    </w:p>
    <w:p w14:paraId="05FE24D6" w14:textId="0299A73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7" w:history="1">
        <w:r>
          <w:rPr>
            <w:rStyle w:val="Hyperlink"/>
            <w:b w:val="0"/>
            <w:bCs w:val="0"/>
            <w:lang w:val="nl-NL"/>
          </w:rPr>
          <w:t>3.2.1.1. Hiện trạng tài nguyên nước dưới đất</w:t>
        </w:r>
        <w:r>
          <w:rPr>
            <w:b w:val="0"/>
            <w:bCs w:val="0"/>
            <w:webHidden/>
          </w:rPr>
          <w:tab/>
        </w:r>
        <w:r>
          <w:rPr>
            <w:b w:val="0"/>
            <w:bCs w:val="0"/>
            <w:webHidden/>
          </w:rPr>
          <w:fldChar w:fldCharType="begin"/>
        </w:r>
        <w:r>
          <w:rPr>
            <w:b w:val="0"/>
            <w:bCs w:val="0"/>
            <w:webHidden/>
          </w:rPr>
          <w:instrText xml:space="preserve"> PAGEREF _Toc214311237 \h </w:instrText>
        </w:r>
        <w:r>
          <w:rPr>
            <w:b w:val="0"/>
            <w:bCs w:val="0"/>
            <w:webHidden/>
          </w:rPr>
        </w:r>
        <w:r>
          <w:rPr>
            <w:b w:val="0"/>
            <w:bCs w:val="0"/>
            <w:webHidden/>
          </w:rPr>
          <w:fldChar w:fldCharType="separate"/>
        </w:r>
        <w:r w:rsidR="001A08FA">
          <w:rPr>
            <w:b w:val="0"/>
            <w:bCs w:val="0"/>
            <w:webHidden/>
          </w:rPr>
          <w:t>98</w:t>
        </w:r>
        <w:r>
          <w:rPr>
            <w:b w:val="0"/>
            <w:bCs w:val="0"/>
            <w:webHidden/>
          </w:rPr>
          <w:fldChar w:fldCharType="end"/>
        </w:r>
      </w:hyperlink>
    </w:p>
    <w:p w14:paraId="01D7E31D" w14:textId="192E35A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8" w:history="1">
        <w:r>
          <w:rPr>
            <w:rStyle w:val="Hyperlink"/>
            <w:b w:val="0"/>
            <w:bCs w:val="0"/>
            <w:lang w:val="nl-NL"/>
          </w:rPr>
          <w:t>3.2.1.2. Tình hình khai thác, sử dụng nước dưới đất</w:t>
        </w:r>
        <w:r>
          <w:rPr>
            <w:b w:val="0"/>
            <w:bCs w:val="0"/>
            <w:webHidden/>
          </w:rPr>
          <w:tab/>
        </w:r>
        <w:r>
          <w:rPr>
            <w:b w:val="0"/>
            <w:bCs w:val="0"/>
            <w:webHidden/>
          </w:rPr>
          <w:fldChar w:fldCharType="begin"/>
        </w:r>
        <w:r>
          <w:rPr>
            <w:b w:val="0"/>
            <w:bCs w:val="0"/>
            <w:webHidden/>
          </w:rPr>
          <w:instrText xml:space="preserve"> PAGEREF _Toc214311238 \h </w:instrText>
        </w:r>
        <w:r>
          <w:rPr>
            <w:b w:val="0"/>
            <w:bCs w:val="0"/>
            <w:webHidden/>
          </w:rPr>
        </w:r>
        <w:r>
          <w:rPr>
            <w:b w:val="0"/>
            <w:bCs w:val="0"/>
            <w:webHidden/>
          </w:rPr>
          <w:fldChar w:fldCharType="separate"/>
        </w:r>
        <w:r w:rsidR="001A08FA">
          <w:rPr>
            <w:b w:val="0"/>
            <w:bCs w:val="0"/>
            <w:webHidden/>
          </w:rPr>
          <w:t>101</w:t>
        </w:r>
        <w:r>
          <w:rPr>
            <w:b w:val="0"/>
            <w:bCs w:val="0"/>
            <w:webHidden/>
          </w:rPr>
          <w:fldChar w:fldCharType="end"/>
        </w:r>
      </w:hyperlink>
    </w:p>
    <w:p w14:paraId="523079F2" w14:textId="6B0E43B0" w:rsidR="00085789" w:rsidRDefault="00085789">
      <w:pPr>
        <w:pStyle w:val="TOC1"/>
        <w:rPr>
          <w:rStyle w:val="Hyperlink"/>
          <w:b w:val="0"/>
          <w:bCs w:val="0"/>
          <w:lang w:val="en-US"/>
        </w:rPr>
      </w:pPr>
      <w:hyperlink w:anchor="_Toc214311239" w:history="1">
        <w:r>
          <w:rPr>
            <w:rStyle w:val="Hyperlink"/>
            <w:b w:val="0"/>
            <w:bCs w:val="0"/>
            <w:lang w:val="nl-NL"/>
          </w:rPr>
          <w:t>3.2.2. Diễn biến ô nhiễm</w:t>
        </w:r>
        <w:r>
          <w:rPr>
            <w:b w:val="0"/>
            <w:bCs w:val="0"/>
            <w:webHidden/>
          </w:rPr>
          <w:tab/>
        </w:r>
        <w:r>
          <w:rPr>
            <w:b w:val="0"/>
            <w:bCs w:val="0"/>
            <w:webHidden/>
          </w:rPr>
          <w:fldChar w:fldCharType="begin"/>
        </w:r>
        <w:r>
          <w:rPr>
            <w:b w:val="0"/>
            <w:bCs w:val="0"/>
            <w:webHidden/>
          </w:rPr>
          <w:instrText xml:space="preserve"> PAGEREF _Toc214311239 \h </w:instrText>
        </w:r>
        <w:r>
          <w:rPr>
            <w:b w:val="0"/>
            <w:bCs w:val="0"/>
            <w:webHidden/>
          </w:rPr>
        </w:r>
        <w:r>
          <w:rPr>
            <w:b w:val="0"/>
            <w:bCs w:val="0"/>
            <w:webHidden/>
          </w:rPr>
          <w:fldChar w:fldCharType="separate"/>
        </w:r>
        <w:r w:rsidR="001A08FA">
          <w:rPr>
            <w:b w:val="0"/>
            <w:bCs w:val="0"/>
            <w:webHidden/>
          </w:rPr>
          <w:t>101</w:t>
        </w:r>
        <w:r>
          <w:rPr>
            <w:b w:val="0"/>
            <w:bCs w:val="0"/>
            <w:webHidden/>
          </w:rPr>
          <w:fldChar w:fldCharType="end"/>
        </w:r>
      </w:hyperlink>
    </w:p>
    <w:p w14:paraId="28C30B6A" w14:textId="344E9002"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39" w:history="1">
        <w:r>
          <w:rPr>
            <w:rStyle w:val="Hyperlink"/>
            <w:b w:val="0"/>
            <w:bCs w:val="0"/>
            <w:lang w:val="nl-NL"/>
          </w:rPr>
          <w:t>3.2.2.1 Khái quát diễn biến chất lượng nước dưới đất theo các thông số đặc trưng</w:t>
        </w:r>
        <w:r>
          <w:rPr>
            <w:b w:val="0"/>
            <w:bCs w:val="0"/>
            <w:webHidden/>
          </w:rPr>
          <w:tab/>
        </w:r>
        <w:r>
          <w:rPr>
            <w:b w:val="0"/>
            <w:bCs w:val="0"/>
            <w:webHidden/>
          </w:rPr>
          <w:fldChar w:fldCharType="begin"/>
        </w:r>
        <w:r>
          <w:rPr>
            <w:b w:val="0"/>
            <w:bCs w:val="0"/>
            <w:webHidden/>
          </w:rPr>
          <w:instrText xml:space="preserve"> PAGEREF _Toc214311239 \h </w:instrText>
        </w:r>
        <w:r>
          <w:rPr>
            <w:b w:val="0"/>
            <w:bCs w:val="0"/>
            <w:webHidden/>
          </w:rPr>
        </w:r>
        <w:r>
          <w:rPr>
            <w:b w:val="0"/>
            <w:bCs w:val="0"/>
            <w:webHidden/>
          </w:rPr>
          <w:fldChar w:fldCharType="separate"/>
        </w:r>
        <w:r w:rsidR="001A08FA">
          <w:rPr>
            <w:b w:val="0"/>
            <w:bCs w:val="0"/>
            <w:webHidden/>
          </w:rPr>
          <w:t>101</w:t>
        </w:r>
        <w:r>
          <w:rPr>
            <w:b w:val="0"/>
            <w:bCs w:val="0"/>
            <w:webHidden/>
          </w:rPr>
          <w:fldChar w:fldCharType="end"/>
        </w:r>
      </w:hyperlink>
    </w:p>
    <w:p w14:paraId="5D99AB76" w14:textId="74E7F3F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1" w:history="1">
        <w:r>
          <w:rPr>
            <w:rStyle w:val="Hyperlink"/>
            <w:b w:val="0"/>
            <w:bCs w:val="0"/>
            <w:lang w:val="nl-NL"/>
          </w:rPr>
          <w:t>3.2.2.2. Diễn biến ô nhiễm nước dưới đất các vùng trên địa bàn tỉnh</w:t>
        </w:r>
        <w:r>
          <w:rPr>
            <w:b w:val="0"/>
            <w:bCs w:val="0"/>
            <w:webHidden/>
          </w:rPr>
          <w:tab/>
        </w:r>
        <w:r>
          <w:rPr>
            <w:b w:val="0"/>
            <w:bCs w:val="0"/>
            <w:webHidden/>
          </w:rPr>
          <w:fldChar w:fldCharType="begin"/>
        </w:r>
        <w:r>
          <w:rPr>
            <w:b w:val="0"/>
            <w:bCs w:val="0"/>
            <w:webHidden/>
          </w:rPr>
          <w:instrText xml:space="preserve"> PAGEREF _Toc214311241 \h </w:instrText>
        </w:r>
        <w:r>
          <w:rPr>
            <w:b w:val="0"/>
            <w:bCs w:val="0"/>
            <w:webHidden/>
          </w:rPr>
        </w:r>
        <w:r>
          <w:rPr>
            <w:b w:val="0"/>
            <w:bCs w:val="0"/>
            <w:webHidden/>
          </w:rPr>
          <w:fldChar w:fldCharType="separate"/>
        </w:r>
        <w:r w:rsidR="001A08FA">
          <w:rPr>
            <w:b w:val="0"/>
            <w:bCs w:val="0"/>
            <w:webHidden/>
          </w:rPr>
          <w:t>104</w:t>
        </w:r>
        <w:r>
          <w:rPr>
            <w:b w:val="0"/>
            <w:bCs w:val="0"/>
            <w:webHidden/>
          </w:rPr>
          <w:fldChar w:fldCharType="end"/>
        </w:r>
      </w:hyperlink>
    </w:p>
    <w:p w14:paraId="6B53B26B" w14:textId="4DB1412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2" w:history="1">
        <w:r>
          <w:rPr>
            <w:rStyle w:val="Hyperlink"/>
            <w:b w:val="0"/>
            <w:bCs w:val="0"/>
            <w:lang w:val="nl-NL"/>
          </w:rPr>
          <w:t>3.2.2.3. Các vấn đề môi trường nước dưới đất</w:t>
        </w:r>
        <w:r>
          <w:rPr>
            <w:b w:val="0"/>
            <w:bCs w:val="0"/>
            <w:webHidden/>
          </w:rPr>
          <w:tab/>
        </w:r>
        <w:r>
          <w:rPr>
            <w:b w:val="0"/>
            <w:bCs w:val="0"/>
            <w:webHidden/>
          </w:rPr>
          <w:fldChar w:fldCharType="begin"/>
        </w:r>
        <w:r>
          <w:rPr>
            <w:b w:val="0"/>
            <w:bCs w:val="0"/>
            <w:webHidden/>
          </w:rPr>
          <w:instrText xml:space="preserve"> PAGEREF _Toc214311242 \h </w:instrText>
        </w:r>
        <w:r>
          <w:rPr>
            <w:b w:val="0"/>
            <w:bCs w:val="0"/>
            <w:webHidden/>
          </w:rPr>
        </w:r>
        <w:r>
          <w:rPr>
            <w:b w:val="0"/>
            <w:bCs w:val="0"/>
            <w:webHidden/>
          </w:rPr>
          <w:fldChar w:fldCharType="separate"/>
        </w:r>
        <w:r w:rsidR="001A08FA">
          <w:rPr>
            <w:b w:val="0"/>
            <w:bCs w:val="0"/>
            <w:webHidden/>
          </w:rPr>
          <w:t>128</w:t>
        </w:r>
        <w:r>
          <w:rPr>
            <w:b w:val="0"/>
            <w:bCs w:val="0"/>
            <w:webHidden/>
          </w:rPr>
          <w:fldChar w:fldCharType="end"/>
        </w:r>
      </w:hyperlink>
    </w:p>
    <w:p w14:paraId="04F0A9F0" w14:textId="57BAB5F0" w:rsidR="00085789" w:rsidRDefault="00085789">
      <w:pPr>
        <w:pStyle w:val="TOC1"/>
        <w:rPr>
          <w:rFonts w:asciiTheme="minorHAnsi" w:eastAsiaTheme="minorEastAsia" w:hAnsiTheme="minorHAnsi" w:cstheme="minorBidi"/>
          <w:kern w:val="2"/>
          <w:lang w:val="en-US"/>
          <w14:ligatures w14:val="standardContextual"/>
        </w:rPr>
      </w:pPr>
      <w:hyperlink w:anchor="_Toc214311243" w:history="1">
        <w:r>
          <w:rPr>
            <w:rStyle w:val="Hyperlink"/>
            <w:lang w:val="nl-NL"/>
          </w:rPr>
          <w:t>3.3. Diễn biến môi trường nước biển ven bờ</w:t>
        </w:r>
        <w:r>
          <w:rPr>
            <w:webHidden/>
          </w:rPr>
          <w:tab/>
        </w:r>
        <w:r>
          <w:rPr>
            <w:webHidden/>
          </w:rPr>
          <w:fldChar w:fldCharType="begin"/>
        </w:r>
        <w:r>
          <w:rPr>
            <w:webHidden/>
          </w:rPr>
          <w:instrText xml:space="preserve"> PAGEREF _Toc214311243 \h </w:instrText>
        </w:r>
        <w:r>
          <w:rPr>
            <w:webHidden/>
          </w:rPr>
        </w:r>
        <w:r>
          <w:rPr>
            <w:webHidden/>
          </w:rPr>
          <w:fldChar w:fldCharType="separate"/>
        </w:r>
        <w:r w:rsidR="001A08FA">
          <w:rPr>
            <w:webHidden/>
          </w:rPr>
          <w:t>128</w:t>
        </w:r>
        <w:r>
          <w:rPr>
            <w:webHidden/>
          </w:rPr>
          <w:fldChar w:fldCharType="end"/>
        </w:r>
      </w:hyperlink>
    </w:p>
    <w:p w14:paraId="1FB4016E" w14:textId="01CCBE6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4" w:history="1">
        <w:r>
          <w:rPr>
            <w:rStyle w:val="Hyperlink"/>
            <w:b w:val="0"/>
            <w:bCs w:val="0"/>
            <w:lang w:val="nl-NL"/>
          </w:rPr>
          <w:t>3.3.1. Khái quát diễn biến chất lượng nước biển ven bờ</w:t>
        </w:r>
        <w:r>
          <w:rPr>
            <w:b w:val="0"/>
            <w:bCs w:val="0"/>
            <w:webHidden/>
          </w:rPr>
          <w:tab/>
        </w:r>
        <w:r>
          <w:rPr>
            <w:b w:val="0"/>
            <w:bCs w:val="0"/>
            <w:webHidden/>
          </w:rPr>
          <w:fldChar w:fldCharType="begin"/>
        </w:r>
        <w:r>
          <w:rPr>
            <w:b w:val="0"/>
            <w:bCs w:val="0"/>
            <w:webHidden/>
          </w:rPr>
          <w:instrText xml:space="preserve"> PAGEREF _Toc214311244 \h </w:instrText>
        </w:r>
        <w:r>
          <w:rPr>
            <w:b w:val="0"/>
            <w:bCs w:val="0"/>
            <w:webHidden/>
          </w:rPr>
        </w:r>
        <w:r>
          <w:rPr>
            <w:b w:val="0"/>
            <w:bCs w:val="0"/>
            <w:webHidden/>
          </w:rPr>
          <w:fldChar w:fldCharType="separate"/>
        </w:r>
        <w:r w:rsidR="001A08FA">
          <w:rPr>
            <w:b w:val="0"/>
            <w:bCs w:val="0"/>
            <w:webHidden/>
          </w:rPr>
          <w:t>128</w:t>
        </w:r>
        <w:r>
          <w:rPr>
            <w:b w:val="0"/>
            <w:bCs w:val="0"/>
            <w:webHidden/>
          </w:rPr>
          <w:fldChar w:fldCharType="end"/>
        </w:r>
      </w:hyperlink>
    </w:p>
    <w:p w14:paraId="57A79700" w14:textId="2B824A9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5" w:history="1">
        <w:r>
          <w:rPr>
            <w:rStyle w:val="Hyperlink"/>
            <w:b w:val="0"/>
            <w:bCs w:val="0"/>
            <w:lang w:val="nl-NL"/>
          </w:rPr>
          <w:t>3.3.2. Diễn biến chất lượng nước biển ven bờ trên địa bàn tỉnh</w:t>
        </w:r>
        <w:r>
          <w:rPr>
            <w:b w:val="0"/>
            <w:bCs w:val="0"/>
            <w:webHidden/>
          </w:rPr>
          <w:tab/>
        </w:r>
        <w:r>
          <w:rPr>
            <w:b w:val="0"/>
            <w:bCs w:val="0"/>
            <w:webHidden/>
          </w:rPr>
          <w:fldChar w:fldCharType="begin"/>
        </w:r>
        <w:r>
          <w:rPr>
            <w:b w:val="0"/>
            <w:bCs w:val="0"/>
            <w:webHidden/>
          </w:rPr>
          <w:instrText xml:space="preserve"> PAGEREF _Toc214311245 \h </w:instrText>
        </w:r>
        <w:r>
          <w:rPr>
            <w:b w:val="0"/>
            <w:bCs w:val="0"/>
            <w:webHidden/>
          </w:rPr>
        </w:r>
        <w:r>
          <w:rPr>
            <w:b w:val="0"/>
            <w:bCs w:val="0"/>
            <w:webHidden/>
          </w:rPr>
          <w:fldChar w:fldCharType="separate"/>
        </w:r>
        <w:r w:rsidR="001A08FA">
          <w:rPr>
            <w:b w:val="0"/>
            <w:bCs w:val="0"/>
            <w:webHidden/>
          </w:rPr>
          <w:t>129</w:t>
        </w:r>
        <w:r>
          <w:rPr>
            <w:b w:val="0"/>
            <w:bCs w:val="0"/>
            <w:webHidden/>
          </w:rPr>
          <w:fldChar w:fldCharType="end"/>
        </w:r>
      </w:hyperlink>
    </w:p>
    <w:p w14:paraId="5358C420" w14:textId="6DF328E5"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6" w:history="1">
        <w:r>
          <w:rPr>
            <w:rStyle w:val="Hyperlink"/>
            <w:b w:val="0"/>
            <w:bCs w:val="0"/>
            <w:lang w:val="nl-NL"/>
          </w:rPr>
          <w:t>3.3.3. Các vấn đề môi trường biển ven bờ</w:t>
        </w:r>
        <w:r>
          <w:rPr>
            <w:b w:val="0"/>
            <w:bCs w:val="0"/>
            <w:webHidden/>
          </w:rPr>
          <w:tab/>
        </w:r>
        <w:r>
          <w:rPr>
            <w:b w:val="0"/>
            <w:bCs w:val="0"/>
            <w:webHidden/>
          </w:rPr>
          <w:fldChar w:fldCharType="begin"/>
        </w:r>
        <w:r>
          <w:rPr>
            <w:b w:val="0"/>
            <w:bCs w:val="0"/>
            <w:webHidden/>
          </w:rPr>
          <w:instrText xml:space="preserve"> PAGEREF _Toc214311246 \h </w:instrText>
        </w:r>
        <w:r>
          <w:rPr>
            <w:b w:val="0"/>
            <w:bCs w:val="0"/>
            <w:webHidden/>
          </w:rPr>
        </w:r>
        <w:r>
          <w:rPr>
            <w:b w:val="0"/>
            <w:bCs w:val="0"/>
            <w:webHidden/>
          </w:rPr>
          <w:fldChar w:fldCharType="separate"/>
        </w:r>
        <w:r w:rsidR="001A08FA">
          <w:rPr>
            <w:b w:val="0"/>
            <w:bCs w:val="0"/>
            <w:webHidden/>
          </w:rPr>
          <w:t>134</w:t>
        </w:r>
        <w:r>
          <w:rPr>
            <w:b w:val="0"/>
            <w:bCs w:val="0"/>
            <w:webHidden/>
          </w:rPr>
          <w:fldChar w:fldCharType="end"/>
        </w:r>
      </w:hyperlink>
    </w:p>
    <w:p w14:paraId="0F68D366" w14:textId="2F802390" w:rsidR="00085789" w:rsidRDefault="00085789">
      <w:pPr>
        <w:pStyle w:val="TOC1"/>
        <w:rPr>
          <w:rStyle w:val="Hyperlink"/>
        </w:rPr>
      </w:pPr>
      <w:hyperlink w:anchor="_Toc214311247" w:history="1">
        <w:r>
          <w:rPr>
            <w:rStyle w:val="Hyperlink"/>
            <w:lang w:val="nl-NL"/>
          </w:rPr>
          <w:t>CHƯƠNG IV</w:t>
        </w:r>
      </w:hyperlink>
    </w:p>
    <w:p w14:paraId="4382A661" w14:textId="77777777" w:rsidR="00085789" w:rsidRDefault="00000000">
      <w:pPr>
        <w:spacing w:before="40" w:after="40" w:line="240" w:lineRule="auto"/>
        <w:jc w:val="center"/>
        <w:rPr>
          <w:rFonts w:eastAsiaTheme="minorEastAsia"/>
          <w:b/>
          <w:bCs/>
          <w:noProof/>
          <w:sz w:val="26"/>
          <w:szCs w:val="26"/>
          <w:lang w:val="nl-NL"/>
        </w:rPr>
      </w:pPr>
      <w:r>
        <w:rPr>
          <w:rFonts w:eastAsiaTheme="minorEastAsia"/>
          <w:b/>
          <w:bCs/>
          <w:noProof/>
          <w:sz w:val="26"/>
          <w:szCs w:val="26"/>
          <w:lang w:val="nl-NL"/>
        </w:rPr>
        <w:t>HIỆN TRẠNG MÔI TRƯỜNG KHÔNG KHÍ</w:t>
      </w:r>
    </w:p>
    <w:p w14:paraId="0635A52B" w14:textId="3AC56FC7" w:rsidR="00085789" w:rsidRDefault="00085789">
      <w:pPr>
        <w:pStyle w:val="TOC1"/>
        <w:rPr>
          <w:rFonts w:asciiTheme="minorHAnsi" w:eastAsiaTheme="minorEastAsia" w:hAnsiTheme="minorHAnsi" w:cstheme="minorBidi"/>
          <w:kern w:val="2"/>
          <w:lang w:val="en-US"/>
          <w14:ligatures w14:val="standardContextual"/>
        </w:rPr>
      </w:pPr>
      <w:hyperlink w:anchor="_Toc214311248" w:history="1">
        <w:r>
          <w:rPr>
            <w:rStyle w:val="Hyperlink"/>
            <w:lang w:val="nl-NL"/>
          </w:rPr>
          <w:t>4.1. Khái quát diễn biến môi trường không khí</w:t>
        </w:r>
        <w:r>
          <w:rPr>
            <w:webHidden/>
          </w:rPr>
          <w:tab/>
        </w:r>
        <w:r>
          <w:rPr>
            <w:webHidden/>
          </w:rPr>
          <w:fldChar w:fldCharType="begin"/>
        </w:r>
        <w:r>
          <w:rPr>
            <w:webHidden/>
          </w:rPr>
          <w:instrText xml:space="preserve"> PAGEREF _Toc214311248 \h </w:instrText>
        </w:r>
        <w:r>
          <w:rPr>
            <w:webHidden/>
          </w:rPr>
        </w:r>
        <w:r>
          <w:rPr>
            <w:webHidden/>
          </w:rPr>
          <w:fldChar w:fldCharType="separate"/>
        </w:r>
        <w:r w:rsidR="001A08FA">
          <w:rPr>
            <w:webHidden/>
          </w:rPr>
          <w:t>136</w:t>
        </w:r>
        <w:r>
          <w:rPr>
            <w:webHidden/>
          </w:rPr>
          <w:fldChar w:fldCharType="end"/>
        </w:r>
      </w:hyperlink>
    </w:p>
    <w:p w14:paraId="530E1280" w14:textId="094500C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49" w:history="1">
        <w:r>
          <w:rPr>
            <w:rStyle w:val="Hyperlink"/>
            <w:b w:val="0"/>
            <w:bCs w:val="0"/>
            <w:lang w:val="nl-NL"/>
          </w:rPr>
          <w:t>4.1.1. Khái quát diễn biến chất lượng không khí theo các thông số đặc trưng</w:t>
        </w:r>
        <w:r>
          <w:rPr>
            <w:b w:val="0"/>
            <w:bCs w:val="0"/>
            <w:webHidden/>
          </w:rPr>
          <w:tab/>
        </w:r>
        <w:r>
          <w:rPr>
            <w:b w:val="0"/>
            <w:bCs w:val="0"/>
            <w:webHidden/>
          </w:rPr>
          <w:fldChar w:fldCharType="begin"/>
        </w:r>
        <w:r>
          <w:rPr>
            <w:b w:val="0"/>
            <w:bCs w:val="0"/>
            <w:webHidden/>
          </w:rPr>
          <w:instrText xml:space="preserve"> PAGEREF _Toc214311249 \h </w:instrText>
        </w:r>
        <w:r>
          <w:rPr>
            <w:b w:val="0"/>
            <w:bCs w:val="0"/>
            <w:webHidden/>
          </w:rPr>
        </w:r>
        <w:r>
          <w:rPr>
            <w:b w:val="0"/>
            <w:bCs w:val="0"/>
            <w:webHidden/>
          </w:rPr>
          <w:fldChar w:fldCharType="separate"/>
        </w:r>
        <w:r w:rsidR="001A08FA">
          <w:rPr>
            <w:b w:val="0"/>
            <w:bCs w:val="0"/>
            <w:webHidden/>
          </w:rPr>
          <w:t>136</w:t>
        </w:r>
        <w:r>
          <w:rPr>
            <w:b w:val="0"/>
            <w:bCs w:val="0"/>
            <w:webHidden/>
          </w:rPr>
          <w:fldChar w:fldCharType="end"/>
        </w:r>
      </w:hyperlink>
    </w:p>
    <w:p w14:paraId="5DE894F6" w14:textId="59959EB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0" w:history="1">
        <w:r>
          <w:rPr>
            <w:rStyle w:val="Hyperlink"/>
            <w:b w:val="0"/>
            <w:bCs w:val="0"/>
            <w:lang w:val="nl-NL"/>
          </w:rPr>
          <w:t>4.1.2. Khái quát mức tiếng ồn và độ rung tại các khu vực trên địa bàn tỉnh</w:t>
        </w:r>
        <w:r>
          <w:rPr>
            <w:b w:val="0"/>
            <w:bCs w:val="0"/>
            <w:webHidden/>
          </w:rPr>
          <w:tab/>
        </w:r>
        <w:r>
          <w:rPr>
            <w:b w:val="0"/>
            <w:bCs w:val="0"/>
            <w:webHidden/>
          </w:rPr>
          <w:fldChar w:fldCharType="begin"/>
        </w:r>
        <w:r>
          <w:rPr>
            <w:b w:val="0"/>
            <w:bCs w:val="0"/>
            <w:webHidden/>
          </w:rPr>
          <w:instrText xml:space="preserve"> PAGEREF _Toc214311250 \h </w:instrText>
        </w:r>
        <w:r>
          <w:rPr>
            <w:b w:val="0"/>
            <w:bCs w:val="0"/>
            <w:webHidden/>
          </w:rPr>
        </w:r>
        <w:r>
          <w:rPr>
            <w:b w:val="0"/>
            <w:bCs w:val="0"/>
            <w:webHidden/>
          </w:rPr>
          <w:fldChar w:fldCharType="separate"/>
        </w:r>
        <w:r w:rsidR="001A08FA">
          <w:rPr>
            <w:b w:val="0"/>
            <w:bCs w:val="0"/>
            <w:webHidden/>
          </w:rPr>
          <w:t>136</w:t>
        </w:r>
        <w:r>
          <w:rPr>
            <w:b w:val="0"/>
            <w:bCs w:val="0"/>
            <w:webHidden/>
          </w:rPr>
          <w:fldChar w:fldCharType="end"/>
        </w:r>
      </w:hyperlink>
    </w:p>
    <w:p w14:paraId="3EA780C0" w14:textId="03A0170D" w:rsidR="00085789" w:rsidRDefault="00085789">
      <w:pPr>
        <w:pStyle w:val="TOC1"/>
        <w:rPr>
          <w:rFonts w:asciiTheme="minorHAnsi" w:eastAsiaTheme="minorEastAsia" w:hAnsiTheme="minorHAnsi" w:cstheme="minorBidi"/>
          <w:kern w:val="2"/>
          <w:lang w:val="en-US"/>
          <w14:ligatures w14:val="standardContextual"/>
        </w:rPr>
      </w:pPr>
      <w:hyperlink w:anchor="_Toc214311251" w:history="1">
        <w:r>
          <w:rPr>
            <w:rStyle w:val="Hyperlink"/>
            <w:lang w:val="nl-NL"/>
          </w:rPr>
          <w:t>4.2. Diễn biến chất lượng môi trường không khí</w:t>
        </w:r>
        <w:r>
          <w:rPr>
            <w:webHidden/>
          </w:rPr>
          <w:tab/>
        </w:r>
        <w:r>
          <w:rPr>
            <w:webHidden/>
          </w:rPr>
          <w:fldChar w:fldCharType="begin"/>
        </w:r>
        <w:r>
          <w:rPr>
            <w:webHidden/>
          </w:rPr>
          <w:instrText xml:space="preserve"> PAGEREF _Toc214311251 \h </w:instrText>
        </w:r>
        <w:r>
          <w:rPr>
            <w:webHidden/>
          </w:rPr>
        </w:r>
        <w:r>
          <w:rPr>
            <w:webHidden/>
          </w:rPr>
          <w:fldChar w:fldCharType="separate"/>
        </w:r>
        <w:r w:rsidR="001A08FA">
          <w:rPr>
            <w:webHidden/>
          </w:rPr>
          <w:t>136</w:t>
        </w:r>
        <w:r>
          <w:rPr>
            <w:webHidden/>
          </w:rPr>
          <w:fldChar w:fldCharType="end"/>
        </w:r>
      </w:hyperlink>
    </w:p>
    <w:p w14:paraId="3B03285B" w14:textId="6FFBD15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2" w:history="1">
        <w:r>
          <w:rPr>
            <w:rStyle w:val="Hyperlink"/>
            <w:b w:val="0"/>
            <w:bCs w:val="0"/>
            <w:lang w:val="nl-NL"/>
          </w:rPr>
          <w:t>4.2.1. Diễn biến chất lượng môi trường không khí khu vực đô thị</w:t>
        </w:r>
        <w:r>
          <w:rPr>
            <w:b w:val="0"/>
            <w:bCs w:val="0"/>
            <w:webHidden/>
          </w:rPr>
          <w:tab/>
        </w:r>
        <w:r>
          <w:rPr>
            <w:b w:val="0"/>
            <w:bCs w:val="0"/>
            <w:webHidden/>
          </w:rPr>
          <w:fldChar w:fldCharType="begin"/>
        </w:r>
        <w:r>
          <w:rPr>
            <w:b w:val="0"/>
            <w:bCs w:val="0"/>
            <w:webHidden/>
          </w:rPr>
          <w:instrText xml:space="preserve"> PAGEREF _Toc214311252 \h </w:instrText>
        </w:r>
        <w:r>
          <w:rPr>
            <w:b w:val="0"/>
            <w:bCs w:val="0"/>
            <w:webHidden/>
          </w:rPr>
        </w:r>
        <w:r>
          <w:rPr>
            <w:b w:val="0"/>
            <w:bCs w:val="0"/>
            <w:webHidden/>
          </w:rPr>
          <w:fldChar w:fldCharType="separate"/>
        </w:r>
        <w:r w:rsidR="001A08FA">
          <w:rPr>
            <w:b w:val="0"/>
            <w:bCs w:val="0"/>
            <w:webHidden/>
          </w:rPr>
          <w:t>140</w:t>
        </w:r>
        <w:r>
          <w:rPr>
            <w:b w:val="0"/>
            <w:bCs w:val="0"/>
            <w:webHidden/>
          </w:rPr>
          <w:fldChar w:fldCharType="end"/>
        </w:r>
      </w:hyperlink>
    </w:p>
    <w:p w14:paraId="03300666" w14:textId="6C28DFB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3" w:history="1">
        <w:r>
          <w:rPr>
            <w:rStyle w:val="Hyperlink"/>
            <w:b w:val="0"/>
            <w:bCs w:val="0"/>
            <w:lang w:val="nl-NL"/>
          </w:rPr>
          <w:t>4.2.2. Diễn biến chất lượng môi trường không khí khu vực giao thông</w:t>
        </w:r>
        <w:r>
          <w:rPr>
            <w:b w:val="0"/>
            <w:bCs w:val="0"/>
            <w:webHidden/>
          </w:rPr>
          <w:tab/>
        </w:r>
        <w:r>
          <w:rPr>
            <w:b w:val="0"/>
            <w:bCs w:val="0"/>
            <w:webHidden/>
          </w:rPr>
          <w:fldChar w:fldCharType="begin"/>
        </w:r>
        <w:r>
          <w:rPr>
            <w:b w:val="0"/>
            <w:bCs w:val="0"/>
            <w:webHidden/>
          </w:rPr>
          <w:instrText xml:space="preserve"> PAGEREF _Toc214311253 \h </w:instrText>
        </w:r>
        <w:r>
          <w:rPr>
            <w:b w:val="0"/>
            <w:bCs w:val="0"/>
            <w:webHidden/>
          </w:rPr>
        </w:r>
        <w:r>
          <w:rPr>
            <w:b w:val="0"/>
            <w:bCs w:val="0"/>
            <w:webHidden/>
          </w:rPr>
          <w:fldChar w:fldCharType="separate"/>
        </w:r>
        <w:r w:rsidR="001A08FA">
          <w:rPr>
            <w:b w:val="0"/>
            <w:bCs w:val="0"/>
            <w:webHidden/>
          </w:rPr>
          <w:t>143</w:t>
        </w:r>
        <w:r>
          <w:rPr>
            <w:b w:val="0"/>
            <w:bCs w:val="0"/>
            <w:webHidden/>
          </w:rPr>
          <w:fldChar w:fldCharType="end"/>
        </w:r>
      </w:hyperlink>
    </w:p>
    <w:p w14:paraId="64723AA3" w14:textId="40CF944C"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4" w:history="1">
        <w:r>
          <w:rPr>
            <w:rStyle w:val="Hyperlink"/>
            <w:b w:val="0"/>
            <w:bCs w:val="0"/>
            <w:lang w:val="nl-NL"/>
          </w:rPr>
          <w:t>4.2.3. Diễn biến chất lượng môi trường không khí khu vực sản xuất công nghiệp</w:t>
        </w:r>
        <w:r>
          <w:rPr>
            <w:b w:val="0"/>
            <w:bCs w:val="0"/>
            <w:webHidden/>
          </w:rPr>
          <w:tab/>
        </w:r>
        <w:r>
          <w:rPr>
            <w:b w:val="0"/>
            <w:bCs w:val="0"/>
            <w:webHidden/>
          </w:rPr>
          <w:fldChar w:fldCharType="begin"/>
        </w:r>
        <w:r>
          <w:rPr>
            <w:b w:val="0"/>
            <w:bCs w:val="0"/>
            <w:webHidden/>
          </w:rPr>
          <w:instrText xml:space="preserve"> PAGEREF _Toc214311254 \h </w:instrText>
        </w:r>
        <w:r>
          <w:rPr>
            <w:b w:val="0"/>
            <w:bCs w:val="0"/>
            <w:webHidden/>
          </w:rPr>
        </w:r>
        <w:r>
          <w:rPr>
            <w:b w:val="0"/>
            <w:bCs w:val="0"/>
            <w:webHidden/>
          </w:rPr>
          <w:fldChar w:fldCharType="separate"/>
        </w:r>
        <w:r w:rsidR="001A08FA">
          <w:rPr>
            <w:b w:val="0"/>
            <w:bCs w:val="0"/>
            <w:webHidden/>
          </w:rPr>
          <w:t>147</w:t>
        </w:r>
        <w:r>
          <w:rPr>
            <w:b w:val="0"/>
            <w:bCs w:val="0"/>
            <w:webHidden/>
          </w:rPr>
          <w:fldChar w:fldCharType="end"/>
        </w:r>
      </w:hyperlink>
    </w:p>
    <w:p w14:paraId="0D407947" w14:textId="687EFD21" w:rsidR="00085789" w:rsidRDefault="00085789">
      <w:pPr>
        <w:pStyle w:val="TOC1"/>
        <w:jc w:val="left"/>
        <w:rPr>
          <w:rFonts w:asciiTheme="minorHAnsi" w:eastAsiaTheme="minorEastAsia" w:hAnsiTheme="minorHAnsi" w:cstheme="minorBidi"/>
          <w:kern w:val="2"/>
          <w:lang w:val="en-US"/>
          <w14:ligatures w14:val="standardContextual"/>
        </w:rPr>
      </w:pPr>
      <w:hyperlink w:anchor="_Toc214311255" w:history="1">
        <w:r>
          <w:rPr>
            <w:rStyle w:val="Hyperlink"/>
            <w:lang w:val="nl-NL"/>
          </w:rPr>
          <w:t>4.3. Các vấn đề môi trường không khí, kiểm kê phát thải, đánh giá chất lượng môi trường không khí</w:t>
        </w:r>
        <w:r>
          <w:rPr>
            <w:webHidden/>
          </w:rPr>
          <w:tab/>
        </w:r>
        <w:r>
          <w:rPr>
            <w:webHidden/>
          </w:rPr>
          <w:fldChar w:fldCharType="begin"/>
        </w:r>
        <w:r>
          <w:rPr>
            <w:webHidden/>
          </w:rPr>
          <w:instrText xml:space="preserve"> PAGEREF _Toc214311255 \h </w:instrText>
        </w:r>
        <w:r>
          <w:rPr>
            <w:webHidden/>
          </w:rPr>
        </w:r>
        <w:r>
          <w:rPr>
            <w:webHidden/>
          </w:rPr>
          <w:fldChar w:fldCharType="separate"/>
        </w:r>
        <w:r w:rsidR="001A08FA">
          <w:rPr>
            <w:webHidden/>
          </w:rPr>
          <w:t>152</w:t>
        </w:r>
        <w:r>
          <w:rPr>
            <w:webHidden/>
          </w:rPr>
          <w:fldChar w:fldCharType="end"/>
        </w:r>
      </w:hyperlink>
    </w:p>
    <w:bookmarkStart w:id="11" w:name="_Hlk214338578"/>
    <w:p w14:paraId="7D795F26" w14:textId="311BC9E6" w:rsidR="00085789" w:rsidRDefault="00000000">
      <w:pPr>
        <w:pStyle w:val="TOC1"/>
        <w:rPr>
          <w:rStyle w:val="Hyperlink"/>
          <w:b w:val="0"/>
          <w:bCs w:val="0"/>
        </w:rPr>
      </w:pPr>
      <w:r>
        <w:rPr>
          <w:rStyle w:val="Hyperlink"/>
          <w:b w:val="0"/>
          <w:bCs w:val="0"/>
        </w:rPr>
        <w:fldChar w:fldCharType="begin"/>
      </w:r>
      <w:r>
        <w:rPr>
          <w:rStyle w:val="Hyperlink"/>
          <w:b w:val="0"/>
          <w:bCs w:val="0"/>
        </w:rPr>
        <w:instrText xml:space="preserve"> </w:instrText>
      </w:r>
      <w:r>
        <w:rPr>
          <w:b w:val="0"/>
          <w:bCs w:val="0"/>
        </w:rPr>
        <w:instrText>HYPERLINK \l "_Toc214311256"</w:instrText>
      </w:r>
      <w:r>
        <w:rPr>
          <w:rStyle w:val="Hyperlink"/>
          <w:b w:val="0"/>
          <w:bCs w:val="0"/>
        </w:rPr>
        <w:instrText xml:space="preserve"> </w:instrText>
      </w:r>
      <w:r>
        <w:rPr>
          <w:rStyle w:val="Hyperlink"/>
          <w:b w:val="0"/>
          <w:bCs w:val="0"/>
        </w:rPr>
      </w:r>
      <w:r>
        <w:rPr>
          <w:rStyle w:val="Hyperlink"/>
          <w:b w:val="0"/>
          <w:bCs w:val="0"/>
        </w:rPr>
        <w:fldChar w:fldCharType="separate"/>
      </w:r>
      <w:r>
        <w:rPr>
          <w:rStyle w:val="Hyperlink"/>
          <w:b w:val="0"/>
          <w:bCs w:val="0"/>
          <w:lang w:val="nl-NL"/>
        </w:rPr>
        <w:t>4.3.1. Các vấn đề môi trường không khí</w:t>
      </w:r>
      <w:r>
        <w:rPr>
          <w:b w:val="0"/>
          <w:bCs w:val="0"/>
          <w:webHidden/>
        </w:rPr>
        <w:tab/>
      </w:r>
      <w:r>
        <w:rPr>
          <w:b w:val="0"/>
          <w:bCs w:val="0"/>
          <w:webHidden/>
        </w:rPr>
        <w:fldChar w:fldCharType="begin"/>
      </w:r>
      <w:r>
        <w:rPr>
          <w:b w:val="0"/>
          <w:bCs w:val="0"/>
          <w:webHidden/>
        </w:rPr>
        <w:instrText xml:space="preserve"> PAGEREF _Toc214311256 \h </w:instrText>
      </w:r>
      <w:r>
        <w:rPr>
          <w:b w:val="0"/>
          <w:bCs w:val="0"/>
          <w:webHidden/>
        </w:rPr>
      </w:r>
      <w:r>
        <w:rPr>
          <w:b w:val="0"/>
          <w:bCs w:val="0"/>
          <w:webHidden/>
        </w:rPr>
        <w:fldChar w:fldCharType="separate"/>
      </w:r>
      <w:r w:rsidR="001A08FA">
        <w:rPr>
          <w:b w:val="0"/>
          <w:bCs w:val="0"/>
          <w:webHidden/>
        </w:rPr>
        <w:t>152</w:t>
      </w:r>
      <w:r>
        <w:rPr>
          <w:b w:val="0"/>
          <w:bCs w:val="0"/>
          <w:webHidden/>
        </w:rPr>
        <w:fldChar w:fldCharType="end"/>
      </w:r>
      <w:r>
        <w:rPr>
          <w:rStyle w:val="Hyperlink"/>
          <w:b w:val="0"/>
          <w:bCs w:val="0"/>
        </w:rPr>
        <w:fldChar w:fldCharType="end"/>
      </w:r>
    </w:p>
    <w:bookmarkEnd w:id="11"/>
    <w:p w14:paraId="34442426" w14:textId="09CA7AE7" w:rsidR="00085789" w:rsidRDefault="00000000">
      <w:pPr>
        <w:pStyle w:val="Heading2"/>
        <w:rPr>
          <w:rFonts w:asciiTheme="majorHAnsi" w:hAnsiTheme="majorHAnsi" w:cstheme="majorHAnsi"/>
          <w:b w:val="0"/>
          <w:smallCaps/>
          <w:noProof/>
          <w:szCs w:val="26"/>
          <w:lang w:val="nl-NL"/>
        </w:rPr>
      </w:pPr>
      <w:r>
        <w:rPr>
          <w:rStyle w:val="Hyperlink"/>
          <w:b w:val="0"/>
          <w:noProof/>
        </w:rPr>
        <w:fldChar w:fldCharType="begin"/>
      </w:r>
      <w:r>
        <w:rPr>
          <w:rStyle w:val="Hyperlink"/>
          <w:b w:val="0"/>
          <w:noProof/>
        </w:rPr>
        <w:instrText xml:space="preserve"> </w:instrText>
      </w:r>
      <w:r>
        <w:rPr>
          <w:b w:val="0"/>
          <w:noProof/>
        </w:rPr>
        <w:instrText>HYPERLINK \l "_Toc214311256"</w:instrText>
      </w:r>
      <w:r>
        <w:rPr>
          <w:rStyle w:val="Hyperlink"/>
          <w:b w:val="0"/>
          <w:noProof/>
        </w:rPr>
        <w:instrText xml:space="preserve"> </w:instrText>
      </w:r>
      <w:r>
        <w:rPr>
          <w:rStyle w:val="Hyperlink"/>
          <w:b w:val="0"/>
          <w:noProof/>
        </w:rPr>
      </w:r>
      <w:r>
        <w:rPr>
          <w:rStyle w:val="Hyperlink"/>
          <w:b w:val="0"/>
          <w:noProof/>
        </w:rPr>
        <w:fldChar w:fldCharType="separate"/>
      </w:r>
      <w:r>
        <w:rPr>
          <w:rStyle w:val="Hyperlink"/>
          <w:b w:val="0"/>
          <w:noProof/>
          <w:lang w:val="nl-NL"/>
        </w:rPr>
        <w:t xml:space="preserve">4.3.2. </w:t>
      </w:r>
      <w:r>
        <w:rPr>
          <w:rFonts w:asciiTheme="majorHAnsi" w:hAnsiTheme="majorHAnsi" w:cstheme="majorHAnsi"/>
          <w:b w:val="0"/>
          <w:noProof/>
          <w:spacing w:val="-4"/>
          <w:sz w:val="26"/>
          <w:szCs w:val="26"/>
          <w:lang w:val="nl-NL"/>
        </w:rPr>
        <w:t>Kiểm k</w:t>
      </w:r>
      <w:r>
        <w:rPr>
          <w:rFonts w:asciiTheme="majorHAnsi" w:hAnsiTheme="majorHAnsi" w:cstheme="majorHAnsi" w:hint="eastAsia"/>
          <w:b w:val="0"/>
          <w:noProof/>
          <w:spacing w:val="-4"/>
          <w:sz w:val="26"/>
          <w:szCs w:val="26"/>
          <w:lang w:val="nl-NL"/>
        </w:rPr>
        <w:t>ê</w:t>
      </w:r>
      <w:r>
        <w:rPr>
          <w:rFonts w:asciiTheme="majorHAnsi" w:hAnsiTheme="majorHAnsi" w:cstheme="majorHAnsi"/>
          <w:b w:val="0"/>
          <w:noProof/>
          <w:spacing w:val="-4"/>
          <w:sz w:val="26"/>
          <w:szCs w:val="26"/>
          <w:lang w:val="nl-NL"/>
        </w:rPr>
        <w:t xml:space="preserve"> ph</w:t>
      </w:r>
      <w:r>
        <w:rPr>
          <w:rFonts w:asciiTheme="majorHAnsi" w:hAnsiTheme="majorHAnsi" w:cstheme="majorHAnsi" w:hint="eastAsia"/>
          <w:b w:val="0"/>
          <w:noProof/>
          <w:spacing w:val="-4"/>
          <w:sz w:val="26"/>
          <w:szCs w:val="26"/>
          <w:lang w:val="nl-NL"/>
        </w:rPr>
        <w:t>á</w:t>
      </w:r>
      <w:r>
        <w:rPr>
          <w:rFonts w:asciiTheme="majorHAnsi" w:hAnsiTheme="majorHAnsi" w:cstheme="majorHAnsi"/>
          <w:b w:val="0"/>
          <w:noProof/>
          <w:spacing w:val="-4"/>
          <w:sz w:val="26"/>
          <w:szCs w:val="26"/>
          <w:lang w:val="nl-NL"/>
        </w:rPr>
        <w:t>t thải v</w:t>
      </w:r>
      <w:r>
        <w:rPr>
          <w:rFonts w:asciiTheme="majorHAnsi" w:hAnsiTheme="majorHAnsi" w:cstheme="majorHAnsi" w:hint="eastAsia"/>
          <w:b w:val="0"/>
          <w:noProof/>
          <w:spacing w:val="-4"/>
          <w:sz w:val="26"/>
          <w:szCs w:val="26"/>
          <w:lang w:val="nl-NL"/>
        </w:rPr>
        <w:t>à</w:t>
      </w:r>
      <w:r>
        <w:rPr>
          <w:rFonts w:asciiTheme="majorHAnsi" w:hAnsiTheme="majorHAnsi" w:cstheme="majorHAnsi"/>
          <w:b w:val="0"/>
          <w:noProof/>
          <w:spacing w:val="-4"/>
          <w:sz w:val="26"/>
          <w:szCs w:val="26"/>
          <w:lang w:val="nl-NL"/>
        </w:rPr>
        <w:t xml:space="preserve"> </w:t>
      </w:r>
      <w:r>
        <w:rPr>
          <w:rFonts w:asciiTheme="majorHAnsi" w:hAnsiTheme="majorHAnsi" w:cstheme="majorHAnsi" w:hint="eastAsia"/>
          <w:b w:val="0"/>
          <w:noProof/>
          <w:spacing w:val="-4"/>
          <w:sz w:val="26"/>
          <w:szCs w:val="26"/>
          <w:lang w:val="nl-NL"/>
        </w:rPr>
        <w:t>đá</w:t>
      </w:r>
      <w:r>
        <w:rPr>
          <w:rFonts w:asciiTheme="majorHAnsi" w:hAnsiTheme="majorHAnsi" w:cstheme="majorHAnsi"/>
          <w:b w:val="0"/>
          <w:noProof/>
          <w:spacing w:val="-4"/>
          <w:sz w:val="26"/>
          <w:szCs w:val="26"/>
          <w:lang w:val="nl-NL"/>
        </w:rPr>
        <w:t>nh gi</w:t>
      </w:r>
      <w:r>
        <w:rPr>
          <w:rFonts w:asciiTheme="majorHAnsi" w:hAnsiTheme="majorHAnsi" w:cstheme="majorHAnsi" w:hint="eastAsia"/>
          <w:b w:val="0"/>
          <w:noProof/>
          <w:spacing w:val="-4"/>
          <w:sz w:val="26"/>
          <w:szCs w:val="26"/>
          <w:lang w:val="nl-NL"/>
        </w:rPr>
        <w:t>á</w:t>
      </w:r>
      <w:r>
        <w:rPr>
          <w:rFonts w:asciiTheme="majorHAnsi" w:hAnsiTheme="majorHAnsi" w:cstheme="majorHAnsi"/>
          <w:b w:val="0"/>
          <w:noProof/>
          <w:spacing w:val="-4"/>
          <w:sz w:val="26"/>
          <w:szCs w:val="26"/>
          <w:lang w:val="nl-NL"/>
        </w:rPr>
        <w:t xml:space="preserve"> chất l</w:t>
      </w:r>
      <w:r>
        <w:rPr>
          <w:rFonts w:asciiTheme="majorHAnsi" w:hAnsiTheme="majorHAnsi" w:cstheme="majorHAnsi" w:hint="eastAsia"/>
          <w:b w:val="0"/>
          <w:noProof/>
          <w:spacing w:val="-4"/>
          <w:sz w:val="26"/>
          <w:szCs w:val="26"/>
          <w:lang w:val="nl-NL"/>
        </w:rPr>
        <w:t>ư</w:t>
      </w:r>
      <w:r>
        <w:rPr>
          <w:rFonts w:asciiTheme="majorHAnsi" w:hAnsiTheme="majorHAnsi" w:cstheme="majorHAnsi"/>
          <w:b w:val="0"/>
          <w:noProof/>
          <w:spacing w:val="-4"/>
          <w:sz w:val="26"/>
          <w:szCs w:val="26"/>
          <w:lang w:val="nl-NL"/>
        </w:rPr>
        <w:t>ợng m</w:t>
      </w:r>
      <w:r>
        <w:rPr>
          <w:rFonts w:asciiTheme="majorHAnsi" w:hAnsiTheme="majorHAnsi" w:cstheme="majorHAnsi" w:hint="eastAsia"/>
          <w:b w:val="0"/>
          <w:noProof/>
          <w:spacing w:val="-4"/>
          <w:sz w:val="26"/>
          <w:szCs w:val="26"/>
          <w:lang w:val="nl-NL"/>
        </w:rPr>
        <w:t>ô</w:t>
      </w:r>
      <w:r>
        <w:rPr>
          <w:rFonts w:asciiTheme="majorHAnsi" w:hAnsiTheme="majorHAnsi" w:cstheme="majorHAnsi"/>
          <w:b w:val="0"/>
          <w:noProof/>
          <w:spacing w:val="-4"/>
          <w:sz w:val="26"/>
          <w:szCs w:val="26"/>
          <w:lang w:val="nl-NL"/>
        </w:rPr>
        <w:t>i tr</w:t>
      </w:r>
      <w:r>
        <w:rPr>
          <w:rFonts w:asciiTheme="majorHAnsi" w:hAnsiTheme="majorHAnsi" w:cstheme="majorHAnsi" w:hint="eastAsia"/>
          <w:b w:val="0"/>
          <w:noProof/>
          <w:spacing w:val="-4"/>
          <w:sz w:val="26"/>
          <w:szCs w:val="26"/>
          <w:lang w:val="nl-NL"/>
        </w:rPr>
        <w:t>ư</w:t>
      </w:r>
      <w:r>
        <w:rPr>
          <w:rFonts w:asciiTheme="majorHAnsi" w:hAnsiTheme="majorHAnsi" w:cstheme="majorHAnsi"/>
          <w:b w:val="0"/>
          <w:noProof/>
          <w:spacing w:val="-4"/>
          <w:sz w:val="26"/>
          <w:szCs w:val="26"/>
          <w:lang w:val="nl-NL"/>
        </w:rPr>
        <w:t>ờng kh</w:t>
      </w:r>
      <w:r>
        <w:rPr>
          <w:rFonts w:asciiTheme="majorHAnsi" w:hAnsiTheme="majorHAnsi" w:cstheme="majorHAnsi" w:hint="eastAsia"/>
          <w:b w:val="0"/>
          <w:noProof/>
          <w:spacing w:val="-4"/>
          <w:sz w:val="26"/>
          <w:szCs w:val="26"/>
          <w:lang w:val="nl-NL"/>
        </w:rPr>
        <w:t>ô</w:t>
      </w:r>
      <w:r>
        <w:rPr>
          <w:rFonts w:asciiTheme="majorHAnsi" w:hAnsiTheme="majorHAnsi" w:cstheme="majorHAnsi"/>
          <w:b w:val="0"/>
          <w:noProof/>
          <w:spacing w:val="-4"/>
          <w:sz w:val="26"/>
          <w:szCs w:val="26"/>
          <w:lang w:val="nl-NL"/>
        </w:rPr>
        <w:t>ng kh</w:t>
      </w:r>
      <w:r>
        <w:rPr>
          <w:rFonts w:asciiTheme="majorHAnsi" w:hAnsiTheme="majorHAnsi" w:cstheme="majorHAnsi" w:hint="eastAsia"/>
          <w:b w:val="0"/>
          <w:noProof/>
          <w:spacing w:val="-4"/>
          <w:sz w:val="26"/>
          <w:szCs w:val="26"/>
          <w:lang w:val="nl-NL"/>
        </w:rPr>
        <w:t>í</w:t>
      </w:r>
    </w:p>
    <w:p w14:paraId="352B9CA6" w14:textId="33D12631" w:rsidR="00085789" w:rsidRDefault="00000000">
      <w:pPr>
        <w:pStyle w:val="TOC1"/>
        <w:rPr>
          <w:b w:val="0"/>
          <w:bCs w:val="0"/>
          <w:color w:val="0000FF"/>
          <w:u w:val="single"/>
        </w:rPr>
      </w:pPr>
      <w:r>
        <w:rPr>
          <w:b w:val="0"/>
          <w:bCs w:val="0"/>
          <w:webHidden/>
        </w:rPr>
        <w:tab/>
      </w:r>
      <w:r>
        <w:rPr>
          <w:b w:val="0"/>
          <w:bCs w:val="0"/>
          <w:webHidden/>
        </w:rPr>
        <w:fldChar w:fldCharType="begin"/>
      </w:r>
      <w:r>
        <w:rPr>
          <w:b w:val="0"/>
          <w:bCs w:val="0"/>
          <w:webHidden/>
        </w:rPr>
        <w:instrText xml:space="preserve"> PAGEREF _Toc214311256 \h </w:instrText>
      </w:r>
      <w:r>
        <w:rPr>
          <w:b w:val="0"/>
          <w:bCs w:val="0"/>
          <w:webHidden/>
        </w:rPr>
      </w:r>
      <w:r>
        <w:rPr>
          <w:b w:val="0"/>
          <w:bCs w:val="0"/>
          <w:webHidden/>
        </w:rPr>
        <w:fldChar w:fldCharType="separate"/>
      </w:r>
      <w:r w:rsidR="001A08FA">
        <w:rPr>
          <w:b w:val="0"/>
          <w:bCs w:val="0"/>
          <w:webHidden/>
        </w:rPr>
        <w:t>152</w:t>
      </w:r>
      <w:r>
        <w:rPr>
          <w:b w:val="0"/>
          <w:bCs w:val="0"/>
          <w:webHidden/>
        </w:rPr>
        <w:fldChar w:fldCharType="end"/>
      </w:r>
      <w:r>
        <w:rPr>
          <w:rStyle w:val="Hyperlink"/>
          <w:b w:val="0"/>
          <w:bCs w:val="0"/>
        </w:rPr>
        <w:fldChar w:fldCharType="end"/>
      </w:r>
    </w:p>
    <w:p w14:paraId="652553C9" w14:textId="613FDCAF" w:rsidR="00085789" w:rsidRDefault="00085789">
      <w:pPr>
        <w:pStyle w:val="TOC1"/>
        <w:rPr>
          <w:rStyle w:val="Hyperlink"/>
        </w:rPr>
      </w:pPr>
      <w:hyperlink w:anchor="_Toc214311257" w:history="1">
        <w:r>
          <w:rPr>
            <w:rStyle w:val="Hyperlink"/>
            <w:lang w:val="nl-NL"/>
          </w:rPr>
          <w:t>CHƯƠNG V</w:t>
        </w:r>
      </w:hyperlink>
    </w:p>
    <w:p w14:paraId="640C2ACC" w14:textId="77777777" w:rsidR="00085789" w:rsidRDefault="00000000">
      <w:pPr>
        <w:pStyle w:val="H1"/>
        <w:widowControl w:val="0"/>
        <w:spacing w:before="40" w:after="40" w:line="240" w:lineRule="auto"/>
        <w:rPr>
          <w:noProof/>
          <w:sz w:val="24"/>
          <w:szCs w:val="24"/>
          <w:lang w:val="nl-NL"/>
        </w:rPr>
      </w:pPr>
      <w:r>
        <w:rPr>
          <w:noProof/>
          <w:sz w:val="24"/>
          <w:szCs w:val="24"/>
          <w:lang w:val="nl-NL"/>
        </w:rPr>
        <w:t>HIỆN TRẠNG MÔI TRƯỜNG ĐẤT</w:t>
      </w:r>
    </w:p>
    <w:p w14:paraId="41D2B9B6" w14:textId="3229C49E" w:rsidR="00085789" w:rsidRDefault="00085789">
      <w:pPr>
        <w:pStyle w:val="TOC1"/>
        <w:rPr>
          <w:rFonts w:asciiTheme="minorHAnsi" w:eastAsiaTheme="minorEastAsia" w:hAnsiTheme="minorHAnsi" w:cstheme="minorBidi"/>
          <w:kern w:val="2"/>
          <w:lang w:val="en-US"/>
          <w14:ligatures w14:val="standardContextual"/>
        </w:rPr>
      </w:pPr>
      <w:hyperlink w:anchor="_Toc214311258" w:history="1">
        <w:r>
          <w:rPr>
            <w:rStyle w:val="Hyperlink"/>
            <w:lang w:val="nl-NL"/>
          </w:rPr>
          <w:t>5.1. Hiện trạng sử dụng đất</w:t>
        </w:r>
        <w:r>
          <w:rPr>
            <w:webHidden/>
          </w:rPr>
          <w:tab/>
        </w:r>
        <w:r>
          <w:rPr>
            <w:webHidden/>
          </w:rPr>
          <w:fldChar w:fldCharType="begin"/>
        </w:r>
        <w:r>
          <w:rPr>
            <w:webHidden/>
          </w:rPr>
          <w:instrText xml:space="preserve"> PAGEREF _Toc214311258 \h </w:instrText>
        </w:r>
        <w:r>
          <w:rPr>
            <w:webHidden/>
          </w:rPr>
        </w:r>
        <w:r>
          <w:rPr>
            <w:webHidden/>
          </w:rPr>
          <w:fldChar w:fldCharType="separate"/>
        </w:r>
        <w:r w:rsidR="001A08FA">
          <w:rPr>
            <w:webHidden/>
          </w:rPr>
          <w:t>154</w:t>
        </w:r>
        <w:r>
          <w:rPr>
            <w:webHidden/>
          </w:rPr>
          <w:fldChar w:fldCharType="end"/>
        </w:r>
      </w:hyperlink>
    </w:p>
    <w:p w14:paraId="4C2B60A5" w14:textId="7BB254A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59" w:history="1">
        <w:r>
          <w:rPr>
            <w:rStyle w:val="Hyperlink"/>
            <w:b w:val="0"/>
            <w:bCs w:val="0"/>
            <w:lang w:val="nl-NL"/>
          </w:rPr>
          <w:t>5.1.1. Hiện trạng đất theo vùng</w:t>
        </w:r>
        <w:r>
          <w:rPr>
            <w:b w:val="0"/>
            <w:bCs w:val="0"/>
            <w:webHidden/>
          </w:rPr>
          <w:tab/>
        </w:r>
        <w:r>
          <w:rPr>
            <w:b w:val="0"/>
            <w:bCs w:val="0"/>
            <w:webHidden/>
          </w:rPr>
          <w:fldChar w:fldCharType="begin"/>
        </w:r>
        <w:r>
          <w:rPr>
            <w:b w:val="0"/>
            <w:bCs w:val="0"/>
            <w:webHidden/>
          </w:rPr>
          <w:instrText xml:space="preserve"> PAGEREF _Toc214311259 \h </w:instrText>
        </w:r>
        <w:r>
          <w:rPr>
            <w:b w:val="0"/>
            <w:bCs w:val="0"/>
            <w:webHidden/>
          </w:rPr>
        </w:r>
        <w:r>
          <w:rPr>
            <w:b w:val="0"/>
            <w:bCs w:val="0"/>
            <w:webHidden/>
          </w:rPr>
          <w:fldChar w:fldCharType="separate"/>
        </w:r>
        <w:r w:rsidR="001A08FA">
          <w:rPr>
            <w:b w:val="0"/>
            <w:bCs w:val="0"/>
            <w:webHidden/>
          </w:rPr>
          <w:t>154</w:t>
        </w:r>
        <w:r>
          <w:rPr>
            <w:b w:val="0"/>
            <w:bCs w:val="0"/>
            <w:webHidden/>
          </w:rPr>
          <w:fldChar w:fldCharType="end"/>
        </w:r>
      </w:hyperlink>
    </w:p>
    <w:p w14:paraId="37277880" w14:textId="586E0B5D"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0" w:history="1">
        <w:r>
          <w:rPr>
            <w:rStyle w:val="Hyperlink"/>
            <w:b w:val="0"/>
            <w:bCs w:val="0"/>
            <w:lang w:val="nl-NL"/>
          </w:rPr>
          <w:t>5.1.2. Diễn biến sử dụng đất và sức ép lên môi trường</w:t>
        </w:r>
        <w:r>
          <w:rPr>
            <w:b w:val="0"/>
            <w:bCs w:val="0"/>
            <w:webHidden/>
          </w:rPr>
          <w:tab/>
        </w:r>
        <w:r>
          <w:rPr>
            <w:b w:val="0"/>
            <w:bCs w:val="0"/>
            <w:webHidden/>
          </w:rPr>
          <w:fldChar w:fldCharType="begin"/>
        </w:r>
        <w:r>
          <w:rPr>
            <w:b w:val="0"/>
            <w:bCs w:val="0"/>
            <w:webHidden/>
          </w:rPr>
          <w:instrText xml:space="preserve"> PAGEREF _Toc214311260 \h </w:instrText>
        </w:r>
        <w:r>
          <w:rPr>
            <w:b w:val="0"/>
            <w:bCs w:val="0"/>
            <w:webHidden/>
          </w:rPr>
        </w:r>
        <w:r>
          <w:rPr>
            <w:b w:val="0"/>
            <w:bCs w:val="0"/>
            <w:webHidden/>
          </w:rPr>
          <w:fldChar w:fldCharType="separate"/>
        </w:r>
        <w:r w:rsidR="001A08FA">
          <w:rPr>
            <w:b w:val="0"/>
            <w:bCs w:val="0"/>
            <w:webHidden/>
          </w:rPr>
          <w:t>155</w:t>
        </w:r>
        <w:r>
          <w:rPr>
            <w:b w:val="0"/>
            <w:bCs w:val="0"/>
            <w:webHidden/>
          </w:rPr>
          <w:fldChar w:fldCharType="end"/>
        </w:r>
      </w:hyperlink>
    </w:p>
    <w:p w14:paraId="0046A92F" w14:textId="2725A2C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1" w:history="1">
        <w:r>
          <w:rPr>
            <w:rStyle w:val="Hyperlink"/>
            <w:b w:val="0"/>
            <w:bCs w:val="0"/>
            <w:lang w:val="nl-NL"/>
          </w:rPr>
          <w:t>5.1.3. Khái quát, đánh giá về công tác cải tạo, phục hồi môi trường đất</w:t>
        </w:r>
        <w:r>
          <w:rPr>
            <w:b w:val="0"/>
            <w:bCs w:val="0"/>
            <w:webHidden/>
          </w:rPr>
          <w:tab/>
        </w:r>
        <w:r>
          <w:rPr>
            <w:b w:val="0"/>
            <w:bCs w:val="0"/>
            <w:webHidden/>
          </w:rPr>
          <w:fldChar w:fldCharType="begin"/>
        </w:r>
        <w:r>
          <w:rPr>
            <w:b w:val="0"/>
            <w:bCs w:val="0"/>
            <w:webHidden/>
          </w:rPr>
          <w:instrText xml:space="preserve"> PAGEREF _Toc214311261 \h </w:instrText>
        </w:r>
        <w:r>
          <w:rPr>
            <w:b w:val="0"/>
            <w:bCs w:val="0"/>
            <w:webHidden/>
          </w:rPr>
        </w:r>
        <w:r>
          <w:rPr>
            <w:b w:val="0"/>
            <w:bCs w:val="0"/>
            <w:webHidden/>
          </w:rPr>
          <w:fldChar w:fldCharType="separate"/>
        </w:r>
        <w:r w:rsidR="001A08FA">
          <w:rPr>
            <w:b w:val="0"/>
            <w:bCs w:val="0"/>
            <w:webHidden/>
          </w:rPr>
          <w:t>156</w:t>
        </w:r>
        <w:r>
          <w:rPr>
            <w:b w:val="0"/>
            <w:bCs w:val="0"/>
            <w:webHidden/>
          </w:rPr>
          <w:fldChar w:fldCharType="end"/>
        </w:r>
      </w:hyperlink>
    </w:p>
    <w:p w14:paraId="31D52C05" w14:textId="04CE50B3" w:rsidR="00085789" w:rsidRDefault="00085789">
      <w:pPr>
        <w:pStyle w:val="TOC1"/>
        <w:rPr>
          <w:rFonts w:asciiTheme="minorHAnsi" w:eastAsiaTheme="minorEastAsia" w:hAnsiTheme="minorHAnsi" w:cstheme="minorBidi"/>
          <w:kern w:val="2"/>
          <w:lang w:val="en-US"/>
          <w14:ligatures w14:val="standardContextual"/>
        </w:rPr>
      </w:pPr>
      <w:hyperlink w:anchor="_Toc214311262" w:history="1">
        <w:r>
          <w:rPr>
            <w:rStyle w:val="Hyperlink"/>
            <w:lang w:val="nl-NL"/>
          </w:rPr>
          <w:t>5.2. Diễn biến ô nhiễm đất</w:t>
        </w:r>
        <w:r>
          <w:rPr>
            <w:webHidden/>
          </w:rPr>
          <w:tab/>
        </w:r>
        <w:r>
          <w:rPr>
            <w:webHidden/>
          </w:rPr>
          <w:fldChar w:fldCharType="begin"/>
        </w:r>
        <w:r>
          <w:rPr>
            <w:webHidden/>
          </w:rPr>
          <w:instrText xml:space="preserve"> PAGEREF _Toc214311262 \h </w:instrText>
        </w:r>
        <w:r>
          <w:rPr>
            <w:webHidden/>
          </w:rPr>
        </w:r>
        <w:r>
          <w:rPr>
            <w:webHidden/>
          </w:rPr>
          <w:fldChar w:fldCharType="separate"/>
        </w:r>
        <w:r w:rsidR="001A08FA">
          <w:rPr>
            <w:webHidden/>
          </w:rPr>
          <w:t>157</w:t>
        </w:r>
        <w:r>
          <w:rPr>
            <w:webHidden/>
          </w:rPr>
          <w:fldChar w:fldCharType="end"/>
        </w:r>
      </w:hyperlink>
    </w:p>
    <w:p w14:paraId="5A067B48" w14:textId="56127052"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3" w:history="1">
        <w:r>
          <w:rPr>
            <w:rStyle w:val="Hyperlink"/>
            <w:b w:val="0"/>
            <w:bCs w:val="0"/>
            <w:lang w:val="nl-NL"/>
          </w:rPr>
          <w:t>5.2.1. Khái quát diễn biến chất lượng môi trường đất</w:t>
        </w:r>
        <w:r>
          <w:rPr>
            <w:b w:val="0"/>
            <w:bCs w:val="0"/>
            <w:webHidden/>
          </w:rPr>
          <w:tab/>
        </w:r>
        <w:r>
          <w:rPr>
            <w:b w:val="0"/>
            <w:bCs w:val="0"/>
            <w:webHidden/>
          </w:rPr>
          <w:fldChar w:fldCharType="begin"/>
        </w:r>
        <w:r>
          <w:rPr>
            <w:b w:val="0"/>
            <w:bCs w:val="0"/>
            <w:webHidden/>
          </w:rPr>
          <w:instrText xml:space="preserve"> PAGEREF _Toc214311263 \h </w:instrText>
        </w:r>
        <w:r>
          <w:rPr>
            <w:b w:val="0"/>
            <w:bCs w:val="0"/>
            <w:webHidden/>
          </w:rPr>
        </w:r>
        <w:r>
          <w:rPr>
            <w:b w:val="0"/>
            <w:bCs w:val="0"/>
            <w:webHidden/>
          </w:rPr>
          <w:fldChar w:fldCharType="separate"/>
        </w:r>
        <w:r w:rsidR="001A08FA">
          <w:rPr>
            <w:b w:val="0"/>
            <w:bCs w:val="0"/>
            <w:webHidden/>
          </w:rPr>
          <w:t>157</w:t>
        </w:r>
        <w:r>
          <w:rPr>
            <w:b w:val="0"/>
            <w:bCs w:val="0"/>
            <w:webHidden/>
          </w:rPr>
          <w:fldChar w:fldCharType="end"/>
        </w:r>
      </w:hyperlink>
    </w:p>
    <w:p w14:paraId="45B45B9D" w14:textId="70E6126D"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4" w:history="1">
        <w:r>
          <w:rPr>
            <w:rStyle w:val="Hyperlink"/>
            <w:b w:val="0"/>
            <w:bCs w:val="0"/>
            <w:lang w:val="nl-NL"/>
          </w:rPr>
          <w:t>5.2.2. Diễn biến chất lượng môi trường đất</w:t>
        </w:r>
        <w:r>
          <w:rPr>
            <w:b w:val="0"/>
            <w:bCs w:val="0"/>
            <w:webHidden/>
          </w:rPr>
          <w:tab/>
        </w:r>
        <w:r>
          <w:rPr>
            <w:b w:val="0"/>
            <w:bCs w:val="0"/>
            <w:webHidden/>
          </w:rPr>
          <w:fldChar w:fldCharType="begin"/>
        </w:r>
        <w:r>
          <w:rPr>
            <w:b w:val="0"/>
            <w:bCs w:val="0"/>
            <w:webHidden/>
          </w:rPr>
          <w:instrText xml:space="preserve"> PAGEREF _Toc214311264 \h </w:instrText>
        </w:r>
        <w:r>
          <w:rPr>
            <w:b w:val="0"/>
            <w:bCs w:val="0"/>
            <w:webHidden/>
          </w:rPr>
        </w:r>
        <w:r>
          <w:rPr>
            <w:b w:val="0"/>
            <w:bCs w:val="0"/>
            <w:webHidden/>
          </w:rPr>
          <w:fldChar w:fldCharType="separate"/>
        </w:r>
        <w:r w:rsidR="001A08FA">
          <w:rPr>
            <w:b w:val="0"/>
            <w:bCs w:val="0"/>
            <w:webHidden/>
          </w:rPr>
          <w:t>158</w:t>
        </w:r>
        <w:r>
          <w:rPr>
            <w:b w:val="0"/>
            <w:bCs w:val="0"/>
            <w:webHidden/>
          </w:rPr>
          <w:fldChar w:fldCharType="end"/>
        </w:r>
      </w:hyperlink>
    </w:p>
    <w:p w14:paraId="332B6370" w14:textId="3B2F065D" w:rsidR="00085789" w:rsidRDefault="00085789">
      <w:pPr>
        <w:pStyle w:val="TOC1"/>
        <w:rPr>
          <w:rStyle w:val="Hyperlink"/>
        </w:rPr>
      </w:pPr>
      <w:hyperlink w:anchor="_Toc214311265" w:history="1">
        <w:r>
          <w:rPr>
            <w:rStyle w:val="Hyperlink"/>
            <w:lang w:val="nl-NL"/>
          </w:rPr>
          <w:t>CHƯƠNG VI</w:t>
        </w:r>
      </w:hyperlink>
    </w:p>
    <w:p w14:paraId="22928B84" w14:textId="77777777" w:rsidR="00085789" w:rsidRDefault="00000000">
      <w:pPr>
        <w:pStyle w:val="H1"/>
        <w:spacing w:before="40" w:after="40" w:line="240" w:lineRule="auto"/>
        <w:rPr>
          <w:noProof/>
          <w:sz w:val="24"/>
          <w:szCs w:val="24"/>
          <w:lang w:val="nl-NL"/>
        </w:rPr>
      </w:pPr>
      <w:r>
        <w:rPr>
          <w:noProof/>
          <w:sz w:val="24"/>
          <w:szCs w:val="24"/>
          <w:lang w:val="nl-NL"/>
        </w:rPr>
        <w:t>HIỆN TRẠNG ĐA DẠNG SINH HỌC</w:t>
      </w:r>
    </w:p>
    <w:p w14:paraId="6AFF19E5" w14:textId="0A0FBB0A" w:rsidR="00085789" w:rsidRDefault="00085789">
      <w:pPr>
        <w:pStyle w:val="TOC1"/>
        <w:rPr>
          <w:rFonts w:asciiTheme="minorHAnsi" w:eastAsiaTheme="minorEastAsia" w:hAnsiTheme="minorHAnsi" w:cstheme="minorBidi"/>
          <w:kern w:val="2"/>
          <w:lang w:val="en-US"/>
          <w14:ligatures w14:val="standardContextual"/>
        </w:rPr>
      </w:pPr>
      <w:hyperlink w:anchor="_Toc214311266" w:history="1">
        <w:r>
          <w:rPr>
            <w:rStyle w:val="Hyperlink"/>
            <w:lang w:val="nl-NL"/>
          </w:rPr>
          <w:t>6.1. Hiện trạng HST rừng</w:t>
        </w:r>
        <w:r>
          <w:rPr>
            <w:webHidden/>
          </w:rPr>
          <w:tab/>
        </w:r>
        <w:r>
          <w:rPr>
            <w:webHidden/>
          </w:rPr>
          <w:fldChar w:fldCharType="begin"/>
        </w:r>
        <w:r>
          <w:rPr>
            <w:webHidden/>
          </w:rPr>
          <w:instrText xml:space="preserve"> PAGEREF _Toc214311266 \h </w:instrText>
        </w:r>
        <w:r>
          <w:rPr>
            <w:webHidden/>
          </w:rPr>
        </w:r>
        <w:r>
          <w:rPr>
            <w:webHidden/>
          </w:rPr>
          <w:fldChar w:fldCharType="separate"/>
        </w:r>
        <w:r w:rsidR="001A08FA">
          <w:rPr>
            <w:webHidden/>
          </w:rPr>
          <w:t>165</w:t>
        </w:r>
        <w:r>
          <w:rPr>
            <w:webHidden/>
          </w:rPr>
          <w:fldChar w:fldCharType="end"/>
        </w:r>
      </w:hyperlink>
    </w:p>
    <w:p w14:paraId="57916951" w14:textId="15F89312"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7" w:history="1">
        <w:r>
          <w:rPr>
            <w:rStyle w:val="Hyperlink"/>
            <w:b w:val="0"/>
            <w:bCs w:val="0"/>
            <w:lang w:val="nl-NL"/>
          </w:rPr>
          <w:t>6.1.1. HST rừng đồi núi</w:t>
        </w:r>
        <w:r>
          <w:rPr>
            <w:b w:val="0"/>
            <w:bCs w:val="0"/>
            <w:webHidden/>
          </w:rPr>
          <w:tab/>
        </w:r>
        <w:r>
          <w:rPr>
            <w:b w:val="0"/>
            <w:bCs w:val="0"/>
            <w:webHidden/>
          </w:rPr>
          <w:fldChar w:fldCharType="begin"/>
        </w:r>
        <w:r>
          <w:rPr>
            <w:b w:val="0"/>
            <w:bCs w:val="0"/>
            <w:webHidden/>
          </w:rPr>
          <w:instrText xml:space="preserve"> PAGEREF _Toc214311267 \h </w:instrText>
        </w:r>
        <w:r>
          <w:rPr>
            <w:b w:val="0"/>
            <w:bCs w:val="0"/>
            <w:webHidden/>
          </w:rPr>
        </w:r>
        <w:r>
          <w:rPr>
            <w:b w:val="0"/>
            <w:bCs w:val="0"/>
            <w:webHidden/>
          </w:rPr>
          <w:fldChar w:fldCharType="separate"/>
        </w:r>
        <w:r w:rsidR="001A08FA">
          <w:rPr>
            <w:b w:val="0"/>
            <w:bCs w:val="0"/>
            <w:webHidden/>
          </w:rPr>
          <w:t>165</w:t>
        </w:r>
        <w:r>
          <w:rPr>
            <w:b w:val="0"/>
            <w:bCs w:val="0"/>
            <w:webHidden/>
          </w:rPr>
          <w:fldChar w:fldCharType="end"/>
        </w:r>
      </w:hyperlink>
    </w:p>
    <w:p w14:paraId="00821D79" w14:textId="60F7A1E0"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68" w:history="1">
        <w:r>
          <w:rPr>
            <w:rStyle w:val="Hyperlink"/>
            <w:b w:val="0"/>
            <w:bCs w:val="0"/>
            <w:lang w:val="nl-NL"/>
          </w:rPr>
          <w:t>6.1.2. HST rừng ngập mặn</w:t>
        </w:r>
        <w:r>
          <w:rPr>
            <w:b w:val="0"/>
            <w:bCs w:val="0"/>
            <w:webHidden/>
          </w:rPr>
          <w:tab/>
        </w:r>
        <w:r>
          <w:rPr>
            <w:b w:val="0"/>
            <w:bCs w:val="0"/>
            <w:webHidden/>
          </w:rPr>
          <w:fldChar w:fldCharType="begin"/>
        </w:r>
        <w:r>
          <w:rPr>
            <w:b w:val="0"/>
            <w:bCs w:val="0"/>
            <w:webHidden/>
          </w:rPr>
          <w:instrText xml:space="preserve"> PAGEREF _Toc214311268 \h </w:instrText>
        </w:r>
        <w:r>
          <w:rPr>
            <w:b w:val="0"/>
            <w:bCs w:val="0"/>
            <w:webHidden/>
          </w:rPr>
        </w:r>
        <w:r>
          <w:rPr>
            <w:b w:val="0"/>
            <w:bCs w:val="0"/>
            <w:webHidden/>
          </w:rPr>
          <w:fldChar w:fldCharType="separate"/>
        </w:r>
        <w:r w:rsidR="001A08FA">
          <w:rPr>
            <w:b w:val="0"/>
            <w:bCs w:val="0"/>
            <w:webHidden/>
          </w:rPr>
          <w:t>165</w:t>
        </w:r>
        <w:r>
          <w:rPr>
            <w:b w:val="0"/>
            <w:bCs w:val="0"/>
            <w:webHidden/>
          </w:rPr>
          <w:fldChar w:fldCharType="end"/>
        </w:r>
      </w:hyperlink>
    </w:p>
    <w:p w14:paraId="1AB164A8" w14:textId="068C247F" w:rsidR="00085789" w:rsidRDefault="00085789">
      <w:pPr>
        <w:pStyle w:val="TOC1"/>
        <w:rPr>
          <w:rFonts w:asciiTheme="minorHAnsi" w:eastAsiaTheme="minorEastAsia" w:hAnsiTheme="minorHAnsi" w:cstheme="minorBidi"/>
          <w:kern w:val="2"/>
          <w:lang w:val="en-US"/>
          <w14:ligatures w14:val="standardContextual"/>
        </w:rPr>
      </w:pPr>
      <w:hyperlink w:anchor="_Toc214311269" w:history="1">
        <w:r>
          <w:rPr>
            <w:rStyle w:val="Hyperlink"/>
            <w:lang w:val="nl-NL"/>
          </w:rPr>
          <w:t>6.2. Hiện trạng HST đất ngập nước</w:t>
        </w:r>
        <w:r>
          <w:rPr>
            <w:webHidden/>
          </w:rPr>
          <w:tab/>
        </w:r>
        <w:r>
          <w:rPr>
            <w:webHidden/>
          </w:rPr>
          <w:fldChar w:fldCharType="begin"/>
        </w:r>
        <w:r>
          <w:rPr>
            <w:webHidden/>
          </w:rPr>
          <w:instrText xml:space="preserve"> PAGEREF _Toc214311269 \h </w:instrText>
        </w:r>
        <w:r>
          <w:rPr>
            <w:webHidden/>
          </w:rPr>
        </w:r>
        <w:r>
          <w:rPr>
            <w:webHidden/>
          </w:rPr>
          <w:fldChar w:fldCharType="separate"/>
        </w:r>
        <w:r w:rsidR="001A08FA">
          <w:rPr>
            <w:webHidden/>
          </w:rPr>
          <w:t>166</w:t>
        </w:r>
        <w:r>
          <w:rPr>
            <w:webHidden/>
          </w:rPr>
          <w:fldChar w:fldCharType="end"/>
        </w:r>
      </w:hyperlink>
    </w:p>
    <w:p w14:paraId="226F2F44" w14:textId="38D6BF6B" w:rsidR="00085789" w:rsidRDefault="00085789">
      <w:pPr>
        <w:pStyle w:val="TOC1"/>
        <w:rPr>
          <w:rFonts w:asciiTheme="minorHAnsi" w:eastAsiaTheme="minorEastAsia" w:hAnsiTheme="minorHAnsi" w:cstheme="minorBidi"/>
          <w:kern w:val="2"/>
          <w:lang w:val="en-US"/>
          <w14:ligatures w14:val="standardContextual"/>
        </w:rPr>
      </w:pPr>
      <w:hyperlink w:anchor="_Toc214311270" w:history="1">
        <w:r>
          <w:rPr>
            <w:rStyle w:val="Hyperlink"/>
            <w:lang w:val="nl-NL"/>
          </w:rPr>
          <w:t>6.2.1. Đất ngập nước biển ven bờ lục địa</w:t>
        </w:r>
        <w:r>
          <w:rPr>
            <w:webHidden/>
          </w:rPr>
          <w:tab/>
        </w:r>
        <w:r>
          <w:rPr>
            <w:webHidden/>
          </w:rPr>
          <w:fldChar w:fldCharType="begin"/>
        </w:r>
        <w:r>
          <w:rPr>
            <w:webHidden/>
          </w:rPr>
          <w:instrText xml:space="preserve"> PAGEREF _Toc214311270 \h </w:instrText>
        </w:r>
        <w:r>
          <w:rPr>
            <w:webHidden/>
          </w:rPr>
        </w:r>
        <w:r>
          <w:rPr>
            <w:webHidden/>
          </w:rPr>
          <w:fldChar w:fldCharType="separate"/>
        </w:r>
        <w:r w:rsidR="001A08FA">
          <w:rPr>
            <w:webHidden/>
          </w:rPr>
          <w:t>166</w:t>
        </w:r>
        <w:r>
          <w:rPr>
            <w:webHidden/>
          </w:rPr>
          <w:fldChar w:fldCharType="end"/>
        </w:r>
      </w:hyperlink>
    </w:p>
    <w:p w14:paraId="1E750574" w14:textId="4EEFDD34" w:rsidR="00085789" w:rsidRDefault="00085789">
      <w:pPr>
        <w:pStyle w:val="TOC1"/>
        <w:rPr>
          <w:rFonts w:asciiTheme="minorHAnsi" w:eastAsiaTheme="minorEastAsia" w:hAnsiTheme="minorHAnsi" w:cstheme="minorBidi"/>
          <w:kern w:val="2"/>
          <w:lang w:val="en-US"/>
          <w14:ligatures w14:val="standardContextual"/>
        </w:rPr>
      </w:pPr>
      <w:hyperlink w:anchor="_Toc214311271" w:history="1">
        <w:r>
          <w:rPr>
            <w:rStyle w:val="Hyperlink"/>
            <w:lang w:val="nl-NL"/>
          </w:rPr>
          <w:t>6.3. Hiện trạng HST khác</w:t>
        </w:r>
        <w:r>
          <w:rPr>
            <w:webHidden/>
          </w:rPr>
          <w:tab/>
        </w:r>
        <w:r>
          <w:rPr>
            <w:webHidden/>
          </w:rPr>
          <w:fldChar w:fldCharType="begin"/>
        </w:r>
        <w:r>
          <w:rPr>
            <w:webHidden/>
          </w:rPr>
          <w:instrText xml:space="preserve"> PAGEREF _Toc214311271 \h </w:instrText>
        </w:r>
        <w:r>
          <w:rPr>
            <w:webHidden/>
          </w:rPr>
        </w:r>
        <w:r>
          <w:rPr>
            <w:webHidden/>
          </w:rPr>
          <w:fldChar w:fldCharType="separate"/>
        </w:r>
        <w:r w:rsidR="001A08FA">
          <w:rPr>
            <w:webHidden/>
          </w:rPr>
          <w:t>169</w:t>
        </w:r>
        <w:r>
          <w:rPr>
            <w:webHidden/>
          </w:rPr>
          <w:fldChar w:fldCharType="end"/>
        </w:r>
      </w:hyperlink>
    </w:p>
    <w:p w14:paraId="0A5F08C0" w14:textId="002C9591" w:rsidR="00085789" w:rsidRDefault="00085789">
      <w:pPr>
        <w:pStyle w:val="TOC1"/>
        <w:rPr>
          <w:rFonts w:asciiTheme="minorHAnsi" w:eastAsiaTheme="minorEastAsia" w:hAnsiTheme="minorHAnsi" w:cstheme="minorBidi"/>
          <w:kern w:val="2"/>
          <w:lang w:val="en-US"/>
          <w14:ligatures w14:val="standardContextual"/>
        </w:rPr>
      </w:pPr>
      <w:hyperlink w:anchor="_Toc214311272" w:history="1">
        <w:r>
          <w:rPr>
            <w:rStyle w:val="Hyperlink"/>
            <w:lang w:val="nl-NL"/>
          </w:rPr>
          <w:t>6.4. Loài và nguồn gen</w:t>
        </w:r>
        <w:r>
          <w:rPr>
            <w:webHidden/>
          </w:rPr>
          <w:tab/>
        </w:r>
        <w:r>
          <w:rPr>
            <w:webHidden/>
          </w:rPr>
          <w:fldChar w:fldCharType="begin"/>
        </w:r>
        <w:r>
          <w:rPr>
            <w:webHidden/>
          </w:rPr>
          <w:instrText xml:space="preserve"> PAGEREF _Toc214311272 \h </w:instrText>
        </w:r>
        <w:r>
          <w:rPr>
            <w:webHidden/>
          </w:rPr>
        </w:r>
        <w:r>
          <w:rPr>
            <w:webHidden/>
          </w:rPr>
          <w:fldChar w:fldCharType="separate"/>
        </w:r>
        <w:r w:rsidR="001A08FA">
          <w:rPr>
            <w:webHidden/>
          </w:rPr>
          <w:t>170</w:t>
        </w:r>
        <w:r>
          <w:rPr>
            <w:webHidden/>
          </w:rPr>
          <w:fldChar w:fldCharType="end"/>
        </w:r>
      </w:hyperlink>
    </w:p>
    <w:p w14:paraId="7ADF6229" w14:textId="33902010"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73" w:history="1">
        <w:r>
          <w:rPr>
            <w:rStyle w:val="Hyperlink"/>
            <w:b w:val="0"/>
            <w:bCs w:val="0"/>
            <w:lang w:val="nl-NL"/>
          </w:rPr>
          <w:t>6.4.1. Đa dạng thành phần loài thực vật</w:t>
        </w:r>
        <w:r>
          <w:rPr>
            <w:b w:val="0"/>
            <w:bCs w:val="0"/>
            <w:webHidden/>
          </w:rPr>
          <w:tab/>
        </w:r>
        <w:r>
          <w:rPr>
            <w:b w:val="0"/>
            <w:bCs w:val="0"/>
            <w:webHidden/>
          </w:rPr>
          <w:fldChar w:fldCharType="begin"/>
        </w:r>
        <w:r>
          <w:rPr>
            <w:b w:val="0"/>
            <w:bCs w:val="0"/>
            <w:webHidden/>
          </w:rPr>
          <w:instrText xml:space="preserve"> PAGEREF _Toc214311273 \h </w:instrText>
        </w:r>
        <w:r>
          <w:rPr>
            <w:b w:val="0"/>
            <w:bCs w:val="0"/>
            <w:webHidden/>
          </w:rPr>
        </w:r>
        <w:r>
          <w:rPr>
            <w:b w:val="0"/>
            <w:bCs w:val="0"/>
            <w:webHidden/>
          </w:rPr>
          <w:fldChar w:fldCharType="separate"/>
        </w:r>
        <w:r w:rsidR="001A08FA">
          <w:rPr>
            <w:b w:val="0"/>
            <w:bCs w:val="0"/>
            <w:webHidden/>
          </w:rPr>
          <w:t>171</w:t>
        </w:r>
        <w:r>
          <w:rPr>
            <w:b w:val="0"/>
            <w:bCs w:val="0"/>
            <w:webHidden/>
          </w:rPr>
          <w:fldChar w:fldCharType="end"/>
        </w:r>
      </w:hyperlink>
    </w:p>
    <w:p w14:paraId="66C5AE20" w14:textId="2195E208"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74" w:history="1">
        <w:r>
          <w:rPr>
            <w:rStyle w:val="Hyperlink"/>
            <w:b w:val="0"/>
            <w:bCs w:val="0"/>
            <w:lang w:val="nl-NL"/>
          </w:rPr>
          <w:t>6.4.2. Đa dạng thành phần loài động vật</w:t>
        </w:r>
        <w:r>
          <w:rPr>
            <w:b w:val="0"/>
            <w:bCs w:val="0"/>
            <w:webHidden/>
          </w:rPr>
          <w:tab/>
        </w:r>
        <w:r>
          <w:rPr>
            <w:b w:val="0"/>
            <w:bCs w:val="0"/>
            <w:webHidden/>
          </w:rPr>
          <w:fldChar w:fldCharType="begin"/>
        </w:r>
        <w:r>
          <w:rPr>
            <w:b w:val="0"/>
            <w:bCs w:val="0"/>
            <w:webHidden/>
          </w:rPr>
          <w:instrText xml:space="preserve"> PAGEREF _Toc214311274 \h </w:instrText>
        </w:r>
        <w:r>
          <w:rPr>
            <w:b w:val="0"/>
            <w:bCs w:val="0"/>
            <w:webHidden/>
          </w:rPr>
        </w:r>
        <w:r>
          <w:rPr>
            <w:b w:val="0"/>
            <w:bCs w:val="0"/>
            <w:webHidden/>
          </w:rPr>
          <w:fldChar w:fldCharType="separate"/>
        </w:r>
        <w:r w:rsidR="001A08FA">
          <w:rPr>
            <w:b w:val="0"/>
            <w:bCs w:val="0"/>
            <w:webHidden/>
          </w:rPr>
          <w:t>171</w:t>
        </w:r>
        <w:r>
          <w:rPr>
            <w:b w:val="0"/>
            <w:bCs w:val="0"/>
            <w:webHidden/>
          </w:rPr>
          <w:fldChar w:fldCharType="end"/>
        </w:r>
      </w:hyperlink>
    </w:p>
    <w:p w14:paraId="48B5E129" w14:textId="24197E2C" w:rsidR="00085789" w:rsidRDefault="00085789">
      <w:pPr>
        <w:pStyle w:val="TOC1"/>
        <w:rPr>
          <w:rStyle w:val="Hyperlink"/>
        </w:rPr>
      </w:pPr>
      <w:hyperlink w:anchor="_Toc214311275" w:history="1">
        <w:r>
          <w:rPr>
            <w:rStyle w:val="Hyperlink"/>
            <w:lang w:val="nl-NL"/>
          </w:rPr>
          <w:t>Chương VII</w:t>
        </w:r>
      </w:hyperlink>
    </w:p>
    <w:p w14:paraId="048BAC14" w14:textId="77777777" w:rsidR="00085789" w:rsidRDefault="00000000">
      <w:pPr>
        <w:keepNext/>
        <w:spacing w:before="40" w:after="40" w:line="240" w:lineRule="auto"/>
        <w:jc w:val="center"/>
        <w:outlineLvl w:val="0"/>
        <w:rPr>
          <w:b/>
          <w:bCs/>
          <w:noProof/>
          <w:kern w:val="32"/>
          <w:sz w:val="24"/>
          <w:szCs w:val="24"/>
          <w:lang w:val="nl-NL"/>
        </w:rPr>
      </w:pPr>
      <w:r>
        <w:rPr>
          <w:b/>
          <w:bCs/>
          <w:noProof/>
          <w:kern w:val="32"/>
          <w:sz w:val="24"/>
          <w:szCs w:val="24"/>
          <w:lang w:val="nl-NL"/>
        </w:rPr>
        <w:t>QUẢN LÝ CHẤT THẢI RẮN</w:t>
      </w:r>
    </w:p>
    <w:p w14:paraId="7D5527FF" w14:textId="59DF9919" w:rsidR="00085789" w:rsidRDefault="00085789">
      <w:pPr>
        <w:pStyle w:val="TOC1"/>
        <w:rPr>
          <w:rFonts w:asciiTheme="minorHAnsi" w:eastAsiaTheme="minorEastAsia" w:hAnsiTheme="minorHAnsi" w:cstheme="minorBidi"/>
          <w:kern w:val="2"/>
          <w:lang w:val="en-US"/>
          <w14:ligatures w14:val="standardContextual"/>
        </w:rPr>
      </w:pPr>
      <w:hyperlink w:anchor="_Toc214311276" w:history="1">
        <w:r>
          <w:rPr>
            <w:rStyle w:val="Hyperlink"/>
            <w:lang w:val="nl-NL"/>
          </w:rPr>
          <w:t>7.1. Khái quát tình hình công tác quản lý chất thải rắn</w:t>
        </w:r>
        <w:r>
          <w:rPr>
            <w:webHidden/>
          </w:rPr>
          <w:tab/>
        </w:r>
        <w:r>
          <w:rPr>
            <w:webHidden/>
          </w:rPr>
          <w:fldChar w:fldCharType="begin"/>
        </w:r>
        <w:r>
          <w:rPr>
            <w:webHidden/>
          </w:rPr>
          <w:instrText xml:space="preserve"> PAGEREF _Toc214311276 \h </w:instrText>
        </w:r>
        <w:r>
          <w:rPr>
            <w:webHidden/>
          </w:rPr>
        </w:r>
        <w:r>
          <w:rPr>
            <w:webHidden/>
          </w:rPr>
          <w:fldChar w:fldCharType="separate"/>
        </w:r>
        <w:r w:rsidR="001A08FA">
          <w:rPr>
            <w:webHidden/>
          </w:rPr>
          <w:t>173</w:t>
        </w:r>
        <w:r>
          <w:rPr>
            <w:webHidden/>
          </w:rPr>
          <w:fldChar w:fldCharType="end"/>
        </w:r>
      </w:hyperlink>
    </w:p>
    <w:p w14:paraId="46EC4C56" w14:textId="42682601" w:rsidR="00085789" w:rsidRDefault="00085789">
      <w:pPr>
        <w:pStyle w:val="TOC1"/>
        <w:rPr>
          <w:rFonts w:asciiTheme="minorHAnsi" w:eastAsiaTheme="minorEastAsia" w:hAnsiTheme="minorHAnsi" w:cstheme="minorBidi"/>
          <w:kern w:val="2"/>
          <w:lang w:val="en-US"/>
          <w14:ligatures w14:val="standardContextual"/>
        </w:rPr>
      </w:pPr>
      <w:hyperlink w:anchor="_Toc214311277" w:history="1">
        <w:r>
          <w:rPr>
            <w:rStyle w:val="Hyperlink"/>
            <w:lang w:val="nl-NL"/>
          </w:rPr>
          <w:t>7.2. Quản lý CTR đô thị</w:t>
        </w:r>
        <w:r>
          <w:rPr>
            <w:webHidden/>
          </w:rPr>
          <w:tab/>
        </w:r>
        <w:r>
          <w:rPr>
            <w:webHidden/>
          </w:rPr>
          <w:fldChar w:fldCharType="begin"/>
        </w:r>
        <w:r>
          <w:rPr>
            <w:webHidden/>
          </w:rPr>
          <w:instrText xml:space="preserve"> PAGEREF _Toc214311277 \h </w:instrText>
        </w:r>
        <w:r>
          <w:rPr>
            <w:webHidden/>
          </w:rPr>
        </w:r>
        <w:r>
          <w:rPr>
            <w:webHidden/>
          </w:rPr>
          <w:fldChar w:fldCharType="separate"/>
        </w:r>
        <w:r w:rsidR="001A08FA">
          <w:rPr>
            <w:webHidden/>
          </w:rPr>
          <w:t>178</w:t>
        </w:r>
        <w:r>
          <w:rPr>
            <w:webHidden/>
          </w:rPr>
          <w:fldChar w:fldCharType="end"/>
        </w:r>
      </w:hyperlink>
    </w:p>
    <w:p w14:paraId="72394BE4" w14:textId="2296559B" w:rsidR="00085789" w:rsidRDefault="00085789">
      <w:pPr>
        <w:pStyle w:val="TOC1"/>
        <w:rPr>
          <w:rFonts w:asciiTheme="minorHAnsi" w:eastAsiaTheme="minorEastAsia" w:hAnsiTheme="minorHAnsi" w:cstheme="minorBidi"/>
          <w:kern w:val="2"/>
          <w:lang w:val="en-US"/>
          <w14:ligatures w14:val="standardContextual"/>
        </w:rPr>
      </w:pPr>
      <w:hyperlink w:anchor="_Toc214311278" w:history="1">
        <w:r>
          <w:rPr>
            <w:rStyle w:val="Hyperlink"/>
            <w:lang w:val="nl-NL"/>
          </w:rPr>
          <w:t>7.3. Quản lý CTR nông nghiệp, nông thôn</w:t>
        </w:r>
        <w:r>
          <w:rPr>
            <w:webHidden/>
          </w:rPr>
          <w:tab/>
        </w:r>
        <w:r>
          <w:rPr>
            <w:webHidden/>
          </w:rPr>
          <w:fldChar w:fldCharType="begin"/>
        </w:r>
        <w:r>
          <w:rPr>
            <w:webHidden/>
          </w:rPr>
          <w:instrText xml:space="preserve"> PAGEREF _Toc214311278 \h </w:instrText>
        </w:r>
        <w:r>
          <w:rPr>
            <w:webHidden/>
          </w:rPr>
        </w:r>
        <w:r>
          <w:rPr>
            <w:webHidden/>
          </w:rPr>
          <w:fldChar w:fldCharType="separate"/>
        </w:r>
        <w:r w:rsidR="001A08FA">
          <w:rPr>
            <w:webHidden/>
          </w:rPr>
          <w:t>178</w:t>
        </w:r>
        <w:r>
          <w:rPr>
            <w:webHidden/>
          </w:rPr>
          <w:fldChar w:fldCharType="end"/>
        </w:r>
      </w:hyperlink>
    </w:p>
    <w:p w14:paraId="1B216311" w14:textId="45092EBE" w:rsidR="00085789" w:rsidRDefault="00085789">
      <w:pPr>
        <w:pStyle w:val="TOC1"/>
        <w:rPr>
          <w:rFonts w:asciiTheme="minorHAnsi" w:eastAsiaTheme="minorEastAsia" w:hAnsiTheme="minorHAnsi" w:cstheme="minorBidi"/>
          <w:kern w:val="2"/>
          <w:lang w:val="en-US"/>
          <w14:ligatures w14:val="standardContextual"/>
        </w:rPr>
      </w:pPr>
      <w:hyperlink w:anchor="_Toc214311279" w:history="1">
        <w:r>
          <w:rPr>
            <w:rStyle w:val="Hyperlink"/>
            <w:lang w:val="nl-NL"/>
          </w:rPr>
          <w:t>7.4. Quản lý CTR công nghiệp</w:t>
        </w:r>
        <w:r>
          <w:rPr>
            <w:webHidden/>
          </w:rPr>
          <w:tab/>
        </w:r>
        <w:r>
          <w:rPr>
            <w:webHidden/>
          </w:rPr>
          <w:fldChar w:fldCharType="begin"/>
        </w:r>
        <w:r>
          <w:rPr>
            <w:webHidden/>
          </w:rPr>
          <w:instrText xml:space="preserve"> PAGEREF _Toc214311279 \h </w:instrText>
        </w:r>
        <w:r>
          <w:rPr>
            <w:webHidden/>
          </w:rPr>
        </w:r>
        <w:r>
          <w:rPr>
            <w:webHidden/>
          </w:rPr>
          <w:fldChar w:fldCharType="separate"/>
        </w:r>
        <w:r w:rsidR="001A08FA">
          <w:rPr>
            <w:webHidden/>
          </w:rPr>
          <w:t>178</w:t>
        </w:r>
        <w:r>
          <w:rPr>
            <w:webHidden/>
          </w:rPr>
          <w:fldChar w:fldCharType="end"/>
        </w:r>
      </w:hyperlink>
    </w:p>
    <w:p w14:paraId="6AE232C1" w14:textId="2765386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0" w:history="1">
        <w:r>
          <w:rPr>
            <w:rStyle w:val="Hyperlink"/>
            <w:b w:val="0"/>
            <w:bCs w:val="0"/>
            <w:lang w:val="nl-NL"/>
          </w:rPr>
          <w:t>7.4.1. Nguồn phát sinh CTR công nghiệp</w:t>
        </w:r>
        <w:r>
          <w:rPr>
            <w:b w:val="0"/>
            <w:bCs w:val="0"/>
            <w:webHidden/>
          </w:rPr>
          <w:tab/>
        </w:r>
        <w:r>
          <w:rPr>
            <w:b w:val="0"/>
            <w:bCs w:val="0"/>
            <w:webHidden/>
          </w:rPr>
          <w:fldChar w:fldCharType="begin"/>
        </w:r>
        <w:r>
          <w:rPr>
            <w:b w:val="0"/>
            <w:bCs w:val="0"/>
            <w:webHidden/>
          </w:rPr>
          <w:instrText xml:space="preserve"> PAGEREF _Toc214311280 \h </w:instrText>
        </w:r>
        <w:r>
          <w:rPr>
            <w:b w:val="0"/>
            <w:bCs w:val="0"/>
            <w:webHidden/>
          </w:rPr>
        </w:r>
        <w:r>
          <w:rPr>
            <w:b w:val="0"/>
            <w:bCs w:val="0"/>
            <w:webHidden/>
          </w:rPr>
          <w:fldChar w:fldCharType="separate"/>
        </w:r>
        <w:r w:rsidR="001A08FA">
          <w:rPr>
            <w:b w:val="0"/>
            <w:bCs w:val="0"/>
            <w:webHidden/>
          </w:rPr>
          <w:t>179</w:t>
        </w:r>
        <w:r>
          <w:rPr>
            <w:b w:val="0"/>
            <w:bCs w:val="0"/>
            <w:webHidden/>
          </w:rPr>
          <w:fldChar w:fldCharType="end"/>
        </w:r>
      </w:hyperlink>
    </w:p>
    <w:p w14:paraId="02C1FD12" w14:textId="208E794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1" w:history="1">
        <w:r>
          <w:rPr>
            <w:rStyle w:val="Hyperlink"/>
            <w:b w:val="0"/>
            <w:bCs w:val="0"/>
            <w:lang w:val="nl-NL"/>
          </w:rPr>
          <w:t>7.4.2. Thu gom và xử lý CTRCN</w:t>
        </w:r>
        <w:r>
          <w:rPr>
            <w:b w:val="0"/>
            <w:bCs w:val="0"/>
            <w:webHidden/>
          </w:rPr>
          <w:tab/>
        </w:r>
        <w:r>
          <w:rPr>
            <w:b w:val="0"/>
            <w:bCs w:val="0"/>
            <w:webHidden/>
          </w:rPr>
          <w:fldChar w:fldCharType="begin"/>
        </w:r>
        <w:r>
          <w:rPr>
            <w:b w:val="0"/>
            <w:bCs w:val="0"/>
            <w:webHidden/>
          </w:rPr>
          <w:instrText xml:space="preserve"> PAGEREF _Toc214311281 \h </w:instrText>
        </w:r>
        <w:r>
          <w:rPr>
            <w:b w:val="0"/>
            <w:bCs w:val="0"/>
            <w:webHidden/>
          </w:rPr>
        </w:r>
        <w:r>
          <w:rPr>
            <w:b w:val="0"/>
            <w:bCs w:val="0"/>
            <w:webHidden/>
          </w:rPr>
          <w:fldChar w:fldCharType="separate"/>
        </w:r>
        <w:r w:rsidR="001A08FA">
          <w:rPr>
            <w:b w:val="0"/>
            <w:bCs w:val="0"/>
            <w:webHidden/>
          </w:rPr>
          <w:t>180</w:t>
        </w:r>
        <w:r>
          <w:rPr>
            <w:b w:val="0"/>
            <w:bCs w:val="0"/>
            <w:webHidden/>
          </w:rPr>
          <w:fldChar w:fldCharType="end"/>
        </w:r>
      </w:hyperlink>
    </w:p>
    <w:p w14:paraId="67163ED4" w14:textId="3499899E" w:rsidR="00085789" w:rsidRDefault="00085789">
      <w:pPr>
        <w:pStyle w:val="TOC1"/>
        <w:rPr>
          <w:rFonts w:asciiTheme="minorHAnsi" w:eastAsiaTheme="minorEastAsia" w:hAnsiTheme="minorHAnsi" w:cstheme="minorBidi"/>
          <w:kern w:val="2"/>
          <w:lang w:val="en-US"/>
          <w14:ligatures w14:val="standardContextual"/>
        </w:rPr>
      </w:pPr>
      <w:hyperlink w:anchor="_Toc214311282" w:history="1">
        <w:r>
          <w:rPr>
            <w:rStyle w:val="Hyperlink"/>
            <w:lang w:val="nl-NL"/>
          </w:rPr>
          <w:t>7.5. Quản lý CTR y tế</w:t>
        </w:r>
        <w:r>
          <w:rPr>
            <w:webHidden/>
          </w:rPr>
          <w:tab/>
        </w:r>
        <w:r>
          <w:rPr>
            <w:webHidden/>
          </w:rPr>
          <w:fldChar w:fldCharType="begin"/>
        </w:r>
        <w:r>
          <w:rPr>
            <w:webHidden/>
          </w:rPr>
          <w:instrText xml:space="preserve"> PAGEREF _Toc214311282 \h </w:instrText>
        </w:r>
        <w:r>
          <w:rPr>
            <w:webHidden/>
          </w:rPr>
        </w:r>
        <w:r>
          <w:rPr>
            <w:webHidden/>
          </w:rPr>
          <w:fldChar w:fldCharType="separate"/>
        </w:r>
        <w:r w:rsidR="001A08FA">
          <w:rPr>
            <w:webHidden/>
          </w:rPr>
          <w:t>180</w:t>
        </w:r>
        <w:r>
          <w:rPr>
            <w:webHidden/>
          </w:rPr>
          <w:fldChar w:fldCharType="end"/>
        </w:r>
      </w:hyperlink>
    </w:p>
    <w:p w14:paraId="5B753A0F" w14:textId="5AD950B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3" w:history="1">
        <w:r>
          <w:rPr>
            <w:rStyle w:val="Hyperlink"/>
            <w:b w:val="0"/>
            <w:bCs w:val="0"/>
            <w:lang w:val="it-IT"/>
          </w:rPr>
          <w:t>7.5.1. Nguồn phát sinh CTR y tế</w:t>
        </w:r>
        <w:r>
          <w:rPr>
            <w:b w:val="0"/>
            <w:bCs w:val="0"/>
            <w:webHidden/>
          </w:rPr>
          <w:tab/>
        </w:r>
        <w:r>
          <w:rPr>
            <w:b w:val="0"/>
            <w:bCs w:val="0"/>
            <w:webHidden/>
          </w:rPr>
          <w:fldChar w:fldCharType="begin"/>
        </w:r>
        <w:r>
          <w:rPr>
            <w:b w:val="0"/>
            <w:bCs w:val="0"/>
            <w:webHidden/>
          </w:rPr>
          <w:instrText xml:space="preserve"> PAGEREF _Toc214311283 \h </w:instrText>
        </w:r>
        <w:r>
          <w:rPr>
            <w:b w:val="0"/>
            <w:bCs w:val="0"/>
            <w:webHidden/>
          </w:rPr>
        </w:r>
        <w:r>
          <w:rPr>
            <w:b w:val="0"/>
            <w:bCs w:val="0"/>
            <w:webHidden/>
          </w:rPr>
          <w:fldChar w:fldCharType="separate"/>
        </w:r>
        <w:r w:rsidR="001A08FA">
          <w:rPr>
            <w:b w:val="0"/>
            <w:bCs w:val="0"/>
            <w:webHidden/>
          </w:rPr>
          <w:t>180</w:t>
        </w:r>
        <w:r>
          <w:rPr>
            <w:b w:val="0"/>
            <w:bCs w:val="0"/>
            <w:webHidden/>
          </w:rPr>
          <w:fldChar w:fldCharType="end"/>
        </w:r>
      </w:hyperlink>
    </w:p>
    <w:p w14:paraId="3B4149A3" w14:textId="67CBD52C"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4" w:history="1">
        <w:r>
          <w:rPr>
            <w:rStyle w:val="Hyperlink"/>
            <w:b w:val="0"/>
            <w:bCs w:val="0"/>
            <w:lang w:val="nl-NL"/>
          </w:rPr>
          <w:t>7.5.2. Thu gom và xử lý CTR y tế</w:t>
        </w:r>
        <w:r>
          <w:rPr>
            <w:b w:val="0"/>
            <w:bCs w:val="0"/>
            <w:webHidden/>
          </w:rPr>
          <w:tab/>
        </w:r>
        <w:r>
          <w:rPr>
            <w:b w:val="0"/>
            <w:bCs w:val="0"/>
            <w:webHidden/>
          </w:rPr>
          <w:fldChar w:fldCharType="begin"/>
        </w:r>
        <w:r>
          <w:rPr>
            <w:b w:val="0"/>
            <w:bCs w:val="0"/>
            <w:webHidden/>
          </w:rPr>
          <w:instrText xml:space="preserve"> PAGEREF _Toc214311284 \h </w:instrText>
        </w:r>
        <w:r>
          <w:rPr>
            <w:b w:val="0"/>
            <w:bCs w:val="0"/>
            <w:webHidden/>
          </w:rPr>
        </w:r>
        <w:r>
          <w:rPr>
            <w:b w:val="0"/>
            <w:bCs w:val="0"/>
            <w:webHidden/>
          </w:rPr>
          <w:fldChar w:fldCharType="separate"/>
        </w:r>
        <w:r w:rsidR="001A08FA">
          <w:rPr>
            <w:b w:val="0"/>
            <w:bCs w:val="0"/>
            <w:webHidden/>
          </w:rPr>
          <w:t>185</w:t>
        </w:r>
        <w:r>
          <w:rPr>
            <w:b w:val="0"/>
            <w:bCs w:val="0"/>
            <w:webHidden/>
          </w:rPr>
          <w:fldChar w:fldCharType="end"/>
        </w:r>
      </w:hyperlink>
    </w:p>
    <w:p w14:paraId="52B2B32D" w14:textId="4CC96337" w:rsidR="00085789" w:rsidRDefault="00085789">
      <w:pPr>
        <w:pStyle w:val="TOC1"/>
        <w:rPr>
          <w:rFonts w:asciiTheme="minorHAnsi" w:eastAsiaTheme="minorEastAsia" w:hAnsiTheme="minorHAnsi" w:cstheme="minorBidi"/>
          <w:kern w:val="2"/>
          <w:lang w:val="en-US"/>
          <w14:ligatures w14:val="standardContextual"/>
        </w:rPr>
      </w:pPr>
      <w:hyperlink w:anchor="_Toc214311285" w:history="1">
        <w:r>
          <w:rPr>
            <w:rStyle w:val="Hyperlink"/>
            <w:lang w:val="nl-NL"/>
          </w:rPr>
          <w:t>7.6. Xuất nhập khẩu phế liệu</w:t>
        </w:r>
        <w:r>
          <w:rPr>
            <w:webHidden/>
          </w:rPr>
          <w:tab/>
        </w:r>
        <w:r>
          <w:rPr>
            <w:webHidden/>
          </w:rPr>
          <w:fldChar w:fldCharType="begin"/>
        </w:r>
        <w:r>
          <w:rPr>
            <w:webHidden/>
          </w:rPr>
          <w:instrText xml:space="preserve"> PAGEREF _Toc214311285 \h </w:instrText>
        </w:r>
        <w:r>
          <w:rPr>
            <w:webHidden/>
          </w:rPr>
        </w:r>
        <w:r>
          <w:rPr>
            <w:webHidden/>
          </w:rPr>
          <w:fldChar w:fldCharType="separate"/>
        </w:r>
        <w:r w:rsidR="001A08FA">
          <w:rPr>
            <w:webHidden/>
          </w:rPr>
          <w:t>185</w:t>
        </w:r>
        <w:r>
          <w:rPr>
            <w:webHidden/>
          </w:rPr>
          <w:fldChar w:fldCharType="end"/>
        </w:r>
      </w:hyperlink>
    </w:p>
    <w:p w14:paraId="2C90B1B2" w14:textId="4F25141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6" w:history="1">
        <w:r>
          <w:rPr>
            <w:rStyle w:val="Hyperlink"/>
            <w:b w:val="0"/>
            <w:bCs w:val="0"/>
            <w:lang w:val="it-IT"/>
          </w:rPr>
          <w:t>7.6.1. Tình hình xuất nhập khẩu trên địa bàn tỉnh:</w:t>
        </w:r>
        <w:r>
          <w:rPr>
            <w:b w:val="0"/>
            <w:bCs w:val="0"/>
            <w:webHidden/>
          </w:rPr>
          <w:tab/>
        </w:r>
        <w:r>
          <w:rPr>
            <w:b w:val="0"/>
            <w:bCs w:val="0"/>
            <w:webHidden/>
          </w:rPr>
          <w:fldChar w:fldCharType="begin"/>
        </w:r>
        <w:r>
          <w:rPr>
            <w:b w:val="0"/>
            <w:bCs w:val="0"/>
            <w:webHidden/>
          </w:rPr>
          <w:instrText xml:space="preserve"> PAGEREF _Toc214311286 \h </w:instrText>
        </w:r>
        <w:r>
          <w:rPr>
            <w:b w:val="0"/>
            <w:bCs w:val="0"/>
            <w:webHidden/>
          </w:rPr>
        </w:r>
        <w:r>
          <w:rPr>
            <w:b w:val="0"/>
            <w:bCs w:val="0"/>
            <w:webHidden/>
          </w:rPr>
          <w:fldChar w:fldCharType="separate"/>
        </w:r>
        <w:r w:rsidR="001A08FA">
          <w:rPr>
            <w:b w:val="0"/>
            <w:bCs w:val="0"/>
            <w:webHidden/>
          </w:rPr>
          <w:t>185</w:t>
        </w:r>
        <w:r>
          <w:rPr>
            <w:b w:val="0"/>
            <w:bCs w:val="0"/>
            <w:webHidden/>
          </w:rPr>
          <w:fldChar w:fldCharType="end"/>
        </w:r>
      </w:hyperlink>
    </w:p>
    <w:p w14:paraId="45FDC62A" w14:textId="68B6CB3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87" w:history="1">
        <w:r>
          <w:rPr>
            <w:rStyle w:val="Hyperlink"/>
            <w:b w:val="0"/>
            <w:bCs w:val="0"/>
            <w:lang w:val="it-IT"/>
          </w:rPr>
          <w:t>7.6.2. Công tác quản lý và các vấn đề liên quan:</w:t>
        </w:r>
        <w:r>
          <w:rPr>
            <w:b w:val="0"/>
            <w:bCs w:val="0"/>
            <w:webHidden/>
          </w:rPr>
          <w:tab/>
        </w:r>
        <w:r>
          <w:rPr>
            <w:b w:val="0"/>
            <w:bCs w:val="0"/>
            <w:webHidden/>
          </w:rPr>
          <w:fldChar w:fldCharType="begin"/>
        </w:r>
        <w:r>
          <w:rPr>
            <w:b w:val="0"/>
            <w:bCs w:val="0"/>
            <w:webHidden/>
          </w:rPr>
          <w:instrText xml:space="preserve"> PAGEREF _Toc214311287 \h </w:instrText>
        </w:r>
        <w:r>
          <w:rPr>
            <w:b w:val="0"/>
            <w:bCs w:val="0"/>
            <w:webHidden/>
          </w:rPr>
        </w:r>
        <w:r>
          <w:rPr>
            <w:b w:val="0"/>
            <w:bCs w:val="0"/>
            <w:webHidden/>
          </w:rPr>
          <w:fldChar w:fldCharType="separate"/>
        </w:r>
        <w:r w:rsidR="001A08FA">
          <w:rPr>
            <w:b w:val="0"/>
            <w:bCs w:val="0"/>
            <w:webHidden/>
          </w:rPr>
          <w:t>185</w:t>
        </w:r>
        <w:r>
          <w:rPr>
            <w:b w:val="0"/>
            <w:bCs w:val="0"/>
            <w:webHidden/>
          </w:rPr>
          <w:fldChar w:fldCharType="end"/>
        </w:r>
      </w:hyperlink>
    </w:p>
    <w:p w14:paraId="33A8248E" w14:textId="63C9DD69" w:rsidR="00085789" w:rsidRDefault="00085789">
      <w:pPr>
        <w:pStyle w:val="TOC1"/>
        <w:rPr>
          <w:rStyle w:val="Hyperlink"/>
        </w:rPr>
      </w:pPr>
      <w:hyperlink w:anchor="_Toc214311288" w:history="1">
        <w:r>
          <w:rPr>
            <w:rStyle w:val="Hyperlink"/>
            <w:lang w:val="nl-NL"/>
          </w:rPr>
          <w:t>Chương VIII</w:t>
        </w:r>
      </w:hyperlink>
    </w:p>
    <w:p w14:paraId="548F399F" w14:textId="77777777" w:rsidR="00085789" w:rsidRDefault="00000000">
      <w:pPr>
        <w:keepNext/>
        <w:spacing w:before="40" w:after="40" w:line="240" w:lineRule="auto"/>
        <w:jc w:val="center"/>
        <w:outlineLvl w:val="0"/>
        <w:rPr>
          <w:rFonts w:cs="Arial"/>
          <w:bCs/>
          <w:noProof/>
          <w:kern w:val="32"/>
          <w:sz w:val="24"/>
          <w:szCs w:val="24"/>
          <w:lang w:val="it-IT"/>
        </w:rPr>
      </w:pPr>
      <w:r>
        <w:rPr>
          <w:b/>
          <w:noProof/>
          <w:kern w:val="32"/>
          <w:sz w:val="24"/>
          <w:szCs w:val="24"/>
          <w:lang w:val="it-IT"/>
        </w:rPr>
        <w:t>BIẾN ĐỔI KHÍ HẬU - THIÊN TAI - SỰ CỐ MÔI TRƯỜNG</w:t>
      </w:r>
    </w:p>
    <w:p w14:paraId="15A26108" w14:textId="56C7BC4F" w:rsidR="00085789" w:rsidRDefault="00085789">
      <w:pPr>
        <w:pStyle w:val="TOC1"/>
        <w:rPr>
          <w:rFonts w:asciiTheme="minorHAnsi" w:eastAsiaTheme="minorEastAsia" w:hAnsiTheme="minorHAnsi" w:cstheme="minorBidi"/>
          <w:kern w:val="2"/>
          <w:lang w:val="en-US"/>
          <w14:ligatures w14:val="standardContextual"/>
        </w:rPr>
      </w:pPr>
      <w:hyperlink w:anchor="_Toc214311289" w:history="1">
        <w:r>
          <w:rPr>
            <w:rStyle w:val="Hyperlink"/>
            <w:lang w:val="it-IT"/>
          </w:rPr>
          <w:t>8.1. Những vấn đề về phát thải khí nhà kính</w:t>
        </w:r>
        <w:r>
          <w:rPr>
            <w:webHidden/>
          </w:rPr>
          <w:tab/>
        </w:r>
        <w:r>
          <w:rPr>
            <w:webHidden/>
          </w:rPr>
          <w:fldChar w:fldCharType="begin"/>
        </w:r>
        <w:r>
          <w:rPr>
            <w:webHidden/>
          </w:rPr>
          <w:instrText xml:space="preserve"> PAGEREF _Toc214311289 \h </w:instrText>
        </w:r>
        <w:r>
          <w:rPr>
            <w:webHidden/>
          </w:rPr>
        </w:r>
        <w:r>
          <w:rPr>
            <w:webHidden/>
          </w:rPr>
          <w:fldChar w:fldCharType="separate"/>
        </w:r>
        <w:r w:rsidR="001A08FA">
          <w:rPr>
            <w:webHidden/>
          </w:rPr>
          <w:t>187</w:t>
        </w:r>
        <w:r>
          <w:rPr>
            <w:webHidden/>
          </w:rPr>
          <w:fldChar w:fldCharType="end"/>
        </w:r>
      </w:hyperlink>
    </w:p>
    <w:p w14:paraId="11712256" w14:textId="3C4E076C" w:rsidR="00085789" w:rsidRDefault="00085789">
      <w:pPr>
        <w:pStyle w:val="TOC1"/>
        <w:rPr>
          <w:rFonts w:asciiTheme="minorHAnsi" w:eastAsiaTheme="minorEastAsia" w:hAnsiTheme="minorHAnsi" w:cstheme="minorBidi"/>
          <w:kern w:val="2"/>
          <w:lang w:val="en-US"/>
          <w14:ligatures w14:val="standardContextual"/>
        </w:rPr>
      </w:pPr>
      <w:hyperlink w:anchor="_Toc214311290" w:history="1">
        <w:r>
          <w:rPr>
            <w:rStyle w:val="Hyperlink"/>
            <w:lang w:val="it-IT"/>
          </w:rPr>
          <w:t>8.2. Biểu hiện và ảnh hưởng của BĐKH ở tỉnh Hà Tĩnh</w:t>
        </w:r>
        <w:r>
          <w:rPr>
            <w:webHidden/>
          </w:rPr>
          <w:tab/>
        </w:r>
        <w:r>
          <w:rPr>
            <w:webHidden/>
          </w:rPr>
          <w:fldChar w:fldCharType="begin"/>
        </w:r>
        <w:r>
          <w:rPr>
            <w:webHidden/>
          </w:rPr>
          <w:instrText xml:space="preserve"> PAGEREF _Toc214311290 \h </w:instrText>
        </w:r>
        <w:r>
          <w:rPr>
            <w:webHidden/>
          </w:rPr>
        </w:r>
        <w:r>
          <w:rPr>
            <w:webHidden/>
          </w:rPr>
          <w:fldChar w:fldCharType="separate"/>
        </w:r>
        <w:r w:rsidR="001A08FA">
          <w:rPr>
            <w:webHidden/>
          </w:rPr>
          <w:t>187</w:t>
        </w:r>
        <w:r>
          <w:rPr>
            <w:webHidden/>
          </w:rPr>
          <w:fldChar w:fldCharType="end"/>
        </w:r>
      </w:hyperlink>
    </w:p>
    <w:p w14:paraId="3C3EFA16" w14:textId="78940105" w:rsidR="00085789" w:rsidRDefault="00085789">
      <w:pPr>
        <w:pStyle w:val="TOC1"/>
        <w:rPr>
          <w:rFonts w:asciiTheme="minorHAnsi" w:eastAsiaTheme="minorEastAsia" w:hAnsiTheme="minorHAnsi" w:cstheme="minorBidi"/>
          <w:kern w:val="2"/>
          <w:lang w:val="en-US"/>
          <w14:ligatures w14:val="standardContextual"/>
        </w:rPr>
      </w:pPr>
      <w:hyperlink w:anchor="_Toc214311291" w:history="1">
        <w:r>
          <w:rPr>
            <w:rStyle w:val="Hyperlink"/>
          </w:rPr>
          <w:t>8.3. Một số chính sách và biện pháp giảm nhẹ, thích ứng với BĐKH ở Hà Tĩnh</w:t>
        </w:r>
        <w:r>
          <w:rPr>
            <w:webHidden/>
          </w:rPr>
          <w:tab/>
        </w:r>
        <w:r>
          <w:rPr>
            <w:webHidden/>
          </w:rPr>
          <w:fldChar w:fldCharType="begin"/>
        </w:r>
        <w:r>
          <w:rPr>
            <w:webHidden/>
          </w:rPr>
          <w:instrText xml:space="preserve"> PAGEREF _Toc214311291 \h </w:instrText>
        </w:r>
        <w:r>
          <w:rPr>
            <w:webHidden/>
          </w:rPr>
        </w:r>
        <w:r>
          <w:rPr>
            <w:webHidden/>
          </w:rPr>
          <w:fldChar w:fldCharType="separate"/>
        </w:r>
        <w:r w:rsidR="001A08FA">
          <w:rPr>
            <w:webHidden/>
          </w:rPr>
          <w:t>190</w:t>
        </w:r>
        <w:r>
          <w:rPr>
            <w:webHidden/>
          </w:rPr>
          <w:fldChar w:fldCharType="end"/>
        </w:r>
      </w:hyperlink>
    </w:p>
    <w:p w14:paraId="570CE459" w14:textId="76430E2C" w:rsidR="00085789" w:rsidRDefault="00085789">
      <w:pPr>
        <w:pStyle w:val="TOC1"/>
        <w:rPr>
          <w:rFonts w:asciiTheme="minorHAnsi" w:eastAsiaTheme="minorEastAsia" w:hAnsiTheme="minorHAnsi" w:cstheme="minorBidi"/>
          <w:kern w:val="2"/>
          <w:lang w:val="en-US"/>
          <w14:ligatures w14:val="standardContextual"/>
        </w:rPr>
      </w:pPr>
      <w:hyperlink w:anchor="_Toc214311292" w:history="1">
        <w:r>
          <w:rPr>
            <w:rStyle w:val="Hyperlink"/>
          </w:rPr>
          <w:t>8.4. Tai biến thiên nhiên</w:t>
        </w:r>
        <w:r>
          <w:rPr>
            <w:webHidden/>
          </w:rPr>
          <w:tab/>
        </w:r>
        <w:r>
          <w:rPr>
            <w:webHidden/>
          </w:rPr>
          <w:fldChar w:fldCharType="begin"/>
        </w:r>
        <w:r>
          <w:rPr>
            <w:webHidden/>
          </w:rPr>
          <w:instrText xml:space="preserve"> PAGEREF _Toc214311292 \h </w:instrText>
        </w:r>
        <w:r>
          <w:rPr>
            <w:webHidden/>
          </w:rPr>
        </w:r>
        <w:r>
          <w:rPr>
            <w:webHidden/>
          </w:rPr>
          <w:fldChar w:fldCharType="separate"/>
        </w:r>
        <w:r w:rsidR="001A08FA">
          <w:rPr>
            <w:webHidden/>
          </w:rPr>
          <w:t>191</w:t>
        </w:r>
        <w:r>
          <w:rPr>
            <w:webHidden/>
          </w:rPr>
          <w:fldChar w:fldCharType="end"/>
        </w:r>
      </w:hyperlink>
    </w:p>
    <w:p w14:paraId="24A119AD" w14:textId="76089AFD"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93" w:history="1">
        <w:r>
          <w:rPr>
            <w:rStyle w:val="Hyperlink"/>
            <w:b w:val="0"/>
            <w:bCs w:val="0"/>
            <w:lang w:val="it-IT"/>
          </w:rPr>
          <w:t>8.4.1 Bão, áp thấp nhiệt đới, lốc xoáy, sét, lũ lụt</w:t>
        </w:r>
        <w:r>
          <w:rPr>
            <w:b w:val="0"/>
            <w:bCs w:val="0"/>
            <w:webHidden/>
          </w:rPr>
          <w:tab/>
        </w:r>
        <w:r>
          <w:rPr>
            <w:b w:val="0"/>
            <w:bCs w:val="0"/>
            <w:webHidden/>
          </w:rPr>
          <w:fldChar w:fldCharType="begin"/>
        </w:r>
        <w:r>
          <w:rPr>
            <w:b w:val="0"/>
            <w:bCs w:val="0"/>
            <w:webHidden/>
          </w:rPr>
          <w:instrText xml:space="preserve"> PAGEREF _Toc214311293 \h </w:instrText>
        </w:r>
        <w:r>
          <w:rPr>
            <w:b w:val="0"/>
            <w:bCs w:val="0"/>
            <w:webHidden/>
          </w:rPr>
        </w:r>
        <w:r>
          <w:rPr>
            <w:b w:val="0"/>
            <w:bCs w:val="0"/>
            <w:webHidden/>
          </w:rPr>
          <w:fldChar w:fldCharType="separate"/>
        </w:r>
        <w:r w:rsidR="001A08FA">
          <w:rPr>
            <w:b w:val="0"/>
            <w:bCs w:val="0"/>
            <w:webHidden/>
          </w:rPr>
          <w:t>191</w:t>
        </w:r>
        <w:r>
          <w:rPr>
            <w:b w:val="0"/>
            <w:bCs w:val="0"/>
            <w:webHidden/>
          </w:rPr>
          <w:fldChar w:fldCharType="end"/>
        </w:r>
      </w:hyperlink>
    </w:p>
    <w:p w14:paraId="5362D88A" w14:textId="58DBC40A"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94" w:history="1">
        <w:r>
          <w:rPr>
            <w:rStyle w:val="Hyperlink"/>
            <w:b w:val="0"/>
            <w:bCs w:val="0"/>
            <w:lang w:val="da-DK"/>
          </w:rPr>
          <w:t>8.4.2. Sạt lở bờ biển, bờ sông và bồi lấp</w:t>
        </w:r>
        <w:r>
          <w:rPr>
            <w:b w:val="0"/>
            <w:bCs w:val="0"/>
            <w:webHidden/>
          </w:rPr>
          <w:tab/>
        </w:r>
        <w:r>
          <w:rPr>
            <w:b w:val="0"/>
            <w:bCs w:val="0"/>
            <w:webHidden/>
          </w:rPr>
          <w:fldChar w:fldCharType="begin"/>
        </w:r>
        <w:r>
          <w:rPr>
            <w:b w:val="0"/>
            <w:bCs w:val="0"/>
            <w:webHidden/>
          </w:rPr>
          <w:instrText xml:space="preserve"> PAGEREF _Toc214311294 \h </w:instrText>
        </w:r>
        <w:r>
          <w:rPr>
            <w:b w:val="0"/>
            <w:bCs w:val="0"/>
            <w:webHidden/>
          </w:rPr>
        </w:r>
        <w:r>
          <w:rPr>
            <w:b w:val="0"/>
            <w:bCs w:val="0"/>
            <w:webHidden/>
          </w:rPr>
          <w:fldChar w:fldCharType="separate"/>
        </w:r>
        <w:r w:rsidR="001A08FA">
          <w:rPr>
            <w:b w:val="0"/>
            <w:bCs w:val="0"/>
            <w:webHidden/>
          </w:rPr>
          <w:t>192</w:t>
        </w:r>
        <w:r>
          <w:rPr>
            <w:b w:val="0"/>
            <w:bCs w:val="0"/>
            <w:webHidden/>
          </w:rPr>
          <w:fldChar w:fldCharType="end"/>
        </w:r>
      </w:hyperlink>
    </w:p>
    <w:p w14:paraId="121A060B" w14:textId="0C1D5E10" w:rsidR="00085789" w:rsidRDefault="00085789">
      <w:pPr>
        <w:pStyle w:val="TOC1"/>
        <w:rPr>
          <w:rFonts w:asciiTheme="minorHAnsi" w:eastAsiaTheme="minorEastAsia" w:hAnsiTheme="minorHAnsi" w:cstheme="minorBidi"/>
          <w:kern w:val="2"/>
          <w:lang w:val="en-US"/>
          <w14:ligatures w14:val="standardContextual"/>
        </w:rPr>
      </w:pPr>
      <w:hyperlink w:anchor="_Toc214311295" w:history="1">
        <w:r>
          <w:rPr>
            <w:rStyle w:val="Hyperlink"/>
            <w:rFonts w:eastAsia="MS Gothic"/>
            <w:lang w:val="nl-NL"/>
          </w:rPr>
          <w:t>8.5. Sự cố môi trường</w:t>
        </w:r>
        <w:r>
          <w:rPr>
            <w:webHidden/>
          </w:rPr>
          <w:tab/>
        </w:r>
        <w:r>
          <w:rPr>
            <w:webHidden/>
          </w:rPr>
          <w:fldChar w:fldCharType="begin"/>
        </w:r>
        <w:r>
          <w:rPr>
            <w:webHidden/>
          </w:rPr>
          <w:instrText xml:space="preserve"> PAGEREF _Toc214311295 \h </w:instrText>
        </w:r>
        <w:r>
          <w:rPr>
            <w:webHidden/>
          </w:rPr>
        </w:r>
        <w:r>
          <w:rPr>
            <w:webHidden/>
          </w:rPr>
          <w:fldChar w:fldCharType="separate"/>
        </w:r>
        <w:r w:rsidR="001A08FA">
          <w:rPr>
            <w:webHidden/>
          </w:rPr>
          <w:t>192</w:t>
        </w:r>
        <w:r>
          <w:rPr>
            <w:webHidden/>
          </w:rPr>
          <w:fldChar w:fldCharType="end"/>
        </w:r>
      </w:hyperlink>
    </w:p>
    <w:p w14:paraId="0B669AA8" w14:textId="54E2363D"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296" w:history="1">
        <w:r>
          <w:rPr>
            <w:rStyle w:val="Hyperlink"/>
            <w:b w:val="0"/>
            <w:bCs w:val="0"/>
            <w:lang w:val="pt-BR"/>
          </w:rPr>
          <w:t>8.5.1. Khái quát hiện trạng xảy ra sự cố môi trường và các hậu quả xảy ra</w:t>
        </w:r>
        <w:r>
          <w:rPr>
            <w:b w:val="0"/>
            <w:bCs w:val="0"/>
            <w:webHidden/>
          </w:rPr>
          <w:tab/>
        </w:r>
        <w:r>
          <w:rPr>
            <w:b w:val="0"/>
            <w:bCs w:val="0"/>
            <w:webHidden/>
          </w:rPr>
          <w:fldChar w:fldCharType="begin"/>
        </w:r>
        <w:r>
          <w:rPr>
            <w:b w:val="0"/>
            <w:bCs w:val="0"/>
            <w:webHidden/>
          </w:rPr>
          <w:instrText xml:space="preserve"> PAGEREF _Toc214311296 \h </w:instrText>
        </w:r>
        <w:r>
          <w:rPr>
            <w:b w:val="0"/>
            <w:bCs w:val="0"/>
            <w:webHidden/>
          </w:rPr>
        </w:r>
        <w:r>
          <w:rPr>
            <w:b w:val="0"/>
            <w:bCs w:val="0"/>
            <w:webHidden/>
          </w:rPr>
          <w:fldChar w:fldCharType="separate"/>
        </w:r>
        <w:r w:rsidR="001A08FA">
          <w:rPr>
            <w:b w:val="0"/>
            <w:bCs w:val="0"/>
            <w:webHidden/>
          </w:rPr>
          <w:t>192</w:t>
        </w:r>
        <w:r>
          <w:rPr>
            <w:b w:val="0"/>
            <w:bCs w:val="0"/>
            <w:webHidden/>
          </w:rPr>
          <w:fldChar w:fldCharType="end"/>
        </w:r>
      </w:hyperlink>
    </w:p>
    <w:p w14:paraId="7A47DD85" w14:textId="4CA86C1E" w:rsidR="00085789" w:rsidRDefault="00085789">
      <w:pPr>
        <w:pStyle w:val="TOC1"/>
        <w:jc w:val="left"/>
        <w:rPr>
          <w:rFonts w:asciiTheme="minorHAnsi" w:eastAsiaTheme="minorEastAsia" w:hAnsiTheme="minorHAnsi" w:cstheme="minorBidi"/>
          <w:b w:val="0"/>
          <w:bCs w:val="0"/>
          <w:kern w:val="2"/>
          <w:lang w:val="en-US"/>
          <w14:ligatures w14:val="standardContextual"/>
        </w:rPr>
      </w:pPr>
      <w:hyperlink w:anchor="_Toc214311297" w:history="1">
        <w:r>
          <w:rPr>
            <w:rStyle w:val="Hyperlink"/>
            <w:b w:val="0"/>
            <w:bCs w:val="0"/>
            <w:lang w:val="pt-BR"/>
          </w:rPr>
          <w:t>8.5.2. Đánh giá mức độ thực hiện các mục tiêu đề ra để khắc phục, phòng ngừa đối với sự ố môi trường</w:t>
        </w:r>
        <w:r>
          <w:rPr>
            <w:b w:val="0"/>
            <w:bCs w:val="0"/>
            <w:webHidden/>
          </w:rPr>
          <w:tab/>
        </w:r>
        <w:r>
          <w:rPr>
            <w:b w:val="0"/>
            <w:bCs w:val="0"/>
            <w:webHidden/>
          </w:rPr>
          <w:fldChar w:fldCharType="begin"/>
        </w:r>
        <w:r>
          <w:rPr>
            <w:b w:val="0"/>
            <w:bCs w:val="0"/>
            <w:webHidden/>
          </w:rPr>
          <w:instrText xml:space="preserve"> PAGEREF _Toc214311297 \h </w:instrText>
        </w:r>
        <w:r>
          <w:rPr>
            <w:b w:val="0"/>
            <w:bCs w:val="0"/>
            <w:webHidden/>
          </w:rPr>
        </w:r>
        <w:r>
          <w:rPr>
            <w:b w:val="0"/>
            <w:bCs w:val="0"/>
            <w:webHidden/>
          </w:rPr>
          <w:fldChar w:fldCharType="separate"/>
        </w:r>
        <w:r w:rsidR="001A08FA">
          <w:rPr>
            <w:b w:val="0"/>
            <w:bCs w:val="0"/>
            <w:webHidden/>
          </w:rPr>
          <w:t>195</w:t>
        </w:r>
        <w:r>
          <w:rPr>
            <w:b w:val="0"/>
            <w:bCs w:val="0"/>
            <w:webHidden/>
          </w:rPr>
          <w:fldChar w:fldCharType="end"/>
        </w:r>
      </w:hyperlink>
    </w:p>
    <w:p w14:paraId="320A23E4" w14:textId="1EAD11C6" w:rsidR="00085789" w:rsidRDefault="00085789">
      <w:pPr>
        <w:pStyle w:val="TOC1"/>
        <w:rPr>
          <w:rStyle w:val="Hyperlink"/>
        </w:rPr>
      </w:pPr>
      <w:hyperlink w:anchor="_Toc214311298" w:history="1">
        <w:r>
          <w:rPr>
            <w:rStyle w:val="Hyperlink"/>
            <w:lang w:val="pt-BR"/>
          </w:rPr>
          <w:t>Chương IX</w:t>
        </w:r>
      </w:hyperlink>
    </w:p>
    <w:p w14:paraId="4A0F9CF2" w14:textId="77777777" w:rsidR="00085789" w:rsidRDefault="00000000">
      <w:pPr>
        <w:keepNext/>
        <w:spacing w:before="40" w:after="40" w:line="240" w:lineRule="auto"/>
        <w:jc w:val="center"/>
        <w:outlineLvl w:val="0"/>
        <w:rPr>
          <w:b/>
          <w:bCs/>
          <w:noProof/>
          <w:kern w:val="32"/>
          <w:position w:val="-6"/>
          <w:sz w:val="24"/>
          <w:szCs w:val="24"/>
          <w:lang w:val="pt-BR"/>
        </w:rPr>
      </w:pPr>
      <w:r>
        <w:rPr>
          <w:b/>
          <w:bCs/>
          <w:noProof/>
          <w:kern w:val="32"/>
          <w:position w:val="-6"/>
          <w:sz w:val="24"/>
          <w:szCs w:val="24"/>
          <w:lang w:val="pt-BR"/>
        </w:rPr>
        <w:t>TÁC ĐỘNG CỦA Ô NHIỄM MÔI TRƯỜNG</w:t>
      </w:r>
    </w:p>
    <w:p w14:paraId="5404D5D1" w14:textId="4561B003" w:rsidR="00085789" w:rsidRDefault="00085789">
      <w:pPr>
        <w:pStyle w:val="TOC1"/>
        <w:rPr>
          <w:rFonts w:asciiTheme="minorHAnsi" w:eastAsiaTheme="minorEastAsia" w:hAnsiTheme="minorHAnsi" w:cstheme="minorBidi"/>
          <w:kern w:val="2"/>
          <w:lang w:val="en-US"/>
          <w14:ligatures w14:val="standardContextual"/>
        </w:rPr>
      </w:pPr>
      <w:hyperlink w:anchor="_Toc214311299" w:history="1">
        <w:r>
          <w:rPr>
            <w:rStyle w:val="Hyperlink"/>
            <w:lang w:val="pt-BR"/>
          </w:rPr>
          <w:t>9.1. Tác động của ô nhiễm môi trường đối với sức khỏe con người</w:t>
        </w:r>
        <w:r>
          <w:rPr>
            <w:webHidden/>
          </w:rPr>
          <w:tab/>
        </w:r>
        <w:r>
          <w:rPr>
            <w:webHidden/>
          </w:rPr>
          <w:fldChar w:fldCharType="begin"/>
        </w:r>
        <w:r>
          <w:rPr>
            <w:webHidden/>
          </w:rPr>
          <w:instrText xml:space="preserve"> PAGEREF _Toc214311299 \h </w:instrText>
        </w:r>
        <w:r>
          <w:rPr>
            <w:webHidden/>
          </w:rPr>
        </w:r>
        <w:r>
          <w:rPr>
            <w:webHidden/>
          </w:rPr>
          <w:fldChar w:fldCharType="separate"/>
        </w:r>
        <w:r w:rsidR="001A08FA">
          <w:rPr>
            <w:webHidden/>
          </w:rPr>
          <w:t>196</w:t>
        </w:r>
        <w:r>
          <w:rPr>
            <w:webHidden/>
          </w:rPr>
          <w:fldChar w:fldCharType="end"/>
        </w:r>
      </w:hyperlink>
    </w:p>
    <w:p w14:paraId="588B8DF6" w14:textId="2CB92B9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0" w:history="1">
        <w:r>
          <w:rPr>
            <w:rStyle w:val="Hyperlink"/>
            <w:b w:val="0"/>
            <w:bCs w:val="0"/>
            <w:lang w:val="pt-BR"/>
          </w:rPr>
          <w:t>9.1.1. Tác động trực tiếp do ô nhiễm môi trường nước</w:t>
        </w:r>
        <w:r>
          <w:rPr>
            <w:b w:val="0"/>
            <w:bCs w:val="0"/>
            <w:webHidden/>
          </w:rPr>
          <w:tab/>
        </w:r>
        <w:r>
          <w:rPr>
            <w:b w:val="0"/>
            <w:bCs w:val="0"/>
            <w:webHidden/>
          </w:rPr>
          <w:fldChar w:fldCharType="begin"/>
        </w:r>
        <w:r>
          <w:rPr>
            <w:b w:val="0"/>
            <w:bCs w:val="0"/>
            <w:webHidden/>
          </w:rPr>
          <w:instrText xml:space="preserve"> PAGEREF _Toc214311300 \h </w:instrText>
        </w:r>
        <w:r>
          <w:rPr>
            <w:b w:val="0"/>
            <w:bCs w:val="0"/>
            <w:webHidden/>
          </w:rPr>
        </w:r>
        <w:r>
          <w:rPr>
            <w:b w:val="0"/>
            <w:bCs w:val="0"/>
            <w:webHidden/>
          </w:rPr>
          <w:fldChar w:fldCharType="separate"/>
        </w:r>
        <w:r w:rsidR="001A08FA">
          <w:rPr>
            <w:b w:val="0"/>
            <w:bCs w:val="0"/>
            <w:webHidden/>
          </w:rPr>
          <w:t>196</w:t>
        </w:r>
        <w:r>
          <w:rPr>
            <w:b w:val="0"/>
            <w:bCs w:val="0"/>
            <w:webHidden/>
          </w:rPr>
          <w:fldChar w:fldCharType="end"/>
        </w:r>
      </w:hyperlink>
    </w:p>
    <w:p w14:paraId="7CD20ACD" w14:textId="22028163"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1" w:history="1">
        <w:r>
          <w:rPr>
            <w:rStyle w:val="Hyperlink"/>
            <w:b w:val="0"/>
            <w:bCs w:val="0"/>
            <w:lang w:val="pt-BR"/>
          </w:rPr>
          <w:t>9.1.2. Tác động trực tiếp do ô nhiễm môi trường không khí</w:t>
        </w:r>
        <w:r>
          <w:rPr>
            <w:b w:val="0"/>
            <w:bCs w:val="0"/>
            <w:webHidden/>
          </w:rPr>
          <w:tab/>
        </w:r>
        <w:r>
          <w:rPr>
            <w:b w:val="0"/>
            <w:bCs w:val="0"/>
            <w:webHidden/>
          </w:rPr>
          <w:fldChar w:fldCharType="begin"/>
        </w:r>
        <w:r>
          <w:rPr>
            <w:b w:val="0"/>
            <w:bCs w:val="0"/>
            <w:webHidden/>
          </w:rPr>
          <w:instrText xml:space="preserve"> PAGEREF _Toc214311301 \h </w:instrText>
        </w:r>
        <w:r>
          <w:rPr>
            <w:b w:val="0"/>
            <w:bCs w:val="0"/>
            <w:webHidden/>
          </w:rPr>
        </w:r>
        <w:r>
          <w:rPr>
            <w:b w:val="0"/>
            <w:bCs w:val="0"/>
            <w:webHidden/>
          </w:rPr>
          <w:fldChar w:fldCharType="separate"/>
        </w:r>
        <w:r w:rsidR="001A08FA">
          <w:rPr>
            <w:b w:val="0"/>
            <w:bCs w:val="0"/>
            <w:webHidden/>
          </w:rPr>
          <w:t>196</w:t>
        </w:r>
        <w:r>
          <w:rPr>
            <w:b w:val="0"/>
            <w:bCs w:val="0"/>
            <w:webHidden/>
          </w:rPr>
          <w:fldChar w:fldCharType="end"/>
        </w:r>
      </w:hyperlink>
    </w:p>
    <w:p w14:paraId="20F56504" w14:textId="23902F9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2" w:history="1">
        <w:r>
          <w:rPr>
            <w:rStyle w:val="Hyperlink"/>
            <w:b w:val="0"/>
            <w:bCs w:val="0"/>
            <w:lang w:val="pt-BR"/>
          </w:rPr>
          <w:t>9.1.3. Tác động gián tiếp do ô nhiễm môi trường đất</w:t>
        </w:r>
        <w:r>
          <w:rPr>
            <w:b w:val="0"/>
            <w:bCs w:val="0"/>
            <w:webHidden/>
          </w:rPr>
          <w:tab/>
        </w:r>
        <w:r>
          <w:rPr>
            <w:b w:val="0"/>
            <w:bCs w:val="0"/>
            <w:webHidden/>
          </w:rPr>
          <w:fldChar w:fldCharType="begin"/>
        </w:r>
        <w:r>
          <w:rPr>
            <w:b w:val="0"/>
            <w:bCs w:val="0"/>
            <w:webHidden/>
          </w:rPr>
          <w:instrText xml:space="preserve"> PAGEREF _Toc214311302 \h </w:instrText>
        </w:r>
        <w:r>
          <w:rPr>
            <w:b w:val="0"/>
            <w:bCs w:val="0"/>
            <w:webHidden/>
          </w:rPr>
        </w:r>
        <w:r>
          <w:rPr>
            <w:b w:val="0"/>
            <w:bCs w:val="0"/>
            <w:webHidden/>
          </w:rPr>
          <w:fldChar w:fldCharType="separate"/>
        </w:r>
        <w:r w:rsidR="001A08FA">
          <w:rPr>
            <w:b w:val="0"/>
            <w:bCs w:val="0"/>
            <w:webHidden/>
          </w:rPr>
          <w:t>196</w:t>
        </w:r>
        <w:r>
          <w:rPr>
            <w:b w:val="0"/>
            <w:bCs w:val="0"/>
            <w:webHidden/>
          </w:rPr>
          <w:fldChar w:fldCharType="end"/>
        </w:r>
      </w:hyperlink>
    </w:p>
    <w:p w14:paraId="01311EC0" w14:textId="12C71AC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3" w:history="1">
        <w:r>
          <w:rPr>
            <w:rStyle w:val="Hyperlink"/>
            <w:b w:val="0"/>
            <w:bCs w:val="0"/>
            <w:lang w:val="pt-BR"/>
          </w:rPr>
          <w:t>9.1.4. Tác động gián tiếp do ô nhiễm từ CTR</w:t>
        </w:r>
        <w:r>
          <w:rPr>
            <w:b w:val="0"/>
            <w:bCs w:val="0"/>
            <w:webHidden/>
          </w:rPr>
          <w:tab/>
        </w:r>
        <w:r>
          <w:rPr>
            <w:b w:val="0"/>
            <w:bCs w:val="0"/>
            <w:webHidden/>
          </w:rPr>
          <w:fldChar w:fldCharType="begin"/>
        </w:r>
        <w:r>
          <w:rPr>
            <w:b w:val="0"/>
            <w:bCs w:val="0"/>
            <w:webHidden/>
          </w:rPr>
          <w:instrText xml:space="preserve"> PAGEREF _Toc214311303 \h </w:instrText>
        </w:r>
        <w:r>
          <w:rPr>
            <w:b w:val="0"/>
            <w:bCs w:val="0"/>
            <w:webHidden/>
          </w:rPr>
        </w:r>
        <w:r>
          <w:rPr>
            <w:b w:val="0"/>
            <w:bCs w:val="0"/>
            <w:webHidden/>
          </w:rPr>
          <w:fldChar w:fldCharType="separate"/>
        </w:r>
        <w:r w:rsidR="001A08FA">
          <w:rPr>
            <w:b w:val="0"/>
            <w:bCs w:val="0"/>
            <w:webHidden/>
          </w:rPr>
          <w:t>197</w:t>
        </w:r>
        <w:r>
          <w:rPr>
            <w:b w:val="0"/>
            <w:bCs w:val="0"/>
            <w:webHidden/>
          </w:rPr>
          <w:fldChar w:fldCharType="end"/>
        </w:r>
      </w:hyperlink>
    </w:p>
    <w:p w14:paraId="54756C7D" w14:textId="7A201706" w:rsidR="00085789" w:rsidRDefault="00085789">
      <w:pPr>
        <w:pStyle w:val="TOC1"/>
        <w:rPr>
          <w:rFonts w:asciiTheme="minorHAnsi" w:eastAsiaTheme="minorEastAsia" w:hAnsiTheme="minorHAnsi" w:cstheme="minorBidi"/>
          <w:kern w:val="2"/>
          <w:lang w:val="en-US"/>
          <w14:ligatures w14:val="standardContextual"/>
        </w:rPr>
      </w:pPr>
      <w:hyperlink w:anchor="_Toc214311304" w:history="1">
        <w:r>
          <w:rPr>
            <w:rStyle w:val="Hyperlink"/>
            <w:lang w:val="pt-BR"/>
          </w:rPr>
          <w:t>9.2. Tác động của ô nhiễm môi trường đối với các vấn đề KT-XH</w:t>
        </w:r>
        <w:r>
          <w:rPr>
            <w:webHidden/>
          </w:rPr>
          <w:tab/>
        </w:r>
        <w:r>
          <w:rPr>
            <w:webHidden/>
          </w:rPr>
          <w:fldChar w:fldCharType="begin"/>
        </w:r>
        <w:r>
          <w:rPr>
            <w:webHidden/>
          </w:rPr>
          <w:instrText xml:space="preserve"> PAGEREF _Toc214311304 \h </w:instrText>
        </w:r>
        <w:r>
          <w:rPr>
            <w:webHidden/>
          </w:rPr>
        </w:r>
        <w:r>
          <w:rPr>
            <w:webHidden/>
          </w:rPr>
          <w:fldChar w:fldCharType="separate"/>
        </w:r>
        <w:r w:rsidR="001A08FA">
          <w:rPr>
            <w:webHidden/>
          </w:rPr>
          <w:t>197</w:t>
        </w:r>
        <w:r>
          <w:rPr>
            <w:webHidden/>
          </w:rPr>
          <w:fldChar w:fldCharType="end"/>
        </w:r>
      </w:hyperlink>
    </w:p>
    <w:p w14:paraId="37CFCEDA" w14:textId="1C2E2CF6"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5" w:history="1">
        <w:r>
          <w:rPr>
            <w:rStyle w:val="Hyperlink"/>
            <w:b w:val="0"/>
            <w:bCs w:val="0"/>
            <w:lang w:val="pt-BR"/>
          </w:rPr>
          <w:t>9.2.1. Thiệt hại kinh tế do gánh nặng bệnh tật</w:t>
        </w:r>
        <w:r>
          <w:rPr>
            <w:b w:val="0"/>
            <w:bCs w:val="0"/>
            <w:webHidden/>
          </w:rPr>
          <w:tab/>
        </w:r>
        <w:r>
          <w:rPr>
            <w:b w:val="0"/>
            <w:bCs w:val="0"/>
            <w:webHidden/>
          </w:rPr>
          <w:fldChar w:fldCharType="begin"/>
        </w:r>
        <w:r>
          <w:rPr>
            <w:b w:val="0"/>
            <w:bCs w:val="0"/>
            <w:webHidden/>
          </w:rPr>
          <w:instrText xml:space="preserve"> PAGEREF _Toc214311305 \h </w:instrText>
        </w:r>
        <w:r>
          <w:rPr>
            <w:b w:val="0"/>
            <w:bCs w:val="0"/>
            <w:webHidden/>
          </w:rPr>
        </w:r>
        <w:r>
          <w:rPr>
            <w:b w:val="0"/>
            <w:bCs w:val="0"/>
            <w:webHidden/>
          </w:rPr>
          <w:fldChar w:fldCharType="separate"/>
        </w:r>
        <w:r w:rsidR="001A08FA">
          <w:rPr>
            <w:b w:val="0"/>
            <w:bCs w:val="0"/>
            <w:webHidden/>
          </w:rPr>
          <w:t>197</w:t>
        </w:r>
        <w:r>
          <w:rPr>
            <w:b w:val="0"/>
            <w:bCs w:val="0"/>
            <w:webHidden/>
          </w:rPr>
          <w:fldChar w:fldCharType="end"/>
        </w:r>
      </w:hyperlink>
    </w:p>
    <w:p w14:paraId="3A3F6586" w14:textId="7E837897"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6" w:history="1">
        <w:r>
          <w:rPr>
            <w:rStyle w:val="Hyperlink"/>
            <w:b w:val="0"/>
            <w:bCs w:val="0"/>
            <w:lang w:val="pt-BR"/>
          </w:rPr>
          <w:t>9.2.2. Thiệt hại kinh tế do ảnh hưởng đến hoạt động sản xuất, kinh doanh</w:t>
        </w:r>
        <w:r>
          <w:rPr>
            <w:b w:val="0"/>
            <w:bCs w:val="0"/>
            <w:webHidden/>
          </w:rPr>
          <w:tab/>
        </w:r>
        <w:r>
          <w:rPr>
            <w:b w:val="0"/>
            <w:bCs w:val="0"/>
            <w:webHidden/>
          </w:rPr>
          <w:fldChar w:fldCharType="begin"/>
        </w:r>
        <w:r>
          <w:rPr>
            <w:b w:val="0"/>
            <w:bCs w:val="0"/>
            <w:webHidden/>
          </w:rPr>
          <w:instrText xml:space="preserve"> PAGEREF _Toc214311306 \h </w:instrText>
        </w:r>
        <w:r>
          <w:rPr>
            <w:b w:val="0"/>
            <w:bCs w:val="0"/>
            <w:webHidden/>
          </w:rPr>
        </w:r>
        <w:r>
          <w:rPr>
            <w:b w:val="0"/>
            <w:bCs w:val="0"/>
            <w:webHidden/>
          </w:rPr>
          <w:fldChar w:fldCharType="separate"/>
        </w:r>
        <w:r w:rsidR="001A08FA">
          <w:rPr>
            <w:b w:val="0"/>
            <w:bCs w:val="0"/>
            <w:webHidden/>
          </w:rPr>
          <w:t>197</w:t>
        </w:r>
        <w:r>
          <w:rPr>
            <w:b w:val="0"/>
            <w:bCs w:val="0"/>
            <w:webHidden/>
          </w:rPr>
          <w:fldChar w:fldCharType="end"/>
        </w:r>
      </w:hyperlink>
    </w:p>
    <w:p w14:paraId="2D26A7D6" w14:textId="3445C510" w:rsidR="00085789" w:rsidRDefault="00085789">
      <w:pPr>
        <w:pStyle w:val="TOC1"/>
        <w:rPr>
          <w:rFonts w:asciiTheme="minorHAnsi" w:eastAsiaTheme="minorEastAsia" w:hAnsiTheme="minorHAnsi" w:cstheme="minorBidi"/>
          <w:kern w:val="2"/>
          <w:lang w:val="en-US"/>
          <w14:ligatures w14:val="standardContextual"/>
        </w:rPr>
      </w:pPr>
      <w:hyperlink w:anchor="_Toc214311307" w:history="1">
        <w:r>
          <w:rPr>
            <w:rStyle w:val="Hyperlink"/>
            <w:lang w:val="pt-BR"/>
          </w:rPr>
          <w:t>9.3. Tác động của ô nhiễm môi trường đối với cảnh quan và HST</w:t>
        </w:r>
        <w:r>
          <w:rPr>
            <w:webHidden/>
          </w:rPr>
          <w:tab/>
        </w:r>
        <w:r>
          <w:rPr>
            <w:webHidden/>
          </w:rPr>
          <w:fldChar w:fldCharType="begin"/>
        </w:r>
        <w:r>
          <w:rPr>
            <w:webHidden/>
          </w:rPr>
          <w:instrText xml:space="preserve"> PAGEREF _Toc214311307 \h </w:instrText>
        </w:r>
        <w:r>
          <w:rPr>
            <w:webHidden/>
          </w:rPr>
        </w:r>
        <w:r>
          <w:rPr>
            <w:webHidden/>
          </w:rPr>
          <w:fldChar w:fldCharType="separate"/>
        </w:r>
        <w:r w:rsidR="001A08FA">
          <w:rPr>
            <w:webHidden/>
          </w:rPr>
          <w:t>198</w:t>
        </w:r>
        <w:r>
          <w:rPr>
            <w:webHidden/>
          </w:rPr>
          <w:fldChar w:fldCharType="end"/>
        </w:r>
      </w:hyperlink>
    </w:p>
    <w:p w14:paraId="3F0194A2" w14:textId="1973D9BD"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08" w:history="1">
        <w:r>
          <w:rPr>
            <w:rStyle w:val="Hyperlink"/>
            <w:b w:val="0"/>
            <w:bCs w:val="0"/>
            <w:lang w:val="pt-BR"/>
          </w:rPr>
          <w:t>9.3.1. Tác động do ô nhiễm môi trường đến HST dưới nước</w:t>
        </w:r>
        <w:r>
          <w:rPr>
            <w:b w:val="0"/>
            <w:bCs w:val="0"/>
            <w:webHidden/>
          </w:rPr>
          <w:tab/>
        </w:r>
        <w:r>
          <w:rPr>
            <w:b w:val="0"/>
            <w:bCs w:val="0"/>
            <w:webHidden/>
          </w:rPr>
          <w:fldChar w:fldCharType="begin"/>
        </w:r>
        <w:r>
          <w:rPr>
            <w:b w:val="0"/>
            <w:bCs w:val="0"/>
            <w:webHidden/>
          </w:rPr>
          <w:instrText xml:space="preserve"> PAGEREF _Toc214311308 \h </w:instrText>
        </w:r>
        <w:r>
          <w:rPr>
            <w:b w:val="0"/>
            <w:bCs w:val="0"/>
            <w:webHidden/>
          </w:rPr>
        </w:r>
        <w:r>
          <w:rPr>
            <w:b w:val="0"/>
            <w:bCs w:val="0"/>
            <w:webHidden/>
          </w:rPr>
          <w:fldChar w:fldCharType="separate"/>
        </w:r>
        <w:r w:rsidR="001A08FA">
          <w:rPr>
            <w:b w:val="0"/>
            <w:bCs w:val="0"/>
            <w:webHidden/>
          </w:rPr>
          <w:t>198</w:t>
        </w:r>
        <w:r>
          <w:rPr>
            <w:b w:val="0"/>
            <w:bCs w:val="0"/>
            <w:webHidden/>
          </w:rPr>
          <w:fldChar w:fldCharType="end"/>
        </w:r>
      </w:hyperlink>
    </w:p>
    <w:p w14:paraId="3AAFE72A" w14:textId="6F127F15" w:rsidR="00085789" w:rsidRDefault="00085789">
      <w:pPr>
        <w:pStyle w:val="TOC1"/>
        <w:rPr>
          <w:lang w:val="en-US"/>
        </w:rPr>
      </w:pPr>
      <w:hyperlink w:anchor="_Toc214311309" w:history="1">
        <w:r>
          <w:rPr>
            <w:rStyle w:val="Hyperlink"/>
            <w:b w:val="0"/>
            <w:bCs w:val="0"/>
            <w:lang w:val="pt-BR"/>
          </w:rPr>
          <w:t>9.3.2. Tác động do ô nhiễm môi trường đến HST trên cạn</w:t>
        </w:r>
        <w:r>
          <w:rPr>
            <w:b w:val="0"/>
            <w:bCs w:val="0"/>
            <w:webHidden/>
          </w:rPr>
          <w:tab/>
        </w:r>
        <w:r>
          <w:rPr>
            <w:b w:val="0"/>
            <w:bCs w:val="0"/>
            <w:webHidden/>
          </w:rPr>
          <w:fldChar w:fldCharType="begin"/>
        </w:r>
        <w:r>
          <w:rPr>
            <w:b w:val="0"/>
            <w:bCs w:val="0"/>
            <w:webHidden/>
          </w:rPr>
          <w:instrText xml:space="preserve"> PAGEREF _Toc214311309 \h </w:instrText>
        </w:r>
        <w:r>
          <w:rPr>
            <w:b w:val="0"/>
            <w:bCs w:val="0"/>
            <w:webHidden/>
          </w:rPr>
        </w:r>
        <w:r>
          <w:rPr>
            <w:b w:val="0"/>
            <w:bCs w:val="0"/>
            <w:webHidden/>
          </w:rPr>
          <w:fldChar w:fldCharType="separate"/>
        </w:r>
        <w:r w:rsidR="001A08FA">
          <w:rPr>
            <w:b w:val="0"/>
            <w:bCs w:val="0"/>
            <w:webHidden/>
          </w:rPr>
          <w:t>199</w:t>
        </w:r>
        <w:r>
          <w:rPr>
            <w:b w:val="0"/>
            <w:bCs w:val="0"/>
            <w:webHidden/>
          </w:rPr>
          <w:fldChar w:fldCharType="end"/>
        </w:r>
      </w:hyperlink>
    </w:p>
    <w:p w14:paraId="71C88611" w14:textId="024D2236" w:rsidR="007A3508" w:rsidRPr="00BF49EE" w:rsidRDefault="007A3508" w:rsidP="007A3508">
      <w:pPr>
        <w:pStyle w:val="TOC1"/>
        <w:rPr>
          <w:lang w:val="en-US"/>
        </w:rPr>
      </w:pPr>
      <w:hyperlink w:anchor="_Toc214311309" w:history="1">
        <w:r w:rsidRPr="00F06A78">
          <w:rPr>
            <w:rStyle w:val="Hyperlink"/>
          </w:rPr>
          <w:t>9.4. Phát sinh xung đột môi trường</w:t>
        </w:r>
        <w:r w:rsidRPr="00F06A78">
          <w:rPr>
            <w:webHidden/>
          </w:rPr>
          <w:tab/>
        </w:r>
        <w:r w:rsidRPr="00F06A78">
          <w:rPr>
            <w:webHidden/>
          </w:rPr>
          <w:fldChar w:fldCharType="begin"/>
        </w:r>
        <w:r w:rsidRPr="00F06A78">
          <w:rPr>
            <w:webHidden/>
          </w:rPr>
          <w:instrText xml:space="preserve"> PAGEREF _Toc214311309 \h </w:instrText>
        </w:r>
        <w:r w:rsidRPr="00F06A78">
          <w:rPr>
            <w:webHidden/>
          </w:rPr>
        </w:r>
        <w:r w:rsidRPr="00F06A78">
          <w:rPr>
            <w:webHidden/>
          </w:rPr>
          <w:fldChar w:fldCharType="separate"/>
        </w:r>
        <w:r w:rsidR="001A08FA" w:rsidRPr="00F06A78">
          <w:rPr>
            <w:webHidden/>
          </w:rPr>
          <w:t>199</w:t>
        </w:r>
        <w:r w:rsidRPr="00F06A78">
          <w:rPr>
            <w:webHidden/>
          </w:rPr>
          <w:fldChar w:fldCharType="end"/>
        </w:r>
      </w:hyperlink>
    </w:p>
    <w:p w14:paraId="094407B5" w14:textId="77777777" w:rsidR="00085789" w:rsidRDefault="00000000">
      <w:pPr>
        <w:spacing w:before="40" w:after="40" w:line="240" w:lineRule="auto"/>
        <w:jc w:val="center"/>
        <w:rPr>
          <w:rFonts w:eastAsiaTheme="minorEastAsia"/>
          <w:b/>
          <w:bCs/>
          <w:noProof/>
          <w:sz w:val="26"/>
          <w:szCs w:val="26"/>
          <w:lang w:val="pt-BR"/>
        </w:rPr>
      </w:pPr>
      <w:r>
        <w:rPr>
          <w:rFonts w:eastAsiaTheme="minorEastAsia"/>
          <w:b/>
          <w:bCs/>
          <w:noProof/>
          <w:sz w:val="26"/>
          <w:szCs w:val="26"/>
          <w:lang w:val="pt-BR"/>
        </w:rPr>
        <w:t>Chương X</w:t>
      </w:r>
    </w:p>
    <w:p w14:paraId="11E86F3E" w14:textId="77777777" w:rsidR="00085789" w:rsidRDefault="00000000">
      <w:pPr>
        <w:spacing w:before="40" w:after="40" w:line="240" w:lineRule="auto"/>
        <w:jc w:val="center"/>
        <w:rPr>
          <w:rFonts w:eastAsiaTheme="minorEastAsia"/>
          <w:b/>
          <w:bCs/>
          <w:noProof/>
          <w:sz w:val="26"/>
          <w:szCs w:val="26"/>
          <w:lang w:val="pt-BR"/>
        </w:rPr>
      </w:pPr>
      <w:r>
        <w:rPr>
          <w:rFonts w:eastAsiaTheme="minorEastAsia"/>
          <w:b/>
          <w:bCs/>
          <w:noProof/>
          <w:sz w:val="26"/>
          <w:szCs w:val="26"/>
          <w:lang w:val="pt-BR"/>
        </w:rPr>
        <w:t>QUẢN LÝ MÔI TRƯỜNG</w:t>
      </w:r>
    </w:p>
    <w:p w14:paraId="1D0051C0" w14:textId="138EFA4A" w:rsidR="00085789" w:rsidRDefault="00085789">
      <w:pPr>
        <w:pStyle w:val="TOC1"/>
        <w:rPr>
          <w:rFonts w:asciiTheme="minorHAnsi" w:eastAsiaTheme="minorEastAsia" w:hAnsiTheme="minorHAnsi" w:cstheme="minorBidi"/>
          <w:kern w:val="2"/>
          <w:lang w:val="en-US"/>
          <w14:ligatures w14:val="standardContextual"/>
        </w:rPr>
      </w:pPr>
      <w:hyperlink w:anchor="_Toc214311310" w:history="1">
        <w:r>
          <w:rPr>
            <w:rStyle w:val="Hyperlink"/>
            <w:lang w:val="da-DK"/>
          </w:rPr>
          <w:t>10.1. Tình hình thực hiện các chỉ tiêu về môi trường trong Kế hoạch phát triển KT-XH tỉnh Hà Tĩnh</w:t>
        </w:r>
        <w:r>
          <w:rPr>
            <w:webHidden/>
          </w:rPr>
          <w:tab/>
        </w:r>
        <w:r>
          <w:rPr>
            <w:webHidden/>
          </w:rPr>
          <w:fldChar w:fldCharType="begin"/>
        </w:r>
        <w:r>
          <w:rPr>
            <w:webHidden/>
          </w:rPr>
          <w:instrText xml:space="preserve"> PAGEREF _Toc214311310 \h </w:instrText>
        </w:r>
        <w:r>
          <w:rPr>
            <w:webHidden/>
          </w:rPr>
        </w:r>
        <w:r>
          <w:rPr>
            <w:webHidden/>
          </w:rPr>
          <w:fldChar w:fldCharType="separate"/>
        </w:r>
        <w:r w:rsidR="001A08FA">
          <w:rPr>
            <w:webHidden/>
          </w:rPr>
          <w:t>200</w:t>
        </w:r>
        <w:r>
          <w:rPr>
            <w:webHidden/>
          </w:rPr>
          <w:fldChar w:fldCharType="end"/>
        </w:r>
      </w:hyperlink>
    </w:p>
    <w:p w14:paraId="304CFD61" w14:textId="538E0107" w:rsidR="00085789" w:rsidRDefault="00085789">
      <w:pPr>
        <w:pStyle w:val="TOC1"/>
        <w:rPr>
          <w:rFonts w:asciiTheme="minorHAnsi" w:eastAsiaTheme="minorEastAsia" w:hAnsiTheme="minorHAnsi" w:cstheme="minorBidi"/>
          <w:kern w:val="2"/>
          <w:lang w:val="en-US"/>
          <w14:ligatures w14:val="standardContextual"/>
        </w:rPr>
      </w:pPr>
      <w:hyperlink w:anchor="_Toc214311311" w:history="1">
        <w:r>
          <w:rPr>
            <w:rStyle w:val="Hyperlink"/>
            <w:rFonts w:cstheme="majorHAnsi"/>
            <w:lang w:val="da-DK"/>
          </w:rPr>
          <w:t>10.2. Hệ thống chính sách và văn bản quy phạm pháp luật</w:t>
        </w:r>
        <w:r>
          <w:rPr>
            <w:webHidden/>
          </w:rPr>
          <w:tab/>
        </w:r>
        <w:r>
          <w:rPr>
            <w:webHidden/>
          </w:rPr>
          <w:fldChar w:fldCharType="begin"/>
        </w:r>
        <w:r>
          <w:rPr>
            <w:webHidden/>
          </w:rPr>
          <w:instrText xml:space="preserve"> PAGEREF _Toc214311311 \h </w:instrText>
        </w:r>
        <w:r>
          <w:rPr>
            <w:webHidden/>
          </w:rPr>
        </w:r>
        <w:r>
          <w:rPr>
            <w:webHidden/>
          </w:rPr>
          <w:fldChar w:fldCharType="separate"/>
        </w:r>
        <w:r w:rsidR="001A08FA">
          <w:rPr>
            <w:webHidden/>
          </w:rPr>
          <w:t>200</w:t>
        </w:r>
        <w:r>
          <w:rPr>
            <w:webHidden/>
          </w:rPr>
          <w:fldChar w:fldCharType="end"/>
        </w:r>
      </w:hyperlink>
    </w:p>
    <w:p w14:paraId="14A148C9" w14:textId="0B995141" w:rsidR="00085789" w:rsidRDefault="00085789">
      <w:pPr>
        <w:pStyle w:val="TOC1"/>
        <w:rPr>
          <w:rFonts w:asciiTheme="minorHAnsi" w:eastAsiaTheme="minorEastAsia" w:hAnsiTheme="minorHAnsi" w:cstheme="minorBidi"/>
          <w:kern w:val="2"/>
          <w:lang w:val="en-US"/>
          <w14:ligatures w14:val="standardContextual"/>
        </w:rPr>
      </w:pPr>
      <w:hyperlink w:anchor="_Toc214311312" w:history="1">
        <w:r>
          <w:rPr>
            <w:rStyle w:val="Hyperlink"/>
            <w:lang w:val="da-DK"/>
          </w:rPr>
          <w:t>10.3. Hệ thống quản lý môi trường</w:t>
        </w:r>
        <w:r>
          <w:rPr>
            <w:webHidden/>
          </w:rPr>
          <w:tab/>
        </w:r>
        <w:r>
          <w:rPr>
            <w:webHidden/>
          </w:rPr>
          <w:fldChar w:fldCharType="begin"/>
        </w:r>
        <w:r>
          <w:rPr>
            <w:webHidden/>
          </w:rPr>
          <w:instrText xml:space="preserve"> PAGEREF _Toc214311312 \h </w:instrText>
        </w:r>
        <w:r>
          <w:rPr>
            <w:webHidden/>
          </w:rPr>
        </w:r>
        <w:r>
          <w:rPr>
            <w:webHidden/>
          </w:rPr>
          <w:fldChar w:fldCharType="separate"/>
        </w:r>
        <w:r w:rsidR="001A08FA">
          <w:rPr>
            <w:webHidden/>
          </w:rPr>
          <w:t>201</w:t>
        </w:r>
        <w:r>
          <w:rPr>
            <w:webHidden/>
          </w:rPr>
          <w:fldChar w:fldCharType="end"/>
        </w:r>
      </w:hyperlink>
    </w:p>
    <w:p w14:paraId="0A71F2A2" w14:textId="5B14EF60" w:rsidR="00085789" w:rsidRDefault="00085789">
      <w:pPr>
        <w:pStyle w:val="TOC1"/>
        <w:rPr>
          <w:rFonts w:asciiTheme="minorHAnsi" w:eastAsiaTheme="minorEastAsia" w:hAnsiTheme="minorHAnsi" w:cstheme="minorBidi"/>
          <w:kern w:val="2"/>
          <w:lang w:val="en-US"/>
          <w14:ligatures w14:val="standardContextual"/>
        </w:rPr>
      </w:pPr>
      <w:hyperlink w:anchor="_Toc214311313" w:history="1">
        <w:r>
          <w:rPr>
            <w:rStyle w:val="Hyperlink"/>
            <w:lang w:val="da-DK"/>
          </w:rPr>
          <w:t>10.4. Vấn đề tài chính, đầu tư cho công tác bảo vệ môi trường</w:t>
        </w:r>
        <w:r>
          <w:rPr>
            <w:webHidden/>
          </w:rPr>
          <w:tab/>
        </w:r>
        <w:r>
          <w:rPr>
            <w:webHidden/>
          </w:rPr>
          <w:fldChar w:fldCharType="begin"/>
        </w:r>
        <w:r>
          <w:rPr>
            <w:webHidden/>
          </w:rPr>
          <w:instrText xml:space="preserve"> PAGEREF _Toc214311313 \h </w:instrText>
        </w:r>
        <w:r>
          <w:rPr>
            <w:webHidden/>
          </w:rPr>
        </w:r>
        <w:r>
          <w:rPr>
            <w:webHidden/>
          </w:rPr>
          <w:fldChar w:fldCharType="separate"/>
        </w:r>
        <w:r w:rsidR="001A08FA">
          <w:rPr>
            <w:webHidden/>
          </w:rPr>
          <w:t>203</w:t>
        </w:r>
        <w:r>
          <w:rPr>
            <w:webHidden/>
          </w:rPr>
          <w:fldChar w:fldCharType="end"/>
        </w:r>
      </w:hyperlink>
    </w:p>
    <w:p w14:paraId="5075D963" w14:textId="280C2512" w:rsidR="00085789" w:rsidRDefault="00085789">
      <w:pPr>
        <w:pStyle w:val="TOC1"/>
        <w:rPr>
          <w:rFonts w:asciiTheme="minorHAnsi" w:eastAsiaTheme="minorEastAsia" w:hAnsiTheme="minorHAnsi" w:cstheme="minorBidi"/>
          <w:kern w:val="2"/>
          <w:lang w:val="en-US"/>
          <w14:ligatures w14:val="standardContextual"/>
        </w:rPr>
      </w:pPr>
      <w:hyperlink w:anchor="_Toc214311314" w:history="1">
        <w:r>
          <w:rPr>
            <w:rStyle w:val="Hyperlink"/>
            <w:lang w:val="da-DK"/>
          </w:rPr>
          <w:t>10.5. Về triển khai các công cụ trong quản lý môi trường</w:t>
        </w:r>
        <w:r>
          <w:rPr>
            <w:webHidden/>
          </w:rPr>
          <w:tab/>
        </w:r>
        <w:r>
          <w:rPr>
            <w:webHidden/>
          </w:rPr>
          <w:fldChar w:fldCharType="begin"/>
        </w:r>
        <w:r>
          <w:rPr>
            <w:webHidden/>
          </w:rPr>
          <w:instrText xml:space="preserve"> PAGEREF _Toc214311314 \h </w:instrText>
        </w:r>
        <w:r>
          <w:rPr>
            <w:webHidden/>
          </w:rPr>
        </w:r>
        <w:r>
          <w:rPr>
            <w:webHidden/>
          </w:rPr>
          <w:fldChar w:fldCharType="separate"/>
        </w:r>
        <w:r w:rsidR="001A08FA">
          <w:rPr>
            <w:webHidden/>
          </w:rPr>
          <w:t>203</w:t>
        </w:r>
        <w:r>
          <w:rPr>
            <w:webHidden/>
          </w:rPr>
          <w:fldChar w:fldCharType="end"/>
        </w:r>
      </w:hyperlink>
    </w:p>
    <w:p w14:paraId="54218F11" w14:textId="469C5BFD" w:rsidR="00085789" w:rsidRDefault="00085789">
      <w:pPr>
        <w:pStyle w:val="TOC1"/>
        <w:jc w:val="left"/>
        <w:rPr>
          <w:rFonts w:asciiTheme="minorHAnsi" w:eastAsiaTheme="minorEastAsia" w:hAnsiTheme="minorHAnsi" w:cstheme="minorBidi"/>
          <w:b w:val="0"/>
          <w:bCs w:val="0"/>
          <w:kern w:val="2"/>
          <w:lang w:val="en-US"/>
          <w14:ligatures w14:val="standardContextual"/>
        </w:rPr>
      </w:pPr>
      <w:hyperlink w:anchor="_Toc214311315" w:history="1">
        <w:r>
          <w:rPr>
            <w:rStyle w:val="Hyperlink"/>
            <w:b w:val="0"/>
            <w:bCs w:val="0"/>
            <w:lang w:val="da-DK"/>
          </w:rPr>
          <w:t>10.5.1. Thực hiện đánh giá tác động môi trường chiến lược (ĐMC), đánh giá tác động môi trường (ĐTM)</w:t>
        </w:r>
        <w:r>
          <w:rPr>
            <w:b w:val="0"/>
            <w:bCs w:val="0"/>
            <w:webHidden/>
          </w:rPr>
          <w:tab/>
        </w:r>
        <w:r>
          <w:rPr>
            <w:b w:val="0"/>
            <w:bCs w:val="0"/>
            <w:webHidden/>
          </w:rPr>
          <w:fldChar w:fldCharType="begin"/>
        </w:r>
        <w:r>
          <w:rPr>
            <w:b w:val="0"/>
            <w:bCs w:val="0"/>
            <w:webHidden/>
          </w:rPr>
          <w:instrText xml:space="preserve"> PAGEREF _Toc214311315 \h </w:instrText>
        </w:r>
        <w:r>
          <w:rPr>
            <w:b w:val="0"/>
            <w:bCs w:val="0"/>
            <w:webHidden/>
          </w:rPr>
        </w:r>
        <w:r>
          <w:rPr>
            <w:b w:val="0"/>
            <w:bCs w:val="0"/>
            <w:webHidden/>
          </w:rPr>
          <w:fldChar w:fldCharType="separate"/>
        </w:r>
        <w:r w:rsidR="001A08FA">
          <w:rPr>
            <w:b w:val="0"/>
            <w:bCs w:val="0"/>
            <w:webHidden/>
          </w:rPr>
          <w:t>203</w:t>
        </w:r>
        <w:r>
          <w:rPr>
            <w:b w:val="0"/>
            <w:bCs w:val="0"/>
            <w:webHidden/>
          </w:rPr>
          <w:fldChar w:fldCharType="end"/>
        </w:r>
      </w:hyperlink>
    </w:p>
    <w:p w14:paraId="267A72CB" w14:textId="6483BB15"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16" w:history="1">
        <w:r>
          <w:rPr>
            <w:rStyle w:val="Hyperlink"/>
            <w:b w:val="0"/>
            <w:bCs w:val="0"/>
            <w:spacing w:val="-12"/>
          </w:rPr>
          <w:t>10.5.2. Thanh tra, kiểm tra và xử lý các vụ việc vi phạm pháp luật về bảo vệ môi trường</w:t>
        </w:r>
        <w:r>
          <w:rPr>
            <w:b w:val="0"/>
            <w:bCs w:val="0"/>
            <w:webHidden/>
          </w:rPr>
          <w:tab/>
        </w:r>
        <w:r>
          <w:rPr>
            <w:b w:val="0"/>
            <w:bCs w:val="0"/>
            <w:webHidden/>
          </w:rPr>
          <w:fldChar w:fldCharType="begin"/>
        </w:r>
        <w:r>
          <w:rPr>
            <w:b w:val="0"/>
            <w:bCs w:val="0"/>
            <w:webHidden/>
          </w:rPr>
          <w:instrText xml:space="preserve"> PAGEREF _Toc214311316 \h </w:instrText>
        </w:r>
        <w:r>
          <w:rPr>
            <w:b w:val="0"/>
            <w:bCs w:val="0"/>
            <w:webHidden/>
          </w:rPr>
        </w:r>
        <w:r>
          <w:rPr>
            <w:b w:val="0"/>
            <w:bCs w:val="0"/>
            <w:webHidden/>
          </w:rPr>
          <w:fldChar w:fldCharType="separate"/>
        </w:r>
        <w:r w:rsidR="001A08FA">
          <w:rPr>
            <w:b w:val="0"/>
            <w:bCs w:val="0"/>
            <w:webHidden/>
          </w:rPr>
          <w:t>203</w:t>
        </w:r>
        <w:r>
          <w:rPr>
            <w:b w:val="0"/>
            <w:bCs w:val="0"/>
            <w:webHidden/>
          </w:rPr>
          <w:fldChar w:fldCharType="end"/>
        </w:r>
      </w:hyperlink>
    </w:p>
    <w:p w14:paraId="429293A3" w14:textId="035C445B" w:rsidR="00085789" w:rsidRDefault="00085789">
      <w:pPr>
        <w:pStyle w:val="TOC1"/>
        <w:rPr>
          <w:rStyle w:val="Hyperlink"/>
          <w:b w:val="0"/>
          <w:bCs w:val="0"/>
        </w:rPr>
      </w:pPr>
      <w:hyperlink w:anchor="_Toc214311317" w:history="1">
        <w:r>
          <w:rPr>
            <w:rStyle w:val="Hyperlink"/>
            <w:b w:val="0"/>
            <w:bCs w:val="0"/>
          </w:rPr>
          <w:t>10.5.3. Quan trắc và thông tin môi trường</w:t>
        </w:r>
        <w:r>
          <w:rPr>
            <w:b w:val="0"/>
            <w:bCs w:val="0"/>
            <w:webHidden/>
          </w:rPr>
          <w:tab/>
        </w:r>
        <w:r>
          <w:rPr>
            <w:b w:val="0"/>
            <w:bCs w:val="0"/>
            <w:webHidden/>
          </w:rPr>
          <w:fldChar w:fldCharType="begin"/>
        </w:r>
        <w:r>
          <w:rPr>
            <w:b w:val="0"/>
            <w:bCs w:val="0"/>
            <w:webHidden/>
          </w:rPr>
          <w:instrText xml:space="preserve"> PAGEREF _Toc214311317 \h </w:instrText>
        </w:r>
        <w:r>
          <w:rPr>
            <w:b w:val="0"/>
            <w:bCs w:val="0"/>
            <w:webHidden/>
          </w:rPr>
        </w:r>
        <w:r>
          <w:rPr>
            <w:b w:val="0"/>
            <w:bCs w:val="0"/>
            <w:webHidden/>
          </w:rPr>
          <w:fldChar w:fldCharType="separate"/>
        </w:r>
        <w:r w:rsidR="001A08FA">
          <w:rPr>
            <w:b w:val="0"/>
            <w:bCs w:val="0"/>
            <w:webHidden/>
          </w:rPr>
          <w:t>204</w:t>
        </w:r>
        <w:r>
          <w:rPr>
            <w:b w:val="0"/>
            <w:bCs w:val="0"/>
            <w:webHidden/>
          </w:rPr>
          <w:fldChar w:fldCharType="end"/>
        </w:r>
      </w:hyperlink>
    </w:p>
    <w:p w14:paraId="0C36AF68" w14:textId="64720E1E"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17" w:history="1">
        <w:r>
          <w:rPr>
            <w:rStyle w:val="Hyperlink"/>
            <w:b w:val="0"/>
            <w:bCs w:val="0"/>
          </w:rPr>
          <w:t>10.5.4. Áp dụng các công cụ kinh tế trong quản lý môi trường</w:t>
        </w:r>
        <w:r>
          <w:rPr>
            <w:b w:val="0"/>
            <w:bCs w:val="0"/>
            <w:webHidden/>
          </w:rPr>
          <w:tab/>
        </w:r>
        <w:r>
          <w:rPr>
            <w:b w:val="0"/>
            <w:bCs w:val="0"/>
            <w:webHidden/>
          </w:rPr>
          <w:fldChar w:fldCharType="begin"/>
        </w:r>
        <w:r>
          <w:rPr>
            <w:b w:val="0"/>
            <w:bCs w:val="0"/>
            <w:webHidden/>
          </w:rPr>
          <w:instrText xml:space="preserve"> PAGEREF _Toc214311317 \h </w:instrText>
        </w:r>
        <w:r>
          <w:rPr>
            <w:b w:val="0"/>
            <w:bCs w:val="0"/>
            <w:webHidden/>
          </w:rPr>
        </w:r>
        <w:r>
          <w:rPr>
            <w:b w:val="0"/>
            <w:bCs w:val="0"/>
            <w:webHidden/>
          </w:rPr>
          <w:fldChar w:fldCharType="separate"/>
        </w:r>
        <w:r w:rsidR="001A08FA">
          <w:rPr>
            <w:b w:val="0"/>
            <w:bCs w:val="0"/>
            <w:webHidden/>
          </w:rPr>
          <w:t>204</w:t>
        </w:r>
        <w:r>
          <w:rPr>
            <w:b w:val="0"/>
            <w:bCs w:val="0"/>
            <w:webHidden/>
          </w:rPr>
          <w:fldChar w:fldCharType="end"/>
        </w:r>
      </w:hyperlink>
    </w:p>
    <w:p w14:paraId="28F3DE6F" w14:textId="341A7EC5" w:rsidR="00085789" w:rsidRDefault="00085789">
      <w:pPr>
        <w:pStyle w:val="TOC1"/>
        <w:jc w:val="left"/>
        <w:rPr>
          <w:rFonts w:asciiTheme="minorHAnsi" w:eastAsiaTheme="minorEastAsia" w:hAnsiTheme="minorHAnsi" w:cstheme="minorBidi"/>
          <w:kern w:val="2"/>
          <w:lang w:val="en-US"/>
          <w14:ligatures w14:val="standardContextual"/>
        </w:rPr>
      </w:pPr>
      <w:hyperlink w:anchor="_Toc214311318" w:history="1">
        <w:r>
          <w:rPr>
            <w:rStyle w:val="Hyperlink"/>
            <w:lang w:val="hsb-DE"/>
          </w:rPr>
          <w:t>10.6. Hoạt động nghiên cứu khoa học công nghệ và vấn đề áp dụng các công nghệ mới trong bảo vệ môi trường</w:t>
        </w:r>
        <w:r>
          <w:rPr>
            <w:webHidden/>
          </w:rPr>
          <w:tab/>
        </w:r>
        <w:r>
          <w:rPr>
            <w:webHidden/>
          </w:rPr>
          <w:fldChar w:fldCharType="begin"/>
        </w:r>
        <w:r>
          <w:rPr>
            <w:webHidden/>
          </w:rPr>
          <w:instrText xml:space="preserve"> PAGEREF _Toc214311318 \h </w:instrText>
        </w:r>
        <w:r>
          <w:rPr>
            <w:webHidden/>
          </w:rPr>
        </w:r>
        <w:r>
          <w:rPr>
            <w:webHidden/>
          </w:rPr>
          <w:fldChar w:fldCharType="separate"/>
        </w:r>
        <w:r w:rsidR="001A08FA">
          <w:rPr>
            <w:webHidden/>
          </w:rPr>
          <w:t>204</w:t>
        </w:r>
        <w:r>
          <w:rPr>
            <w:webHidden/>
          </w:rPr>
          <w:fldChar w:fldCharType="end"/>
        </w:r>
      </w:hyperlink>
    </w:p>
    <w:p w14:paraId="2EA8FDE6" w14:textId="7FF4554C" w:rsidR="00085789" w:rsidRDefault="00085789">
      <w:pPr>
        <w:pStyle w:val="TOC1"/>
        <w:rPr>
          <w:rFonts w:asciiTheme="minorHAnsi" w:eastAsiaTheme="minorEastAsia" w:hAnsiTheme="minorHAnsi" w:cstheme="minorBidi"/>
          <w:kern w:val="2"/>
          <w:lang w:val="en-US"/>
          <w14:ligatures w14:val="standardContextual"/>
        </w:rPr>
      </w:pPr>
      <w:hyperlink w:anchor="_Toc214311319" w:history="1">
        <w:r>
          <w:rPr>
            <w:rStyle w:val="Hyperlink"/>
            <w:lang w:val="pt-BR"/>
          </w:rPr>
          <w:t>10.7. Nâng cao nhận thức cộng đồng và vấn đề xã hội hóa công tác BVMT</w:t>
        </w:r>
        <w:r>
          <w:rPr>
            <w:webHidden/>
          </w:rPr>
          <w:tab/>
        </w:r>
        <w:r>
          <w:rPr>
            <w:webHidden/>
          </w:rPr>
          <w:fldChar w:fldCharType="begin"/>
        </w:r>
        <w:r>
          <w:rPr>
            <w:webHidden/>
          </w:rPr>
          <w:instrText xml:space="preserve"> PAGEREF _Toc214311319 \h </w:instrText>
        </w:r>
        <w:r>
          <w:rPr>
            <w:webHidden/>
          </w:rPr>
        </w:r>
        <w:r>
          <w:rPr>
            <w:webHidden/>
          </w:rPr>
          <w:fldChar w:fldCharType="separate"/>
        </w:r>
        <w:r w:rsidR="001A08FA">
          <w:rPr>
            <w:webHidden/>
          </w:rPr>
          <w:t>204</w:t>
        </w:r>
        <w:r>
          <w:rPr>
            <w:webHidden/>
          </w:rPr>
          <w:fldChar w:fldCharType="end"/>
        </w:r>
      </w:hyperlink>
    </w:p>
    <w:p w14:paraId="24213587" w14:textId="603E5022" w:rsidR="00085789" w:rsidRDefault="00085789">
      <w:pPr>
        <w:pStyle w:val="TOC1"/>
        <w:rPr>
          <w:rFonts w:asciiTheme="minorHAnsi" w:eastAsiaTheme="minorEastAsia" w:hAnsiTheme="minorHAnsi" w:cstheme="minorBidi"/>
          <w:kern w:val="2"/>
          <w:lang w:val="en-US"/>
          <w14:ligatures w14:val="standardContextual"/>
        </w:rPr>
      </w:pPr>
      <w:hyperlink w:anchor="_Toc214311320" w:history="1">
        <w:r>
          <w:rPr>
            <w:rStyle w:val="Hyperlink"/>
            <w:lang w:val="pt-BR"/>
          </w:rPr>
          <w:t>10.8. Hợp tác quốc tế về bảo vệ môi trường</w:t>
        </w:r>
        <w:r>
          <w:rPr>
            <w:webHidden/>
          </w:rPr>
          <w:tab/>
        </w:r>
        <w:r>
          <w:rPr>
            <w:webHidden/>
          </w:rPr>
          <w:fldChar w:fldCharType="begin"/>
        </w:r>
        <w:r>
          <w:rPr>
            <w:webHidden/>
          </w:rPr>
          <w:instrText xml:space="preserve"> PAGEREF _Toc214311320 \h </w:instrText>
        </w:r>
        <w:r>
          <w:rPr>
            <w:webHidden/>
          </w:rPr>
        </w:r>
        <w:r>
          <w:rPr>
            <w:webHidden/>
          </w:rPr>
          <w:fldChar w:fldCharType="separate"/>
        </w:r>
        <w:r w:rsidR="001A08FA">
          <w:rPr>
            <w:webHidden/>
          </w:rPr>
          <w:t>205</w:t>
        </w:r>
        <w:r>
          <w:rPr>
            <w:webHidden/>
          </w:rPr>
          <w:fldChar w:fldCharType="end"/>
        </w:r>
      </w:hyperlink>
    </w:p>
    <w:p w14:paraId="290F2EC5" w14:textId="5DAFB5E4" w:rsidR="00085789" w:rsidRDefault="00085789">
      <w:pPr>
        <w:pStyle w:val="TOC1"/>
        <w:rPr>
          <w:rStyle w:val="Hyperlink"/>
          <w:sz w:val="26"/>
          <w:szCs w:val="26"/>
        </w:rPr>
      </w:pPr>
      <w:hyperlink w:anchor="_Toc214311321" w:history="1">
        <w:r>
          <w:rPr>
            <w:rStyle w:val="Hyperlink"/>
            <w:sz w:val="26"/>
            <w:szCs w:val="26"/>
            <w:lang w:val="pt-BR"/>
          </w:rPr>
          <w:t>CHƯƠNG XI</w:t>
        </w:r>
      </w:hyperlink>
    </w:p>
    <w:p w14:paraId="46821448" w14:textId="77777777" w:rsidR="00085789" w:rsidRDefault="00000000">
      <w:pPr>
        <w:spacing w:before="40" w:after="40" w:line="240" w:lineRule="auto"/>
        <w:jc w:val="center"/>
        <w:rPr>
          <w:rFonts w:eastAsiaTheme="minorEastAsia"/>
          <w:b/>
          <w:bCs/>
          <w:noProof/>
          <w:sz w:val="26"/>
          <w:szCs w:val="26"/>
          <w:lang w:val="pt-BR"/>
        </w:rPr>
      </w:pPr>
      <w:r>
        <w:rPr>
          <w:rFonts w:eastAsiaTheme="minorEastAsia"/>
          <w:b/>
          <w:bCs/>
          <w:noProof/>
          <w:sz w:val="26"/>
          <w:szCs w:val="26"/>
          <w:lang w:val="pt-BR"/>
        </w:rPr>
        <w:t>CÁC THÁCH THỨC TRONG BẢO VỆ MÔI TRƯỜNG, PHƯƠNG HƯỚNG VÀ GIẢI PHÁP BẢO VỆ MÔI TRƯỜNG TRONG 5 NĂM TỚI</w:t>
      </w:r>
    </w:p>
    <w:p w14:paraId="0750EA66" w14:textId="722A698B" w:rsidR="00085789" w:rsidRDefault="00085789">
      <w:pPr>
        <w:pStyle w:val="TOC1"/>
        <w:rPr>
          <w:rFonts w:asciiTheme="minorHAnsi" w:eastAsiaTheme="minorEastAsia" w:hAnsiTheme="minorHAnsi" w:cstheme="minorBidi"/>
          <w:kern w:val="2"/>
          <w:lang w:val="en-US"/>
          <w14:ligatures w14:val="standardContextual"/>
        </w:rPr>
      </w:pPr>
      <w:hyperlink w:anchor="_Toc214311322" w:history="1">
        <w:r>
          <w:rPr>
            <w:rStyle w:val="Hyperlink"/>
            <w:lang w:val="pt-BR"/>
          </w:rPr>
          <w:t>11.1. Các thách thức về môi trường</w:t>
        </w:r>
        <w:r>
          <w:rPr>
            <w:webHidden/>
          </w:rPr>
          <w:tab/>
        </w:r>
        <w:r>
          <w:rPr>
            <w:webHidden/>
          </w:rPr>
          <w:fldChar w:fldCharType="begin"/>
        </w:r>
        <w:r>
          <w:rPr>
            <w:webHidden/>
          </w:rPr>
          <w:instrText xml:space="preserve"> PAGEREF _Toc214311322 \h </w:instrText>
        </w:r>
        <w:r>
          <w:rPr>
            <w:webHidden/>
          </w:rPr>
        </w:r>
        <w:r>
          <w:rPr>
            <w:webHidden/>
          </w:rPr>
          <w:fldChar w:fldCharType="separate"/>
        </w:r>
        <w:r w:rsidR="001A08FA">
          <w:rPr>
            <w:webHidden/>
          </w:rPr>
          <w:t>206</w:t>
        </w:r>
        <w:r>
          <w:rPr>
            <w:webHidden/>
          </w:rPr>
          <w:fldChar w:fldCharType="end"/>
        </w:r>
      </w:hyperlink>
    </w:p>
    <w:p w14:paraId="463CEF2C" w14:textId="34BC304D" w:rsidR="00085789" w:rsidRDefault="00085789">
      <w:pPr>
        <w:pStyle w:val="TOC1"/>
        <w:rPr>
          <w:rFonts w:asciiTheme="minorHAnsi" w:eastAsiaTheme="minorEastAsia" w:hAnsiTheme="minorHAnsi" w:cstheme="minorBidi"/>
          <w:kern w:val="2"/>
          <w:lang w:val="en-US"/>
          <w14:ligatures w14:val="standardContextual"/>
        </w:rPr>
      </w:pPr>
      <w:hyperlink w:anchor="_Toc214311323" w:history="1">
        <w:r>
          <w:rPr>
            <w:rStyle w:val="Hyperlink"/>
            <w:lang w:val="pt-BR"/>
          </w:rPr>
          <w:t>11.1.1. Các thách thức hiện tại</w:t>
        </w:r>
        <w:r>
          <w:rPr>
            <w:webHidden/>
          </w:rPr>
          <w:tab/>
        </w:r>
        <w:r>
          <w:rPr>
            <w:webHidden/>
          </w:rPr>
          <w:fldChar w:fldCharType="begin"/>
        </w:r>
        <w:r>
          <w:rPr>
            <w:webHidden/>
          </w:rPr>
          <w:instrText xml:space="preserve"> PAGEREF _Toc214311323 \h </w:instrText>
        </w:r>
        <w:r>
          <w:rPr>
            <w:webHidden/>
          </w:rPr>
        </w:r>
        <w:r>
          <w:rPr>
            <w:webHidden/>
          </w:rPr>
          <w:fldChar w:fldCharType="separate"/>
        </w:r>
        <w:r w:rsidR="001A08FA">
          <w:rPr>
            <w:webHidden/>
          </w:rPr>
          <w:t>206</w:t>
        </w:r>
        <w:r>
          <w:rPr>
            <w:webHidden/>
          </w:rPr>
          <w:fldChar w:fldCharType="end"/>
        </w:r>
      </w:hyperlink>
    </w:p>
    <w:p w14:paraId="2AB03397" w14:textId="14A9F48C" w:rsidR="00085789" w:rsidRDefault="00085789">
      <w:pPr>
        <w:pStyle w:val="TOC1"/>
        <w:rPr>
          <w:rFonts w:asciiTheme="minorHAnsi" w:eastAsiaTheme="minorEastAsia" w:hAnsiTheme="minorHAnsi" w:cstheme="minorBidi"/>
          <w:kern w:val="2"/>
          <w:lang w:val="en-US"/>
          <w14:ligatures w14:val="standardContextual"/>
        </w:rPr>
      </w:pPr>
      <w:hyperlink w:anchor="_Toc214311324" w:history="1">
        <w:r>
          <w:rPr>
            <w:rStyle w:val="Hyperlink"/>
          </w:rPr>
          <w:t>11.1.2. Các thách thức trong thời gian tới</w:t>
        </w:r>
        <w:r>
          <w:rPr>
            <w:webHidden/>
          </w:rPr>
          <w:tab/>
        </w:r>
        <w:r>
          <w:rPr>
            <w:webHidden/>
          </w:rPr>
          <w:fldChar w:fldCharType="begin"/>
        </w:r>
        <w:r>
          <w:rPr>
            <w:webHidden/>
          </w:rPr>
          <w:instrText xml:space="preserve"> PAGEREF _Toc214311324 \h </w:instrText>
        </w:r>
        <w:r>
          <w:rPr>
            <w:webHidden/>
          </w:rPr>
        </w:r>
        <w:r>
          <w:rPr>
            <w:webHidden/>
          </w:rPr>
          <w:fldChar w:fldCharType="separate"/>
        </w:r>
        <w:r w:rsidR="001A08FA">
          <w:rPr>
            <w:webHidden/>
          </w:rPr>
          <w:t>207</w:t>
        </w:r>
        <w:r>
          <w:rPr>
            <w:webHidden/>
          </w:rPr>
          <w:fldChar w:fldCharType="end"/>
        </w:r>
      </w:hyperlink>
    </w:p>
    <w:p w14:paraId="44B80212" w14:textId="755E543C" w:rsidR="00085789" w:rsidRDefault="00085789">
      <w:pPr>
        <w:pStyle w:val="TOC1"/>
        <w:rPr>
          <w:rFonts w:asciiTheme="minorHAnsi" w:eastAsiaTheme="minorEastAsia" w:hAnsiTheme="minorHAnsi" w:cstheme="minorBidi"/>
          <w:kern w:val="2"/>
          <w:lang w:val="en-US"/>
          <w14:ligatures w14:val="standardContextual"/>
        </w:rPr>
      </w:pPr>
      <w:hyperlink w:anchor="_Toc214311325" w:history="1">
        <w:r>
          <w:rPr>
            <w:rStyle w:val="Hyperlink"/>
          </w:rPr>
          <w:t>11.2. Phương hướng và giải pháp bảo vệ môi trường giai đoạn 2026-2030</w:t>
        </w:r>
        <w:r>
          <w:rPr>
            <w:webHidden/>
          </w:rPr>
          <w:tab/>
        </w:r>
        <w:r>
          <w:rPr>
            <w:webHidden/>
          </w:rPr>
          <w:fldChar w:fldCharType="begin"/>
        </w:r>
        <w:r>
          <w:rPr>
            <w:webHidden/>
          </w:rPr>
          <w:instrText xml:space="preserve"> PAGEREF _Toc214311325 \h </w:instrText>
        </w:r>
        <w:r>
          <w:rPr>
            <w:webHidden/>
          </w:rPr>
        </w:r>
        <w:r>
          <w:rPr>
            <w:webHidden/>
          </w:rPr>
          <w:fldChar w:fldCharType="separate"/>
        </w:r>
        <w:r w:rsidR="001A08FA">
          <w:rPr>
            <w:webHidden/>
          </w:rPr>
          <w:t>208</w:t>
        </w:r>
        <w:r>
          <w:rPr>
            <w:webHidden/>
          </w:rPr>
          <w:fldChar w:fldCharType="end"/>
        </w:r>
      </w:hyperlink>
    </w:p>
    <w:p w14:paraId="62343AB0" w14:textId="3C57569D" w:rsidR="00085789" w:rsidRDefault="00085789">
      <w:pPr>
        <w:pStyle w:val="TOC1"/>
        <w:jc w:val="left"/>
        <w:rPr>
          <w:rStyle w:val="Hyperlink"/>
          <w:b w:val="0"/>
          <w:bCs w:val="0"/>
        </w:rPr>
      </w:pPr>
      <w:hyperlink w:anchor="_Toc214311326" w:history="1">
        <w:r>
          <w:rPr>
            <w:rStyle w:val="Hyperlink"/>
            <w:b w:val="0"/>
            <w:bCs w:val="0"/>
          </w:rPr>
          <w:t>11.2.1. Xây dựng và thực hiện các đề án, chương trình bảo vệ môi trường tương ứng để khắc phục các vấn đề bức xúc về môi trường</w:t>
        </w:r>
        <w:r>
          <w:rPr>
            <w:b w:val="0"/>
            <w:bCs w:val="0"/>
            <w:webHidden/>
          </w:rPr>
          <w:tab/>
        </w:r>
        <w:r>
          <w:rPr>
            <w:b w:val="0"/>
            <w:bCs w:val="0"/>
            <w:webHidden/>
          </w:rPr>
          <w:fldChar w:fldCharType="begin"/>
        </w:r>
        <w:r>
          <w:rPr>
            <w:b w:val="0"/>
            <w:bCs w:val="0"/>
            <w:webHidden/>
          </w:rPr>
          <w:instrText xml:space="preserve"> PAGEREF _Toc214311326 \h </w:instrText>
        </w:r>
        <w:r>
          <w:rPr>
            <w:b w:val="0"/>
            <w:bCs w:val="0"/>
            <w:webHidden/>
          </w:rPr>
        </w:r>
        <w:r>
          <w:rPr>
            <w:b w:val="0"/>
            <w:bCs w:val="0"/>
            <w:webHidden/>
          </w:rPr>
          <w:fldChar w:fldCharType="separate"/>
        </w:r>
        <w:r w:rsidR="001A08FA">
          <w:rPr>
            <w:b w:val="0"/>
            <w:bCs w:val="0"/>
            <w:webHidden/>
          </w:rPr>
          <w:t>208</w:t>
        </w:r>
        <w:r>
          <w:rPr>
            <w:b w:val="0"/>
            <w:bCs w:val="0"/>
            <w:webHidden/>
          </w:rPr>
          <w:fldChar w:fldCharType="end"/>
        </w:r>
      </w:hyperlink>
    </w:p>
    <w:p w14:paraId="08BC5D17" w14:textId="6EA417E4"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7" w:history="1">
        <w:r>
          <w:rPr>
            <w:rStyle w:val="Hyperlink"/>
            <w:b w:val="0"/>
            <w:bCs w:val="0"/>
          </w:rPr>
          <w:t xml:space="preserve">11.2.2. Hoàn thiện hệ thống </w:t>
        </w:r>
        <w:r>
          <w:rPr>
            <w:b w:val="0"/>
            <w:bCs w:val="0"/>
          </w:rPr>
          <w:t>chính sách, pháp luật bảo vệ môi trường</w:t>
        </w:r>
        <w:r>
          <w:rPr>
            <w:b w:val="0"/>
            <w:bCs w:val="0"/>
            <w:webHidden/>
          </w:rPr>
          <w:tab/>
        </w:r>
        <w:r>
          <w:rPr>
            <w:b w:val="0"/>
            <w:bCs w:val="0"/>
            <w:webHidden/>
          </w:rPr>
          <w:fldChar w:fldCharType="begin"/>
        </w:r>
        <w:r>
          <w:rPr>
            <w:b w:val="0"/>
            <w:bCs w:val="0"/>
            <w:webHidden/>
          </w:rPr>
          <w:instrText xml:space="preserve"> PAGEREF _Toc214311327 \h </w:instrText>
        </w:r>
        <w:r>
          <w:rPr>
            <w:b w:val="0"/>
            <w:bCs w:val="0"/>
            <w:webHidden/>
          </w:rPr>
        </w:r>
        <w:r>
          <w:rPr>
            <w:b w:val="0"/>
            <w:bCs w:val="0"/>
            <w:webHidden/>
          </w:rPr>
          <w:fldChar w:fldCharType="separate"/>
        </w:r>
        <w:r w:rsidR="001A08FA">
          <w:rPr>
            <w:b w:val="0"/>
            <w:bCs w:val="0"/>
            <w:webHidden/>
          </w:rPr>
          <w:t>209</w:t>
        </w:r>
        <w:r>
          <w:rPr>
            <w:b w:val="0"/>
            <w:bCs w:val="0"/>
            <w:webHidden/>
          </w:rPr>
          <w:fldChar w:fldCharType="end"/>
        </w:r>
      </w:hyperlink>
    </w:p>
    <w:p w14:paraId="3D4BE517" w14:textId="766E20B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7" w:history="1">
        <w:r>
          <w:rPr>
            <w:rStyle w:val="Hyperlink"/>
            <w:b w:val="0"/>
            <w:bCs w:val="0"/>
          </w:rPr>
          <w:t>11.2.3. Hoàn thiện hệ thống tổ chức quản lý môi trường</w:t>
        </w:r>
        <w:r>
          <w:rPr>
            <w:b w:val="0"/>
            <w:bCs w:val="0"/>
            <w:webHidden/>
          </w:rPr>
          <w:tab/>
        </w:r>
        <w:r>
          <w:rPr>
            <w:b w:val="0"/>
            <w:bCs w:val="0"/>
            <w:webHidden/>
          </w:rPr>
          <w:fldChar w:fldCharType="begin"/>
        </w:r>
        <w:r>
          <w:rPr>
            <w:b w:val="0"/>
            <w:bCs w:val="0"/>
            <w:webHidden/>
          </w:rPr>
          <w:instrText xml:space="preserve"> PAGEREF _Toc214311327 \h </w:instrText>
        </w:r>
        <w:r>
          <w:rPr>
            <w:b w:val="0"/>
            <w:bCs w:val="0"/>
            <w:webHidden/>
          </w:rPr>
        </w:r>
        <w:r>
          <w:rPr>
            <w:b w:val="0"/>
            <w:bCs w:val="0"/>
            <w:webHidden/>
          </w:rPr>
          <w:fldChar w:fldCharType="separate"/>
        </w:r>
        <w:r w:rsidR="001A08FA">
          <w:rPr>
            <w:b w:val="0"/>
            <w:bCs w:val="0"/>
            <w:webHidden/>
          </w:rPr>
          <w:t>209</w:t>
        </w:r>
        <w:r>
          <w:rPr>
            <w:b w:val="0"/>
            <w:bCs w:val="0"/>
            <w:webHidden/>
          </w:rPr>
          <w:fldChar w:fldCharType="end"/>
        </w:r>
      </w:hyperlink>
    </w:p>
    <w:p w14:paraId="23A083DD" w14:textId="2126158F"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8" w:history="1">
        <w:r>
          <w:rPr>
            <w:rStyle w:val="Hyperlink"/>
            <w:b w:val="0"/>
            <w:bCs w:val="0"/>
          </w:rPr>
          <w:t>11.2.4. Nâng cao hiệu quả áp dụng các công cụ trong quản lý môi trường</w:t>
        </w:r>
        <w:r>
          <w:rPr>
            <w:b w:val="0"/>
            <w:bCs w:val="0"/>
            <w:webHidden/>
          </w:rPr>
          <w:tab/>
        </w:r>
        <w:r>
          <w:rPr>
            <w:b w:val="0"/>
            <w:bCs w:val="0"/>
            <w:webHidden/>
          </w:rPr>
          <w:fldChar w:fldCharType="begin"/>
        </w:r>
        <w:r>
          <w:rPr>
            <w:b w:val="0"/>
            <w:bCs w:val="0"/>
            <w:webHidden/>
          </w:rPr>
          <w:instrText xml:space="preserve"> PAGEREF _Toc214311328 \h </w:instrText>
        </w:r>
        <w:r>
          <w:rPr>
            <w:b w:val="0"/>
            <w:bCs w:val="0"/>
            <w:webHidden/>
          </w:rPr>
        </w:r>
        <w:r>
          <w:rPr>
            <w:b w:val="0"/>
            <w:bCs w:val="0"/>
            <w:webHidden/>
          </w:rPr>
          <w:fldChar w:fldCharType="separate"/>
        </w:r>
        <w:r w:rsidR="001A08FA">
          <w:rPr>
            <w:b w:val="0"/>
            <w:bCs w:val="0"/>
            <w:webHidden/>
          </w:rPr>
          <w:t>209</w:t>
        </w:r>
        <w:r>
          <w:rPr>
            <w:b w:val="0"/>
            <w:bCs w:val="0"/>
            <w:webHidden/>
          </w:rPr>
          <w:fldChar w:fldCharType="end"/>
        </w:r>
      </w:hyperlink>
    </w:p>
    <w:p w14:paraId="5FEF8D53" w14:textId="517A00CC"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29" w:history="1">
        <w:r>
          <w:rPr>
            <w:rStyle w:val="Hyperlink"/>
            <w:b w:val="0"/>
            <w:bCs w:val="0"/>
          </w:rPr>
          <w:t>11.2.5. Tăng cường tài chính, đầu tư cho bảo vệ môi trường</w:t>
        </w:r>
        <w:r>
          <w:rPr>
            <w:b w:val="0"/>
            <w:bCs w:val="0"/>
            <w:webHidden/>
          </w:rPr>
          <w:tab/>
        </w:r>
        <w:r>
          <w:rPr>
            <w:b w:val="0"/>
            <w:bCs w:val="0"/>
            <w:webHidden/>
          </w:rPr>
          <w:fldChar w:fldCharType="begin"/>
        </w:r>
        <w:r>
          <w:rPr>
            <w:b w:val="0"/>
            <w:bCs w:val="0"/>
            <w:webHidden/>
          </w:rPr>
          <w:instrText xml:space="preserve"> PAGEREF _Toc214311329 \h </w:instrText>
        </w:r>
        <w:r>
          <w:rPr>
            <w:b w:val="0"/>
            <w:bCs w:val="0"/>
            <w:webHidden/>
          </w:rPr>
        </w:r>
        <w:r>
          <w:rPr>
            <w:b w:val="0"/>
            <w:bCs w:val="0"/>
            <w:webHidden/>
          </w:rPr>
          <w:fldChar w:fldCharType="separate"/>
        </w:r>
        <w:r w:rsidR="001A08FA">
          <w:rPr>
            <w:b w:val="0"/>
            <w:bCs w:val="0"/>
            <w:webHidden/>
          </w:rPr>
          <w:t>210</w:t>
        </w:r>
        <w:r>
          <w:rPr>
            <w:b w:val="0"/>
            <w:bCs w:val="0"/>
            <w:webHidden/>
          </w:rPr>
          <w:fldChar w:fldCharType="end"/>
        </w:r>
      </w:hyperlink>
    </w:p>
    <w:p w14:paraId="040D9368" w14:textId="040A3AD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30" w:history="1">
        <w:r>
          <w:rPr>
            <w:rStyle w:val="Hyperlink"/>
            <w:b w:val="0"/>
            <w:bCs w:val="0"/>
          </w:rPr>
          <w:t>11.2.6. Nâng cao nhận thức cộng đồng và vấn đề xã hội hóa công tác bảo vệ môi trường</w:t>
        </w:r>
        <w:r>
          <w:rPr>
            <w:b w:val="0"/>
            <w:bCs w:val="0"/>
            <w:webHidden/>
          </w:rPr>
          <w:tab/>
        </w:r>
        <w:r>
          <w:rPr>
            <w:b w:val="0"/>
            <w:bCs w:val="0"/>
            <w:webHidden/>
          </w:rPr>
          <w:fldChar w:fldCharType="begin"/>
        </w:r>
        <w:r>
          <w:rPr>
            <w:b w:val="0"/>
            <w:bCs w:val="0"/>
            <w:webHidden/>
          </w:rPr>
          <w:instrText xml:space="preserve"> PAGEREF _Toc214311330 \h </w:instrText>
        </w:r>
        <w:r>
          <w:rPr>
            <w:b w:val="0"/>
            <w:bCs w:val="0"/>
            <w:webHidden/>
          </w:rPr>
        </w:r>
        <w:r>
          <w:rPr>
            <w:b w:val="0"/>
            <w:bCs w:val="0"/>
            <w:webHidden/>
          </w:rPr>
          <w:fldChar w:fldCharType="separate"/>
        </w:r>
        <w:r w:rsidR="001A08FA">
          <w:rPr>
            <w:b w:val="0"/>
            <w:bCs w:val="0"/>
            <w:webHidden/>
          </w:rPr>
          <w:t>210</w:t>
        </w:r>
        <w:r>
          <w:rPr>
            <w:b w:val="0"/>
            <w:bCs w:val="0"/>
            <w:webHidden/>
          </w:rPr>
          <w:fldChar w:fldCharType="end"/>
        </w:r>
      </w:hyperlink>
    </w:p>
    <w:p w14:paraId="17DC9FA0" w14:textId="52C56A41"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31" w:history="1">
        <w:r>
          <w:rPr>
            <w:rStyle w:val="Hyperlink"/>
            <w:b w:val="0"/>
            <w:bCs w:val="0"/>
          </w:rPr>
          <w:t>11.2.7. Mở rộng hợp tác quốc tế</w:t>
        </w:r>
        <w:r>
          <w:rPr>
            <w:b w:val="0"/>
            <w:bCs w:val="0"/>
            <w:webHidden/>
          </w:rPr>
          <w:tab/>
        </w:r>
        <w:r>
          <w:rPr>
            <w:b w:val="0"/>
            <w:bCs w:val="0"/>
            <w:webHidden/>
          </w:rPr>
          <w:fldChar w:fldCharType="begin"/>
        </w:r>
        <w:r>
          <w:rPr>
            <w:b w:val="0"/>
            <w:bCs w:val="0"/>
            <w:webHidden/>
          </w:rPr>
          <w:instrText xml:space="preserve"> PAGEREF _Toc214311331 \h </w:instrText>
        </w:r>
        <w:r>
          <w:rPr>
            <w:b w:val="0"/>
            <w:bCs w:val="0"/>
            <w:webHidden/>
          </w:rPr>
        </w:r>
        <w:r>
          <w:rPr>
            <w:b w:val="0"/>
            <w:bCs w:val="0"/>
            <w:webHidden/>
          </w:rPr>
          <w:fldChar w:fldCharType="separate"/>
        </w:r>
        <w:r w:rsidR="001A08FA">
          <w:rPr>
            <w:b w:val="0"/>
            <w:bCs w:val="0"/>
            <w:webHidden/>
          </w:rPr>
          <w:t>211</w:t>
        </w:r>
        <w:r>
          <w:rPr>
            <w:b w:val="0"/>
            <w:bCs w:val="0"/>
            <w:webHidden/>
          </w:rPr>
          <w:fldChar w:fldCharType="end"/>
        </w:r>
      </w:hyperlink>
    </w:p>
    <w:p w14:paraId="05E4825D" w14:textId="28EDD46B" w:rsidR="00085789" w:rsidRDefault="00085789">
      <w:pPr>
        <w:pStyle w:val="TOC1"/>
        <w:rPr>
          <w:rFonts w:asciiTheme="minorHAnsi" w:eastAsiaTheme="minorEastAsia" w:hAnsiTheme="minorHAnsi" w:cstheme="minorBidi"/>
          <w:b w:val="0"/>
          <w:bCs w:val="0"/>
          <w:kern w:val="2"/>
          <w:lang w:val="en-US"/>
          <w14:ligatures w14:val="standardContextual"/>
        </w:rPr>
      </w:pPr>
      <w:hyperlink w:anchor="_Toc214311332" w:history="1">
        <w:r>
          <w:rPr>
            <w:rStyle w:val="Hyperlink"/>
            <w:b w:val="0"/>
            <w:bCs w:val="0"/>
          </w:rPr>
          <w:t>11.2.8. Trách nhiệm của các sở, ngành, đơn vị liên quan</w:t>
        </w:r>
        <w:r>
          <w:rPr>
            <w:b w:val="0"/>
            <w:bCs w:val="0"/>
            <w:webHidden/>
          </w:rPr>
          <w:tab/>
        </w:r>
        <w:r>
          <w:rPr>
            <w:b w:val="0"/>
            <w:bCs w:val="0"/>
            <w:webHidden/>
          </w:rPr>
          <w:fldChar w:fldCharType="begin"/>
        </w:r>
        <w:r>
          <w:rPr>
            <w:b w:val="0"/>
            <w:bCs w:val="0"/>
            <w:webHidden/>
          </w:rPr>
          <w:instrText xml:space="preserve"> PAGEREF _Toc214311332 \h </w:instrText>
        </w:r>
        <w:r>
          <w:rPr>
            <w:b w:val="0"/>
            <w:bCs w:val="0"/>
            <w:webHidden/>
          </w:rPr>
        </w:r>
        <w:r>
          <w:rPr>
            <w:b w:val="0"/>
            <w:bCs w:val="0"/>
            <w:webHidden/>
          </w:rPr>
          <w:fldChar w:fldCharType="separate"/>
        </w:r>
        <w:r w:rsidR="001A08FA">
          <w:rPr>
            <w:b w:val="0"/>
            <w:bCs w:val="0"/>
            <w:webHidden/>
          </w:rPr>
          <w:t>211</w:t>
        </w:r>
        <w:r>
          <w:rPr>
            <w:b w:val="0"/>
            <w:bCs w:val="0"/>
            <w:webHidden/>
          </w:rPr>
          <w:fldChar w:fldCharType="end"/>
        </w:r>
      </w:hyperlink>
    </w:p>
    <w:p w14:paraId="2A69D6F8" w14:textId="1D13A39C" w:rsidR="00085789" w:rsidRDefault="00085789">
      <w:pPr>
        <w:pStyle w:val="TOC1"/>
        <w:rPr>
          <w:rFonts w:asciiTheme="minorHAnsi" w:eastAsiaTheme="minorEastAsia" w:hAnsiTheme="minorHAnsi" w:cstheme="minorBidi"/>
          <w:kern w:val="2"/>
          <w:lang w:val="en-US"/>
          <w14:ligatures w14:val="standardContextual"/>
        </w:rPr>
      </w:pPr>
      <w:hyperlink w:anchor="_Toc214311333" w:history="1">
        <w:r>
          <w:rPr>
            <w:rStyle w:val="Hyperlink"/>
            <w:lang w:val="sq-AL"/>
          </w:rPr>
          <w:t>KẾT LUẬN VÀ KIẾN NGHỊ</w:t>
        </w:r>
      </w:hyperlink>
    </w:p>
    <w:p w14:paraId="3968AFE0" w14:textId="2BD44638" w:rsidR="00085789" w:rsidRDefault="00085789">
      <w:pPr>
        <w:pStyle w:val="TOC1"/>
        <w:rPr>
          <w:rFonts w:asciiTheme="minorHAnsi" w:eastAsiaTheme="minorEastAsia" w:hAnsiTheme="minorHAnsi" w:cstheme="minorBidi"/>
          <w:kern w:val="2"/>
          <w:lang w:val="en-US"/>
          <w14:ligatures w14:val="standardContextual"/>
        </w:rPr>
      </w:pPr>
      <w:hyperlink w:anchor="_Toc214311334" w:history="1">
        <w:r>
          <w:rPr>
            <w:rStyle w:val="Hyperlink"/>
            <w:rFonts w:ascii="Times New Roman" w:eastAsia="Calibri" w:hAnsi="Times New Roman"/>
            <w:lang w:val="sq-AL"/>
          </w:rPr>
          <w:t>1. Kết luận</w:t>
        </w:r>
        <w:r>
          <w:rPr>
            <w:webHidden/>
          </w:rPr>
          <w:tab/>
        </w:r>
        <w:r>
          <w:rPr>
            <w:webHidden/>
          </w:rPr>
          <w:fldChar w:fldCharType="begin"/>
        </w:r>
        <w:r>
          <w:rPr>
            <w:webHidden/>
          </w:rPr>
          <w:instrText xml:space="preserve"> PAGEREF _Toc214311334 \h </w:instrText>
        </w:r>
        <w:r>
          <w:rPr>
            <w:webHidden/>
          </w:rPr>
        </w:r>
        <w:r>
          <w:rPr>
            <w:webHidden/>
          </w:rPr>
          <w:fldChar w:fldCharType="separate"/>
        </w:r>
        <w:r w:rsidR="001A08FA">
          <w:rPr>
            <w:webHidden/>
          </w:rPr>
          <w:t>215</w:t>
        </w:r>
        <w:r>
          <w:rPr>
            <w:webHidden/>
          </w:rPr>
          <w:fldChar w:fldCharType="end"/>
        </w:r>
      </w:hyperlink>
    </w:p>
    <w:p w14:paraId="002FFEAB" w14:textId="5387405F" w:rsidR="00085789" w:rsidRDefault="00085789">
      <w:pPr>
        <w:pStyle w:val="TOC1"/>
        <w:rPr>
          <w:rFonts w:asciiTheme="minorHAnsi" w:eastAsiaTheme="minorEastAsia" w:hAnsiTheme="minorHAnsi" w:cstheme="minorBidi"/>
          <w:kern w:val="2"/>
          <w:lang w:val="en-US"/>
          <w14:ligatures w14:val="standardContextual"/>
        </w:rPr>
      </w:pPr>
      <w:hyperlink w:anchor="_Toc214311335" w:history="1">
        <w:r>
          <w:rPr>
            <w:rStyle w:val="Hyperlink"/>
            <w:rFonts w:ascii="Times New Roman" w:eastAsia="Calibri" w:hAnsi="Times New Roman"/>
            <w:lang w:val="sq-AL"/>
          </w:rPr>
          <w:t>2. Kiến nghị</w:t>
        </w:r>
        <w:r>
          <w:rPr>
            <w:webHidden/>
          </w:rPr>
          <w:tab/>
        </w:r>
        <w:r>
          <w:rPr>
            <w:webHidden/>
          </w:rPr>
          <w:fldChar w:fldCharType="begin"/>
        </w:r>
        <w:r>
          <w:rPr>
            <w:webHidden/>
          </w:rPr>
          <w:instrText xml:space="preserve"> PAGEREF _Toc214311335 \h </w:instrText>
        </w:r>
        <w:r>
          <w:rPr>
            <w:webHidden/>
          </w:rPr>
        </w:r>
        <w:r>
          <w:rPr>
            <w:webHidden/>
          </w:rPr>
          <w:fldChar w:fldCharType="separate"/>
        </w:r>
        <w:r w:rsidR="001A08FA">
          <w:rPr>
            <w:webHidden/>
          </w:rPr>
          <w:t>215</w:t>
        </w:r>
        <w:r>
          <w:rPr>
            <w:webHidden/>
          </w:rPr>
          <w:fldChar w:fldCharType="end"/>
        </w:r>
      </w:hyperlink>
    </w:p>
    <w:p w14:paraId="3DE13C67" w14:textId="77777777" w:rsidR="00085789" w:rsidRDefault="00000000">
      <w:pPr>
        <w:pStyle w:val="s1"/>
        <w:spacing w:before="40" w:after="40" w:line="240" w:lineRule="auto"/>
        <w:ind w:firstLine="567"/>
        <w:rPr>
          <w:sz w:val="24"/>
          <w:szCs w:val="26"/>
        </w:rPr>
      </w:pPr>
      <w:r>
        <w:rPr>
          <w:sz w:val="24"/>
          <w:szCs w:val="26"/>
        </w:rPr>
        <w:fldChar w:fldCharType="end"/>
      </w:r>
    </w:p>
    <w:p w14:paraId="04D71A48" w14:textId="77777777" w:rsidR="00085789" w:rsidRDefault="00085789">
      <w:pPr>
        <w:pStyle w:val="s1"/>
        <w:spacing w:before="0" w:after="0" w:line="340" w:lineRule="exact"/>
        <w:ind w:firstLine="567"/>
        <w:rPr>
          <w:sz w:val="24"/>
          <w:szCs w:val="26"/>
        </w:rPr>
      </w:pPr>
    </w:p>
    <w:p w14:paraId="4B17EDFC" w14:textId="77777777" w:rsidR="00085789" w:rsidRDefault="00000000">
      <w:pPr>
        <w:pStyle w:val="s1"/>
        <w:spacing w:before="0" w:after="0" w:line="340" w:lineRule="exact"/>
      </w:pPr>
      <w:r>
        <w:rPr>
          <w:sz w:val="24"/>
          <w:szCs w:val="26"/>
        </w:rPr>
        <w:br w:type="column"/>
      </w:r>
      <w:r>
        <w:lastRenderedPageBreak/>
        <w:t>LỜI NÓI ĐẦU</w:t>
      </w:r>
      <w:bookmarkEnd w:id="5"/>
      <w:bookmarkEnd w:id="6"/>
      <w:bookmarkEnd w:id="7"/>
      <w:bookmarkEnd w:id="8"/>
      <w:bookmarkEnd w:id="9"/>
      <w:bookmarkEnd w:id="10"/>
    </w:p>
    <w:p w14:paraId="7011AE5E" w14:textId="77777777" w:rsidR="00085789" w:rsidRDefault="00085789">
      <w:pPr>
        <w:pStyle w:val="s1"/>
        <w:spacing w:before="0" w:after="0" w:line="340" w:lineRule="exact"/>
      </w:pPr>
    </w:p>
    <w:p w14:paraId="68D145E9" w14:textId="55AFD133" w:rsidR="00085789" w:rsidRDefault="00000000" w:rsidP="00AA3A70">
      <w:pPr>
        <w:jc w:val="both"/>
        <w:rPr>
          <w:sz w:val="26"/>
          <w:szCs w:val="26"/>
          <w:lang w:val="pt-BR"/>
        </w:rPr>
      </w:pPr>
      <w:r>
        <w:rPr>
          <w:rFonts w:asciiTheme="majorHAnsi" w:hAnsiTheme="majorHAnsi" w:cstheme="majorHAnsi"/>
          <w:sz w:val="26"/>
          <w:szCs w:val="26"/>
        </w:rPr>
        <w:tab/>
      </w:r>
      <w:r>
        <w:rPr>
          <w:rFonts w:asciiTheme="majorHAnsi" w:hAnsiTheme="majorHAnsi" w:cstheme="majorHAnsi"/>
          <w:spacing w:val="-2"/>
          <w:sz w:val="26"/>
          <w:szCs w:val="26"/>
        </w:rPr>
        <w:t>Thực hiện Luật Bảo vệ môi trường năm 2020, Thông tư số 02/2022/TT-BTNMT</w:t>
      </w:r>
      <w:r>
        <w:rPr>
          <w:rFonts w:asciiTheme="majorHAnsi" w:hAnsiTheme="majorHAnsi" w:cstheme="majorHAnsi"/>
          <w:sz w:val="26"/>
          <w:szCs w:val="26"/>
        </w:rPr>
        <w:t xml:space="preserve"> ngày 10 tháng 01 năm 2022 của </w:t>
      </w:r>
      <w:r>
        <w:rPr>
          <w:rFonts w:asciiTheme="majorHAnsi" w:hAnsiTheme="majorHAnsi" w:cstheme="majorHAnsi"/>
          <w:spacing w:val="-2"/>
          <w:sz w:val="26"/>
          <w:szCs w:val="26"/>
          <w:lang w:val="nl-NL"/>
        </w:rPr>
        <w:t xml:space="preserve">Bộ Tài nguyên và Môi trường (trước đây). UBND tỉnh đã chỉ đạo </w:t>
      </w:r>
      <w:r>
        <w:rPr>
          <w:rFonts w:asciiTheme="majorHAnsi" w:hAnsiTheme="majorHAnsi" w:cstheme="majorHAnsi"/>
          <w:sz w:val="26"/>
          <w:szCs w:val="26"/>
          <w:lang w:val="es-ES_tradnl"/>
        </w:rPr>
        <w:t xml:space="preserve">Sở Nông nghiệp và Môi trường chủ trì, phối hợp với các sở, ngành, địa phương lập </w:t>
      </w:r>
      <w:r w:rsidRPr="00AA3A70">
        <w:rPr>
          <w:rFonts w:asciiTheme="majorHAnsi" w:hAnsiTheme="majorHAnsi" w:cstheme="majorHAnsi"/>
          <w:sz w:val="26"/>
          <w:szCs w:val="26"/>
          <w:lang w:val="nl-NL"/>
        </w:rPr>
        <w:t xml:space="preserve">Báo cáo tổng quan về </w:t>
      </w:r>
      <w:r w:rsidRPr="00AA3A70">
        <w:rPr>
          <w:rFonts w:asciiTheme="majorHAnsi" w:hAnsiTheme="majorHAnsi" w:cstheme="majorHAnsi"/>
          <w:sz w:val="26"/>
          <w:szCs w:val="26"/>
          <w:lang w:val="pt-BR"/>
        </w:rPr>
        <w:t>hiện trạng môi trường tỉnh Hà Tĩnh giai đoạn 2021 - 2025</w:t>
      </w:r>
      <w:r>
        <w:rPr>
          <w:rFonts w:asciiTheme="majorHAnsi" w:hAnsiTheme="majorHAnsi" w:cstheme="majorHAnsi"/>
          <w:spacing w:val="-2"/>
          <w:sz w:val="26"/>
          <w:szCs w:val="26"/>
          <w:lang w:val="nl-NL"/>
        </w:rPr>
        <w:t xml:space="preserve">. </w:t>
      </w:r>
      <w:r>
        <w:rPr>
          <w:sz w:val="26"/>
          <w:szCs w:val="26"/>
          <w:lang w:val="pt-BR"/>
        </w:rPr>
        <w:t>Báo cáo được xây dựng với mục tiêu đánh giá tổng quan về hiện trạng, diễn biến môi trường giai đoạn 2021-2025, từ hoạt động phát triển KT-XH, nguyên nhân, các nguồn tác động chính lên môi trường, diễn biến chất lượng môi trường đất, nước, không khí và ĐDSH. Báo cáo cũng chú trọng đánh giá những kết quả đạt được và thách thức trong công tác quản lý nhà nước về bảo vệ môi trường như các cơ chế, chính sách, pháp luật; nguồn lực đầu tư cho quản lý môi trường,... Qua đó, đề xuất các giải pháp nhằm thực hiện tốt các hoạt động quản lý, bảo vệ, phòng ngừa, giảm thiểu ô nhiễm, cải thiện, nâng cao chất lượng môi trường trong giai đoạn tiếp theo.</w:t>
      </w:r>
    </w:p>
    <w:p w14:paraId="3F73DEB3" w14:textId="54F982D2" w:rsidR="00085789" w:rsidRDefault="00000000">
      <w:pPr>
        <w:pStyle w:val="DTM2"/>
        <w:widowControl/>
        <w:spacing w:before="120" w:after="0" w:line="240" w:lineRule="auto"/>
        <w:ind w:firstLine="720"/>
        <w:rPr>
          <w:b w:val="0"/>
          <w:spacing w:val="-4"/>
          <w:lang w:val="pt-BR"/>
        </w:rPr>
      </w:pPr>
      <w:r>
        <w:rPr>
          <w:b w:val="0"/>
          <w:lang w:val="pt-BR"/>
        </w:rPr>
        <w:t xml:space="preserve">Báo cáo được xây dựng dựa trên mô hình Động lực - Áp lực - Hiện trạng - Tác động - Đáp ứng (D-P-S-I-R). </w:t>
      </w:r>
      <w:bookmarkStart w:id="12" w:name="_Hlk203226183"/>
      <w:r>
        <w:rPr>
          <w:bCs/>
          <w:i/>
          <w:iCs/>
          <w:lang w:val="pt-BR"/>
        </w:rPr>
        <w:t>Động lực</w:t>
      </w:r>
      <w:r>
        <w:rPr>
          <w:b w:val="0"/>
          <w:lang w:val="pt-BR"/>
        </w:rPr>
        <w:t xml:space="preserve"> là các hoạt động phát triển KT-XH. </w:t>
      </w:r>
      <w:r>
        <w:rPr>
          <w:bCs/>
          <w:i/>
          <w:iCs/>
          <w:lang w:val="pt-BR"/>
        </w:rPr>
        <w:t>Áp lực</w:t>
      </w:r>
      <w:r>
        <w:rPr>
          <w:b w:val="0"/>
          <w:lang w:val="pt-BR"/>
        </w:rPr>
        <w:t xml:space="preserve"> là phát sinh một lượng lớn chất thải từ các hoạt động phát triển KT-XH làm thay đổi chất lượng môi trường. </w:t>
      </w:r>
      <w:r>
        <w:rPr>
          <w:bCs/>
          <w:i/>
          <w:iCs/>
          <w:lang w:val="pt-BR"/>
        </w:rPr>
        <w:t>Hiện trạng</w:t>
      </w:r>
      <w:r>
        <w:rPr>
          <w:b w:val="0"/>
          <w:lang w:val="pt-BR"/>
        </w:rPr>
        <w:t xml:space="preserve"> được đánh giá là diễn biến chất lượng các thành phần môi trường; hiện trạng phát sinh, xử lý CTR và CTNH, ĐDSH. Các thành phần môi trường bị ô nhiễm </w:t>
      </w:r>
      <w:r>
        <w:rPr>
          <w:bCs/>
          <w:i/>
          <w:iCs/>
          <w:lang w:val="pt-BR"/>
        </w:rPr>
        <w:t>tác động</w:t>
      </w:r>
      <w:r>
        <w:rPr>
          <w:b w:val="0"/>
          <w:lang w:val="pt-BR"/>
        </w:rPr>
        <w:t xml:space="preserve"> đến sức khoẻ cộng đồng, hoạt động phát triển KT-XH. Từ đó, nhận định các vấn đề và thách thức đặt ra đối với công tác quản lý và bảo vệ môi trường trên địa bàn tỉnh. Việc phân tích thực trạng, những tồn tại trong công tác quản lý và bảo vệ môi trường là cơ sở để xây dựng nội </w:t>
      </w:r>
      <w:r>
        <w:rPr>
          <w:b w:val="0"/>
          <w:spacing w:val="-4"/>
          <w:lang w:val="pt-BR"/>
        </w:rPr>
        <w:t xml:space="preserve">dung báo cáo. </w:t>
      </w:r>
      <w:r>
        <w:rPr>
          <w:bCs/>
          <w:i/>
          <w:iCs/>
          <w:spacing w:val="-4"/>
          <w:lang w:val="pt-BR"/>
        </w:rPr>
        <w:t>Đáp ứng</w:t>
      </w:r>
      <w:r>
        <w:rPr>
          <w:b w:val="0"/>
          <w:spacing w:val="-4"/>
          <w:lang w:val="pt-BR"/>
        </w:rPr>
        <w:t xml:space="preserve"> gồm các giải pháp tổng thể và giải pháp cụ thể nhằm phòng ngừa, giảm thiểu ô nhiễm, quản lý chất lượng môi trường hiệu quả phù hợp với mục tiêu phát triển bền vững trong giai đoạn tiếp theo.</w:t>
      </w:r>
    </w:p>
    <w:bookmarkEnd w:id="12"/>
    <w:p w14:paraId="5B3357CF" w14:textId="031C89CF" w:rsidR="00085789" w:rsidRDefault="00000000">
      <w:pPr>
        <w:spacing w:before="120" w:line="240" w:lineRule="auto"/>
        <w:rPr>
          <w:sz w:val="26"/>
          <w:szCs w:val="26"/>
          <w:lang w:val="pt-BR"/>
        </w:rPr>
      </w:pPr>
      <w:r>
        <w:rPr>
          <w:sz w:val="26"/>
          <w:szCs w:val="26"/>
          <w:lang w:val="pt-BR"/>
        </w:rPr>
        <w:tab/>
        <w:t xml:space="preserve">Cấu trúc Báo cáo gồm 11 chương: </w:t>
      </w:r>
    </w:p>
    <w:p w14:paraId="5BBC97C9" w14:textId="77777777" w:rsidR="00085789" w:rsidRDefault="00000000">
      <w:pPr>
        <w:spacing w:before="120" w:line="240" w:lineRule="auto"/>
        <w:ind w:firstLine="709"/>
        <w:jc w:val="both"/>
        <w:rPr>
          <w:rFonts w:ascii="Times New Roman Bold" w:hAnsi="Times New Roman Bold"/>
          <w:b/>
          <w:bCs/>
          <w:spacing w:val="-10"/>
          <w:sz w:val="26"/>
          <w:szCs w:val="26"/>
          <w:lang w:val="nl-NL"/>
        </w:rPr>
      </w:pPr>
      <w:r>
        <w:rPr>
          <w:rFonts w:ascii="Times New Roman Bold" w:hAnsi="Times New Roman Bold"/>
          <w:b/>
          <w:bCs/>
          <w:spacing w:val="-10"/>
          <w:sz w:val="26"/>
          <w:szCs w:val="26"/>
          <w:lang w:val="pt-BR"/>
        </w:rPr>
        <w:t xml:space="preserve">Chương I. Tổng quan về đặc điểm điều kiện tự nhiên và tình hình phát triển KT-XH </w:t>
      </w:r>
    </w:p>
    <w:p w14:paraId="6D17CFF6" w14:textId="77777777" w:rsidR="00085789" w:rsidRDefault="00000000">
      <w:pPr>
        <w:spacing w:before="120" w:line="240" w:lineRule="auto"/>
        <w:ind w:firstLine="709"/>
        <w:jc w:val="both"/>
        <w:rPr>
          <w:sz w:val="26"/>
          <w:szCs w:val="26"/>
          <w:lang w:val="nl-NL"/>
        </w:rPr>
      </w:pPr>
      <w:r>
        <w:rPr>
          <w:sz w:val="26"/>
          <w:szCs w:val="26"/>
          <w:lang w:val="nl-NL"/>
        </w:rPr>
        <w:t xml:space="preserve">Trình bày vị trí địa lý, đặc điểm địa hình, khí hậu và tài nguyên thiên nhiên tác động đến phát triển KT-XH và môi trường. Phân tích tình hình KT-XH giai đoạn 2021-2025, cơ cấu các ngành công nghiệp, dịch vụ, nông nghiệp và xu hướng phát triển; thực trạng đô thị hóa, phát triển hạ tầng, hội nhập quốc tế, đánh giá vai trò của tăng trưởng kinh tế đối với đời sống nhân dân, đồng thời chỉ ra những sức ép và rủi ro đối với tài nguyên và môi trường. </w:t>
      </w:r>
    </w:p>
    <w:p w14:paraId="4591F752" w14:textId="77777777" w:rsidR="00085789" w:rsidRDefault="00000000">
      <w:pPr>
        <w:spacing w:before="60" w:line="240" w:lineRule="auto"/>
        <w:ind w:firstLine="709"/>
        <w:jc w:val="both"/>
        <w:rPr>
          <w:b/>
          <w:bCs/>
          <w:sz w:val="26"/>
          <w:szCs w:val="26"/>
          <w:lang w:val="nl-NL"/>
        </w:rPr>
      </w:pPr>
      <w:r>
        <w:rPr>
          <w:b/>
          <w:bCs/>
          <w:sz w:val="26"/>
          <w:szCs w:val="26"/>
          <w:lang w:val="nl-NL"/>
        </w:rPr>
        <w:t>Chương II. Sức ép của phát triển KT-XH đối với môi trường</w:t>
      </w:r>
    </w:p>
    <w:p w14:paraId="0BC9CE72" w14:textId="77777777" w:rsidR="00085789" w:rsidRDefault="00000000">
      <w:pPr>
        <w:spacing w:before="60" w:line="240" w:lineRule="auto"/>
        <w:ind w:firstLine="709"/>
        <w:jc w:val="both"/>
        <w:rPr>
          <w:sz w:val="26"/>
          <w:szCs w:val="26"/>
          <w:lang w:val="nl-NL"/>
        </w:rPr>
      </w:pPr>
      <w:r>
        <w:rPr>
          <w:sz w:val="26"/>
          <w:szCs w:val="26"/>
          <w:lang w:val="nl-NL"/>
        </w:rPr>
        <w:t>Trình bày áp lực từ gia tăng dân số, đô thị hóa gây ra đối với tài nguyên đất, nước và chất lượng môi trường. Đồng thời, đánh giá sức ép từ các hoạt động phát triển kinh tế chủ yếu như công nghiệp, xây dựng, năng lượng, giao thông vận tải, nông nghiệp, thủy sản, du lịch và dịch vụ, qua đó chỉ ra những nguồn phát sinh chất thải và tác động tiêu cực đến môi trường tự nhiên.</w:t>
      </w:r>
    </w:p>
    <w:p w14:paraId="5801B418" w14:textId="77777777" w:rsidR="00085789" w:rsidRDefault="00000000">
      <w:pPr>
        <w:spacing w:before="60" w:line="240" w:lineRule="auto"/>
        <w:ind w:firstLine="709"/>
        <w:jc w:val="both"/>
        <w:rPr>
          <w:b/>
          <w:bCs/>
          <w:sz w:val="26"/>
          <w:szCs w:val="26"/>
          <w:lang w:val="nl-NL"/>
        </w:rPr>
      </w:pPr>
      <w:r>
        <w:rPr>
          <w:b/>
          <w:bCs/>
          <w:sz w:val="26"/>
          <w:szCs w:val="26"/>
          <w:lang w:val="nl-NL"/>
        </w:rPr>
        <w:t>Chương III. Hiện trạng môi trường nước</w:t>
      </w:r>
    </w:p>
    <w:p w14:paraId="5466DDE6" w14:textId="77777777" w:rsidR="00085789" w:rsidRDefault="00000000">
      <w:pPr>
        <w:spacing w:before="120" w:line="240" w:lineRule="auto"/>
        <w:ind w:firstLine="709"/>
        <w:jc w:val="both"/>
        <w:rPr>
          <w:sz w:val="26"/>
          <w:szCs w:val="26"/>
          <w:lang w:val="nl-NL"/>
        </w:rPr>
      </w:pPr>
      <w:r>
        <w:rPr>
          <w:sz w:val="26"/>
          <w:szCs w:val="26"/>
          <w:lang w:val="nl-NL"/>
        </w:rPr>
        <w:t>Đánh giá tài nguyên nước mặt và nước dưới đất, mức độ khai thác và sử dụng, diễn biến chất lượng nước mặt, nước ngầm, nước biển ven bờ qua các thông số đặc trưng so với Quy chuẩn về môi trường. So sánh chất lượng giữa các năm, khu vực và phân tích nguyên nhân ô nhiễm từ sinh hoạt, công nghiệp, nông nghiệp. Nêu các vấn đề nổi bật: thiếu nước mùa khô, ô nhiễm hữu cơ, kim loại nặng và nguy cơ suy giảm nguồn nước.</w:t>
      </w:r>
    </w:p>
    <w:p w14:paraId="095BB0F3" w14:textId="77777777" w:rsidR="00085789" w:rsidRDefault="00000000">
      <w:pPr>
        <w:spacing w:before="60" w:line="240" w:lineRule="auto"/>
        <w:ind w:firstLine="709"/>
        <w:jc w:val="both"/>
        <w:rPr>
          <w:b/>
          <w:bCs/>
          <w:sz w:val="26"/>
          <w:szCs w:val="26"/>
          <w:lang w:val="nl-NL"/>
        </w:rPr>
      </w:pPr>
      <w:r>
        <w:rPr>
          <w:b/>
          <w:bCs/>
          <w:sz w:val="26"/>
          <w:szCs w:val="26"/>
          <w:lang w:val="nl-NL"/>
        </w:rPr>
        <w:lastRenderedPageBreak/>
        <w:t>Chương IV. Hiện trạng môi trường không khí</w:t>
      </w:r>
    </w:p>
    <w:p w14:paraId="1DA01F70" w14:textId="77777777" w:rsidR="00085789" w:rsidRDefault="00000000">
      <w:pPr>
        <w:spacing w:before="60" w:line="240" w:lineRule="auto"/>
        <w:ind w:firstLine="709"/>
        <w:jc w:val="both"/>
        <w:rPr>
          <w:sz w:val="26"/>
          <w:szCs w:val="26"/>
          <w:lang w:val="nl-NL"/>
        </w:rPr>
      </w:pPr>
      <w:r>
        <w:rPr>
          <w:sz w:val="26"/>
          <w:szCs w:val="26"/>
          <w:lang w:val="nl-NL"/>
        </w:rPr>
        <w:t>Phân tích diễn biến chất lượng không khí tại đô thị, khu công nghiệp và các tuyến giao thông chính. Đánh giá mức độ bụi PM₂.₅, khí SO₂, NOₓ và tiếng ồn, độ rung tại các khu vực trọng điểm. So sánh chất lượng không khí qua các năm, giữa khu vực đô thị và nông thôn với QCVN. Nêu các nguồn gây ô nhiễm chính như: giao thông, công nghiệp, xây dựng và đốt chất thải.</w:t>
      </w:r>
    </w:p>
    <w:p w14:paraId="22E2D844" w14:textId="77777777" w:rsidR="00085789" w:rsidRDefault="00000000">
      <w:pPr>
        <w:spacing w:before="60" w:line="240" w:lineRule="auto"/>
        <w:ind w:firstLine="709"/>
        <w:jc w:val="both"/>
        <w:rPr>
          <w:b/>
          <w:bCs/>
          <w:sz w:val="26"/>
          <w:szCs w:val="26"/>
          <w:lang w:val="nl-NL"/>
        </w:rPr>
      </w:pPr>
      <w:r>
        <w:rPr>
          <w:b/>
          <w:bCs/>
          <w:sz w:val="26"/>
          <w:szCs w:val="26"/>
          <w:lang w:val="nl-NL"/>
        </w:rPr>
        <w:t>Chương V. Hiện trạng môi trường đất</w:t>
      </w:r>
    </w:p>
    <w:p w14:paraId="738F749A" w14:textId="77777777" w:rsidR="00085789" w:rsidRDefault="00000000">
      <w:pPr>
        <w:spacing w:before="60" w:line="240" w:lineRule="auto"/>
        <w:ind w:firstLine="709"/>
        <w:jc w:val="both"/>
        <w:rPr>
          <w:sz w:val="26"/>
          <w:szCs w:val="26"/>
          <w:lang w:val="nl-NL"/>
        </w:rPr>
      </w:pPr>
      <w:r>
        <w:rPr>
          <w:sz w:val="26"/>
          <w:szCs w:val="26"/>
          <w:lang w:val="nl-NL"/>
        </w:rPr>
        <w:t>Trình bày hiện trạng sử dụng đất, chuyển đổi mục đích và tác động từ phát triển KT-XH. Phân tích diễn biến ô nhiễm đất do chất thải công nghiệp, hóa chất nông nghiệp, bãi rác chưa xử lý triệt để. So sánh chất lượng đất với QCVN, chỉ ra các điểm nguy cơ ô nhiễm môi trường. Đánh giá các vấn đề về xói mòn, suy thoái và nguy cơ mất đất sản xuất.</w:t>
      </w:r>
    </w:p>
    <w:p w14:paraId="61793839" w14:textId="77777777" w:rsidR="00085789" w:rsidRDefault="00000000">
      <w:pPr>
        <w:spacing w:before="60" w:line="240" w:lineRule="auto"/>
        <w:ind w:firstLine="709"/>
        <w:jc w:val="both"/>
        <w:rPr>
          <w:b/>
          <w:bCs/>
          <w:lang w:val="sv-SE"/>
        </w:rPr>
      </w:pPr>
      <w:r>
        <w:rPr>
          <w:b/>
          <w:bCs/>
          <w:sz w:val="26"/>
          <w:szCs w:val="26"/>
          <w:lang w:val="sv-SE"/>
        </w:rPr>
        <w:t>Chương VI. Hiện trạng đa dạng sinh học</w:t>
      </w:r>
    </w:p>
    <w:p w14:paraId="026EBB5A" w14:textId="77777777" w:rsidR="00085789" w:rsidRDefault="00000000">
      <w:pPr>
        <w:spacing w:before="60" w:line="240" w:lineRule="auto"/>
        <w:ind w:firstLine="709"/>
        <w:jc w:val="both"/>
        <w:rPr>
          <w:sz w:val="26"/>
          <w:szCs w:val="26"/>
          <w:lang w:val="sv-SE"/>
        </w:rPr>
      </w:pPr>
      <w:r>
        <w:rPr>
          <w:sz w:val="26"/>
          <w:szCs w:val="26"/>
          <w:lang w:val="sv-SE"/>
        </w:rPr>
        <w:t>Khái quát hiện trạng HST rừng, đất ngập nước, vùng biển và ven biển</w:t>
      </w:r>
      <w:r>
        <w:rPr>
          <w:spacing w:val="-4"/>
          <w:sz w:val="26"/>
          <w:szCs w:val="26"/>
          <w:lang w:val="sv-SE"/>
        </w:rPr>
        <w:t>. Đánh giá diễn biến về diện tích rừng, mức độ phân mảnh sinh cảnh và các loài bị đe dọa, tình trạng suy giảm ĐDSH do phá rừng, chuyển đổi đất, khai thác tài nguyên</w:t>
      </w:r>
      <w:r>
        <w:rPr>
          <w:sz w:val="26"/>
          <w:szCs w:val="26"/>
          <w:lang w:val="sv-SE"/>
        </w:rPr>
        <w:t xml:space="preserve"> và BĐKH. Đề cập đến các nỗ lực bảo tồn và những khó khăn trong quản lý.</w:t>
      </w:r>
    </w:p>
    <w:p w14:paraId="6D161A99" w14:textId="77777777" w:rsidR="00085789" w:rsidRDefault="00000000">
      <w:pPr>
        <w:spacing w:before="60" w:line="240" w:lineRule="auto"/>
        <w:ind w:firstLine="709"/>
        <w:jc w:val="both"/>
        <w:rPr>
          <w:b/>
          <w:bCs/>
          <w:sz w:val="26"/>
          <w:szCs w:val="26"/>
          <w:lang w:val="sv-SE"/>
        </w:rPr>
      </w:pPr>
      <w:r>
        <w:rPr>
          <w:b/>
          <w:bCs/>
          <w:sz w:val="26"/>
          <w:szCs w:val="26"/>
          <w:lang w:val="sv-SE"/>
        </w:rPr>
        <w:t>Chương VII. Quản lý chất thải rắn</w:t>
      </w:r>
    </w:p>
    <w:p w14:paraId="0407548D" w14:textId="77777777" w:rsidR="00085789" w:rsidRDefault="00000000">
      <w:pPr>
        <w:spacing w:before="60" w:line="240" w:lineRule="auto"/>
        <w:ind w:firstLine="709"/>
        <w:jc w:val="both"/>
        <w:rPr>
          <w:sz w:val="26"/>
          <w:szCs w:val="26"/>
          <w:lang w:val="sv-SE"/>
        </w:rPr>
      </w:pPr>
      <w:r>
        <w:rPr>
          <w:sz w:val="26"/>
          <w:szCs w:val="26"/>
          <w:lang w:val="sv-SE"/>
        </w:rPr>
        <w:t>Trình bày tình hình phát sinh, thu gom, xử lý chất thải sinh hoạt, lĩnh vực công nghiệp, nông nghiệp và y tế. Đánh giá công tác phân loại tại nguồn, tái chế, tái sử dụng và xử lý; phân tích tồn tại, khó khăn và đề xuất giải pháp cải thiện quản lý CTR nhằm giảm thiểu ô nhiễm đất, nước và không khí.</w:t>
      </w:r>
    </w:p>
    <w:p w14:paraId="28435E18" w14:textId="77777777" w:rsidR="00085789" w:rsidRDefault="00000000">
      <w:pPr>
        <w:spacing w:before="60" w:line="240" w:lineRule="auto"/>
        <w:ind w:firstLine="709"/>
        <w:jc w:val="both"/>
        <w:rPr>
          <w:b/>
          <w:bCs/>
          <w:sz w:val="26"/>
          <w:szCs w:val="26"/>
          <w:lang w:val="sv-SE"/>
        </w:rPr>
      </w:pPr>
      <w:r>
        <w:rPr>
          <w:b/>
          <w:bCs/>
          <w:sz w:val="26"/>
          <w:szCs w:val="26"/>
          <w:lang w:val="sv-SE"/>
        </w:rPr>
        <w:t>Chương VIII. Biến đổi khí hậu, thiên tai, sự cố môi trường</w:t>
      </w:r>
    </w:p>
    <w:p w14:paraId="3B7D9363" w14:textId="77777777" w:rsidR="00085789" w:rsidRDefault="00000000">
      <w:pPr>
        <w:spacing w:before="60" w:line="240" w:lineRule="auto"/>
        <w:ind w:firstLine="709"/>
        <w:jc w:val="both"/>
        <w:rPr>
          <w:sz w:val="26"/>
          <w:szCs w:val="26"/>
          <w:lang w:val="sv-SE"/>
        </w:rPr>
      </w:pPr>
      <w:r>
        <w:rPr>
          <w:sz w:val="26"/>
          <w:szCs w:val="26"/>
          <w:lang w:val="sv-SE"/>
        </w:rPr>
        <w:t>Phân tích diễn biến BĐKH, các hiện tượng thời tiết cực đoan như bão, lũ, hạn hán, xâm nhập mặn. Đánh giá tác động đến sản xuất nông nghiệp, cơ sở hạ tầng và đời sống nhân dân; các sự cố môi trường đã xảy ra, nguyên nhân và thiệt hại, giải pháp ứng phó và phòng ngừa rủi ro.</w:t>
      </w:r>
    </w:p>
    <w:p w14:paraId="5B8C208B" w14:textId="77777777" w:rsidR="00085789" w:rsidRDefault="00000000">
      <w:pPr>
        <w:spacing w:before="60" w:line="240" w:lineRule="auto"/>
        <w:ind w:firstLine="709"/>
        <w:jc w:val="both"/>
        <w:rPr>
          <w:b/>
          <w:bCs/>
          <w:sz w:val="26"/>
          <w:szCs w:val="26"/>
          <w:lang w:val="sv-SE"/>
        </w:rPr>
      </w:pPr>
      <w:r>
        <w:rPr>
          <w:b/>
          <w:bCs/>
          <w:sz w:val="26"/>
          <w:szCs w:val="26"/>
          <w:lang w:val="sv-SE"/>
        </w:rPr>
        <w:t>Chương IX. Tác động của ô nhiễm môi trường</w:t>
      </w:r>
    </w:p>
    <w:p w14:paraId="29C95DB2" w14:textId="77777777" w:rsidR="00085789" w:rsidRDefault="00000000">
      <w:pPr>
        <w:spacing w:before="60" w:line="240" w:lineRule="auto"/>
        <w:ind w:firstLine="709"/>
        <w:jc w:val="both"/>
        <w:rPr>
          <w:sz w:val="26"/>
          <w:szCs w:val="26"/>
          <w:lang w:val="sv-SE"/>
        </w:rPr>
      </w:pPr>
      <w:r>
        <w:rPr>
          <w:sz w:val="26"/>
          <w:szCs w:val="26"/>
          <w:lang w:val="sv-SE"/>
        </w:rPr>
        <w:t>Đánh giá tác động ô nhiễm đất, nước, không khí đến sức khỏe cộng đồng, thiệt hại về kinh tế cũng như các vấn đề xã hội. Phân tích ảnh hưởng gián tiếp đến kinh tế: giảm năng suất sản xuất, tăng chi phí y tế và phục hồi môi trường; tác động đến HST, cảnh quan và phát sinh xung đột môi trường.</w:t>
      </w:r>
    </w:p>
    <w:p w14:paraId="2D1C5067" w14:textId="77777777" w:rsidR="00085789" w:rsidRDefault="00000000">
      <w:pPr>
        <w:spacing w:before="60" w:line="240" w:lineRule="auto"/>
        <w:ind w:firstLine="709"/>
        <w:jc w:val="both"/>
        <w:rPr>
          <w:b/>
          <w:bCs/>
          <w:sz w:val="26"/>
          <w:szCs w:val="26"/>
          <w:lang w:val="sv-SE"/>
        </w:rPr>
      </w:pPr>
      <w:r>
        <w:rPr>
          <w:b/>
          <w:bCs/>
          <w:sz w:val="26"/>
          <w:szCs w:val="26"/>
          <w:lang w:val="sv-SE"/>
        </w:rPr>
        <w:t>Chương X. Quản lý môi trường</w:t>
      </w:r>
    </w:p>
    <w:p w14:paraId="324557FC" w14:textId="77777777" w:rsidR="00085789" w:rsidRDefault="00000000">
      <w:pPr>
        <w:spacing w:before="60" w:line="240" w:lineRule="auto"/>
        <w:ind w:firstLine="709"/>
        <w:jc w:val="both"/>
        <w:rPr>
          <w:sz w:val="26"/>
          <w:szCs w:val="26"/>
          <w:lang w:val="sv-SE"/>
        </w:rPr>
      </w:pPr>
      <w:r>
        <w:rPr>
          <w:sz w:val="26"/>
          <w:szCs w:val="26"/>
          <w:lang w:val="sv-SE"/>
        </w:rPr>
        <w:t>Khái quát hệ thống chính sách, pháp luật và công tác tổ chức quản lý môi trường ở địa phương. Đánh giá tình hình thực hiện chỉ tiêu môi trường, các công cụ quản lý; kết quả đạt được, hạn chế và đề xuất giải pháp.</w:t>
      </w:r>
    </w:p>
    <w:p w14:paraId="294D2CD9" w14:textId="77777777" w:rsidR="00085789" w:rsidRDefault="00000000">
      <w:pPr>
        <w:spacing w:before="60" w:line="240" w:lineRule="auto"/>
        <w:ind w:firstLine="709"/>
        <w:jc w:val="both"/>
        <w:rPr>
          <w:b/>
          <w:bCs/>
          <w:lang w:val="sv-SE"/>
        </w:rPr>
      </w:pPr>
      <w:r>
        <w:rPr>
          <w:b/>
          <w:bCs/>
          <w:sz w:val="26"/>
          <w:szCs w:val="26"/>
          <w:lang w:val="sv-SE"/>
        </w:rPr>
        <w:t xml:space="preserve">Chương XI. Thách thức trong bảo vệ môi trường, phương hướng và giải pháp bảo vệ môi trường giai đoạn 2026-2030 </w:t>
      </w:r>
    </w:p>
    <w:p w14:paraId="10BE538E" w14:textId="77777777" w:rsidR="00085789" w:rsidRDefault="00000000">
      <w:pPr>
        <w:spacing w:before="60" w:line="240" w:lineRule="auto"/>
        <w:ind w:firstLine="709"/>
        <w:jc w:val="both"/>
        <w:rPr>
          <w:sz w:val="26"/>
          <w:szCs w:val="26"/>
          <w:lang w:val="sv-SE"/>
        </w:rPr>
      </w:pPr>
      <w:r>
        <w:rPr>
          <w:sz w:val="26"/>
          <w:szCs w:val="26"/>
          <w:lang w:val="sv-SE"/>
        </w:rPr>
        <w:t>Trên cơ sở các kết quả tổng hợp, phân tích, đánh giá tổng quan về tình hình phát triển KT-XH, hiện trạng chất lượng các thành phần môi trường, hoạt động quản lý chất thải,... cùng với những nhận định về nguyên nhân, tồn tại trong công tác BVMT, xác định những thách thức và đề xuất phương hướng, giải pháp BVMT trong giai đoạn 2026-2030, tập trung hoàn thiện chính sách, tăng cường quản lý, đầu tư công nghệ xử lý hiện đại, nâng cao nhận thức cộng đồng, hợp tác quốc tế, ứng dụng sản xuất sạch hơn,….</w:t>
      </w:r>
    </w:p>
    <w:p w14:paraId="70983671" w14:textId="77777777" w:rsidR="00085789" w:rsidRDefault="00000000">
      <w:pPr>
        <w:spacing w:before="60" w:line="240" w:lineRule="auto"/>
        <w:rPr>
          <w:b/>
          <w:iCs/>
          <w:sz w:val="26"/>
          <w:szCs w:val="26"/>
          <w:lang w:val="sv-SE"/>
        </w:rPr>
      </w:pPr>
      <w:bookmarkStart w:id="13" w:name="_Toc138943321"/>
      <w:bookmarkStart w:id="14" w:name="_Toc138977191"/>
      <w:bookmarkStart w:id="15" w:name="_Toc142915224"/>
      <w:bookmarkStart w:id="16" w:name="_Toc142919462"/>
      <w:bookmarkStart w:id="17" w:name="_Toc90026966"/>
      <w:r>
        <w:rPr>
          <w:lang w:val="sv-SE"/>
        </w:rPr>
        <w:br w:type="page"/>
      </w:r>
    </w:p>
    <w:p w14:paraId="1A6D6E4F" w14:textId="77777777" w:rsidR="00085789" w:rsidRDefault="00000000">
      <w:pPr>
        <w:pStyle w:val="-bac1"/>
        <w:spacing w:before="0" w:after="0" w:line="240" w:lineRule="auto"/>
        <w:rPr>
          <w:lang w:val="sv-SE"/>
        </w:rPr>
      </w:pPr>
      <w:bookmarkStart w:id="18" w:name="_Toc214311195"/>
      <w:bookmarkStart w:id="19" w:name="_Hlk204264162"/>
      <w:r>
        <w:rPr>
          <w:lang w:val="sv-SE"/>
        </w:rPr>
        <w:lastRenderedPageBreak/>
        <w:t>CHƯƠNG I</w:t>
      </w:r>
      <w:bookmarkEnd w:id="13"/>
      <w:bookmarkEnd w:id="14"/>
      <w:bookmarkEnd w:id="15"/>
      <w:bookmarkEnd w:id="16"/>
      <w:bookmarkEnd w:id="18"/>
      <w:r>
        <w:rPr>
          <w:lang w:val="sv-SE"/>
        </w:rPr>
        <w:t xml:space="preserve"> </w:t>
      </w:r>
    </w:p>
    <w:p w14:paraId="732D9DD8" w14:textId="77777777" w:rsidR="00085789" w:rsidRDefault="00000000">
      <w:pPr>
        <w:pStyle w:val="-bac1"/>
        <w:spacing w:before="0" w:after="0" w:line="240" w:lineRule="auto"/>
        <w:rPr>
          <w:lang w:val="sv-SE"/>
        </w:rPr>
      </w:pPr>
      <w:bookmarkStart w:id="20" w:name="_Toc138943322"/>
      <w:bookmarkStart w:id="21" w:name="_Toc138977192"/>
      <w:bookmarkStart w:id="22" w:name="_Toc142915225"/>
      <w:bookmarkStart w:id="23" w:name="_Toc142919463"/>
      <w:bookmarkStart w:id="24" w:name="_Toc214311196"/>
      <w:r>
        <w:rPr>
          <w:lang w:val="sv-SE"/>
        </w:rPr>
        <w:t xml:space="preserve">TỔNG QUAN VỀ </w:t>
      </w:r>
      <w:bookmarkEnd w:id="17"/>
      <w:bookmarkEnd w:id="20"/>
      <w:bookmarkEnd w:id="21"/>
      <w:bookmarkEnd w:id="22"/>
      <w:bookmarkEnd w:id="23"/>
      <w:r>
        <w:rPr>
          <w:lang w:val="sv-SE"/>
        </w:rPr>
        <w:t>ĐẶC ĐIỂM ĐIỀU KIỆN TỰ NHIÊN</w:t>
      </w:r>
      <w:bookmarkEnd w:id="24"/>
    </w:p>
    <w:p w14:paraId="380D5CCF" w14:textId="77777777" w:rsidR="00085789" w:rsidRDefault="00000000">
      <w:pPr>
        <w:pStyle w:val="-bac1"/>
        <w:spacing w:before="0" w:after="0" w:line="240" w:lineRule="auto"/>
        <w:rPr>
          <w:lang w:val="sv-SE"/>
        </w:rPr>
      </w:pPr>
      <w:r>
        <w:rPr>
          <w:lang w:val="sv-SE"/>
        </w:rPr>
        <w:t xml:space="preserve"> </w:t>
      </w:r>
      <w:bookmarkStart w:id="25" w:name="_Toc214311197"/>
      <w:r>
        <w:rPr>
          <w:lang w:val="sv-SE"/>
        </w:rPr>
        <w:t>VÀ TÌNH HÌNH PHÁT TRIỂN KT-XH</w:t>
      </w:r>
      <w:bookmarkEnd w:id="25"/>
      <w:r>
        <w:rPr>
          <w:lang w:val="sv-SE"/>
        </w:rPr>
        <w:t xml:space="preserve"> </w:t>
      </w:r>
    </w:p>
    <w:p w14:paraId="73AE360E" w14:textId="77777777" w:rsidR="00085789" w:rsidRDefault="00000000">
      <w:pPr>
        <w:pStyle w:val="Stylebac2Firstline1cm"/>
        <w:rPr>
          <w:smallCaps/>
          <w:lang w:val="sv-SE"/>
        </w:rPr>
      </w:pPr>
      <w:bookmarkStart w:id="26" w:name="_Toc54793822"/>
      <w:bookmarkStart w:id="27" w:name="_Toc54794536"/>
      <w:bookmarkStart w:id="28" w:name="_Toc54795250"/>
      <w:bookmarkStart w:id="29" w:name="_Toc54795964"/>
      <w:bookmarkStart w:id="30" w:name="_Toc54810261"/>
      <w:bookmarkStart w:id="31" w:name="_Toc55007564"/>
      <w:bookmarkStart w:id="32" w:name="_Toc55591886"/>
      <w:bookmarkStart w:id="33" w:name="_Toc55594448"/>
      <w:bookmarkStart w:id="34" w:name="_Toc56736523"/>
      <w:bookmarkStart w:id="35" w:name="_Toc56737244"/>
      <w:bookmarkStart w:id="36" w:name="_Toc56738670"/>
      <w:bookmarkStart w:id="37" w:name="_Toc56739412"/>
      <w:bookmarkStart w:id="38" w:name="_Toc56740175"/>
      <w:bookmarkStart w:id="39" w:name="_Toc90026967"/>
      <w:bookmarkStart w:id="40" w:name="_Toc138943323"/>
      <w:bookmarkStart w:id="41" w:name="_Toc138977193"/>
      <w:bookmarkStart w:id="42" w:name="_Toc142915226"/>
      <w:bookmarkStart w:id="43" w:name="_Toc142919464"/>
      <w:bookmarkStart w:id="44" w:name="_Toc181861312"/>
      <w:bookmarkStart w:id="45" w:name="_Toc181861930"/>
      <w:bookmarkStart w:id="46" w:name="_Toc193957555"/>
      <w:r>
        <w:rPr>
          <w:lang w:val="sv-SE"/>
        </w:rPr>
        <w:t>1.1. Tổng quan đặc điểm điều kiện tự nhiên</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7D5CB483" w14:textId="77777777" w:rsidR="00085789" w:rsidRDefault="00000000">
      <w:pPr>
        <w:pStyle w:val="bac2"/>
        <w:rPr>
          <w:smallCaps/>
        </w:rPr>
      </w:pPr>
      <w:bookmarkStart w:id="47" w:name="_Toc421888706"/>
      <w:bookmarkStart w:id="48" w:name="_Toc423075915"/>
      <w:bookmarkStart w:id="49" w:name="_Toc423076150"/>
      <w:bookmarkStart w:id="50" w:name="_Toc54793823"/>
      <w:bookmarkStart w:id="51" w:name="_Toc54794537"/>
      <w:bookmarkStart w:id="52" w:name="_Toc54795251"/>
      <w:bookmarkStart w:id="53" w:name="_Toc54795965"/>
      <w:bookmarkStart w:id="54" w:name="_Toc54810262"/>
      <w:bookmarkStart w:id="55" w:name="_Toc55007565"/>
      <w:bookmarkStart w:id="56" w:name="_Toc55591887"/>
      <w:bookmarkStart w:id="57" w:name="_Toc55594449"/>
      <w:bookmarkStart w:id="58" w:name="_Toc56736524"/>
      <w:bookmarkStart w:id="59" w:name="_Toc56737245"/>
      <w:bookmarkStart w:id="60" w:name="_Toc56738671"/>
      <w:bookmarkStart w:id="61" w:name="_Toc56739413"/>
      <w:bookmarkStart w:id="62" w:name="_Toc56740176"/>
      <w:bookmarkStart w:id="63" w:name="_Toc90026968"/>
      <w:bookmarkStart w:id="64" w:name="_Toc107203271"/>
      <w:bookmarkStart w:id="65" w:name="_Toc107559644"/>
      <w:bookmarkStart w:id="66" w:name="_Toc116907904"/>
      <w:bookmarkStart w:id="67" w:name="_Toc138943324"/>
      <w:bookmarkStart w:id="68" w:name="_Toc138977194"/>
      <w:bookmarkStart w:id="69" w:name="_Toc142915227"/>
      <w:bookmarkStart w:id="70" w:name="_Toc142919465"/>
      <w:bookmarkStart w:id="71" w:name="_Toc181861313"/>
      <w:bookmarkStart w:id="72" w:name="_Toc181861931"/>
      <w:bookmarkStart w:id="73" w:name="_Toc193957556"/>
      <w:bookmarkStart w:id="74" w:name="_Toc214311198"/>
      <w:bookmarkStart w:id="75" w:name="_Toc56736527"/>
      <w:bookmarkStart w:id="76" w:name="_Toc56737248"/>
      <w:bookmarkStart w:id="77" w:name="_Toc56738674"/>
      <w:bookmarkStart w:id="78" w:name="_Toc56739416"/>
      <w:bookmarkStart w:id="79" w:name="_Toc56740179"/>
      <w:bookmarkStart w:id="80" w:name="_Toc90026971"/>
      <w:bookmarkStart w:id="81" w:name="_Toc421888710"/>
      <w:bookmarkStart w:id="82" w:name="_Toc423075919"/>
      <w:bookmarkStart w:id="83" w:name="_Toc423076154"/>
      <w:bookmarkStart w:id="84" w:name="_Toc54793828"/>
      <w:bookmarkStart w:id="85" w:name="_Toc54794542"/>
      <w:bookmarkStart w:id="86" w:name="_Toc54795256"/>
      <w:bookmarkStart w:id="87" w:name="_Toc54795970"/>
      <w:bookmarkStart w:id="88" w:name="_Toc54810267"/>
      <w:bookmarkStart w:id="89" w:name="_Toc55007570"/>
      <w:bookmarkStart w:id="90" w:name="_Toc55591892"/>
      <w:bookmarkStart w:id="91" w:name="_Toc55594454"/>
      <w:bookmarkStart w:id="92" w:name="_Toc54793830"/>
      <w:bookmarkStart w:id="93" w:name="_Toc54795258"/>
      <w:bookmarkStart w:id="94" w:name="_Toc54795972"/>
      <w:bookmarkStart w:id="95" w:name="_Toc55591894"/>
      <w:bookmarkStart w:id="96" w:name="_Toc56736530"/>
      <w:bookmarkStart w:id="97" w:name="_Toc56737251"/>
      <w:bookmarkStart w:id="98" w:name="_Toc56738677"/>
      <w:bookmarkStart w:id="99" w:name="_Toc56739419"/>
      <w:bookmarkStart w:id="100" w:name="_Toc56740182"/>
      <w:r>
        <w:t>1.1.1. Vị trí địa lý</w:t>
      </w:r>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356"/>
      </w:tblGrid>
      <w:tr w:rsidR="00085789" w14:paraId="7AE40FA7" w14:textId="77777777">
        <w:trPr>
          <w:trHeight w:val="1842"/>
        </w:trPr>
        <w:tc>
          <w:tcPr>
            <w:tcW w:w="9356" w:type="dxa"/>
            <w:vAlign w:val="center"/>
          </w:tcPr>
          <w:p w14:paraId="6886087D" w14:textId="77777777" w:rsidR="00085789" w:rsidRDefault="00000000">
            <w:pPr>
              <w:spacing w:before="60" w:line="240" w:lineRule="auto"/>
              <w:ind w:left="-113" w:firstLine="709"/>
              <w:jc w:val="both"/>
              <w:rPr>
                <w:sz w:val="26"/>
                <w:szCs w:val="26"/>
              </w:rPr>
            </w:pPr>
            <w:bookmarkStart w:id="101" w:name="_Toc138977195"/>
            <w:bookmarkStart w:id="102" w:name="_Toc142915228"/>
            <w:r>
              <w:rPr>
                <w:sz w:val="26"/>
                <w:szCs w:val="26"/>
              </w:rPr>
              <w:t xml:space="preserve">Hà Tĩnh nằm ở khu vực Bắc Trung Bộ có tọa độ địa lý từ 17°53’50’’ đến 18°45’40’’ vĩ độ Bắc và 105°05’50’’ đến 106°30’20’’ kinh độ Đông. Phía Bắc tiếp giáp với tỉnh Nghệ An, phía Nam tiếp giáp tỉnh Quảng Trị (ngăn cách bởi đèo Ngang), phía Tây tiếp giáp tỉnh Bôlykhămxay và Khăm Muộn của Nước CHDCND Lào với gần 165 km đường biên giới (có cửa khẩu quốc tế Cầu Treo là nơi giao lưu, trao đổi, trung chuyển hàng hóa giữa các nước trong khối hành lang kinh tế Đông - Tây) và phía Đông giáp biển Đông với gần 137 km đường bờ biển. Tổng diện tích đất tự nhiên của của tỉnh Hà Tĩnh là </w:t>
            </w:r>
            <w:r>
              <w:rPr>
                <w:sz w:val="26"/>
                <w:szCs w:val="26"/>
                <w:lang w:val="vi-VN"/>
              </w:rPr>
              <w:t>5.99</w:t>
            </w:r>
            <w:r>
              <w:rPr>
                <w:sz w:val="26"/>
                <w:szCs w:val="26"/>
              </w:rPr>
              <w:t>4</w:t>
            </w:r>
            <w:r>
              <w:rPr>
                <w:sz w:val="26"/>
                <w:szCs w:val="26"/>
                <w:lang w:val="vi-VN"/>
              </w:rPr>
              <w:t>,</w:t>
            </w:r>
            <w:r>
              <w:rPr>
                <w:sz w:val="26"/>
                <w:szCs w:val="26"/>
              </w:rPr>
              <w:t xml:space="preserve">45 </w:t>
            </w:r>
            <w:r>
              <w:rPr>
                <w:sz w:val="26"/>
                <w:szCs w:val="26"/>
                <w:lang w:val="vi-VN"/>
              </w:rPr>
              <w:t>km</w:t>
            </w:r>
            <w:r>
              <w:rPr>
                <w:sz w:val="26"/>
                <w:szCs w:val="26"/>
                <w:vertAlign w:val="superscript"/>
                <w:lang w:val="vi-VN"/>
              </w:rPr>
              <w:t>2</w:t>
            </w:r>
            <w:r>
              <w:rPr>
                <w:sz w:val="26"/>
                <w:szCs w:val="26"/>
                <w:lang w:val="vi-VN"/>
              </w:rPr>
              <w:t xml:space="preserve">, </w:t>
            </w:r>
            <w:r>
              <w:rPr>
                <w:sz w:val="26"/>
                <w:szCs w:val="26"/>
              </w:rPr>
              <w:t>trong đó 52,33 % diện tích của tỉnh được bao phủ bởi rừng.</w:t>
            </w:r>
          </w:p>
          <w:bookmarkEnd w:id="101"/>
          <w:bookmarkEnd w:id="102"/>
          <w:p w14:paraId="790089D5" w14:textId="77777777" w:rsidR="00085789" w:rsidRDefault="00000000">
            <w:pPr>
              <w:spacing w:before="60" w:line="240" w:lineRule="auto"/>
              <w:ind w:left="-112" w:right="-109" w:firstLine="709"/>
              <w:jc w:val="both"/>
              <w:rPr>
                <w:sz w:val="26"/>
                <w:szCs w:val="26"/>
                <w:lang w:val="vi-VN"/>
              </w:rPr>
            </w:pPr>
            <w:r>
              <w:rPr>
                <w:sz w:val="26"/>
                <w:szCs w:val="26"/>
                <w:lang w:val="vi-VN"/>
              </w:rPr>
              <w:t xml:space="preserve">Hà Tĩnh nằm trên trục giao thông quan trọng xuyên Bắc - Nam và hành lang Đông Tây của khu vực Đông Bắc Thái Lan - Lào - Bắc Trung Bộ. Mạng lưới </w:t>
            </w:r>
            <w:r>
              <w:rPr>
                <w:bCs/>
                <w:iCs/>
                <w:sz w:val="26"/>
                <w:szCs w:val="26"/>
                <w:lang w:val="vi-VN"/>
              </w:rPr>
              <w:t xml:space="preserve">đường bộ có tổng chiều dài khoảng 14.479,76 km, bao gồm: hệ thống đường bộ cao tốc đi qua địa bàn tỉnh Hà Tĩnh là 102,38 km, đường quốc lộ (gồm các tuyến Quốc lộ uỷ quyền Khu Quản lý đường bộ II quản lý: QL.1, QL.8 và QL.12C và các tuyến Quốc lộ uỷ thác Sở Xây dựng </w:t>
            </w:r>
            <w:r>
              <w:rPr>
                <w:bCs/>
                <w:iCs/>
                <w:spacing w:val="-4"/>
                <w:sz w:val="26"/>
                <w:szCs w:val="26"/>
                <w:lang w:val="vi-VN"/>
              </w:rPr>
              <w:t xml:space="preserve">quản lý: QL.8B, QL.8C, QL.15, QL.15B và QL.281) khoảng 738,74 km, hệ thống đường bộ địa phương (gồm hệ thống các tuyến đường tỉnh, đường huyện, đường đô thị, đường xã, đường chuyên dùng và đường khác) là 13.638,64 km. </w:t>
            </w:r>
            <w:r>
              <w:rPr>
                <w:spacing w:val="-4"/>
                <w:sz w:val="26"/>
                <w:szCs w:val="26"/>
                <w:lang w:val="vi-VN"/>
              </w:rPr>
              <w:t>Cùng với hệ thống đường quốc lộ, hệ thống đường sắt và đường thủy cũng giúp Hà Tĩnh kết nối với các trung tâm kinh tế lớn của cả nước, với nước bạn Lào qua cửa khẩu quốc tế Cầu Treo.</w:t>
            </w:r>
          </w:p>
          <w:p w14:paraId="24B4BC32" w14:textId="77777777" w:rsidR="00085789" w:rsidRDefault="00000000">
            <w:pPr>
              <w:spacing w:before="60" w:line="240" w:lineRule="auto"/>
              <w:ind w:left="-112" w:right="-109" w:firstLine="709"/>
              <w:jc w:val="both"/>
              <w:rPr>
                <w:sz w:val="26"/>
                <w:szCs w:val="26"/>
                <w:lang w:val="vi-VN"/>
              </w:rPr>
            </w:pPr>
            <w:bookmarkStart w:id="103" w:name="_Toc138977196"/>
            <w:bookmarkStart w:id="104" w:name="_Toc142915229"/>
            <w:r>
              <w:rPr>
                <w:sz w:val="26"/>
                <w:szCs w:val="26"/>
                <w:lang w:val="vi-VN"/>
              </w:rPr>
              <w:t>Đến tháng 5/2025, Hà Tĩnh có 12 đơn vị hành chính cấp huyện, gồm: 01 thành phố (thành phố Hà Tĩnh), 02 thị xã (Hồng Lĩnh và Kỳ Anh), 09 huyện (Nghi Xuân, Hương Sơn, Hương Khê, Đức Thọ, Vũ Quang, Can Lộc, Thạch Hà, Cẩm Xuyên, Kỳ Anh) và 209 đơn vị hành chính cấp xã (bao gồm 14 thị trấn, 25 phường và 170 xã).</w:t>
            </w:r>
          </w:p>
          <w:p w14:paraId="44A4A1E8" w14:textId="77777777" w:rsidR="00085789" w:rsidRDefault="00000000">
            <w:pPr>
              <w:spacing w:before="60" w:line="240" w:lineRule="auto"/>
              <w:ind w:left="-112" w:right="-109" w:firstLine="709"/>
              <w:jc w:val="both"/>
              <w:rPr>
                <w:sz w:val="26"/>
                <w:szCs w:val="26"/>
                <w:lang w:val="vi-VN"/>
              </w:rPr>
            </w:pPr>
            <w:r>
              <w:rPr>
                <w:sz w:val="26"/>
                <w:szCs w:val="26"/>
                <w:lang w:val="vi-VN"/>
              </w:rPr>
              <w:t xml:space="preserve">Kể từ ngày 16/6/2025, Nghị quyết số 1665/NQ-UBTVQH15 của Ủy ban Thường vụ Quốc hội thông qua về việc sắp xếp các đơn vị hành chính cấp xã, tỉnh Hà Tĩnh có 69 đơn vị hành chính gồm 60 xã và 09 phường. Đồng thời, </w:t>
            </w:r>
            <w:r>
              <w:rPr>
                <w:spacing w:val="-4"/>
                <w:sz w:val="26"/>
                <w:szCs w:val="26"/>
                <w:lang w:val="vi-VN"/>
              </w:rPr>
              <w:t>kể từ ngày 01/7/2025, tỉnh đã thực hiện bãi bỏ đơn vị hành chính cấp huyện theo Kế hoạch sắp xếp được quy định tại Nghị quyết số 74/NQ-CP ngày 07/4/2025 của Chính phủ về xây dựng mô hình tổ chức chính quyền địa phương theo hướng hai cấp (cấp tỉnh và cấp xã)</w:t>
            </w:r>
            <w:bookmarkEnd w:id="103"/>
            <w:bookmarkEnd w:id="104"/>
            <w:r>
              <w:rPr>
                <w:spacing w:val="-4"/>
                <w:sz w:val="26"/>
                <w:szCs w:val="26"/>
                <w:lang w:val="vi-VN"/>
              </w:rPr>
              <w:t>.</w:t>
            </w:r>
          </w:p>
        </w:tc>
      </w:tr>
    </w:tbl>
    <w:p w14:paraId="1A3979B9" w14:textId="77777777" w:rsidR="00085789" w:rsidRDefault="00000000">
      <w:pPr>
        <w:pStyle w:val="bac2"/>
        <w:rPr>
          <w:smallCaps/>
          <w:lang w:val="vi-VN"/>
        </w:rPr>
      </w:pPr>
      <w:bookmarkStart w:id="105" w:name="_Toc421888707"/>
      <w:bookmarkStart w:id="106" w:name="_Toc423075916"/>
      <w:bookmarkStart w:id="107" w:name="_Toc423076151"/>
      <w:bookmarkStart w:id="108" w:name="_Toc54793825"/>
      <w:bookmarkStart w:id="109" w:name="_Toc54794539"/>
      <w:bookmarkStart w:id="110" w:name="_Toc54795253"/>
      <w:bookmarkStart w:id="111" w:name="_Toc54795967"/>
      <w:bookmarkStart w:id="112" w:name="_Toc54810264"/>
      <w:bookmarkStart w:id="113" w:name="_Toc55007567"/>
      <w:bookmarkStart w:id="114" w:name="_Toc55591889"/>
      <w:bookmarkStart w:id="115" w:name="_Toc55594451"/>
      <w:bookmarkStart w:id="116" w:name="_Toc56736526"/>
      <w:bookmarkStart w:id="117" w:name="_Toc56737247"/>
      <w:bookmarkStart w:id="118" w:name="_Toc56738673"/>
      <w:bookmarkStart w:id="119" w:name="_Toc56739415"/>
      <w:bookmarkStart w:id="120" w:name="_Toc56740178"/>
      <w:bookmarkStart w:id="121" w:name="_Toc90026970"/>
      <w:bookmarkStart w:id="122" w:name="_Toc107203272"/>
      <w:bookmarkStart w:id="123" w:name="_Toc107559646"/>
      <w:bookmarkStart w:id="124" w:name="_Toc116907905"/>
      <w:bookmarkStart w:id="125" w:name="_Toc138943325"/>
      <w:bookmarkStart w:id="126" w:name="_Toc138977199"/>
      <w:bookmarkStart w:id="127" w:name="_Toc142915232"/>
      <w:bookmarkStart w:id="128" w:name="_Toc142919467"/>
      <w:bookmarkStart w:id="129" w:name="_Toc181861315"/>
      <w:bookmarkStart w:id="130" w:name="_Toc181861932"/>
      <w:bookmarkStart w:id="131" w:name="_Toc193957558"/>
      <w:bookmarkStart w:id="132" w:name="_Toc214311199"/>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rPr>
          <w:lang w:val="vi-VN"/>
        </w:rPr>
        <w:t>1.1.2. Địa hình, địa mạo</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29FF7205" w14:textId="77777777" w:rsidR="00085789" w:rsidRDefault="00000000">
      <w:pPr>
        <w:spacing w:before="60" w:line="240" w:lineRule="auto"/>
        <w:ind w:firstLine="709"/>
        <w:jc w:val="both"/>
        <w:rPr>
          <w:sz w:val="26"/>
          <w:szCs w:val="26"/>
          <w:lang w:val="vi-VN"/>
        </w:rPr>
      </w:pPr>
      <w:r>
        <w:rPr>
          <w:sz w:val="26"/>
          <w:szCs w:val="26"/>
          <w:lang w:val="vi-VN"/>
        </w:rPr>
        <w:t>Địa hình tỉnh Hà Tĩnh chạy dài theo hướng Tây Bắc - Đông Nam, từ Cửa Hội (giáp Nghệ An) đến Đèo Ngang (giáp Quảng Trị). Hà Tĩnh có dải đồng bằng hẹp, bị kẹp bởi một bên là dãy Trường Sơn, một bên là biển Đông. Bề ngang từ bờ biển đến biên giới Việt - Lào nơi hẹp nhất chỉ có 60</w:t>
      </w:r>
      <w:r>
        <w:rPr>
          <w:sz w:val="26"/>
          <w:szCs w:val="26"/>
        </w:rPr>
        <w:t xml:space="preserve"> </w:t>
      </w:r>
      <w:r>
        <w:rPr>
          <w:sz w:val="26"/>
          <w:szCs w:val="26"/>
          <w:lang w:val="vi-VN"/>
        </w:rPr>
        <w:t>km. Địa hình dốc nghiêng từ Tây sang Đông (độ dốc trung bình 1,2</w:t>
      </w:r>
      <w:r>
        <w:rPr>
          <w:sz w:val="26"/>
          <w:szCs w:val="26"/>
        </w:rPr>
        <w:t xml:space="preserve"> </w:t>
      </w:r>
      <w:r>
        <w:rPr>
          <w:sz w:val="26"/>
          <w:szCs w:val="26"/>
          <w:lang w:val="vi-VN"/>
        </w:rPr>
        <w:t>% có nơi trên 1,8</w:t>
      </w:r>
      <w:r>
        <w:rPr>
          <w:sz w:val="26"/>
          <w:szCs w:val="26"/>
        </w:rPr>
        <w:t xml:space="preserve"> </w:t>
      </w:r>
      <w:r>
        <w:rPr>
          <w:sz w:val="26"/>
          <w:szCs w:val="26"/>
          <w:lang w:val="vi-VN"/>
        </w:rPr>
        <w:t>%) và bị chia cắt mạnh bởi hệ thống sông suối của dãy Trường Sơn. Hà Tĩnh có nhiều dạng địa hình chuyển tiếp, xen kẽ lẫn nhau, có mật độ sông suối chiếm khoảng 0,87 - 0,9</w:t>
      </w:r>
      <w:r>
        <w:rPr>
          <w:sz w:val="26"/>
          <w:szCs w:val="26"/>
        </w:rPr>
        <w:t xml:space="preserve"> </w:t>
      </w:r>
      <w:r>
        <w:rPr>
          <w:sz w:val="26"/>
          <w:szCs w:val="26"/>
          <w:lang w:val="vi-VN"/>
        </w:rPr>
        <w:t>km/km</w:t>
      </w:r>
      <w:r>
        <w:rPr>
          <w:sz w:val="26"/>
          <w:szCs w:val="26"/>
          <w:vertAlign w:val="superscript"/>
          <w:lang w:val="vi-VN"/>
        </w:rPr>
        <w:t>2</w:t>
      </w:r>
      <w:r>
        <w:rPr>
          <w:sz w:val="26"/>
          <w:szCs w:val="26"/>
          <w:lang w:val="vi-VN"/>
        </w:rPr>
        <w:t>. Vì vậy, bề mặt địa hình bị rửa trôi và xói mòn mạnh. Phần phía Tây là sườn Đông dãy Trường Sơn có độ cao trung bình 1.500</w:t>
      </w:r>
      <w:r>
        <w:rPr>
          <w:sz w:val="26"/>
          <w:szCs w:val="26"/>
        </w:rPr>
        <w:t xml:space="preserve"> </w:t>
      </w:r>
      <w:r>
        <w:rPr>
          <w:sz w:val="26"/>
          <w:szCs w:val="26"/>
          <w:lang w:val="vi-VN"/>
        </w:rPr>
        <w:t>m, kế tiếp là địa hình dạng đồi thoải và một dải đồng bằng hẹp, có cao độ trung bình 5,0</w:t>
      </w:r>
      <w:r>
        <w:rPr>
          <w:sz w:val="26"/>
          <w:szCs w:val="26"/>
        </w:rPr>
        <w:t xml:space="preserve"> </w:t>
      </w:r>
      <w:r>
        <w:rPr>
          <w:sz w:val="26"/>
          <w:szCs w:val="26"/>
          <w:lang w:val="vi-VN"/>
        </w:rPr>
        <w:t>m, thường bị núi chia cắt và sau cùng là dải đất cát ven biển bị nhiều cửa sông, suối chia cắt. Hà Tĩnh có 04 dạng địa hình cơ bản như sau:</w:t>
      </w:r>
    </w:p>
    <w:p w14:paraId="47C5EC0E" w14:textId="77777777" w:rsidR="00085789" w:rsidRDefault="00000000">
      <w:pPr>
        <w:spacing w:before="60" w:line="240" w:lineRule="auto"/>
        <w:ind w:firstLine="709"/>
        <w:jc w:val="both"/>
        <w:rPr>
          <w:spacing w:val="-4"/>
          <w:sz w:val="26"/>
          <w:szCs w:val="26"/>
          <w:lang w:val="vi-VN"/>
        </w:rPr>
      </w:pPr>
      <w:bookmarkStart w:id="133" w:name="_Toc421888708"/>
      <w:bookmarkStart w:id="134" w:name="_Toc423075917"/>
      <w:bookmarkStart w:id="135" w:name="_Toc423076152"/>
      <w:r>
        <w:rPr>
          <w:spacing w:val="-4"/>
          <w:sz w:val="26"/>
          <w:szCs w:val="26"/>
          <w:lang w:val="vi-VN"/>
        </w:rPr>
        <w:lastRenderedPageBreak/>
        <w:t>Địa hình núi cao và trung bình: Thuộc sườn phía Đông của dãy Trường Sơn. Nền địa hình chủ yếu là đá trầm tích biến chất, các đá magma xâm nhập, phun trào. Chiếm 45</w:t>
      </w:r>
      <w:r>
        <w:rPr>
          <w:spacing w:val="-4"/>
          <w:sz w:val="26"/>
          <w:szCs w:val="26"/>
        </w:rPr>
        <w:t xml:space="preserve"> </w:t>
      </w:r>
      <w:r>
        <w:rPr>
          <w:spacing w:val="-4"/>
          <w:sz w:val="26"/>
          <w:szCs w:val="26"/>
          <w:lang w:val="vi-VN"/>
        </w:rPr>
        <w:t>% diện tích đất tự nhiên, tập trung ở phía Tây và rải rác ở phía Đông (gần biển). Xen lẫn giữa địa hình núi cao là các thung lũng nhỏ hẹp thuộc lưu vực sông Ngàn Sâu và sông Ngàn Phố.</w:t>
      </w:r>
    </w:p>
    <w:p w14:paraId="0EFD9E72" w14:textId="77777777" w:rsidR="00085789" w:rsidRDefault="00000000">
      <w:pPr>
        <w:spacing w:before="60" w:line="240" w:lineRule="auto"/>
        <w:ind w:firstLine="709"/>
        <w:jc w:val="both"/>
        <w:rPr>
          <w:sz w:val="26"/>
          <w:szCs w:val="26"/>
          <w:lang w:val="vi-VN"/>
        </w:rPr>
      </w:pPr>
      <w:r>
        <w:rPr>
          <w:sz w:val="26"/>
          <w:szCs w:val="26"/>
          <w:lang w:val="vi-VN"/>
        </w:rPr>
        <w:t xml:space="preserve">Địa hình đồi núi và trung du: Đây là dạng địa hình chuyển tiếp giữa núi cao và đồng bằng, chạy dọc theo Quốc lộ 15, đường Hồ Chí Minh </w:t>
      </w:r>
      <w:r>
        <w:rPr>
          <w:spacing w:val="-4"/>
          <w:sz w:val="26"/>
          <w:szCs w:val="26"/>
          <w:lang w:val="vi-VN"/>
        </w:rPr>
        <w:t>(chiếm 25</w:t>
      </w:r>
      <w:r>
        <w:rPr>
          <w:spacing w:val="-4"/>
          <w:sz w:val="26"/>
          <w:szCs w:val="26"/>
        </w:rPr>
        <w:t xml:space="preserve"> </w:t>
      </w:r>
      <w:r>
        <w:rPr>
          <w:spacing w:val="-4"/>
          <w:sz w:val="26"/>
          <w:szCs w:val="26"/>
          <w:lang w:val="vi-VN"/>
        </w:rPr>
        <w:t>% diện tích tự nhiên). Địa hình này có dạng xen lẫn giữa các đồi có độ cao trung bình và thấp với đất ruộng, bãi không bằng phẳng. Thành phần thạch học chủ yếu là đá trầm tích biến chất, đá magma xâm nhập, phun trào bị phong hóa mạnh.</w:t>
      </w:r>
    </w:p>
    <w:p w14:paraId="32B42839" w14:textId="77777777" w:rsidR="00085789" w:rsidRDefault="00000000">
      <w:pPr>
        <w:widowControl w:val="0"/>
        <w:spacing w:before="60" w:line="240" w:lineRule="auto"/>
        <w:ind w:firstLine="709"/>
        <w:jc w:val="both"/>
        <w:rPr>
          <w:spacing w:val="-6"/>
          <w:sz w:val="26"/>
          <w:szCs w:val="26"/>
          <w:lang w:val="vi-VN"/>
        </w:rPr>
      </w:pPr>
      <w:r>
        <w:rPr>
          <w:spacing w:val="-6"/>
          <w:sz w:val="26"/>
          <w:szCs w:val="26"/>
          <w:lang w:val="vi-VN"/>
        </w:rPr>
        <w:t>Địa hình đồng bằng: Là vùng tiếp giáp giữa đồi núi và dải ven biển, nằm hai bên đường Quốc lộ 8A và Quốc lộ 1A (chiếm 17,3</w:t>
      </w:r>
      <w:r>
        <w:rPr>
          <w:spacing w:val="-6"/>
          <w:sz w:val="26"/>
          <w:szCs w:val="26"/>
        </w:rPr>
        <w:t xml:space="preserve"> </w:t>
      </w:r>
      <w:r>
        <w:rPr>
          <w:spacing w:val="-6"/>
          <w:sz w:val="26"/>
          <w:szCs w:val="26"/>
          <w:lang w:val="vi-VN"/>
        </w:rPr>
        <w:t>%  diện tích đất tự nhiên). Vùng này có địa hình tương đối bằng phẳng do quá trình tích tụ phù sa của các con sông và sản phẩm trên cùng của vỏ phong hóa từ các đá trầm tích và đá Magma xâm nhập, phun trào có tuổi từ Permi đến Trias.</w:t>
      </w:r>
    </w:p>
    <w:p w14:paraId="4477DE03" w14:textId="77777777" w:rsidR="00085789" w:rsidRDefault="00000000">
      <w:pPr>
        <w:spacing w:before="60" w:line="240" w:lineRule="auto"/>
        <w:ind w:firstLine="709"/>
        <w:jc w:val="both"/>
        <w:rPr>
          <w:sz w:val="26"/>
          <w:szCs w:val="26"/>
          <w:lang w:val="vi-VN"/>
        </w:rPr>
      </w:pPr>
      <w:r>
        <w:rPr>
          <w:sz w:val="26"/>
          <w:szCs w:val="26"/>
          <w:lang w:val="vi-VN"/>
        </w:rPr>
        <w:t>Địa hình ven biển: Vùng này nằm phía Đông Quốc lộ 1A và chạy dọc theo bờ biển (chiếm 12,7</w:t>
      </w:r>
      <w:r>
        <w:rPr>
          <w:sz w:val="26"/>
          <w:szCs w:val="26"/>
        </w:rPr>
        <w:t xml:space="preserve"> </w:t>
      </w:r>
      <w:r>
        <w:rPr>
          <w:sz w:val="26"/>
          <w:szCs w:val="26"/>
          <w:lang w:val="vi-VN"/>
        </w:rPr>
        <w:t>% diện tích đất tự nhiên). Dạng địa hình này được hình thành bởi các trầm tích đa nguồn gốc (trầm tích gió, aluvi biển và lục địa), các trũng được lấp đầy bởi các trầm tích đầm phá hoặc phù sa biển và hình thành các dãy đụn cát có độ cao khác nhau chạy dọc bờ biển. Một số vùng còn xuất hiện các quả đồi riêng lẻ hay các dãy đồi lớn, là tàn dư của hoạt động tân kiến tạo thuộc địa máng Trường Sơn.</w:t>
      </w:r>
    </w:p>
    <w:p w14:paraId="458CE19F" w14:textId="77777777" w:rsidR="00085789" w:rsidRDefault="00000000">
      <w:pPr>
        <w:pStyle w:val="bac2"/>
        <w:rPr>
          <w:smallCaps/>
          <w:lang w:val="vi-VN"/>
        </w:rPr>
      </w:pPr>
      <w:bookmarkStart w:id="136" w:name="_Toc56736529"/>
      <w:bookmarkStart w:id="137" w:name="_Toc56737250"/>
      <w:bookmarkStart w:id="138" w:name="_Toc56738676"/>
      <w:bookmarkStart w:id="139" w:name="_Toc56739418"/>
      <w:bookmarkStart w:id="140" w:name="_Toc56740181"/>
      <w:bookmarkStart w:id="141" w:name="_Toc90026972"/>
      <w:bookmarkStart w:id="142" w:name="_Toc138943326"/>
      <w:bookmarkStart w:id="143" w:name="_Toc138977200"/>
      <w:bookmarkStart w:id="144" w:name="_Toc142915233"/>
      <w:bookmarkStart w:id="145" w:name="_Toc142919468"/>
      <w:bookmarkStart w:id="146" w:name="_Toc181861316"/>
      <w:bookmarkStart w:id="147" w:name="_Toc181861933"/>
      <w:bookmarkStart w:id="148" w:name="_Toc193957559"/>
      <w:bookmarkStart w:id="149" w:name="_Toc214311200"/>
      <w:r>
        <w:rPr>
          <w:lang w:val="vi-VN"/>
        </w:rPr>
        <w:t>1.1.3. Khí hậu</w:t>
      </w:r>
      <w:bookmarkEnd w:id="136"/>
      <w:bookmarkEnd w:id="137"/>
      <w:bookmarkEnd w:id="138"/>
      <w:bookmarkEnd w:id="139"/>
      <w:bookmarkEnd w:id="140"/>
      <w:bookmarkEnd w:id="141"/>
      <w:bookmarkEnd w:id="142"/>
      <w:bookmarkEnd w:id="143"/>
      <w:bookmarkEnd w:id="144"/>
      <w:bookmarkEnd w:id="145"/>
      <w:r>
        <w:rPr>
          <w:lang w:val="vi-VN"/>
        </w:rPr>
        <w:t xml:space="preserve"> - </w:t>
      </w:r>
      <w:bookmarkEnd w:id="146"/>
      <w:bookmarkEnd w:id="147"/>
      <w:bookmarkEnd w:id="148"/>
      <w:r>
        <w:rPr>
          <w:lang w:val="vi-VN"/>
        </w:rPr>
        <w:t>khí tượng</w:t>
      </w:r>
      <w:bookmarkEnd w:id="149"/>
    </w:p>
    <w:p w14:paraId="48B86402" w14:textId="77777777" w:rsidR="00085789" w:rsidRDefault="00000000">
      <w:pPr>
        <w:shd w:val="clear" w:color="auto" w:fill="FFFFFF"/>
        <w:spacing w:before="60" w:line="240" w:lineRule="auto"/>
        <w:ind w:firstLine="709"/>
        <w:jc w:val="both"/>
        <w:rPr>
          <w:rFonts w:asciiTheme="majorHAnsi" w:hAnsiTheme="majorHAnsi" w:cstheme="majorHAnsi"/>
          <w:sz w:val="26"/>
          <w:szCs w:val="26"/>
          <w:lang w:val="vi-VN"/>
        </w:rPr>
      </w:pPr>
      <w:r>
        <w:rPr>
          <w:rFonts w:asciiTheme="majorHAnsi" w:hAnsiTheme="majorHAnsi" w:cstheme="majorHAnsi"/>
          <w:sz w:val="26"/>
          <w:szCs w:val="26"/>
          <w:lang w:val="vi-VN"/>
        </w:rPr>
        <w:t>Hà Tĩnh nằm trong khu vực có khí hậu </w:t>
      </w:r>
      <w:hyperlink r:id="rId14" w:tooltip="Nhiệt đới" w:history="1">
        <w:r w:rsidR="00085789">
          <w:rPr>
            <w:rStyle w:val="Hyperlink"/>
            <w:rFonts w:asciiTheme="majorHAnsi" w:hAnsiTheme="majorHAnsi" w:cstheme="majorHAnsi"/>
            <w:color w:val="auto"/>
            <w:sz w:val="26"/>
            <w:szCs w:val="26"/>
            <w:u w:val="none"/>
            <w:lang w:val="vi-VN"/>
          </w:rPr>
          <w:t>nhiệt đới</w:t>
        </w:r>
      </w:hyperlink>
      <w:r>
        <w:rPr>
          <w:rFonts w:asciiTheme="majorHAnsi" w:hAnsiTheme="majorHAnsi" w:cstheme="majorHAnsi"/>
          <w:sz w:val="26"/>
          <w:szCs w:val="26"/>
          <w:lang w:val="vi-VN"/>
        </w:rPr>
        <w:t> </w:t>
      </w:r>
      <w:hyperlink r:id="rId15" w:tooltip="Gió mùa" w:history="1">
        <w:r w:rsidR="00085789">
          <w:rPr>
            <w:rStyle w:val="Hyperlink"/>
            <w:rFonts w:asciiTheme="majorHAnsi" w:hAnsiTheme="majorHAnsi" w:cstheme="majorHAnsi"/>
            <w:color w:val="auto"/>
            <w:sz w:val="26"/>
            <w:szCs w:val="26"/>
            <w:u w:val="none"/>
            <w:lang w:val="vi-VN"/>
          </w:rPr>
          <w:t>gió mùa</w:t>
        </w:r>
      </w:hyperlink>
      <w:r>
        <w:rPr>
          <w:rFonts w:asciiTheme="majorHAnsi" w:hAnsiTheme="majorHAnsi" w:cstheme="majorHAnsi"/>
          <w:sz w:val="26"/>
          <w:szCs w:val="26"/>
          <w:lang w:val="vi-VN"/>
        </w:rPr>
        <w:t xml:space="preserve"> nóng ẩm, </w:t>
      </w:r>
      <w:hyperlink r:id="rId16" w:tooltip="Mưa" w:history="1">
        <w:r w:rsidR="00085789">
          <w:rPr>
            <w:rStyle w:val="Hyperlink"/>
            <w:rFonts w:asciiTheme="majorHAnsi" w:hAnsiTheme="majorHAnsi" w:cstheme="majorHAnsi"/>
            <w:color w:val="auto"/>
            <w:sz w:val="26"/>
            <w:szCs w:val="26"/>
            <w:u w:val="none"/>
            <w:lang w:val="vi-VN"/>
          </w:rPr>
          <w:t>mưa</w:t>
        </w:r>
      </w:hyperlink>
      <w:r>
        <w:rPr>
          <w:rFonts w:asciiTheme="majorHAnsi" w:hAnsiTheme="majorHAnsi" w:cstheme="majorHAnsi"/>
          <w:sz w:val="26"/>
          <w:szCs w:val="26"/>
          <w:lang w:val="vi-VN"/>
        </w:rPr>
        <w:t xml:space="preserve"> nhiều. </w:t>
      </w:r>
      <w:r>
        <w:rPr>
          <w:rFonts w:asciiTheme="majorHAnsi" w:hAnsiTheme="majorHAnsi" w:cstheme="majorHAnsi"/>
          <w:spacing w:val="-2"/>
          <w:sz w:val="26"/>
          <w:szCs w:val="26"/>
          <w:shd w:val="clear" w:color="auto" w:fill="FFFFFF"/>
          <w:lang w:val="vi-VN"/>
        </w:rPr>
        <w:t xml:space="preserve">Sự phân bố dòng chảy đối với sông suối ở Hà Tĩnh theo mùa rõ rệt, hầu hết các con sông đều chịu ảnh hưởng của mưa lũ ở thượng nguồn, những vùng thấp trũng ở hạ lưu thường bị nhiễm mặn do chế độ thủy văn. </w:t>
      </w:r>
      <w:r>
        <w:rPr>
          <w:rFonts w:asciiTheme="majorHAnsi" w:hAnsiTheme="majorHAnsi" w:cstheme="majorHAnsi"/>
          <w:sz w:val="26"/>
          <w:szCs w:val="26"/>
          <w:lang w:val="vi-VN"/>
        </w:rPr>
        <w:t>Ngoài ra, Hà Tĩnh còn chịu ảnh hưởng của khí hậu chuyển tiếp giữa miền Bắc và miền Nam, với đặc trưng khí hậu nhiệt đới điển hình của miền Nam và có một </w:t>
      </w:r>
      <w:hyperlink r:id="rId17" w:tooltip="Mùa đông" w:history="1">
        <w:r w:rsidR="00085789">
          <w:rPr>
            <w:rStyle w:val="Hyperlink"/>
            <w:rFonts w:asciiTheme="majorHAnsi" w:hAnsiTheme="majorHAnsi" w:cstheme="majorHAnsi"/>
            <w:color w:val="auto"/>
            <w:sz w:val="26"/>
            <w:szCs w:val="26"/>
            <w:u w:val="none"/>
            <w:lang w:val="vi-VN"/>
          </w:rPr>
          <w:t>mùa Đông</w:t>
        </w:r>
      </w:hyperlink>
      <w:r>
        <w:rPr>
          <w:rFonts w:asciiTheme="majorHAnsi" w:hAnsiTheme="majorHAnsi" w:cstheme="majorHAnsi"/>
          <w:sz w:val="26"/>
          <w:szCs w:val="26"/>
          <w:lang w:val="vi-VN"/>
        </w:rPr>
        <w:t xml:space="preserve"> lạnh của miền Bắc nên khí hậu rất khắc nghiệt. Hàng năm, Hà Tĩnh có hai mùa là mùa mưa và mùa khô.</w:t>
      </w:r>
    </w:p>
    <w:p w14:paraId="64E172FF" w14:textId="77777777" w:rsidR="00085789" w:rsidRDefault="00000000">
      <w:pPr>
        <w:shd w:val="clear" w:color="auto" w:fill="FFFFFF"/>
        <w:spacing w:before="60" w:line="240" w:lineRule="auto"/>
        <w:ind w:firstLine="709"/>
        <w:jc w:val="both"/>
        <w:rPr>
          <w:rFonts w:asciiTheme="majorHAnsi" w:hAnsiTheme="majorHAnsi" w:cstheme="majorHAnsi"/>
          <w:spacing w:val="-4"/>
          <w:sz w:val="26"/>
          <w:szCs w:val="26"/>
          <w:lang w:val="vi-VN"/>
        </w:rPr>
      </w:pPr>
      <w:r>
        <w:rPr>
          <w:rFonts w:asciiTheme="majorHAnsi" w:hAnsiTheme="majorHAnsi" w:cstheme="majorHAnsi"/>
          <w:spacing w:val="-4"/>
          <w:sz w:val="26"/>
          <w:szCs w:val="26"/>
          <w:lang w:val="vi-VN"/>
        </w:rPr>
        <w:t xml:space="preserve">+ </w:t>
      </w:r>
      <w:hyperlink r:id="rId18" w:tooltip="Mùa hè" w:history="1">
        <w:r w:rsidR="00085789">
          <w:rPr>
            <w:rStyle w:val="Hyperlink"/>
            <w:rFonts w:asciiTheme="majorHAnsi" w:hAnsiTheme="majorHAnsi" w:cstheme="majorHAnsi"/>
            <w:color w:val="auto"/>
            <w:spacing w:val="-4"/>
            <w:sz w:val="26"/>
            <w:szCs w:val="26"/>
            <w:u w:val="none"/>
            <w:lang w:val="vi-VN"/>
          </w:rPr>
          <w:t>Mùa khô</w:t>
        </w:r>
      </w:hyperlink>
      <w:r>
        <w:rPr>
          <w:rFonts w:asciiTheme="majorHAnsi" w:hAnsiTheme="majorHAnsi" w:cstheme="majorHAnsi"/>
          <w:spacing w:val="-4"/>
          <w:sz w:val="26"/>
          <w:szCs w:val="26"/>
          <w:lang w:val="vi-VN"/>
        </w:rPr>
        <w:t>: Mùa khô thường kéo dài từ tháng 12 đến tháng 7 năm sau, nhất là vào các tháng mùa Hè nắng gay gắt, khô hạn kéo dài kèm theo nhiều đợt gió phơn Tây Nam (</w:t>
      </w:r>
      <w:hyperlink r:id="rId19" w:tooltip="Gió Lào" w:history="1">
        <w:r w:rsidR="00085789">
          <w:rPr>
            <w:rStyle w:val="Hyperlink"/>
            <w:rFonts w:asciiTheme="majorHAnsi" w:hAnsiTheme="majorHAnsi" w:cstheme="majorHAnsi"/>
            <w:color w:val="auto"/>
            <w:spacing w:val="-4"/>
            <w:sz w:val="26"/>
            <w:szCs w:val="26"/>
            <w:u w:val="none"/>
            <w:lang w:val="vi-VN"/>
          </w:rPr>
          <w:t>gió Lào</w:t>
        </w:r>
      </w:hyperlink>
      <w:r>
        <w:rPr>
          <w:rFonts w:asciiTheme="majorHAnsi" w:hAnsiTheme="majorHAnsi" w:cstheme="majorHAnsi"/>
          <w:spacing w:val="-4"/>
          <w:sz w:val="26"/>
          <w:szCs w:val="26"/>
          <w:lang w:val="vi-VN"/>
        </w:rPr>
        <w:t>) khô nóng, </w:t>
      </w:r>
      <w:hyperlink r:id="rId20" w:tooltip="Nhiệt độ" w:history="1">
        <w:r w:rsidR="00085789">
          <w:rPr>
            <w:rStyle w:val="Hyperlink"/>
            <w:rFonts w:asciiTheme="majorHAnsi" w:hAnsiTheme="majorHAnsi" w:cstheme="majorHAnsi"/>
            <w:color w:val="auto"/>
            <w:spacing w:val="-4"/>
            <w:sz w:val="26"/>
            <w:szCs w:val="26"/>
            <w:u w:val="none"/>
            <w:lang w:val="vi-VN"/>
          </w:rPr>
          <w:t>nhiệt độ</w:t>
        </w:r>
      </w:hyperlink>
      <w:r>
        <w:rPr>
          <w:rFonts w:asciiTheme="majorHAnsi" w:hAnsiTheme="majorHAnsi" w:cstheme="majorHAnsi"/>
          <w:spacing w:val="-4"/>
          <w:sz w:val="26"/>
          <w:szCs w:val="26"/>
          <w:lang w:val="vi-VN"/>
        </w:rPr>
        <w:t> có thể lên tới hơn 40</w:t>
      </w:r>
      <w:r>
        <w:rPr>
          <w:rFonts w:asciiTheme="majorHAnsi" w:hAnsiTheme="majorHAnsi" w:cstheme="majorHAnsi"/>
          <w:spacing w:val="-4"/>
          <w:sz w:val="26"/>
          <w:szCs w:val="26"/>
          <w:vertAlign w:val="superscript"/>
          <w:lang w:val="vi-VN"/>
        </w:rPr>
        <w:t>0</w:t>
      </w:r>
      <w:r>
        <w:rPr>
          <w:rFonts w:asciiTheme="majorHAnsi" w:hAnsiTheme="majorHAnsi" w:cstheme="majorHAnsi"/>
          <w:spacing w:val="-4"/>
          <w:sz w:val="26"/>
          <w:szCs w:val="26"/>
          <w:lang w:val="vi-VN"/>
        </w:rPr>
        <w:t>C.</w:t>
      </w:r>
    </w:p>
    <w:p w14:paraId="38058B69" w14:textId="77777777" w:rsidR="00085789" w:rsidRDefault="00000000">
      <w:pPr>
        <w:shd w:val="clear" w:color="auto" w:fill="FFFFFF"/>
        <w:spacing w:before="60" w:line="240" w:lineRule="auto"/>
        <w:ind w:firstLine="709"/>
        <w:jc w:val="both"/>
        <w:rPr>
          <w:rFonts w:asciiTheme="majorHAnsi" w:hAnsiTheme="majorHAnsi" w:cstheme="majorHAnsi"/>
          <w:spacing w:val="-4"/>
          <w:sz w:val="26"/>
          <w:szCs w:val="26"/>
          <w:lang w:val="vi-VN"/>
        </w:rPr>
      </w:pPr>
      <w:r>
        <w:rPr>
          <w:rFonts w:asciiTheme="majorHAnsi" w:hAnsiTheme="majorHAnsi" w:cstheme="majorHAnsi"/>
          <w:spacing w:val="-4"/>
          <w:sz w:val="26"/>
          <w:szCs w:val="26"/>
          <w:lang w:val="vi-VN"/>
        </w:rPr>
        <w:t xml:space="preserve">+ </w:t>
      </w:r>
      <w:hyperlink r:id="rId21" w:tooltip="Mùa đông" w:history="1">
        <w:r w:rsidR="00085789">
          <w:rPr>
            <w:rStyle w:val="Hyperlink"/>
            <w:rFonts w:asciiTheme="majorHAnsi" w:hAnsiTheme="majorHAnsi" w:cstheme="majorHAnsi"/>
            <w:color w:val="auto"/>
            <w:spacing w:val="-4"/>
            <w:sz w:val="26"/>
            <w:szCs w:val="26"/>
            <w:u w:val="none"/>
            <w:lang w:val="vi-VN"/>
          </w:rPr>
          <w:t>Mùa mưa</w:t>
        </w:r>
      </w:hyperlink>
      <w:r>
        <w:rPr>
          <w:rFonts w:asciiTheme="majorHAnsi" w:hAnsiTheme="majorHAnsi" w:cstheme="majorHAnsi"/>
          <w:spacing w:val="-4"/>
          <w:sz w:val="26"/>
          <w:szCs w:val="26"/>
          <w:lang w:val="vi-VN"/>
        </w:rPr>
        <w:t>: Thường từ tháng 07 đến tháng 11 trong năm (một số năm có thể kéo dài đến tháng 12), mùa này chủ yếu có </w:t>
      </w:r>
      <w:hyperlink r:id="rId22" w:tooltip="Gió mùa Đông Bắc" w:history="1">
        <w:r w:rsidR="00085789">
          <w:rPr>
            <w:rStyle w:val="Hyperlink"/>
            <w:rFonts w:asciiTheme="majorHAnsi" w:hAnsiTheme="majorHAnsi" w:cstheme="majorHAnsi"/>
            <w:color w:val="auto"/>
            <w:spacing w:val="-4"/>
            <w:sz w:val="26"/>
            <w:szCs w:val="26"/>
            <w:u w:val="none"/>
            <w:lang w:val="vi-VN"/>
          </w:rPr>
          <w:t>gió mùa Đông Bắc</w:t>
        </w:r>
      </w:hyperlink>
      <w:r>
        <w:rPr>
          <w:rFonts w:asciiTheme="majorHAnsi" w:hAnsiTheme="majorHAnsi" w:cstheme="majorHAnsi"/>
          <w:spacing w:val="-4"/>
          <w:sz w:val="26"/>
          <w:szCs w:val="26"/>
          <w:lang w:val="vi-VN"/>
        </w:rPr>
        <w:t> kéo theo gió lạnh và </w:t>
      </w:r>
      <w:hyperlink r:id="rId23" w:tooltip="Mưa phùn" w:history="1">
        <w:r w:rsidR="00085789">
          <w:rPr>
            <w:rStyle w:val="Hyperlink"/>
            <w:rFonts w:asciiTheme="majorHAnsi" w:hAnsiTheme="majorHAnsi" w:cstheme="majorHAnsi"/>
            <w:color w:val="auto"/>
            <w:spacing w:val="-4"/>
            <w:sz w:val="26"/>
            <w:szCs w:val="26"/>
            <w:u w:val="none"/>
            <w:lang w:val="vi-VN"/>
          </w:rPr>
          <w:t>mưa phùn</w:t>
        </w:r>
      </w:hyperlink>
      <w:r>
        <w:rPr>
          <w:rFonts w:asciiTheme="majorHAnsi" w:hAnsiTheme="majorHAnsi" w:cstheme="majorHAnsi"/>
          <w:spacing w:val="-4"/>
          <w:sz w:val="26"/>
          <w:szCs w:val="26"/>
          <w:lang w:val="vi-VN"/>
        </w:rPr>
        <w:t>.</w:t>
      </w:r>
      <w:r>
        <w:rPr>
          <w:sz w:val="26"/>
          <w:szCs w:val="26"/>
          <w:lang w:val="vi-VN"/>
        </w:rPr>
        <w:t xml:space="preserve"> K</w:t>
      </w:r>
      <w:r>
        <w:rPr>
          <w:rFonts w:asciiTheme="majorHAnsi" w:hAnsiTheme="majorHAnsi" w:cstheme="majorHAnsi"/>
          <w:spacing w:val="-4"/>
          <w:sz w:val="26"/>
          <w:szCs w:val="26"/>
          <w:lang w:val="vi-VN"/>
        </w:rPr>
        <w:t>hoảng cuối tháng 7 đến tháng 11 thường có nhiều đợt bão, áp thấp nhiệt đới kèm theo mưa lớn gây ngập úng nhiều nơi, lượng mưa lớn nhất có thể lên đến 600 mm/ngày đêm.</w:t>
      </w:r>
    </w:p>
    <w:p w14:paraId="47C20EC4" w14:textId="77777777" w:rsidR="00085789" w:rsidRDefault="00000000">
      <w:pPr>
        <w:pStyle w:val="ListParagraph"/>
        <w:numPr>
          <w:ilvl w:val="0"/>
          <w:numId w:val="18"/>
        </w:numPr>
        <w:shd w:val="clear" w:color="auto" w:fill="FFFFFF"/>
        <w:spacing w:before="60" w:after="0" w:line="240" w:lineRule="auto"/>
        <w:ind w:left="993"/>
        <w:jc w:val="both"/>
        <w:rPr>
          <w:rFonts w:asciiTheme="majorHAnsi" w:hAnsiTheme="majorHAnsi" w:cstheme="majorHAnsi"/>
          <w:i/>
          <w:iCs/>
          <w:spacing w:val="-4"/>
          <w:sz w:val="26"/>
          <w:szCs w:val="26"/>
        </w:rPr>
      </w:pPr>
      <w:r>
        <w:rPr>
          <w:rFonts w:asciiTheme="majorHAnsi" w:hAnsiTheme="majorHAnsi" w:cstheme="majorHAnsi"/>
          <w:i/>
          <w:iCs/>
          <w:spacing w:val="-4"/>
          <w:sz w:val="26"/>
          <w:szCs w:val="26"/>
        </w:rPr>
        <w:t>Nhiệt độ:</w:t>
      </w:r>
    </w:p>
    <w:p w14:paraId="7ABD43F3" w14:textId="77777777" w:rsidR="00085789" w:rsidRDefault="00000000">
      <w:pPr>
        <w:widowControl w:val="0"/>
        <w:spacing w:before="60" w:line="240" w:lineRule="auto"/>
        <w:ind w:firstLine="720"/>
        <w:jc w:val="both"/>
        <w:rPr>
          <w:spacing w:val="-4"/>
          <w:sz w:val="26"/>
          <w:szCs w:val="26"/>
          <w:lang w:val="vi-VN"/>
        </w:rPr>
      </w:pPr>
      <w:r>
        <w:rPr>
          <w:spacing w:val="-4"/>
          <w:sz w:val="26"/>
          <w:szCs w:val="26"/>
          <w:lang w:val="nb-NO"/>
        </w:rPr>
        <w:t>Dưới đây là tổng hợp số liệu biến trình nhiệt độ từ năm 2020-2024, cụ thể như sau:</w:t>
      </w:r>
    </w:p>
    <w:p w14:paraId="49E4BDCF" w14:textId="77777777" w:rsidR="00085789" w:rsidRDefault="00000000">
      <w:pPr>
        <w:pStyle w:val="-bac4"/>
        <w:rPr>
          <w:rFonts w:asciiTheme="majorHAnsi" w:hAnsiTheme="majorHAnsi" w:cstheme="majorHAnsi"/>
          <w:lang w:val="vi-VN"/>
        </w:rPr>
      </w:pPr>
      <w:bookmarkStart w:id="150" w:name="_Toc205915628"/>
      <w:bookmarkStart w:id="151" w:name="_Toc213597328"/>
      <w:bookmarkStart w:id="152" w:name="_Toc213600720"/>
      <w:r>
        <w:rPr>
          <w:lang w:val="vi-VN"/>
        </w:rPr>
        <w:t xml:space="preserve">Bảng 1.1. Tổng hợp nhiệt độ trung bình </w:t>
      </w:r>
      <w:r>
        <w:rPr>
          <w:rFonts w:asciiTheme="majorHAnsi" w:hAnsiTheme="majorHAnsi" w:cstheme="majorHAnsi"/>
          <w:lang w:val="vi-VN"/>
        </w:rPr>
        <w:t>từ năm 2020-2024</w:t>
      </w:r>
      <w:bookmarkEnd w:id="150"/>
      <w:bookmarkEnd w:id="151"/>
      <w:bookmarkEnd w:id="152"/>
    </w:p>
    <w:p w14:paraId="675283D7" w14:textId="77777777" w:rsidR="00085789" w:rsidRDefault="00000000">
      <w:pPr>
        <w:spacing w:before="40" w:after="40" w:line="264" w:lineRule="auto"/>
        <w:ind w:left="360"/>
        <w:jc w:val="right"/>
        <w:rPr>
          <w:sz w:val="26"/>
          <w:szCs w:val="26"/>
          <w:lang w:val="nl-NL"/>
        </w:rPr>
      </w:pPr>
      <w:r>
        <w:rPr>
          <w:sz w:val="26"/>
          <w:szCs w:val="26"/>
          <w:lang w:val="nl-NL"/>
        </w:rPr>
        <w:t xml:space="preserve">Đơn vị: </w:t>
      </w:r>
      <w:r>
        <w:rPr>
          <w:sz w:val="26"/>
          <w:szCs w:val="26"/>
          <w:vertAlign w:val="superscript"/>
          <w:lang w:val="nl-NL"/>
        </w:rPr>
        <w:t>o</w:t>
      </w:r>
      <w:r>
        <w:rPr>
          <w:sz w:val="26"/>
          <w:szCs w:val="26"/>
          <w:lang w:val="nl-NL"/>
        </w:rPr>
        <w:t>C</w:t>
      </w:r>
    </w:p>
    <w:tbl>
      <w:tblPr>
        <w:tblStyle w:val="TableGrid"/>
        <w:tblW w:w="0" w:type="auto"/>
        <w:jc w:val="center"/>
        <w:tblLook w:val="04A0" w:firstRow="1" w:lastRow="0" w:firstColumn="1" w:lastColumn="0" w:noHBand="0" w:noVBand="1"/>
      </w:tblPr>
      <w:tblGrid>
        <w:gridCol w:w="2699"/>
        <w:gridCol w:w="982"/>
        <w:gridCol w:w="1134"/>
        <w:gridCol w:w="1134"/>
        <w:gridCol w:w="992"/>
        <w:gridCol w:w="1276"/>
      </w:tblGrid>
      <w:tr w:rsidR="00085789" w14:paraId="38E27E09" w14:textId="77777777">
        <w:trPr>
          <w:trHeight w:val="691"/>
          <w:tblHeader/>
          <w:jc w:val="center"/>
        </w:trPr>
        <w:tc>
          <w:tcPr>
            <w:tcW w:w="2699" w:type="dxa"/>
            <w:tcBorders>
              <w:tl2br w:val="single" w:sz="4" w:space="0" w:color="auto"/>
            </w:tcBorders>
            <w:vAlign w:val="center"/>
          </w:tcPr>
          <w:p w14:paraId="6398C08C" w14:textId="77777777" w:rsidR="00085789" w:rsidRDefault="00000000">
            <w:pPr>
              <w:spacing w:line="240" w:lineRule="auto"/>
              <w:ind w:hanging="113"/>
              <w:jc w:val="center"/>
              <w:rPr>
                <w:rFonts w:asciiTheme="majorHAnsi" w:hAnsiTheme="majorHAnsi" w:cstheme="majorHAnsi"/>
                <w:b/>
                <w:sz w:val="26"/>
                <w:szCs w:val="26"/>
              </w:rPr>
            </w:pPr>
            <w:r>
              <w:rPr>
                <w:rFonts w:asciiTheme="majorHAnsi" w:hAnsiTheme="majorHAnsi" w:cstheme="majorHAnsi"/>
                <w:b/>
                <w:sz w:val="26"/>
                <w:szCs w:val="26"/>
              </w:rPr>
              <w:t xml:space="preserve">                              Năm    </w:t>
            </w:r>
          </w:p>
          <w:p w14:paraId="761F94D8"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b/>
                <w:sz w:val="26"/>
                <w:szCs w:val="26"/>
              </w:rPr>
              <w:t>Trạm khí tượng</w:t>
            </w:r>
          </w:p>
        </w:tc>
        <w:tc>
          <w:tcPr>
            <w:tcW w:w="982" w:type="dxa"/>
            <w:vAlign w:val="center"/>
          </w:tcPr>
          <w:p w14:paraId="349E2871"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1134" w:type="dxa"/>
            <w:vAlign w:val="center"/>
          </w:tcPr>
          <w:p w14:paraId="32824833"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1134" w:type="dxa"/>
            <w:vAlign w:val="center"/>
          </w:tcPr>
          <w:p w14:paraId="4B189B80"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2" w:type="dxa"/>
            <w:vAlign w:val="center"/>
          </w:tcPr>
          <w:p w14:paraId="0A126893"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1276" w:type="dxa"/>
            <w:vAlign w:val="center"/>
          </w:tcPr>
          <w:p w14:paraId="7F429887"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53C667DB" w14:textId="77777777">
        <w:trPr>
          <w:jc w:val="center"/>
        </w:trPr>
        <w:tc>
          <w:tcPr>
            <w:tcW w:w="2699" w:type="dxa"/>
            <w:vAlign w:val="center"/>
          </w:tcPr>
          <w:p w14:paraId="6409F702"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Hà Tĩnh</w:t>
            </w:r>
          </w:p>
        </w:tc>
        <w:tc>
          <w:tcPr>
            <w:tcW w:w="982" w:type="dxa"/>
            <w:vAlign w:val="center"/>
          </w:tcPr>
          <w:p w14:paraId="6D55FC76" w14:textId="77777777" w:rsidR="00085789" w:rsidRDefault="00000000">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25,6</w:t>
            </w:r>
          </w:p>
        </w:tc>
        <w:tc>
          <w:tcPr>
            <w:tcW w:w="1134" w:type="dxa"/>
            <w:vAlign w:val="center"/>
          </w:tcPr>
          <w:p w14:paraId="16C33AEC" w14:textId="77777777" w:rsidR="00085789" w:rsidRDefault="00000000">
            <w:pPr>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25,2</w:t>
            </w:r>
          </w:p>
        </w:tc>
        <w:tc>
          <w:tcPr>
            <w:tcW w:w="1134" w:type="dxa"/>
            <w:vAlign w:val="center"/>
          </w:tcPr>
          <w:p w14:paraId="5AB8338B"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24,9</w:t>
            </w:r>
          </w:p>
        </w:tc>
        <w:tc>
          <w:tcPr>
            <w:tcW w:w="992" w:type="dxa"/>
            <w:vAlign w:val="center"/>
          </w:tcPr>
          <w:p w14:paraId="679E4418"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25,6</w:t>
            </w:r>
          </w:p>
        </w:tc>
        <w:tc>
          <w:tcPr>
            <w:tcW w:w="1276" w:type="dxa"/>
            <w:vAlign w:val="center"/>
          </w:tcPr>
          <w:p w14:paraId="3DA73C70"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25,9</w:t>
            </w:r>
          </w:p>
        </w:tc>
      </w:tr>
      <w:tr w:rsidR="00085789" w14:paraId="3F5FC953" w14:textId="77777777">
        <w:trPr>
          <w:jc w:val="center"/>
        </w:trPr>
        <w:tc>
          <w:tcPr>
            <w:tcW w:w="2699" w:type="dxa"/>
            <w:vAlign w:val="center"/>
          </w:tcPr>
          <w:p w14:paraId="7D8B2E39"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Hương Khê</w:t>
            </w:r>
          </w:p>
        </w:tc>
        <w:tc>
          <w:tcPr>
            <w:tcW w:w="982" w:type="dxa"/>
            <w:vAlign w:val="center"/>
          </w:tcPr>
          <w:p w14:paraId="5F792F99"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26,6</w:t>
            </w:r>
          </w:p>
        </w:tc>
        <w:tc>
          <w:tcPr>
            <w:tcW w:w="1134" w:type="dxa"/>
            <w:vAlign w:val="center"/>
          </w:tcPr>
          <w:p w14:paraId="4723FA31"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24,9</w:t>
            </w:r>
          </w:p>
        </w:tc>
        <w:tc>
          <w:tcPr>
            <w:tcW w:w="1134" w:type="dxa"/>
            <w:vAlign w:val="center"/>
          </w:tcPr>
          <w:p w14:paraId="4A41FC12"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24,7</w:t>
            </w:r>
          </w:p>
        </w:tc>
        <w:tc>
          <w:tcPr>
            <w:tcW w:w="992" w:type="dxa"/>
            <w:vAlign w:val="center"/>
          </w:tcPr>
          <w:p w14:paraId="6070294F"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25,4</w:t>
            </w:r>
          </w:p>
        </w:tc>
        <w:tc>
          <w:tcPr>
            <w:tcW w:w="1276" w:type="dxa"/>
            <w:vAlign w:val="center"/>
          </w:tcPr>
          <w:p w14:paraId="49EDB5AF"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25,6</w:t>
            </w:r>
          </w:p>
        </w:tc>
      </w:tr>
      <w:tr w:rsidR="00085789" w14:paraId="6949577B" w14:textId="77777777">
        <w:trPr>
          <w:jc w:val="center"/>
        </w:trPr>
        <w:tc>
          <w:tcPr>
            <w:tcW w:w="2699" w:type="dxa"/>
            <w:vAlign w:val="center"/>
          </w:tcPr>
          <w:p w14:paraId="58BB4B52"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Kỳ Anh</w:t>
            </w:r>
          </w:p>
        </w:tc>
        <w:tc>
          <w:tcPr>
            <w:tcW w:w="982" w:type="dxa"/>
            <w:vAlign w:val="center"/>
          </w:tcPr>
          <w:p w14:paraId="24455E49"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26,9</w:t>
            </w:r>
          </w:p>
        </w:tc>
        <w:tc>
          <w:tcPr>
            <w:tcW w:w="1134" w:type="dxa"/>
            <w:vAlign w:val="center"/>
          </w:tcPr>
          <w:p w14:paraId="143ED3AA"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25,1</w:t>
            </w:r>
          </w:p>
        </w:tc>
        <w:tc>
          <w:tcPr>
            <w:tcW w:w="1134" w:type="dxa"/>
            <w:vAlign w:val="center"/>
          </w:tcPr>
          <w:p w14:paraId="494ADCA0"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24,9</w:t>
            </w:r>
          </w:p>
        </w:tc>
        <w:tc>
          <w:tcPr>
            <w:tcW w:w="992" w:type="dxa"/>
            <w:vAlign w:val="center"/>
          </w:tcPr>
          <w:p w14:paraId="57FEC4FC"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25,5</w:t>
            </w:r>
          </w:p>
        </w:tc>
        <w:tc>
          <w:tcPr>
            <w:tcW w:w="1276" w:type="dxa"/>
            <w:vAlign w:val="center"/>
          </w:tcPr>
          <w:p w14:paraId="63D7CFBC"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25,9</w:t>
            </w:r>
          </w:p>
        </w:tc>
      </w:tr>
      <w:tr w:rsidR="00085789" w14:paraId="01E03C23" w14:textId="77777777">
        <w:trPr>
          <w:jc w:val="center"/>
        </w:trPr>
        <w:tc>
          <w:tcPr>
            <w:tcW w:w="2699" w:type="dxa"/>
            <w:vAlign w:val="center"/>
          </w:tcPr>
          <w:p w14:paraId="3DADF103"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Hương Sơn</w:t>
            </w:r>
          </w:p>
        </w:tc>
        <w:tc>
          <w:tcPr>
            <w:tcW w:w="982" w:type="dxa"/>
            <w:vAlign w:val="center"/>
          </w:tcPr>
          <w:p w14:paraId="5503C612"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26,4</w:t>
            </w:r>
          </w:p>
        </w:tc>
        <w:tc>
          <w:tcPr>
            <w:tcW w:w="1134" w:type="dxa"/>
            <w:vAlign w:val="center"/>
          </w:tcPr>
          <w:p w14:paraId="0CD29368" w14:textId="77777777" w:rsidR="00085789" w:rsidRDefault="00000000">
            <w:pPr>
              <w:keepNext/>
              <w:keepLines/>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24,9</w:t>
            </w:r>
          </w:p>
        </w:tc>
        <w:tc>
          <w:tcPr>
            <w:tcW w:w="1134" w:type="dxa"/>
            <w:vAlign w:val="center"/>
          </w:tcPr>
          <w:p w14:paraId="056DC1B8" w14:textId="77777777" w:rsidR="00085789" w:rsidRDefault="00000000">
            <w:pPr>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24,5</w:t>
            </w:r>
          </w:p>
        </w:tc>
        <w:tc>
          <w:tcPr>
            <w:tcW w:w="992" w:type="dxa"/>
            <w:vAlign w:val="center"/>
          </w:tcPr>
          <w:p w14:paraId="5EAD6784"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25,2</w:t>
            </w:r>
          </w:p>
        </w:tc>
        <w:tc>
          <w:tcPr>
            <w:tcW w:w="1276" w:type="dxa"/>
            <w:vAlign w:val="center"/>
          </w:tcPr>
          <w:p w14:paraId="3D690B38"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25,6</w:t>
            </w:r>
          </w:p>
        </w:tc>
      </w:tr>
    </w:tbl>
    <w:p w14:paraId="126FC78F" w14:textId="77777777" w:rsidR="00085789" w:rsidRDefault="00085789">
      <w:pPr>
        <w:spacing w:before="80" w:line="240" w:lineRule="auto"/>
        <w:ind w:firstLine="709"/>
        <w:jc w:val="both"/>
        <w:rPr>
          <w:i/>
          <w:sz w:val="26"/>
        </w:rPr>
      </w:pPr>
    </w:p>
    <w:p w14:paraId="65477F4F" w14:textId="77777777" w:rsidR="00085789" w:rsidRDefault="00000000">
      <w:pPr>
        <w:spacing w:before="80" w:line="240" w:lineRule="auto"/>
        <w:ind w:firstLine="709"/>
        <w:jc w:val="both"/>
        <w:rPr>
          <w:iCs/>
          <w:sz w:val="26"/>
          <w:szCs w:val="26"/>
        </w:rPr>
      </w:pPr>
      <w:r>
        <w:rPr>
          <w:iCs/>
          <w:sz w:val="26"/>
          <w:szCs w:val="26"/>
        </w:rPr>
        <w:lastRenderedPageBreak/>
        <w:t>Nhiệt độ trung bình năm tại các trạm dao động trong khoảng 24,5</w:t>
      </w:r>
      <w:r>
        <w:rPr>
          <w:iCs/>
          <w:sz w:val="26"/>
          <w:szCs w:val="26"/>
          <w:vertAlign w:val="superscript"/>
        </w:rPr>
        <w:t>o</w:t>
      </w:r>
      <w:r>
        <w:rPr>
          <w:iCs/>
          <w:sz w:val="26"/>
          <w:szCs w:val="26"/>
        </w:rPr>
        <w:t>C-26,9</w:t>
      </w:r>
      <w:r>
        <w:rPr>
          <w:iCs/>
          <w:sz w:val="26"/>
          <w:szCs w:val="26"/>
          <w:vertAlign w:val="superscript"/>
        </w:rPr>
        <w:t>o</w:t>
      </w:r>
      <w:r>
        <w:rPr>
          <w:iCs/>
          <w:sz w:val="26"/>
          <w:szCs w:val="26"/>
        </w:rPr>
        <w:t>C. Các trạm đều ghi nhận nhiệt độ giảm nhẹ trong giai đoạn 2020-2022. Giai đoạn 2022-2024, nhiệt độ có xu hướng tăng trở lại, cho thấy dấu hiệu của sự ấm lên cục bộ hoặc tác động của BĐKH. Theo số liệu của Đài Khí tượng Thủy</w:t>
      </w:r>
      <w:r>
        <w:rPr>
          <w:iCs/>
          <w:spacing w:val="-5"/>
          <w:sz w:val="26"/>
          <w:szCs w:val="26"/>
        </w:rPr>
        <w:t xml:space="preserve"> </w:t>
      </w:r>
      <w:r>
        <w:rPr>
          <w:iCs/>
          <w:sz w:val="26"/>
          <w:szCs w:val="26"/>
        </w:rPr>
        <w:t>văn Hà Tĩnh, nhiệt độ tại khu vực tỉnh Hà Tĩnh thường cao nhất vào tháng 5-8, thấp nhất vào tháng 1.</w:t>
      </w:r>
    </w:p>
    <w:p w14:paraId="02EBD9B0" w14:textId="77777777" w:rsidR="00085789" w:rsidRDefault="00000000">
      <w:pPr>
        <w:spacing w:before="80" w:line="240" w:lineRule="auto"/>
        <w:ind w:firstLine="720"/>
        <w:jc w:val="both"/>
        <w:rPr>
          <w:iCs/>
          <w:spacing w:val="-2"/>
          <w:sz w:val="26"/>
          <w:szCs w:val="26"/>
        </w:rPr>
      </w:pPr>
      <w:r>
        <w:rPr>
          <w:iCs/>
          <w:spacing w:val="-2"/>
          <w:sz w:val="26"/>
          <w:szCs w:val="26"/>
        </w:rPr>
        <w:t>Theo dự báo xu hướng BĐKH của Đài Khí tượng Thủy văn Hà Tĩnh. Dưới tác động của hiện tượng ENSO trung tính nên nền nhiệt độ năm 2025 ở khu vực Hà Tĩnh có xu hướng tăng nhẹ, tuy nhiên hiện tượng thời tiết cục đoan như nắng nóng không gay gắt và kéo dài như năm 2024 mà chỉ ở mức xấp xỉ TBNN. Ngoài ra cũng do ảnh hưởng của ENSO trung tính nên nguy cơ gia tăng các hiện tượng thiên tai cực đoan như bão, lũ, mưa lớn.</w:t>
      </w:r>
    </w:p>
    <w:p w14:paraId="2D0ADC34" w14:textId="77777777" w:rsidR="00085789" w:rsidRDefault="00000000">
      <w:pPr>
        <w:pStyle w:val="Hd2-hinh"/>
        <w:numPr>
          <w:ilvl w:val="0"/>
          <w:numId w:val="18"/>
        </w:numPr>
        <w:spacing w:before="120" w:after="0" w:line="240" w:lineRule="auto"/>
        <w:ind w:left="1066" w:hanging="357"/>
        <w:jc w:val="left"/>
        <w:rPr>
          <w:rFonts w:ascii="Times New Roman" w:hAnsi="Times New Roman"/>
          <w:b w:val="0"/>
          <w:bCs/>
          <w:i/>
          <w:color w:val="auto"/>
          <w:sz w:val="26"/>
        </w:rPr>
      </w:pPr>
      <w:bookmarkStart w:id="153" w:name="_Toc181861317"/>
      <w:bookmarkStart w:id="154" w:name="_Toc184097410"/>
      <w:bookmarkStart w:id="155" w:name="_Toc193957560"/>
      <w:r>
        <w:rPr>
          <w:rFonts w:ascii="Times New Roman" w:hAnsi="Times New Roman"/>
          <w:b w:val="0"/>
          <w:bCs/>
          <w:i/>
          <w:color w:val="auto"/>
          <w:sz w:val="26"/>
        </w:rPr>
        <w:t>Lượng mưa:</w:t>
      </w:r>
    </w:p>
    <w:p w14:paraId="14AE7144" w14:textId="77777777" w:rsidR="00085789" w:rsidRDefault="00000000">
      <w:pPr>
        <w:pStyle w:val="-bac4"/>
        <w:spacing w:before="0" w:after="0" w:line="240" w:lineRule="auto"/>
        <w:rPr>
          <w:rFonts w:asciiTheme="majorHAnsi" w:hAnsiTheme="majorHAnsi" w:cstheme="majorHAnsi"/>
        </w:rPr>
      </w:pPr>
      <w:bookmarkStart w:id="156" w:name="_Toc205915629"/>
      <w:bookmarkStart w:id="157" w:name="_Toc213597329"/>
      <w:bookmarkStart w:id="158" w:name="_Toc213600721"/>
      <w:r>
        <w:t xml:space="preserve">Bảng 1.2. Tổng hợp lượng mưa trung bình </w:t>
      </w:r>
      <w:r>
        <w:rPr>
          <w:rFonts w:asciiTheme="majorHAnsi" w:hAnsiTheme="majorHAnsi" w:cstheme="majorHAnsi"/>
        </w:rPr>
        <w:t>từ năm 2020-</w:t>
      </w:r>
      <w:bookmarkEnd w:id="153"/>
      <w:bookmarkEnd w:id="154"/>
      <w:r>
        <w:rPr>
          <w:rFonts w:asciiTheme="majorHAnsi" w:hAnsiTheme="majorHAnsi" w:cstheme="majorHAnsi"/>
        </w:rPr>
        <w:t>2024</w:t>
      </w:r>
      <w:bookmarkEnd w:id="155"/>
      <w:bookmarkEnd w:id="156"/>
      <w:bookmarkEnd w:id="157"/>
      <w:bookmarkEnd w:id="158"/>
    </w:p>
    <w:p w14:paraId="033BF4EE" w14:textId="77777777" w:rsidR="00085789" w:rsidRDefault="00000000">
      <w:pPr>
        <w:spacing w:before="40" w:after="40" w:line="264" w:lineRule="auto"/>
        <w:ind w:left="360"/>
        <w:jc w:val="right"/>
        <w:rPr>
          <w:sz w:val="26"/>
          <w:szCs w:val="26"/>
          <w:lang w:val="nl-NL"/>
        </w:rPr>
      </w:pPr>
      <w:r>
        <w:rPr>
          <w:sz w:val="26"/>
          <w:szCs w:val="26"/>
          <w:lang w:val="nl-NL"/>
        </w:rPr>
        <w:t>Đơn vị: mm</w:t>
      </w:r>
    </w:p>
    <w:tbl>
      <w:tblPr>
        <w:tblStyle w:val="TableGrid"/>
        <w:tblW w:w="0" w:type="auto"/>
        <w:jc w:val="center"/>
        <w:tblLook w:val="04A0" w:firstRow="1" w:lastRow="0" w:firstColumn="1" w:lastColumn="0" w:noHBand="0" w:noVBand="1"/>
      </w:tblPr>
      <w:tblGrid>
        <w:gridCol w:w="3248"/>
        <w:gridCol w:w="1036"/>
        <w:gridCol w:w="1073"/>
        <w:gridCol w:w="1067"/>
        <w:gridCol w:w="996"/>
        <w:gridCol w:w="996"/>
      </w:tblGrid>
      <w:tr w:rsidR="00085789" w14:paraId="7E858EC5" w14:textId="77777777">
        <w:trPr>
          <w:trHeight w:val="779"/>
          <w:jc w:val="center"/>
        </w:trPr>
        <w:tc>
          <w:tcPr>
            <w:tcW w:w="3248" w:type="dxa"/>
            <w:tcBorders>
              <w:tl2br w:val="single" w:sz="4" w:space="0" w:color="auto"/>
            </w:tcBorders>
            <w:vAlign w:val="center"/>
          </w:tcPr>
          <w:p w14:paraId="2E2FFCEB" w14:textId="77777777" w:rsidR="00085789" w:rsidRDefault="00000000">
            <w:pPr>
              <w:spacing w:line="360" w:lineRule="exact"/>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02068E88"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b/>
                <w:sz w:val="26"/>
                <w:szCs w:val="26"/>
              </w:rPr>
              <w:t>Trạm khí tượng</w:t>
            </w:r>
          </w:p>
        </w:tc>
        <w:tc>
          <w:tcPr>
            <w:tcW w:w="1036" w:type="dxa"/>
            <w:vAlign w:val="center"/>
          </w:tcPr>
          <w:p w14:paraId="5096A2A4"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1073" w:type="dxa"/>
            <w:vAlign w:val="center"/>
          </w:tcPr>
          <w:p w14:paraId="3DEA4001"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1067" w:type="dxa"/>
            <w:vAlign w:val="center"/>
          </w:tcPr>
          <w:p w14:paraId="5EA62959"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6" w:type="dxa"/>
            <w:vAlign w:val="center"/>
          </w:tcPr>
          <w:p w14:paraId="278D2402"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996" w:type="dxa"/>
            <w:vAlign w:val="center"/>
          </w:tcPr>
          <w:p w14:paraId="6CAB310C"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57F2F45A" w14:textId="77777777">
        <w:trPr>
          <w:jc w:val="center"/>
        </w:trPr>
        <w:tc>
          <w:tcPr>
            <w:tcW w:w="3248" w:type="dxa"/>
            <w:vAlign w:val="center"/>
          </w:tcPr>
          <w:p w14:paraId="64C30DAE"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Hà Tĩnh</w:t>
            </w:r>
          </w:p>
        </w:tc>
        <w:tc>
          <w:tcPr>
            <w:tcW w:w="1036" w:type="dxa"/>
            <w:vAlign w:val="center"/>
          </w:tcPr>
          <w:p w14:paraId="29F0BEA1" w14:textId="77777777" w:rsidR="00085789" w:rsidRDefault="00000000">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1.337</w:t>
            </w:r>
          </w:p>
        </w:tc>
        <w:tc>
          <w:tcPr>
            <w:tcW w:w="1073" w:type="dxa"/>
            <w:vAlign w:val="center"/>
          </w:tcPr>
          <w:p w14:paraId="13CDE7FB" w14:textId="77777777" w:rsidR="00085789" w:rsidRDefault="00000000">
            <w:pPr>
              <w:widowControl w:val="0"/>
              <w:spacing w:line="240" w:lineRule="auto"/>
              <w:jc w:val="center"/>
              <w:rPr>
                <w:rFonts w:asciiTheme="majorHAnsi" w:hAnsiTheme="majorHAnsi" w:cstheme="majorHAnsi"/>
                <w:bCs/>
                <w:iCs/>
                <w:sz w:val="26"/>
                <w:szCs w:val="26"/>
              </w:rPr>
            </w:pPr>
            <w:r>
              <w:rPr>
                <w:rFonts w:asciiTheme="majorHAnsi" w:hAnsiTheme="majorHAnsi" w:cstheme="majorHAnsi"/>
                <w:sz w:val="26"/>
                <w:szCs w:val="26"/>
              </w:rPr>
              <w:t>3.028,1</w:t>
            </w:r>
          </w:p>
        </w:tc>
        <w:tc>
          <w:tcPr>
            <w:tcW w:w="1067" w:type="dxa"/>
            <w:vAlign w:val="center"/>
          </w:tcPr>
          <w:p w14:paraId="5D493238"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z w:val="26"/>
                <w:szCs w:val="26"/>
              </w:rPr>
              <w:t>2.371,8</w:t>
            </w:r>
          </w:p>
        </w:tc>
        <w:tc>
          <w:tcPr>
            <w:tcW w:w="996" w:type="dxa"/>
            <w:vAlign w:val="center"/>
          </w:tcPr>
          <w:p w14:paraId="5C18645C"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2.952,4</w:t>
            </w:r>
          </w:p>
        </w:tc>
        <w:tc>
          <w:tcPr>
            <w:tcW w:w="996" w:type="dxa"/>
            <w:vAlign w:val="center"/>
          </w:tcPr>
          <w:p w14:paraId="2ECF0B58" w14:textId="77777777" w:rsidR="00085789" w:rsidRDefault="00000000">
            <w:pPr>
              <w:widowControl w:val="0"/>
              <w:spacing w:line="240" w:lineRule="auto"/>
              <w:jc w:val="center"/>
              <w:rPr>
                <w:rFonts w:asciiTheme="majorHAnsi" w:hAnsiTheme="majorHAnsi" w:cstheme="majorHAnsi"/>
                <w:spacing w:val="-6"/>
                <w:sz w:val="26"/>
                <w:szCs w:val="26"/>
                <w:lang w:val="vi-VN"/>
              </w:rPr>
            </w:pPr>
            <w:r>
              <w:rPr>
                <w:rFonts w:asciiTheme="majorHAnsi" w:hAnsiTheme="majorHAnsi" w:cstheme="majorHAnsi"/>
                <w:spacing w:val="-6"/>
                <w:sz w:val="26"/>
                <w:szCs w:val="26"/>
              </w:rPr>
              <w:t>2</w:t>
            </w:r>
            <w:r>
              <w:rPr>
                <w:rFonts w:asciiTheme="majorHAnsi" w:hAnsiTheme="majorHAnsi" w:cstheme="majorHAnsi"/>
                <w:spacing w:val="-6"/>
                <w:sz w:val="26"/>
                <w:szCs w:val="26"/>
                <w:lang w:val="vi-VN"/>
              </w:rPr>
              <w:t>.</w:t>
            </w:r>
            <w:r>
              <w:rPr>
                <w:rFonts w:asciiTheme="majorHAnsi" w:hAnsiTheme="majorHAnsi" w:cstheme="majorHAnsi"/>
                <w:spacing w:val="-6"/>
                <w:sz w:val="26"/>
                <w:szCs w:val="26"/>
              </w:rPr>
              <w:t>420</w:t>
            </w:r>
            <w:r>
              <w:rPr>
                <w:rFonts w:asciiTheme="majorHAnsi" w:hAnsiTheme="majorHAnsi" w:cstheme="majorHAnsi"/>
                <w:spacing w:val="-6"/>
                <w:sz w:val="26"/>
                <w:szCs w:val="26"/>
                <w:lang w:val="vi-VN"/>
              </w:rPr>
              <w:t>,5</w:t>
            </w:r>
          </w:p>
        </w:tc>
      </w:tr>
      <w:tr w:rsidR="00085789" w14:paraId="13605F62" w14:textId="77777777">
        <w:trPr>
          <w:jc w:val="center"/>
        </w:trPr>
        <w:tc>
          <w:tcPr>
            <w:tcW w:w="3248" w:type="dxa"/>
            <w:vAlign w:val="center"/>
          </w:tcPr>
          <w:p w14:paraId="1E95022E"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Hương Khê</w:t>
            </w:r>
          </w:p>
        </w:tc>
        <w:tc>
          <w:tcPr>
            <w:tcW w:w="1036" w:type="dxa"/>
            <w:vAlign w:val="center"/>
          </w:tcPr>
          <w:p w14:paraId="55815E40"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2.416,2</w:t>
            </w:r>
          </w:p>
        </w:tc>
        <w:tc>
          <w:tcPr>
            <w:tcW w:w="1073" w:type="dxa"/>
            <w:vAlign w:val="center"/>
          </w:tcPr>
          <w:p w14:paraId="5F099849"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2.710,4</w:t>
            </w:r>
          </w:p>
        </w:tc>
        <w:tc>
          <w:tcPr>
            <w:tcW w:w="1067" w:type="dxa"/>
            <w:vAlign w:val="center"/>
          </w:tcPr>
          <w:p w14:paraId="0E241CF6"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2.610,2</w:t>
            </w:r>
          </w:p>
        </w:tc>
        <w:tc>
          <w:tcPr>
            <w:tcW w:w="996" w:type="dxa"/>
            <w:vAlign w:val="center"/>
          </w:tcPr>
          <w:p w14:paraId="1A77C730"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2.901,3</w:t>
            </w:r>
          </w:p>
        </w:tc>
        <w:tc>
          <w:tcPr>
            <w:tcW w:w="996" w:type="dxa"/>
            <w:vAlign w:val="center"/>
          </w:tcPr>
          <w:p w14:paraId="00212A4C" w14:textId="77777777" w:rsidR="00085789" w:rsidRDefault="00000000">
            <w:pPr>
              <w:widowControl w:val="0"/>
              <w:spacing w:line="240" w:lineRule="auto"/>
              <w:jc w:val="center"/>
              <w:rPr>
                <w:rFonts w:asciiTheme="majorHAnsi" w:hAnsiTheme="majorHAnsi" w:cstheme="majorHAnsi"/>
                <w:spacing w:val="-6"/>
                <w:sz w:val="26"/>
                <w:szCs w:val="26"/>
                <w:lang w:val="vi-VN"/>
              </w:rPr>
            </w:pPr>
            <w:r>
              <w:rPr>
                <w:rFonts w:asciiTheme="majorHAnsi" w:hAnsiTheme="majorHAnsi" w:cstheme="majorHAnsi"/>
                <w:spacing w:val="-6"/>
                <w:sz w:val="26"/>
                <w:szCs w:val="26"/>
              </w:rPr>
              <w:t>2</w:t>
            </w:r>
            <w:r>
              <w:rPr>
                <w:rFonts w:asciiTheme="majorHAnsi" w:hAnsiTheme="majorHAnsi" w:cstheme="majorHAnsi"/>
                <w:spacing w:val="-6"/>
                <w:sz w:val="26"/>
                <w:szCs w:val="26"/>
                <w:lang w:val="vi-VN"/>
              </w:rPr>
              <w:t>.</w:t>
            </w:r>
            <w:r>
              <w:rPr>
                <w:rFonts w:asciiTheme="majorHAnsi" w:hAnsiTheme="majorHAnsi" w:cstheme="majorHAnsi"/>
                <w:spacing w:val="-6"/>
                <w:sz w:val="26"/>
                <w:szCs w:val="26"/>
              </w:rPr>
              <w:t>306</w:t>
            </w:r>
            <w:r>
              <w:rPr>
                <w:rFonts w:asciiTheme="majorHAnsi" w:hAnsiTheme="majorHAnsi" w:cstheme="majorHAnsi"/>
                <w:spacing w:val="-6"/>
                <w:sz w:val="26"/>
                <w:szCs w:val="26"/>
                <w:lang w:val="vi-VN"/>
              </w:rPr>
              <w:t>,9</w:t>
            </w:r>
          </w:p>
        </w:tc>
      </w:tr>
      <w:tr w:rsidR="00085789" w14:paraId="1ABAD6E8" w14:textId="77777777">
        <w:trPr>
          <w:jc w:val="center"/>
        </w:trPr>
        <w:tc>
          <w:tcPr>
            <w:tcW w:w="3248" w:type="dxa"/>
            <w:vAlign w:val="center"/>
          </w:tcPr>
          <w:p w14:paraId="7337E7CD"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Kỳ Anh</w:t>
            </w:r>
          </w:p>
        </w:tc>
        <w:tc>
          <w:tcPr>
            <w:tcW w:w="1036" w:type="dxa"/>
            <w:vAlign w:val="center"/>
          </w:tcPr>
          <w:p w14:paraId="42C48A55"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1.425</w:t>
            </w:r>
          </w:p>
        </w:tc>
        <w:tc>
          <w:tcPr>
            <w:tcW w:w="1073" w:type="dxa"/>
            <w:vAlign w:val="center"/>
          </w:tcPr>
          <w:p w14:paraId="08FBA949"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3.301,7</w:t>
            </w:r>
          </w:p>
        </w:tc>
        <w:tc>
          <w:tcPr>
            <w:tcW w:w="1067" w:type="dxa"/>
            <w:vAlign w:val="center"/>
          </w:tcPr>
          <w:p w14:paraId="399A1728"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2.465,6</w:t>
            </w:r>
          </w:p>
        </w:tc>
        <w:tc>
          <w:tcPr>
            <w:tcW w:w="996" w:type="dxa"/>
            <w:vAlign w:val="center"/>
          </w:tcPr>
          <w:p w14:paraId="677737DD"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3.052,4</w:t>
            </w:r>
          </w:p>
        </w:tc>
        <w:tc>
          <w:tcPr>
            <w:tcW w:w="996" w:type="dxa"/>
            <w:vAlign w:val="center"/>
          </w:tcPr>
          <w:p w14:paraId="63A70D6C" w14:textId="77777777" w:rsidR="00085789" w:rsidRDefault="00000000">
            <w:pPr>
              <w:spacing w:line="240" w:lineRule="auto"/>
              <w:jc w:val="center"/>
              <w:rPr>
                <w:rFonts w:asciiTheme="majorHAnsi" w:hAnsiTheme="majorHAnsi" w:cstheme="majorHAnsi"/>
                <w:sz w:val="26"/>
                <w:szCs w:val="26"/>
                <w:lang w:val="vi-VN"/>
              </w:rPr>
            </w:pPr>
            <w:r>
              <w:rPr>
                <w:rFonts w:asciiTheme="majorHAnsi" w:hAnsiTheme="majorHAnsi" w:cstheme="majorHAnsi"/>
                <w:sz w:val="26"/>
                <w:szCs w:val="26"/>
              </w:rPr>
              <w:t>2</w:t>
            </w:r>
            <w:r>
              <w:rPr>
                <w:rFonts w:asciiTheme="majorHAnsi" w:hAnsiTheme="majorHAnsi" w:cstheme="majorHAnsi"/>
                <w:sz w:val="26"/>
                <w:szCs w:val="26"/>
                <w:lang w:val="vi-VN"/>
              </w:rPr>
              <w:t>.938</w:t>
            </w:r>
          </w:p>
        </w:tc>
      </w:tr>
      <w:tr w:rsidR="00085789" w14:paraId="44ABBE96" w14:textId="77777777">
        <w:trPr>
          <w:jc w:val="center"/>
        </w:trPr>
        <w:tc>
          <w:tcPr>
            <w:tcW w:w="3248" w:type="dxa"/>
            <w:vAlign w:val="center"/>
          </w:tcPr>
          <w:p w14:paraId="0CD340A0"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Hương Sơn</w:t>
            </w:r>
          </w:p>
        </w:tc>
        <w:tc>
          <w:tcPr>
            <w:tcW w:w="1036" w:type="dxa"/>
            <w:vAlign w:val="center"/>
          </w:tcPr>
          <w:p w14:paraId="1F62F266" w14:textId="77777777" w:rsidR="00085789" w:rsidRDefault="00000000">
            <w:pPr>
              <w:jc w:val="center"/>
              <w:rPr>
                <w:rFonts w:asciiTheme="majorHAnsi" w:hAnsiTheme="majorHAnsi" w:cstheme="majorHAnsi"/>
                <w:sz w:val="26"/>
                <w:szCs w:val="26"/>
              </w:rPr>
            </w:pPr>
            <w:r>
              <w:rPr>
                <w:rFonts w:asciiTheme="majorHAnsi" w:hAnsiTheme="majorHAnsi" w:cstheme="majorHAnsi"/>
                <w:sz w:val="26"/>
                <w:szCs w:val="26"/>
              </w:rPr>
              <w:t>1.278,8</w:t>
            </w:r>
          </w:p>
        </w:tc>
        <w:tc>
          <w:tcPr>
            <w:tcW w:w="1073" w:type="dxa"/>
            <w:vAlign w:val="center"/>
          </w:tcPr>
          <w:p w14:paraId="31F9F657" w14:textId="77777777" w:rsidR="00085789" w:rsidRDefault="00000000">
            <w:pPr>
              <w:keepNext/>
              <w:keepLines/>
              <w:widowControl w:val="0"/>
              <w:spacing w:line="240" w:lineRule="auto"/>
              <w:jc w:val="center"/>
              <w:rPr>
                <w:rFonts w:asciiTheme="majorHAnsi" w:hAnsiTheme="majorHAnsi" w:cstheme="majorHAnsi"/>
                <w:bCs/>
                <w:iCs/>
                <w:sz w:val="26"/>
                <w:szCs w:val="26"/>
                <w:lang w:val="vi-VN"/>
              </w:rPr>
            </w:pPr>
            <w:r>
              <w:rPr>
                <w:rFonts w:asciiTheme="majorHAnsi" w:hAnsiTheme="majorHAnsi" w:cstheme="majorHAnsi"/>
                <w:spacing w:val="-6"/>
                <w:sz w:val="26"/>
                <w:szCs w:val="26"/>
                <w:lang w:val="vi-VN"/>
              </w:rPr>
              <w:t>2</w:t>
            </w:r>
            <w:r>
              <w:rPr>
                <w:rFonts w:asciiTheme="majorHAnsi" w:hAnsiTheme="majorHAnsi" w:cstheme="majorHAnsi"/>
                <w:spacing w:val="-6"/>
                <w:sz w:val="26"/>
                <w:szCs w:val="26"/>
              </w:rPr>
              <w:t>.</w:t>
            </w:r>
            <w:r>
              <w:rPr>
                <w:rFonts w:asciiTheme="majorHAnsi" w:hAnsiTheme="majorHAnsi" w:cstheme="majorHAnsi"/>
                <w:spacing w:val="-6"/>
                <w:sz w:val="26"/>
                <w:szCs w:val="26"/>
                <w:lang w:val="vi-VN"/>
              </w:rPr>
              <w:t>663,8</w:t>
            </w:r>
          </w:p>
        </w:tc>
        <w:tc>
          <w:tcPr>
            <w:tcW w:w="1067" w:type="dxa"/>
            <w:vAlign w:val="center"/>
          </w:tcPr>
          <w:p w14:paraId="5D6C45CA" w14:textId="77777777" w:rsidR="00085789" w:rsidRDefault="00000000">
            <w:pPr>
              <w:spacing w:line="240" w:lineRule="auto"/>
              <w:jc w:val="center"/>
              <w:rPr>
                <w:rFonts w:asciiTheme="majorHAnsi" w:hAnsiTheme="majorHAnsi" w:cstheme="majorHAnsi"/>
                <w:spacing w:val="-6"/>
                <w:sz w:val="26"/>
                <w:szCs w:val="26"/>
                <w:lang w:val="vi-VN"/>
              </w:rPr>
            </w:pPr>
            <w:r>
              <w:rPr>
                <w:rFonts w:asciiTheme="majorHAnsi" w:hAnsiTheme="majorHAnsi" w:cstheme="majorHAnsi"/>
                <w:spacing w:val="-6"/>
                <w:sz w:val="26"/>
                <w:szCs w:val="26"/>
                <w:lang w:val="vi-VN"/>
              </w:rPr>
              <w:t>2</w:t>
            </w:r>
            <w:r>
              <w:rPr>
                <w:rFonts w:asciiTheme="majorHAnsi" w:hAnsiTheme="majorHAnsi" w:cstheme="majorHAnsi"/>
                <w:spacing w:val="-6"/>
                <w:sz w:val="26"/>
                <w:szCs w:val="26"/>
              </w:rPr>
              <w:t>.</w:t>
            </w:r>
            <w:r>
              <w:rPr>
                <w:rFonts w:asciiTheme="majorHAnsi" w:hAnsiTheme="majorHAnsi" w:cstheme="majorHAnsi"/>
                <w:spacing w:val="-6"/>
                <w:sz w:val="26"/>
                <w:szCs w:val="26"/>
                <w:lang w:val="vi-VN"/>
              </w:rPr>
              <w:t>697,2</w:t>
            </w:r>
          </w:p>
        </w:tc>
        <w:tc>
          <w:tcPr>
            <w:tcW w:w="996" w:type="dxa"/>
            <w:vAlign w:val="center"/>
          </w:tcPr>
          <w:p w14:paraId="1DBE3C96"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1.890</w:t>
            </w:r>
          </w:p>
        </w:tc>
        <w:tc>
          <w:tcPr>
            <w:tcW w:w="996" w:type="dxa"/>
            <w:vAlign w:val="center"/>
          </w:tcPr>
          <w:p w14:paraId="2627170B" w14:textId="77777777" w:rsidR="00085789" w:rsidRDefault="00000000">
            <w:pPr>
              <w:widowControl w:val="0"/>
              <w:spacing w:line="240" w:lineRule="auto"/>
              <w:jc w:val="center"/>
              <w:rPr>
                <w:rFonts w:asciiTheme="majorHAnsi" w:eastAsia="Calibri" w:hAnsiTheme="majorHAnsi" w:cstheme="majorHAnsi"/>
                <w:sz w:val="26"/>
                <w:szCs w:val="26"/>
                <w:lang w:val="vi-VN"/>
              </w:rPr>
            </w:pPr>
            <w:r>
              <w:rPr>
                <w:rFonts w:asciiTheme="majorHAnsi" w:eastAsia="Calibri" w:hAnsiTheme="majorHAnsi" w:cstheme="majorHAnsi"/>
                <w:sz w:val="26"/>
                <w:szCs w:val="26"/>
              </w:rPr>
              <w:t>2</w:t>
            </w:r>
            <w:r>
              <w:rPr>
                <w:rFonts w:asciiTheme="majorHAnsi" w:eastAsia="Calibri" w:hAnsiTheme="majorHAnsi" w:cstheme="majorHAnsi"/>
                <w:sz w:val="26"/>
                <w:szCs w:val="26"/>
                <w:lang w:val="vi-VN"/>
              </w:rPr>
              <w:t>.099,5</w:t>
            </w:r>
          </w:p>
        </w:tc>
      </w:tr>
    </w:tbl>
    <w:p w14:paraId="0BBB662C" w14:textId="77777777" w:rsidR="00085789" w:rsidRDefault="00000000">
      <w:pPr>
        <w:spacing w:before="120" w:line="240" w:lineRule="auto"/>
        <w:ind w:firstLine="709"/>
        <w:jc w:val="both"/>
        <w:rPr>
          <w:sz w:val="26"/>
          <w:szCs w:val="26"/>
        </w:rPr>
      </w:pPr>
      <w:r>
        <w:rPr>
          <w:sz w:val="26"/>
          <w:szCs w:val="26"/>
        </w:rPr>
        <w:t xml:space="preserve">Lượng mưa ở Hà Tĩnh khá lớn, trung bình các trạm đo được khoảng 2.600 mm/năm. Trong đó, tại trạm Kỳ Anh và trạm Hà Tĩnh ghi nhận có lượng mưa lớn của tỉnh. Lượng mưa phía Đông thường cao hơn phía Tây. Khu vực phía Đông của tỉnh vào các tháng 9, 10, 11 có lượng mưa lớn nhất; khu vực phía Tây của tỉnh vào các tháng 8, 9, 10 có lượng mưa lớn nhất. Lượng mưa trong các tháng này thường tập trung từ 60-70 % tổng lượng </w:t>
      </w:r>
      <w:r>
        <w:rPr>
          <w:spacing w:val="-4"/>
          <w:sz w:val="26"/>
          <w:szCs w:val="26"/>
        </w:rPr>
        <w:t xml:space="preserve">mưa cả năm. Tháng cực đại của lượng mưa thường là vào tháng 10 với lượng mưa lớn, thường trên 500 mm đặc biệt </w:t>
      </w:r>
      <w:r>
        <w:rPr>
          <w:spacing w:val="-2"/>
          <w:sz w:val="26"/>
          <w:szCs w:val="26"/>
        </w:rPr>
        <w:t>tại trạm Kỳ</w:t>
      </w:r>
      <w:r>
        <w:rPr>
          <w:spacing w:val="-2"/>
          <w:sz w:val="26"/>
          <w:szCs w:val="26"/>
          <w:lang w:val="vi-VN"/>
        </w:rPr>
        <w:t xml:space="preserve"> Anh</w:t>
      </w:r>
      <w:r>
        <w:rPr>
          <w:spacing w:val="-2"/>
          <w:sz w:val="26"/>
          <w:szCs w:val="26"/>
        </w:rPr>
        <w:t xml:space="preserve"> đo được vào tháng 10/2023 lên tới 1092.1 mm.</w:t>
      </w:r>
    </w:p>
    <w:p w14:paraId="2F4B6C1E" w14:textId="77777777" w:rsidR="00085789" w:rsidRDefault="00000000">
      <w:pPr>
        <w:spacing w:before="120" w:line="240" w:lineRule="auto"/>
        <w:ind w:firstLine="709"/>
        <w:jc w:val="both"/>
        <w:rPr>
          <w:iCs/>
          <w:sz w:val="26"/>
          <w:szCs w:val="26"/>
        </w:rPr>
      </w:pPr>
      <w:r>
        <w:rPr>
          <w:noProof/>
          <w:sz w:val="26"/>
          <w:szCs w:val="26"/>
        </w:rPr>
        <w:drawing>
          <wp:anchor distT="0" distB="0" distL="114300" distR="114300" simplePos="0" relativeHeight="251624960" behindDoc="1" locked="0" layoutInCell="1" allowOverlap="1" wp14:anchorId="0B8430CC" wp14:editId="6950ACE4">
            <wp:simplePos x="0" y="0"/>
            <wp:positionH relativeFrom="margin">
              <wp:align>right</wp:align>
            </wp:positionH>
            <wp:positionV relativeFrom="paragraph">
              <wp:posOffset>91440</wp:posOffset>
            </wp:positionV>
            <wp:extent cx="3486150" cy="2955290"/>
            <wp:effectExtent l="0" t="0" r="0" b="16510"/>
            <wp:wrapTight wrapText="bothSides">
              <wp:wrapPolygon edited="0">
                <wp:start x="0" y="0"/>
                <wp:lineTo x="0" y="21581"/>
                <wp:lineTo x="21482" y="21581"/>
                <wp:lineTo x="21482" y="0"/>
                <wp:lineTo x="0" y="0"/>
              </wp:wrapPolygon>
            </wp:wrapTight>
            <wp:docPr id="297447891" name="Chart 1">
              <a:extLst xmlns:a="http://schemas.openxmlformats.org/drawingml/2006/main">
                <a:ext uri="{FF2B5EF4-FFF2-40B4-BE49-F238E27FC236}">
                  <a16:creationId xmlns:a16="http://schemas.microsoft.com/office/drawing/2014/main" id="{4BE93753-066D-4460-BD73-00D8AB9D01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r>
        <w:rPr>
          <w:sz w:val="26"/>
          <w:szCs w:val="26"/>
        </w:rPr>
        <w:t>Theo dự báo xu hướng BĐKH của Đài Khí tượng Thủy</w:t>
      </w:r>
      <w:r>
        <w:rPr>
          <w:spacing w:val="-5"/>
          <w:sz w:val="26"/>
          <w:szCs w:val="26"/>
        </w:rPr>
        <w:t xml:space="preserve"> </w:t>
      </w:r>
      <w:r>
        <w:rPr>
          <w:sz w:val="26"/>
          <w:szCs w:val="26"/>
        </w:rPr>
        <w:t>văn Hà Tĩnh, tổng lượng mưa trong năm 2025 ở mức xấp xỉ TBNN (TBNN 2200 -</w:t>
      </w:r>
      <w:r>
        <w:rPr>
          <w:iCs/>
          <w:sz w:val="26"/>
          <w:szCs w:val="26"/>
        </w:rPr>
        <w:t xml:space="preserve"> 2800 mm). Mưa lớn có khả năng xảy ra thường xuyên hơn, với cường độ lớn và tập trung trong thời gian ngắn, gây ra lũ quét, sạt lở đất và ngập úng ở vùng thấp trũng và khu đô thị.</w:t>
      </w:r>
    </w:p>
    <w:p w14:paraId="7B7F9555" w14:textId="77777777" w:rsidR="00085789" w:rsidRDefault="00000000">
      <w:pPr>
        <w:spacing w:before="120" w:line="240" w:lineRule="auto"/>
        <w:ind w:firstLine="709"/>
        <w:jc w:val="both"/>
        <w:rPr>
          <w:i/>
          <w:iCs/>
          <w:sz w:val="26"/>
          <w:szCs w:val="26"/>
          <w:lang w:val="nl-NL"/>
        </w:rPr>
      </w:pPr>
      <w:r>
        <w:rPr>
          <w:i/>
          <w:iCs/>
          <w:sz w:val="26"/>
          <w:szCs w:val="26"/>
          <w:lang w:val="nl-NL"/>
        </w:rPr>
        <w:t xml:space="preserve">c) </w:t>
      </w:r>
      <w:r>
        <w:rPr>
          <w:bCs/>
          <w:i/>
          <w:iCs/>
          <w:sz w:val="26"/>
          <w:szCs w:val="26"/>
          <w:lang w:val="nl-NL"/>
        </w:rPr>
        <w:t>Độ ẩm không khí</w:t>
      </w:r>
      <w:r>
        <w:rPr>
          <w:i/>
          <w:iCs/>
          <w:sz w:val="26"/>
          <w:szCs w:val="26"/>
          <w:lang w:val="nl-NL"/>
        </w:rPr>
        <w:t xml:space="preserve">: </w:t>
      </w:r>
    </w:p>
    <w:p w14:paraId="6890E74C" w14:textId="77777777" w:rsidR="00085789" w:rsidRDefault="00000000">
      <w:pPr>
        <w:spacing w:before="120" w:line="240" w:lineRule="auto"/>
        <w:ind w:firstLine="709"/>
        <w:jc w:val="both"/>
        <w:rPr>
          <w:sz w:val="26"/>
          <w:szCs w:val="26"/>
          <w:lang w:val="nl-NL"/>
        </w:rPr>
      </w:pPr>
      <w:r>
        <w:rPr>
          <w:noProof/>
          <w:sz w:val="26"/>
          <w:szCs w:val="26"/>
        </w:rPr>
        <mc:AlternateContent>
          <mc:Choice Requires="wps">
            <w:drawing>
              <wp:anchor distT="0" distB="0" distL="114300" distR="114300" simplePos="0" relativeHeight="251829760" behindDoc="1" locked="0" layoutInCell="1" allowOverlap="1" wp14:anchorId="57059C2A" wp14:editId="0D44E255">
                <wp:simplePos x="0" y="0"/>
                <wp:positionH relativeFrom="margin">
                  <wp:align>right</wp:align>
                </wp:positionH>
                <wp:positionV relativeFrom="paragraph">
                  <wp:posOffset>842970</wp:posOffset>
                </wp:positionV>
                <wp:extent cx="3562985" cy="594995"/>
                <wp:effectExtent l="0" t="0" r="0" b="0"/>
                <wp:wrapTight wrapText="bothSides">
                  <wp:wrapPolygon edited="0">
                    <wp:start x="346" y="0"/>
                    <wp:lineTo x="346" y="20747"/>
                    <wp:lineTo x="21250" y="20747"/>
                    <wp:lineTo x="21250" y="0"/>
                    <wp:lineTo x="346" y="0"/>
                  </wp:wrapPolygon>
                </wp:wrapTight>
                <wp:docPr id="1971160138" name="Text Box 481"/>
                <wp:cNvGraphicFramePr/>
                <a:graphic xmlns:a="http://schemas.openxmlformats.org/drawingml/2006/main">
                  <a:graphicData uri="http://schemas.microsoft.com/office/word/2010/wordprocessingShape">
                    <wps:wsp>
                      <wps:cNvSpPr txBox="1"/>
                      <wps:spPr>
                        <a:xfrm>
                          <a:off x="0" y="0"/>
                          <a:ext cx="3562985" cy="594995"/>
                        </a:xfrm>
                        <a:prstGeom prst="rect">
                          <a:avLst/>
                        </a:prstGeom>
                        <a:noFill/>
                        <a:ln w="6350">
                          <a:noFill/>
                        </a:ln>
                      </wps:spPr>
                      <wps:txbx>
                        <w:txbxContent>
                          <w:p w14:paraId="575DF07D" w14:textId="77777777" w:rsidR="00085789" w:rsidRDefault="00000000">
                            <w:pPr>
                              <w:pStyle w:val="-bac4"/>
                              <w:spacing w:before="0" w:after="0" w:line="240" w:lineRule="auto"/>
                              <w:rPr>
                                <w:rFonts w:asciiTheme="minorHAnsi" w:hAnsiTheme="minorHAnsi"/>
                                <w:lang w:val="vi-VN"/>
                              </w:rPr>
                            </w:pPr>
                            <w:bookmarkStart w:id="159" w:name="_Toc181861318"/>
                            <w:bookmarkStart w:id="160" w:name="_Toc184097411"/>
                            <w:bookmarkStart w:id="161" w:name="_Toc193957561"/>
                            <w:bookmarkStart w:id="162" w:name="_Toc205915630"/>
                            <w:bookmarkStart w:id="163" w:name="_Toc213597330"/>
                            <w:bookmarkStart w:id="164" w:name="_Toc213600722"/>
                            <w:r>
                              <w:t xml:space="preserve">Hình 1.1. Biến động lượng mưa giữa các tháng tại các trạm </w:t>
                            </w:r>
                            <w:r>
                              <w:rPr>
                                <w:rFonts w:asciiTheme="majorHAnsi" w:hAnsiTheme="majorHAnsi" w:cstheme="majorHAnsi"/>
                              </w:rPr>
                              <w:t xml:space="preserve">trong năm </w:t>
                            </w:r>
                            <w:bookmarkEnd w:id="159"/>
                            <w:bookmarkEnd w:id="160"/>
                            <w:r>
                              <w:rPr>
                                <w:rFonts w:asciiTheme="majorHAnsi" w:hAnsiTheme="majorHAnsi" w:cstheme="majorHAnsi"/>
                              </w:rPr>
                              <w:t>2024</w:t>
                            </w:r>
                            <w:bookmarkEnd w:id="161"/>
                            <w:bookmarkEnd w:id="162"/>
                            <w:bookmarkEnd w:id="163"/>
                            <w:bookmarkEnd w:id="16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E38B4" id="Text Box 481" o:spid="_x0000_s1027" type="#_x0000_t202" style="position:absolute;left:0;text-align:left;margin-left:229.35pt;margin-top:66.4pt;width:280.55pt;height:46.85pt;z-index:-2514867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" filled="f" stroked="f" strokeweight=".5pt">
                <v:textbox>
                  <w:txbxContent>
                    <w:p w14:paraId="192307F3" w14:textId="4C8B0418" w:rsidR="000E0CEF" w:rsidRDefault="000E0CEF">
                      <w:pPr>
                        <w:pStyle w:val="-bac4"/>
                        <w:spacing w:before="0" w:after="0" w:line="240" w:lineRule="auto"/>
                        <w:rPr>
                          <w:rFonts w:asciiTheme="minorHAnsi" w:hAnsiTheme="minorHAnsi"/>
                          <w:lang w:val="vi-VN"/>
                        </w:rPr>
                      </w:pPr>
                      <w:bookmarkStart w:id="170" w:name="_Toc181861318"/>
                      <w:bookmarkStart w:id="171" w:name="_Toc184097411"/>
                      <w:bookmarkStart w:id="172" w:name="_Toc193957561"/>
                      <w:bookmarkStart w:id="173" w:name="_Toc205915630"/>
                      <w:bookmarkStart w:id="174" w:name="_Toc213597330"/>
                      <w:bookmarkStart w:id="175" w:name="_Toc213600722"/>
                      <w:r>
                        <w:t>Hình 1.</w:t>
                      </w:r>
                      <w:r w:rsidR="00F17F42">
                        <w:t>1</w:t>
                      </w:r>
                      <w:r>
                        <w:t xml:space="preserve">. Biến động lượng mưa giữa các tháng tại các trạm </w:t>
                      </w:r>
                      <w:r>
                        <w:rPr>
                          <w:rFonts w:asciiTheme="majorHAnsi" w:hAnsiTheme="majorHAnsi" w:cstheme="majorHAnsi"/>
                        </w:rPr>
                        <w:t xml:space="preserve">trong năm </w:t>
                      </w:r>
                      <w:bookmarkEnd w:id="170"/>
                      <w:bookmarkEnd w:id="171"/>
                      <w:r>
                        <w:rPr>
                          <w:rFonts w:asciiTheme="majorHAnsi" w:hAnsiTheme="majorHAnsi" w:cstheme="majorHAnsi"/>
                        </w:rPr>
                        <w:t>2024</w:t>
                      </w:r>
                      <w:bookmarkEnd w:id="172"/>
                      <w:bookmarkEnd w:id="173"/>
                      <w:bookmarkEnd w:id="174"/>
                      <w:bookmarkEnd w:id="175"/>
                    </w:p>
                  </w:txbxContent>
                </v:textbox>
                <w10:wrap type="tight" anchorx="margin"/>
              </v:shape>
            </w:pict>
          </mc:Fallback>
        </mc:AlternateContent>
      </w:r>
      <w:r>
        <w:rPr>
          <w:sz w:val="26"/>
          <w:szCs w:val="26"/>
          <w:lang w:val="nl-NL"/>
        </w:rPr>
        <w:t xml:space="preserve">Độ ẩm không khí trung bình trong giai đoạn 2020 - 2024 dao động trong khoảng 80,8 % - 96 % thể hiện đặc trưng khí hậu nhiệt đới ẩm của khu vực Hà Tĩnh.  Năm 2022 là năm có độ ẩm cao nhất tại hầu hết các trạm, trong khi năm </w:t>
      </w:r>
      <w:r>
        <w:rPr>
          <w:sz w:val="26"/>
          <w:szCs w:val="26"/>
          <w:lang w:val="nl-NL"/>
        </w:rPr>
        <w:lastRenderedPageBreak/>
        <w:t>2024 là năm có xu hướng giảm nhẹ tại một số trạm. Độ ẩm không khí trung bình thường đạt mức cao vào các tháng 1-3, tháng 10-12, các tháng giữa năm thường có độ ẩm thấp hơn.</w:t>
      </w:r>
    </w:p>
    <w:p w14:paraId="1A062D8C" w14:textId="77777777" w:rsidR="00085789" w:rsidRDefault="00000000">
      <w:pPr>
        <w:pStyle w:val="-bac4"/>
        <w:rPr>
          <w:rFonts w:asciiTheme="majorHAnsi" w:hAnsiTheme="majorHAnsi" w:cstheme="majorHAnsi"/>
          <w:lang w:val="nl-NL"/>
        </w:rPr>
      </w:pPr>
      <w:bookmarkStart w:id="165" w:name="_Toc205915631"/>
      <w:bookmarkStart w:id="166" w:name="_Toc213597331"/>
      <w:bookmarkStart w:id="167" w:name="_Toc213600723"/>
      <w:r>
        <w:rPr>
          <w:lang w:val="nl-NL"/>
        </w:rPr>
        <w:t xml:space="preserve">Bảng 1.3. Độ ẩm không khí trung bình </w:t>
      </w:r>
      <w:r>
        <w:rPr>
          <w:rFonts w:asciiTheme="majorHAnsi" w:hAnsiTheme="majorHAnsi" w:cstheme="majorHAnsi"/>
          <w:lang w:val="nl-NL"/>
        </w:rPr>
        <w:t>từ năm 2020-2024</w:t>
      </w:r>
      <w:bookmarkEnd w:id="165"/>
      <w:bookmarkEnd w:id="166"/>
      <w:bookmarkEnd w:id="167"/>
    </w:p>
    <w:p w14:paraId="7A0E0CA7" w14:textId="77777777" w:rsidR="00085789" w:rsidRDefault="00000000">
      <w:pPr>
        <w:spacing w:before="40" w:after="40" w:line="264" w:lineRule="auto"/>
        <w:ind w:left="360"/>
        <w:jc w:val="right"/>
        <w:rPr>
          <w:sz w:val="24"/>
          <w:szCs w:val="24"/>
          <w:lang w:val="nl-NL"/>
        </w:rPr>
      </w:pPr>
      <w:r>
        <w:rPr>
          <w:sz w:val="24"/>
          <w:szCs w:val="24"/>
          <w:lang w:val="nl-NL"/>
        </w:rPr>
        <w:t>Đơn vị: %</w:t>
      </w:r>
    </w:p>
    <w:tbl>
      <w:tblPr>
        <w:tblStyle w:val="TableGrid"/>
        <w:tblW w:w="0" w:type="auto"/>
        <w:jc w:val="center"/>
        <w:tblLook w:val="04A0" w:firstRow="1" w:lastRow="0" w:firstColumn="1" w:lastColumn="0" w:noHBand="0" w:noVBand="1"/>
      </w:tblPr>
      <w:tblGrid>
        <w:gridCol w:w="2972"/>
        <w:gridCol w:w="1134"/>
        <w:gridCol w:w="992"/>
        <w:gridCol w:w="993"/>
        <w:gridCol w:w="898"/>
        <w:gridCol w:w="996"/>
      </w:tblGrid>
      <w:tr w:rsidR="00085789" w14:paraId="3ACC6D50" w14:textId="77777777">
        <w:trPr>
          <w:trHeight w:val="770"/>
          <w:jc w:val="center"/>
        </w:trPr>
        <w:tc>
          <w:tcPr>
            <w:tcW w:w="2972" w:type="dxa"/>
            <w:tcBorders>
              <w:tl2br w:val="single" w:sz="4" w:space="0" w:color="auto"/>
            </w:tcBorders>
            <w:vAlign w:val="center"/>
          </w:tcPr>
          <w:p w14:paraId="080856BC" w14:textId="77777777" w:rsidR="00085789" w:rsidRDefault="00000000">
            <w:pPr>
              <w:spacing w:before="20" w:after="20" w:line="240" w:lineRule="auto"/>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42F42BB6" w14:textId="77777777" w:rsidR="00085789" w:rsidRDefault="00000000">
            <w:pPr>
              <w:spacing w:before="20" w:after="20" w:line="240" w:lineRule="auto"/>
              <w:rPr>
                <w:rFonts w:asciiTheme="majorHAnsi" w:hAnsiTheme="majorHAnsi" w:cstheme="majorHAnsi"/>
                <w:sz w:val="26"/>
                <w:szCs w:val="26"/>
              </w:rPr>
            </w:pPr>
            <w:r>
              <w:rPr>
                <w:rFonts w:asciiTheme="majorHAnsi" w:hAnsiTheme="majorHAnsi" w:cstheme="majorHAnsi"/>
                <w:b/>
                <w:sz w:val="26"/>
                <w:szCs w:val="26"/>
              </w:rPr>
              <w:t>Trạm khí tượng</w:t>
            </w:r>
          </w:p>
        </w:tc>
        <w:tc>
          <w:tcPr>
            <w:tcW w:w="1134" w:type="dxa"/>
            <w:vAlign w:val="center"/>
          </w:tcPr>
          <w:p w14:paraId="2C3DAE8C" w14:textId="77777777" w:rsidR="00085789" w:rsidRDefault="00000000">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992" w:type="dxa"/>
            <w:vAlign w:val="center"/>
          </w:tcPr>
          <w:p w14:paraId="555E0AFF" w14:textId="77777777" w:rsidR="00085789" w:rsidRDefault="00000000">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993" w:type="dxa"/>
            <w:vAlign w:val="center"/>
          </w:tcPr>
          <w:p w14:paraId="13D8C62F" w14:textId="77777777" w:rsidR="00085789" w:rsidRDefault="00000000">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898" w:type="dxa"/>
            <w:vAlign w:val="center"/>
          </w:tcPr>
          <w:p w14:paraId="7E37C1FA" w14:textId="77777777" w:rsidR="00085789" w:rsidRDefault="00000000">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996" w:type="dxa"/>
            <w:vAlign w:val="center"/>
          </w:tcPr>
          <w:p w14:paraId="3C1989E8" w14:textId="77777777" w:rsidR="00085789" w:rsidRDefault="00000000">
            <w:pPr>
              <w:widowControl w:val="0"/>
              <w:spacing w:before="20" w:after="20"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261EBD7E" w14:textId="77777777">
        <w:trPr>
          <w:trHeight w:val="439"/>
          <w:jc w:val="center"/>
        </w:trPr>
        <w:tc>
          <w:tcPr>
            <w:tcW w:w="2972" w:type="dxa"/>
            <w:vAlign w:val="center"/>
          </w:tcPr>
          <w:p w14:paraId="4F8A5C58" w14:textId="77777777" w:rsidR="00085789" w:rsidRDefault="00000000">
            <w:pPr>
              <w:spacing w:before="20" w:after="20" w:line="240" w:lineRule="auto"/>
              <w:rPr>
                <w:rFonts w:asciiTheme="majorHAnsi" w:hAnsiTheme="majorHAnsi" w:cstheme="majorHAnsi"/>
                <w:sz w:val="26"/>
                <w:szCs w:val="26"/>
              </w:rPr>
            </w:pPr>
            <w:r>
              <w:rPr>
                <w:rFonts w:asciiTheme="majorHAnsi" w:hAnsiTheme="majorHAnsi" w:cstheme="majorHAnsi"/>
                <w:sz w:val="26"/>
                <w:szCs w:val="26"/>
              </w:rPr>
              <w:t>Trạm Hà Tĩnh</w:t>
            </w:r>
          </w:p>
        </w:tc>
        <w:tc>
          <w:tcPr>
            <w:tcW w:w="1134" w:type="dxa"/>
            <w:vAlign w:val="center"/>
          </w:tcPr>
          <w:p w14:paraId="0A058459" w14:textId="77777777" w:rsidR="00085789" w:rsidRDefault="00000000">
            <w:pPr>
              <w:widowControl w:val="0"/>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82,4</w:t>
            </w:r>
          </w:p>
        </w:tc>
        <w:tc>
          <w:tcPr>
            <w:tcW w:w="992" w:type="dxa"/>
            <w:vAlign w:val="center"/>
          </w:tcPr>
          <w:p w14:paraId="10B2FEC9" w14:textId="77777777" w:rsidR="00085789" w:rsidRDefault="00000000">
            <w:pPr>
              <w:widowControl w:val="0"/>
              <w:spacing w:before="20" w:after="20" w:line="240" w:lineRule="auto"/>
              <w:jc w:val="center"/>
              <w:rPr>
                <w:rFonts w:asciiTheme="majorHAnsi" w:hAnsiTheme="majorHAnsi" w:cstheme="majorHAnsi"/>
                <w:bCs/>
                <w:iCs/>
                <w:sz w:val="26"/>
                <w:szCs w:val="26"/>
              </w:rPr>
            </w:pPr>
            <w:r>
              <w:rPr>
                <w:rFonts w:asciiTheme="majorHAnsi" w:hAnsiTheme="majorHAnsi" w:cstheme="majorHAnsi"/>
                <w:sz w:val="26"/>
                <w:szCs w:val="26"/>
              </w:rPr>
              <w:t>81,4</w:t>
            </w:r>
          </w:p>
        </w:tc>
        <w:tc>
          <w:tcPr>
            <w:tcW w:w="993" w:type="dxa"/>
            <w:vAlign w:val="center"/>
          </w:tcPr>
          <w:p w14:paraId="3DE51E31"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82,8</w:t>
            </w:r>
          </w:p>
        </w:tc>
        <w:tc>
          <w:tcPr>
            <w:tcW w:w="898" w:type="dxa"/>
            <w:vAlign w:val="center"/>
          </w:tcPr>
          <w:p w14:paraId="19C407FC"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81,0</w:t>
            </w:r>
          </w:p>
        </w:tc>
        <w:tc>
          <w:tcPr>
            <w:tcW w:w="996" w:type="dxa"/>
            <w:vAlign w:val="center"/>
          </w:tcPr>
          <w:p w14:paraId="1072FB48"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80,8</w:t>
            </w:r>
          </w:p>
        </w:tc>
      </w:tr>
      <w:tr w:rsidR="00085789" w14:paraId="2D843044" w14:textId="77777777">
        <w:trPr>
          <w:trHeight w:val="431"/>
          <w:jc w:val="center"/>
        </w:trPr>
        <w:tc>
          <w:tcPr>
            <w:tcW w:w="2972" w:type="dxa"/>
            <w:vAlign w:val="center"/>
          </w:tcPr>
          <w:p w14:paraId="0458576E" w14:textId="77777777" w:rsidR="00085789" w:rsidRDefault="00000000">
            <w:pPr>
              <w:spacing w:before="20" w:after="20" w:line="240" w:lineRule="auto"/>
              <w:rPr>
                <w:rFonts w:asciiTheme="majorHAnsi" w:hAnsiTheme="majorHAnsi" w:cstheme="majorHAnsi"/>
                <w:sz w:val="26"/>
                <w:szCs w:val="26"/>
              </w:rPr>
            </w:pPr>
            <w:r>
              <w:rPr>
                <w:rFonts w:asciiTheme="majorHAnsi" w:hAnsiTheme="majorHAnsi" w:cstheme="majorHAnsi"/>
                <w:sz w:val="26"/>
                <w:szCs w:val="26"/>
              </w:rPr>
              <w:t>Trạm Hương Khê</w:t>
            </w:r>
          </w:p>
        </w:tc>
        <w:tc>
          <w:tcPr>
            <w:tcW w:w="1134" w:type="dxa"/>
            <w:vAlign w:val="center"/>
          </w:tcPr>
          <w:p w14:paraId="4C1EC378"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83,7</w:t>
            </w:r>
          </w:p>
        </w:tc>
        <w:tc>
          <w:tcPr>
            <w:tcW w:w="992" w:type="dxa"/>
            <w:vAlign w:val="center"/>
          </w:tcPr>
          <w:p w14:paraId="533DA863"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83,9</w:t>
            </w:r>
          </w:p>
        </w:tc>
        <w:tc>
          <w:tcPr>
            <w:tcW w:w="993" w:type="dxa"/>
            <w:vAlign w:val="center"/>
          </w:tcPr>
          <w:p w14:paraId="7F71B6FA"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86</w:t>
            </w:r>
          </w:p>
        </w:tc>
        <w:tc>
          <w:tcPr>
            <w:tcW w:w="898" w:type="dxa"/>
            <w:vAlign w:val="center"/>
          </w:tcPr>
          <w:p w14:paraId="48858CEE"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83,3</w:t>
            </w:r>
          </w:p>
        </w:tc>
        <w:tc>
          <w:tcPr>
            <w:tcW w:w="996" w:type="dxa"/>
            <w:vAlign w:val="center"/>
          </w:tcPr>
          <w:p w14:paraId="467C66E5" w14:textId="77777777" w:rsidR="00085789" w:rsidRDefault="00000000">
            <w:pPr>
              <w:widowControl w:val="0"/>
              <w:spacing w:before="20" w:after="20"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82,4</w:t>
            </w:r>
          </w:p>
        </w:tc>
      </w:tr>
      <w:tr w:rsidR="00085789" w14:paraId="64849B43" w14:textId="77777777">
        <w:trPr>
          <w:trHeight w:val="410"/>
          <w:jc w:val="center"/>
        </w:trPr>
        <w:tc>
          <w:tcPr>
            <w:tcW w:w="2972" w:type="dxa"/>
            <w:vAlign w:val="center"/>
          </w:tcPr>
          <w:p w14:paraId="433C68B6" w14:textId="77777777" w:rsidR="00085789" w:rsidRDefault="00000000">
            <w:pPr>
              <w:spacing w:before="20" w:after="20" w:line="240" w:lineRule="auto"/>
              <w:rPr>
                <w:rFonts w:asciiTheme="majorHAnsi" w:hAnsiTheme="majorHAnsi" w:cstheme="majorHAnsi"/>
                <w:sz w:val="26"/>
                <w:szCs w:val="26"/>
              </w:rPr>
            </w:pPr>
            <w:r>
              <w:rPr>
                <w:rFonts w:asciiTheme="majorHAnsi" w:hAnsiTheme="majorHAnsi" w:cstheme="majorHAnsi"/>
                <w:sz w:val="26"/>
                <w:szCs w:val="26"/>
              </w:rPr>
              <w:t>Trạm Kỳ Anh</w:t>
            </w:r>
          </w:p>
        </w:tc>
        <w:tc>
          <w:tcPr>
            <w:tcW w:w="1134" w:type="dxa"/>
            <w:vAlign w:val="center"/>
          </w:tcPr>
          <w:p w14:paraId="7F89D6F2" w14:textId="77777777" w:rsidR="00085789" w:rsidRDefault="00000000">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82,8</w:t>
            </w:r>
          </w:p>
        </w:tc>
        <w:tc>
          <w:tcPr>
            <w:tcW w:w="992" w:type="dxa"/>
            <w:vAlign w:val="center"/>
          </w:tcPr>
          <w:p w14:paraId="6607F108" w14:textId="77777777" w:rsidR="00085789" w:rsidRDefault="00000000">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83,7</w:t>
            </w:r>
          </w:p>
        </w:tc>
        <w:tc>
          <w:tcPr>
            <w:tcW w:w="993" w:type="dxa"/>
            <w:vAlign w:val="center"/>
          </w:tcPr>
          <w:p w14:paraId="59B6A821" w14:textId="77777777" w:rsidR="00085789" w:rsidRDefault="00000000">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83,4</w:t>
            </w:r>
          </w:p>
        </w:tc>
        <w:tc>
          <w:tcPr>
            <w:tcW w:w="898" w:type="dxa"/>
            <w:vAlign w:val="center"/>
          </w:tcPr>
          <w:p w14:paraId="4F5CED3A" w14:textId="77777777" w:rsidR="00085789" w:rsidRDefault="00000000">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83,3</w:t>
            </w:r>
          </w:p>
        </w:tc>
        <w:tc>
          <w:tcPr>
            <w:tcW w:w="996" w:type="dxa"/>
            <w:vAlign w:val="center"/>
          </w:tcPr>
          <w:p w14:paraId="3B05B1D9" w14:textId="77777777" w:rsidR="00085789" w:rsidRDefault="00000000">
            <w:pPr>
              <w:spacing w:before="20" w:after="20" w:line="240" w:lineRule="auto"/>
              <w:jc w:val="center"/>
              <w:rPr>
                <w:rFonts w:asciiTheme="majorHAnsi" w:hAnsiTheme="majorHAnsi" w:cstheme="majorHAnsi"/>
                <w:sz w:val="26"/>
                <w:szCs w:val="26"/>
              </w:rPr>
            </w:pPr>
            <w:r>
              <w:rPr>
                <w:rFonts w:asciiTheme="majorHAnsi" w:hAnsiTheme="majorHAnsi" w:cstheme="majorHAnsi"/>
                <w:sz w:val="26"/>
                <w:szCs w:val="26"/>
              </w:rPr>
              <w:t>85</w:t>
            </w:r>
          </w:p>
        </w:tc>
      </w:tr>
      <w:tr w:rsidR="00085789" w14:paraId="3563685B" w14:textId="77777777">
        <w:trPr>
          <w:trHeight w:val="401"/>
          <w:jc w:val="center"/>
        </w:trPr>
        <w:tc>
          <w:tcPr>
            <w:tcW w:w="2972" w:type="dxa"/>
            <w:vAlign w:val="center"/>
          </w:tcPr>
          <w:p w14:paraId="4E45337A" w14:textId="77777777" w:rsidR="00085789" w:rsidRDefault="00000000">
            <w:pPr>
              <w:spacing w:before="20" w:after="20" w:line="240" w:lineRule="auto"/>
              <w:ind w:firstLine="34"/>
              <w:rPr>
                <w:rFonts w:asciiTheme="majorHAnsi" w:hAnsiTheme="majorHAnsi" w:cstheme="majorHAnsi"/>
                <w:sz w:val="26"/>
                <w:szCs w:val="26"/>
              </w:rPr>
            </w:pPr>
            <w:r>
              <w:rPr>
                <w:rFonts w:asciiTheme="majorHAnsi" w:hAnsiTheme="majorHAnsi" w:cstheme="majorHAnsi"/>
                <w:sz w:val="26"/>
                <w:szCs w:val="26"/>
              </w:rPr>
              <w:t>Trạm Hương Sơn</w:t>
            </w:r>
          </w:p>
        </w:tc>
        <w:tc>
          <w:tcPr>
            <w:tcW w:w="1134" w:type="dxa"/>
            <w:vAlign w:val="center"/>
          </w:tcPr>
          <w:p w14:paraId="4FD4BCDD" w14:textId="77777777" w:rsidR="00085789" w:rsidRDefault="00000000">
            <w:pPr>
              <w:spacing w:before="20" w:after="20" w:line="240" w:lineRule="auto"/>
              <w:ind w:firstLine="34"/>
              <w:jc w:val="center"/>
              <w:rPr>
                <w:rFonts w:asciiTheme="majorHAnsi" w:hAnsiTheme="majorHAnsi" w:cstheme="majorHAnsi"/>
                <w:sz w:val="26"/>
                <w:szCs w:val="26"/>
              </w:rPr>
            </w:pPr>
            <w:r>
              <w:rPr>
                <w:rFonts w:asciiTheme="majorHAnsi" w:hAnsiTheme="majorHAnsi" w:cstheme="majorHAnsi"/>
                <w:sz w:val="26"/>
                <w:szCs w:val="26"/>
              </w:rPr>
              <w:t>82,2</w:t>
            </w:r>
          </w:p>
        </w:tc>
        <w:tc>
          <w:tcPr>
            <w:tcW w:w="992" w:type="dxa"/>
            <w:vAlign w:val="center"/>
          </w:tcPr>
          <w:p w14:paraId="2F5E598E" w14:textId="77777777" w:rsidR="00085789" w:rsidRDefault="00000000">
            <w:pPr>
              <w:keepNext/>
              <w:keepLines/>
              <w:widowControl w:val="0"/>
              <w:spacing w:before="20" w:after="20" w:line="240" w:lineRule="auto"/>
              <w:ind w:firstLine="34"/>
              <w:jc w:val="center"/>
              <w:rPr>
                <w:rFonts w:asciiTheme="majorHAnsi" w:hAnsiTheme="majorHAnsi" w:cstheme="majorHAnsi"/>
                <w:iCs/>
                <w:sz w:val="26"/>
                <w:szCs w:val="26"/>
              </w:rPr>
            </w:pPr>
            <w:r>
              <w:rPr>
                <w:rFonts w:asciiTheme="majorHAnsi" w:hAnsiTheme="majorHAnsi" w:cstheme="majorHAnsi"/>
                <w:iCs/>
                <w:sz w:val="26"/>
                <w:szCs w:val="26"/>
              </w:rPr>
              <w:t>84,1</w:t>
            </w:r>
          </w:p>
        </w:tc>
        <w:tc>
          <w:tcPr>
            <w:tcW w:w="993" w:type="dxa"/>
            <w:vAlign w:val="center"/>
          </w:tcPr>
          <w:p w14:paraId="519E6C4F" w14:textId="77777777" w:rsidR="00085789" w:rsidRDefault="00000000">
            <w:pPr>
              <w:spacing w:before="20" w:after="20" w:line="240" w:lineRule="auto"/>
              <w:ind w:firstLine="34"/>
              <w:jc w:val="center"/>
              <w:rPr>
                <w:rFonts w:asciiTheme="majorHAnsi" w:hAnsiTheme="majorHAnsi" w:cstheme="majorHAnsi"/>
                <w:spacing w:val="-6"/>
                <w:sz w:val="26"/>
                <w:szCs w:val="26"/>
              </w:rPr>
            </w:pPr>
            <w:r>
              <w:rPr>
                <w:rFonts w:asciiTheme="majorHAnsi" w:hAnsiTheme="majorHAnsi" w:cstheme="majorHAnsi"/>
                <w:spacing w:val="-6"/>
                <w:sz w:val="26"/>
                <w:szCs w:val="26"/>
              </w:rPr>
              <w:t>85,6</w:t>
            </w:r>
          </w:p>
        </w:tc>
        <w:tc>
          <w:tcPr>
            <w:tcW w:w="898" w:type="dxa"/>
            <w:vAlign w:val="center"/>
          </w:tcPr>
          <w:p w14:paraId="45ADF6BA" w14:textId="77777777" w:rsidR="00085789" w:rsidRDefault="00000000">
            <w:pPr>
              <w:widowControl w:val="0"/>
              <w:spacing w:before="20" w:after="20" w:line="240" w:lineRule="auto"/>
              <w:ind w:firstLine="34"/>
              <w:jc w:val="center"/>
              <w:rPr>
                <w:rFonts w:asciiTheme="majorHAnsi" w:eastAsia="Calibri" w:hAnsiTheme="majorHAnsi" w:cstheme="majorHAnsi"/>
                <w:sz w:val="26"/>
                <w:szCs w:val="26"/>
              </w:rPr>
            </w:pPr>
            <w:r>
              <w:rPr>
                <w:rFonts w:asciiTheme="majorHAnsi" w:eastAsia="Calibri" w:hAnsiTheme="majorHAnsi" w:cstheme="majorHAnsi"/>
                <w:sz w:val="26"/>
                <w:szCs w:val="26"/>
              </w:rPr>
              <w:t>82,3</w:t>
            </w:r>
          </w:p>
        </w:tc>
        <w:tc>
          <w:tcPr>
            <w:tcW w:w="996" w:type="dxa"/>
            <w:vAlign w:val="center"/>
          </w:tcPr>
          <w:p w14:paraId="3DDF2A37" w14:textId="77777777" w:rsidR="00085789" w:rsidRDefault="00000000">
            <w:pPr>
              <w:widowControl w:val="0"/>
              <w:spacing w:before="20" w:after="20" w:line="240" w:lineRule="auto"/>
              <w:ind w:firstLine="34"/>
              <w:jc w:val="center"/>
              <w:rPr>
                <w:rFonts w:asciiTheme="majorHAnsi" w:eastAsia="Calibri" w:hAnsiTheme="majorHAnsi" w:cstheme="majorHAnsi"/>
                <w:sz w:val="26"/>
                <w:szCs w:val="26"/>
              </w:rPr>
            </w:pPr>
            <w:r>
              <w:rPr>
                <w:rFonts w:asciiTheme="majorHAnsi" w:eastAsia="Calibri" w:hAnsiTheme="majorHAnsi" w:cstheme="majorHAnsi"/>
                <w:sz w:val="26"/>
                <w:szCs w:val="26"/>
              </w:rPr>
              <w:t>82,9</w:t>
            </w:r>
          </w:p>
        </w:tc>
      </w:tr>
    </w:tbl>
    <w:p w14:paraId="41A745DF" w14:textId="77777777" w:rsidR="00085789" w:rsidRDefault="00085789">
      <w:pPr>
        <w:spacing w:before="40" w:after="40" w:line="264" w:lineRule="auto"/>
        <w:ind w:firstLine="709"/>
        <w:jc w:val="both"/>
        <w:rPr>
          <w:i/>
          <w:sz w:val="26"/>
        </w:rPr>
      </w:pPr>
    </w:p>
    <w:p w14:paraId="49305B8C" w14:textId="77777777" w:rsidR="00085789" w:rsidRDefault="00000000">
      <w:pPr>
        <w:spacing w:before="40" w:line="240" w:lineRule="auto"/>
        <w:ind w:firstLine="709"/>
        <w:jc w:val="both"/>
        <w:rPr>
          <w:i/>
          <w:iCs/>
          <w:sz w:val="26"/>
          <w:szCs w:val="26"/>
          <w:lang w:val="nl-NL"/>
        </w:rPr>
      </w:pPr>
      <w:r>
        <w:rPr>
          <w:i/>
          <w:iCs/>
          <w:sz w:val="26"/>
          <w:szCs w:val="26"/>
          <w:lang w:val="nl-NL"/>
        </w:rPr>
        <w:t xml:space="preserve">d) Lượng bốc hơi: </w:t>
      </w:r>
    </w:p>
    <w:p w14:paraId="5F34D409" w14:textId="77777777" w:rsidR="00085789" w:rsidRDefault="00000000">
      <w:pPr>
        <w:spacing w:before="40" w:line="240" w:lineRule="auto"/>
        <w:ind w:firstLine="709"/>
        <w:jc w:val="both"/>
        <w:rPr>
          <w:sz w:val="26"/>
          <w:szCs w:val="26"/>
        </w:rPr>
      </w:pPr>
      <w:r>
        <w:rPr>
          <w:sz w:val="26"/>
          <w:szCs w:val="26"/>
          <w:lang w:val="nl-NL"/>
        </w:rPr>
        <w:t xml:space="preserve">Tổng lượng bốc hơi trung bình giai đoạn 2020 - 2024 dao động trong khoảng 48,7 mm - 108,6 mm </w:t>
      </w:r>
      <w:r>
        <w:rPr>
          <w:sz w:val="26"/>
          <w:szCs w:val="26"/>
        </w:rPr>
        <w:t xml:space="preserve">có xu hướng giảm dần từ năm 2020 đến 2022, sau đó tăng nhẹ trở lại trong các năm 2023 và 2024. </w:t>
      </w:r>
    </w:p>
    <w:p w14:paraId="08B756BB" w14:textId="77777777" w:rsidR="00085789" w:rsidRDefault="00000000">
      <w:pPr>
        <w:pStyle w:val="-bac4"/>
        <w:spacing w:before="120" w:after="0" w:line="240" w:lineRule="auto"/>
        <w:rPr>
          <w:rFonts w:asciiTheme="majorHAnsi" w:hAnsiTheme="majorHAnsi" w:cstheme="majorHAnsi"/>
        </w:rPr>
      </w:pPr>
      <w:bookmarkStart w:id="168" w:name="_Toc205915632"/>
      <w:bookmarkStart w:id="169" w:name="_Toc213597332"/>
      <w:bookmarkStart w:id="170" w:name="_Toc213600724"/>
      <w:r>
        <w:t xml:space="preserve">Bảng 1.4. Lượng bốc hơi trung bình </w:t>
      </w:r>
      <w:r>
        <w:rPr>
          <w:rFonts w:asciiTheme="majorHAnsi" w:hAnsiTheme="majorHAnsi" w:cstheme="majorHAnsi"/>
        </w:rPr>
        <w:t>từ năm 2020-2024</w:t>
      </w:r>
      <w:bookmarkEnd w:id="168"/>
      <w:bookmarkEnd w:id="169"/>
      <w:bookmarkEnd w:id="170"/>
    </w:p>
    <w:p w14:paraId="7C870844" w14:textId="77777777" w:rsidR="00085789" w:rsidRDefault="00000000">
      <w:pPr>
        <w:pStyle w:val="ListParagraph"/>
        <w:spacing w:before="40" w:after="40" w:line="264" w:lineRule="auto"/>
        <w:ind w:firstLine="567"/>
        <w:jc w:val="right"/>
        <w:rPr>
          <w:rFonts w:ascii="Times New Roman" w:hAnsi="Times New Roman"/>
          <w:sz w:val="26"/>
          <w:szCs w:val="26"/>
          <w:lang w:val="nl-NL"/>
        </w:rPr>
      </w:pPr>
      <w:r>
        <w:rPr>
          <w:rFonts w:ascii="Times New Roman" w:hAnsi="Times New Roman"/>
          <w:sz w:val="26"/>
          <w:szCs w:val="26"/>
          <w:lang w:val="nl-NL"/>
        </w:rPr>
        <w:t>Đơn vị: mm</w:t>
      </w:r>
    </w:p>
    <w:tbl>
      <w:tblPr>
        <w:tblStyle w:val="TableGrid"/>
        <w:tblW w:w="0" w:type="auto"/>
        <w:jc w:val="center"/>
        <w:tblLook w:val="04A0" w:firstRow="1" w:lastRow="0" w:firstColumn="1" w:lastColumn="0" w:noHBand="0" w:noVBand="1"/>
      </w:tblPr>
      <w:tblGrid>
        <w:gridCol w:w="2835"/>
        <w:gridCol w:w="1134"/>
        <w:gridCol w:w="992"/>
        <w:gridCol w:w="895"/>
        <w:gridCol w:w="996"/>
        <w:gridCol w:w="1790"/>
      </w:tblGrid>
      <w:tr w:rsidR="00085789" w14:paraId="4234FE54" w14:textId="77777777">
        <w:trPr>
          <w:trHeight w:val="821"/>
          <w:tblHeader/>
          <w:jc w:val="center"/>
        </w:trPr>
        <w:tc>
          <w:tcPr>
            <w:tcW w:w="2835" w:type="dxa"/>
            <w:tcBorders>
              <w:tl2br w:val="single" w:sz="4" w:space="0" w:color="auto"/>
            </w:tcBorders>
            <w:vAlign w:val="center"/>
          </w:tcPr>
          <w:p w14:paraId="63550BB7" w14:textId="77777777" w:rsidR="00085789" w:rsidRDefault="00000000">
            <w:pPr>
              <w:spacing w:line="240" w:lineRule="auto"/>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50AF64CA"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b/>
                <w:sz w:val="26"/>
                <w:szCs w:val="26"/>
              </w:rPr>
              <w:t>Trạm khí tượng</w:t>
            </w:r>
          </w:p>
        </w:tc>
        <w:tc>
          <w:tcPr>
            <w:tcW w:w="1134" w:type="dxa"/>
            <w:vAlign w:val="center"/>
          </w:tcPr>
          <w:p w14:paraId="73BA7624"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992" w:type="dxa"/>
            <w:vAlign w:val="center"/>
          </w:tcPr>
          <w:p w14:paraId="53533E56"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895" w:type="dxa"/>
            <w:vAlign w:val="center"/>
          </w:tcPr>
          <w:p w14:paraId="3B8B3B70"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6" w:type="dxa"/>
            <w:vAlign w:val="center"/>
          </w:tcPr>
          <w:p w14:paraId="67741B7D"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1790" w:type="dxa"/>
            <w:vAlign w:val="center"/>
          </w:tcPr>
          <w:p w14:paraId="6C4F8883" w14:textId="77777777" w:rsidR="00085789" w:rsidRDefault="00000000">
            <w:pPr>
              <w:widowControl w:val="0"/>
              <w:spacing w:line="240"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289AC722" w14:textId="77777777">
        <w:trPr>
          <w:trHeight w:val="455"/>
          <w:jc w:val="center"/>
        </w:trPr>
        <w:tc>
          <w:tcPr>
            <w:tcW w:w="2835" w:type="dxa"/>
            <w:vAlign w:val="center"/>
          </w:tcPr>
          <w:p w14:paraId="060DB65C"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Hà Tĩnh</w:t>
            </w:r>
          </w:p>
        </w:tc>
        <w:tc>
          <w:tcPr>
            <w:tcW w:w="1134" w:type="dxa"/>
            <w:vAlign w:val="center"/>
          </w:tcPr>
          <w:p w14:paraId="571992BB" w14:textId="77777777" w:rsidR="00085789" w:rsidRDefault="00000000">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82,6</w:t>
            </w:r>
          </w:p>
        </w:tc>
        <w:tc>
          <w:tcPr>
            <w:tcW w:w="992" w:type="dxa"/>
            <w:vAlign w:val="center"/>
          </w:tcPr>
          <w:p w14:paraId="0B1EE954" w14:textId="77777777" w:rsidR="00085789" w:rsidRDefault="00000000">
            <w:pPr>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67,6</w:t>
            </w:r>
          </w:p>
        </w:tc>
        <w:tc>
          <w:tcPr>
            <w:tcW w:w="895" w:type="dxa"/>
            <w:vAlign w:val="center"/>
          </w:tcPr>
          <w:p w14:paraId="3BE9E361"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60</w:t>
            </w:r>
          </w:p>
        </w:tc>
        <w:tc>
          <w:tcPr>
            <w:tcW w:w="996" w:type="dxa"/>
            <w:vAlign w:val="center"/>
          </w:tcPr>
          <w:p w14:paraId="16C4CBFE"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67,6</w:t>
            </w:r>
          </w:p>
        </w:tc>
        <w:tc>
          <w:tcPr>
            <w:tcW w:w="1790" w:type="dxa"/>
            <w:vAlign w:val="center"/>
          </w:tcPr>
          <w:p w14:paraId="16D29B41"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69,8</w:t>
            </w:r>
          </w:p>
        </w:tc>
      </w:tr>
      <w:tr w:rsidR="00085789" w14:paraId="3A2A8711" w14:textId="77777777">
        <w:trPr>
          <w:trHeight w:val="419"/>
          <w:jc w:val="center"/>
        </w:trPr>
        <w:tc>
          <w:tcPr>
            <w:tcW w:w="2835" w:type="dxa"/>
            <w:vAlign w:val="center"/>
          </w:tcPr>
          <w:p w14:paraId="54D637DF"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Hương Khê</w:t>
            </w:r>
          </w:p>
        </w:tc>
        <w:tc>
          <w:tcPr>
            <w:tcW w:w="1134" w:type="dxa"/>
            <w:vAlign w:val="center"/>
          </w:tcPr>
          <w:p w14:paraId="392A3BA8"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73,6</w:t>
            </w:r>
          </w:p>
        </w:tc>
        <w:tc>
          <w:tcPr>
            <w:tcW w:w="992" w:type="dxa"/>
            <w:vAlign w:val="center"/>
          </w:tcPr>
          <w:p w14:paraId="243F671D"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58,2</w:t>
            </w:r>
          </w:p>
        </w:tc>
        <w:tc>
          <w:tcPr>
            <w:tcW w:w="895" w:type="dxa"/>
            <w:vAlign w:val="center"/>
          </w:tcPr>
          <w:p w14:paraId="2F637729"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48,7</w:t>
            </w:r>
          </w:p>
        </w:tc>
        <w:tc>
          <w:tcPr>
            <w:tcW w:w="996" w:type="dxa"/>
            <w:vAlign w:val="center"/>
          </w:tcPr>
          <w:p w14:paraId="15DF3F82"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58,2</w:t>
            </w:r>
          </w:p>
        </w:tc>
        <w:tc>
          <w:tcPr>
            <w:tcW w:w="1790" w:type="dxa"/>
            <w:vAlign w:val="center"/>
          </w:tcPr>
          <w:p w14:paraId="30940903"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55,2</w:t>
            </w:r>
          </w:p>
        </w:tc>
      </w:tr>
      <w:tr w:rsidR="00085789" w14:paraId="56E201C8" w14:textId="77777777">
        <w:trPr>
          <w:trHeight w:val="423"/>
          <w:jc w:val="center"/>
        </w:trPr>
        <w:tc>
          <w:tcPr>
            <w:tcW w:w="2835" w:type="dxa"/>
            <w:vAlign w:val="center"/>
          </w:tcPr>
          <w:p w14:paraId="0C8C5BE3"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Kỳ Anh</w:t>
            </w:r>
          </w:p>
        </w:tc>
        <w:tc>
          <w:tcPr>
            <w:tcW w:w="1134" w:type="dxa"/>
            <w:vAlign w:val="center"/>
          </w:tcPr>
          <w:p w14:paraId="7FADDC97"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108,6</w:t>
            </w:r>
          </w:p>
        </w:tc>
        <w:tc>
          <w:tcPr>
            <w:tcW w:w="992" w:type="dxa"/>
            <w:vAlign w:val="center"/>
          </w:tcPr>
          <w:p w14:paraId="4BF497D9"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85,5</w:t>
            </w:r>
          </w:p>
        </w:tc>
        <w:tc>
          <w:tcPr>
            <w:tcW w:w="895" w:type="dxa"/>
            <w:vAlign w:val="center"/>
          </w:tcPr>
          <w:p w14:paraId="01723794"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77,8</w:t>
            </w:r>
          </w:p>
        </w:tc>
        <w:tc>
          <w:tcPr>
            <w:tcW w:w="996" w:type="dxa"/>
            <w:vAlign w:val="center"/>
          </w:tcPr>
          <w:p w14:paraId="15CAD0C8"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79,6</w:t>
            </w:r>
          </w:p>
        </w:tc>
        <w:tc>
          <w:tcPr>
            <w:tcW w:w="1790" w:type="dxa"/>
            <w:vAlign w:val="center"/>
          </w:tcPr>
          <w:p w14:paraId="20B83BFC"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80,6</w:t>
            </w:r>
          </w:p>
        </w:tc>
      </w:tr>
      <w:tr w:rsidR="00085789" w14:paraId="2FD6CB5D" w14:textId="77777777">
        <w:trPr>
          <w:trHeight w:val="485"/>
          <w:jc w:val="center"/>
        </w:trPr>
        <w:tc>
          <w:tcPr>
            <w:tcW w:w="2835" w:type="dxa"/>
            <w:vAlign w:val="center"/>
          </w:tcPr>
          <w:p w14:paraId="376B45F0" w14:textId="77777777" w:rsidR="00085789" w:rsidRDefault="00000000">
            <w:pPr>
              <w:spacing w:line="240" w:lineRule="auto"/>
              <w:rPr>
                <w:rFonts w:asciiTheme="majorHAnsi" w:hAnsiTheme="majorHAnsi" w:cstheme="majorHAnsi"/>
                <w:sz w:val="26"/>
                <w:szCs w:val="26"/>
              </w:rPr>
            </w:pPr>
            <w:r>
              <w:rPr>
                <w:rFonts w:asciiTheme="majorHAnsi" w:hAnsiTheme="majorHAnsi" w:cstheme="majorHAnsi"/>
                <w:sz w:val="26"/>
                <w:szCs w:val="26"/>
              </w:rPr>
              <w:t>Trạm Hương Sơn</w:t>
            </w:r>
          </w:p>
        </w:tc>
        <w:tc>
          <w:tcPr>
            <w:tcW w:w="1134" w:type="dxa"/>
            <w:vAlign w:val="center"/>
          </w:tcPr>
          <w:p w14:paraId="2966D61D"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74,1</w:t>
            </w:r>
          </w:p>
        </w:tc>
        <w:tc>
          <w:tcPr>
            <w:tcW w:w="992" w:type="dxa"/>
            <w:vAlign w:val="center"/>
          </w:tcPr>
          <w:p w14:paraId="6930ECC7" w14:textId="77777777" w:rsidR="00085789" w:rsidRDefault="00000000">
            <w:pPr>
              <w:keepNext/>
              <w:keepLines/>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67,3</w:t>
            </w:r>
          </w:p>
        </w:tc>
        <w:tc>
          <w:tcPr>
            <w:tcW w:w="895" w:type="dxa"/>
            <w:vAlign w:val="center"/>
          </w:tcPr>
          <w:p w14:paraId="14F86AC2" w14:textId="77777777" w:rsidR="00085789" w:rsidRDefault="00000000">
            <w:pPr>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57,8</w:t>
            </w:r>
          </w:p>
        </w:tc>
        <w:tc>
          <w:tcPr>
            <w:tcW w:w="996" w:type="dxa"/>
            <w:vAlign w:val="center"/>
          </w:tcPr>
          <w:p w14:paraId="19244D80"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76</w:t>
            </w:r>
          </w:p>
        </w:tc>
        <w:tc>
          <w:tcPr>
            <w:tcW w:w="1790" w:type="dxa"/>
            <w:vAlign w:val="center"/>
          </w:tcPr>
          <w:p w14:paraId="20BDE3BF"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70,3</w:t>
            </w:r>
          </w:p>
        </w:tc>
      </w:tr>
    </w:tbl>
    <w:p w14:paraId="5E44725E" w14:textId="77777777" w:rsidR="00085789" w:rsidRDefault="00000000">
      <w:pPr>
        <w:spacing w:before="120" w:line="240" w:lineRule="auto"/>
        <w:ind w:firstLine="709"/>
        <w:jc w:val="both"/>
        <w:rPr>
          <w:i/>
          <w:iCs/>
          <w:sz w:val="26"/>
          <w:szCs w:val="26"/>
          <w:lang w:val="nl-NL"/>
        </w:rPr>
      </w:pPr>
      <w:r>
        <w:rPr>
          <w:i/>
          <w:iCs/>
          <w:sz w:val="26"/>
          <w:szCs w:val="26"/>
          <w:lang w:val="nl-NL"/>
        </w:rPr>
        <w:t xml:space="preserve">e) Nắng: </w:t>
      </w:r>
    </w:p>
    <w:p w14:paraId="02E47A36" w14:textId="77777777" w:rsidR="00085789" w:rsidRDefault="00000000">
      <w:pPr>
        <w:spacing w:before="120" w:line="240" w:lineRule="auto"/>
        <w:ind w:firstLine="709"/>
        <w:jc w:val="both"/>
        <w:rPr>
          <w:sz w:val="26"/>
          <w:szCs w:val="26"/>
          <w:lang w:val="nl-NL"/>
        </w:rPr>
      </w:pPr>
      <w:r>
        <w:rPr>
          <w:sz w:val="26"/>
          <w:szCs w:val="26"/>
          <w:lang w:val="nl-NL"/>
        </w:rPr>
        <w:t xml:space="preserve">Tổng số giờ nắng trung bình giai đoạn </w:t>
      </w:r>
      <w:r>
        <w:rPr>
          <w:sz w:val="26"/>
          <w:szCs w:val="26"/>
        </w:rPr>
        <w:t xml:space="preserve">2020-2024 </w:t>
      </w:r>
      <w:r>
        <w:rPr>
          <w:sz w:val="26"/>
          <w:szCs w:val="26"/>
          <w:lang w:val="nl-NL"/>
        </w:rPr>
        <w:t>là 1.327-1994 giờ/năm. Trạm Kỳ Anh ghi nhận giá trị giờ nắng cao nhất trong cả giai đoạn, đặc biệt năm 2021 đạt tới 1.994 giờ - mức cao nhất trong toàn bộ chuỗi số liệu. Trạm Hương Khê là nơi có tổng số giờ nắng thấp nhất, chỉ 1.140 giờ vào năm 2022. Tổng số giờ nắng trong các năm từ 2020-2024 được thể hiện ở bảng sau:</w:t>
      </w:r>
    </w:p>
    <w:p w14:paraId="123118FA" w14:textId="77777777" w:rsidR="00085789" w:rsidRDefault="00000000">
      <w:pPr>
        <w:pStyle w:val="-bac4"/>
        <w:spacing w:before="0" w:after="0" w:line="240" w:lineRule="auto"/>
        <w:rPr>
          <w:rFonts w:asciiTheme="majorHAnsi" w:hAnsiTheme="majorHAnsi" w:cstheme="majorHAnsi"/>
          <w:lang w:val="nl-NL"/>
        </w:rPr>
      </w:pPr>
      <w:bookmarkStart w:id="171" w:name="_Toc205915633"/>
      <w:bookmarkStart w:id="172" w:name="_Toc213597333"/>
      <w:bookmarkStart w:id="173" w:name="_Toc213600725"/>
      <w:r>
        <w:rPr>
          <w:lang w:val="nl-NL"/>
        </w:rPr>
        <w:t xml:space="preserve">Bảng 1.5. Tổng số giờ nắng trung bình </w:t>
      </w:r>
      <w:r>
        <w:rPr>
          <w:rFonts w:asciiTheme="majorHAnsi" w:hAnsiTheme="majorHAnsi" w:cstheme="majorHAnsi"/>
          <w:lang w:val="nl-NL"/>
        </w:rPr>
        <w:t>từ năm 2020-2024</w:t>
      </w:r>
      <w:bookmarkEnd w:id="171"/>
      <w:bookmarkEnd w:id="172"/>
      <w:bookmarkEnd w:id="173"/>
    </w:p>
    <w:p w14:paraId="0097DA83" w14:textId="77777777" w:rsidR="00085789" w:rsidRDefault="00000000">
      <w:pPr>
        <w:spacing w:before="40" w:after="40" w:line="264" w:lineRule="auto"/>
        <w:jc w:val="right"/>
        <w:rPr>
          <w:sz w:val="26"/>
          <w:szCs w:val="26"/>
          <w:lang w:val="nl-NL"/>
        </w:rPr>
      </w:pPr>
      <w:r>
        <w:rPr>
          <w:sz w:val="26"/>
          <w:szCs w:val="26"/>
          <w:lang w:val="nl-NL"/>
        </w:rPr>
        <w:t>(đơn vị: giờ)</w:t>
      </w:r>
    </w:p>
    <w:tbl>
      <w:tblPr>
        <w:tblStyle w:val="TableGrid"/>
        <w:tblW w:w="0" w:type="auto"/>
        <w:jc w:val="center"/>
        <w:tblLook w:val="04A0" w:firstRow="1" w:lastRow="0" w:firstColumn="1" w:lastColumn="0" w:noHBand="0" w:noVBand="1"/>
      </w:tblPr>
      <w:tblGrid>
        <w:gridCol w:w="2817"/>
        <w:gridCol w:w="1036"/>
        <w:gridCol w:w="1073"/>
        <w:gridCol w:w="1067"/>
        <w:gridCol w:w="996"/>
        <w:gridCol w:w="996"/>
      </w:tblGrid>
      <w:tr w:rsidR="00085789" w14:paraId="3B659308" w14:textId="77777777">
        <w:trPr>
          <w:trHeight w:val="926"/>
          <w:tblHeader/>
          <w:jc w:val="center"/>
        </w:trPr>
        <w:tc>
          <w:tcPr>
            <w:tcW w:w="2817" w:type="dxa"/>
            <w:tcBorders>
              <w:tl2br w:val="single" w:sz="4" w:space="0" w:color="auto"/>
            </w:tcBorders>
            <w:vAlign w:val="center"/>
          </w:tcPr>
          <w:p w14:paraId="5CA673BC" w14:textId="77777777" w:rsidR="00085789" w:rsidRDefault="00000000">
            <w:pPr>
              <w:spacing w:line="360" w:lineRule="exact"/>
              <w:jc w:val="center"/>
              <w:rPr>
                <w:rFonts w:asciiTheme="majorHAnsi" w:hAnsiTheme="majorHAnsi" w:cstheme="majorHAnsi"/>
                <w:b/>
                <w:sz w:val="26"/>
                <w:szCs w:val="26"/>
              </w:rPr>
            </w:pPr>
            <w:r>
              <w:rPr>
                <w:rFonts w:asciiTheme="majorHAnsi" w:hAnsiTheme="majorHAnsi" w:cstheme="majorHAnsi"/>
                <w:b/>
                <w:sz w:val="26"/>
                <w:szCs w:val="26"/>
              </w:rPr>
              <w:t xml:space="preserve">                       Năm</w:t>
            </w:r>
          </w:p>
          <w:p w14:paraId="78B2CA36"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b/>
                <w:sz w:val="26"/>
                <w:szCs w:val="26"/>
              </w:rPr>
              <w:t>Trạm khí tượng</w:t>
            </w:r>
          </w:p>
        </w:tc>
        <w:tc>
          <w:tcPr>
            <w:tcW w:w="1036" w:type="dxa"/>
            <w:vAlign w:val="center"/>
          </w:tcPr>
          <w:p w14:paraId="7E0479E4"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2020</w:t>
            </w:r>
          </w:p>
        </w:tc>
        <w:tc>
          <w:tcPr>
            <w:tcW w:w="1073" w:type="dxa"/>
            <w:vAlign w:val="center"/>
          </w:tcPr>
          <w:p w14:paraId="0CC51ED6"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2021</w:t>
            </w:r>
          </w:p>
        </w:tc>
        <w:tc>
          <w:tcPr>
            <w:tcW w:w="1067" w:type="dxa"/>
            <w:vAlign w:val="center"/>
          </w:tcPr>
          <w:p w14:paraId="013CA6BA"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2022</w:t>
            </w:r>
          </w:p>
        </w:tc>
        <w:tc>
          <w:tcPr>
            <w:tcW w:w="996" w:type="dxa"/>
            <w:vAlign w:val="center"/>
          </w:tcPr>
          <w:p w14:paraId="0ED4DCC7"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2023</w:t>
            </w:r>
          </w:p>
        </w:tc>
        <w:tc>
          <w:tcPr>
            <w:tcW w:w="996" w:type="dxa"/>
            <w:vAlign w:val="center"/>
          </w:tcPr>
          <w:p w14:paraId="17268268" w14:textId="77777777" w:rsidR="00085789" w:rsidRDefault="00000000">
            <w:pPr>
              <w:widowControl w:val="0"/>
              <w:spacing w:line="312" w:lineRule="auto"/>
              <w:jc w:val="center"/>
              <w:rPr>
                <w:rFonts w:asciiTheme="majorHAnsi" w:hAnsiTheme="majorHAnsi" w:cstheme="majorHAnsi"/>
                <w:b/>
                <w:bCs/>
                <w:iCs/>
                <w:sz w:val="26"/>
                <w:szCs w:val="26"/>
              </w:rPr>
            </w:pPr>
            <w:r>
              <w:rPr>
                <w:rFonts w:asciiTheme="majorHAnsi" w:hAnsiTheme="majorHAnsi" w:cstheme="majorHAnsi"/>
                <w:b/>
                <w:bCs/>
                <w:iCs/>
                <w:sz w:val="26"/>
                <w:szCs w:val="26"/>
              </w:rPr>
              <w:t>2024</w:t>
            </w:r>
          </w:p>
        </w:tc>
      </w:tr>
      <w:tr w:rsidR="00085789" w14:paraId="5C5C2196" w14:textId="77777777">
        <w:trPr>
          <w:jc w:val="center"/>
        </w:trPr>
        <w:tc>
          <w:tcPr>
            <w:tcW w:w="2817" w:type="dxa"/>
            <w:vAlign w:val="center"/>
          </w:tcPr>
          <w:p w14:paraId="42C6616D"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Hà Tĩnh</w:t>
            </w:r>
          </w:p>
        </w:tc>
        <w:tc>
          <w:tcPr>
            <w:tcW w:w="1036" w:type="dxa"/>
            <w:vAlign w:val="center"/>
          </w:tcPr>
          <w:p w14:paraId="4F9467B7" w14:textId="77777777" w:rsidR="00085789" w:rsidRDefault="00000000">
            <w:pPr>
              <w:widowControl w:val="0"/>
              <w:spacing w:line="240" w:lineRule="auto"/>
              <w:jc w:val="center"/>
              <w:rPr>
                <w:rFonts w:asciiTheme="majorHAnsi" w:hAnsiTheme="majorHAnsi" w:cstheme="majorHAnsi"/>
                <w:sz w:val="26"/>
                <w:szCs w:val="26"/>
              </w:rPr>
            </w:pPr>
            <w:r>
              <w:rPr>
                <w:rFonts w:asciiTheme="majorHAnsi" w:hAnsiTheme="majorHAnsi" w:cstheme="majorHAnsi"/>
                <w:sz w:val="26"/>
                <w:szCs w:val="26"/>
              </w:rPr>
              <w:t>1.550</w:t>
            </w:r>
          </w:p>
        </w:tc>
        <w:tc>
          <w:tcPr>
            <w:tcW w:w="1073" w:type="dxa"/>
            <w:vAlign w:val="center"/>
          </w:tcPr>
          <w:p w14:paraId="0B5BBE83" w14:textId="77777777" w:rsidR="00085789" w:rsidRDefault="00000000">
            <w:pPr>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1.715</w:t>
            </w:r>
          </w:p>
        </w:tc>
        <w:tc>
          <w:tcPr>
            <w:tcW w:w="1067" w:type="dxa"/>
            <w:vAlign w:val="center"/>
          </w:tcPr>
          <w:p w14:paraId="59A851B3"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1.636,2</w:t>
            </w:r>
          </w:p>
        </w:tc>
        <w:tc>
          <w:tcPr>
            <w:tcW w:w="996" w:type="dxa"/>
            <w:vAlign w:val="center"/>
          </w:tcPr>
          <w:p w14:paraId="29531D04"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1.750</w:t>
            </w:r>
          </w:p>
        </w:tc>
        <w:tc>
          <w:tcPr>
            <w:tcW w:w="996" w:type="dxa"/>
            <w:vAlign w:val="center"/>
          </w:tcPr>
          <w:p w14:paraId="748CE5E3"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1.656,1</w:t>
            </w:r>
          </w:p>
        </w:tc>
      </w:tr>
      <w:tr w:rsidR="00085789" w14:paraId="013C1233" w14:textId="77777777">
        <w:trPr>
          <w:jc w:val="center"/>
        </w:trPr>
        <w:tc>
          <w:tcPr>
            <w:tcW w:w="2817" w:type="dxa"/>
            <w:vAlign w:val="center"/>
          </w:tcPr>
          <w:p w14:paraId="55815587"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Hương Khê</w:t>
            </w:r>
          </w:p>
        </w:tc>
        <w:tc>
          <w:tcPr>
            <w:tcW w:w="1036" w:type="dxa"/>
            <w:vAlign w:val="center"/>
          </w:tcPr>
          <w:p w14:paraId="5DBAF44F"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1.327</w:t>
            </w:r>
          </w:p>
        </w:tc>
        <w:tc>
          <w:tcPr>
            <w:tcW w:w="1073" w:type="dxa"/>
            <w:vAlign w:val="center"/>
          </w:tcPr>
          <w:p w14:paraId="683B537D"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1.410</w:t>
            </w:r>
          </w:p>
        </w:tc>
        <w:tc>
          <w:tcPr>
            <w:tcW w:w="1067" w:type="dxa"/>
            <w:vAlign w:val="center"/>
          </w:tcPr>
          <w:p w14:paraId="46FEC59D"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1.462,9</w:t>
            </w:r>
          </w:p>
        </w:tc>
        <w:tc>
          <w:tcPr>
            <w:tcW w:w="996" w:type="dxa"/>
            <w:vAlign w:val="center"/>
          </w:tcPr>
          <w:p w14:paraId="36F004C2"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1.431</w:t>
            </w:r>
          </w:p>
        </w:tc>
        <w:tc>
          <w:tcPr>
            <w:tcW w:w="996" w:type="dxa"/>
            <w:vAlign w:val="center"/>
          </w:tcPr>
          <w:p w14:paraId="30F34F75" w14:textId="77777777" w:rsidR="00085789" w:rsidRDefault="00000000">
            <w:pPr>
              <w:widowControl w:val="0"/>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1.382,1</w:t>
            </w:r>
          </w:p>
        </w:tc>
      </w:tr>
      <w:tr w:rsidR="00085789" w14:paraId="75441D0C" w14:textId="77777777">
        <w:trPr>
          <w:jc w:val="center"/>
        </w:trPr>
        <w:tc>
          <w:tcPr>
            <w:tcW w:w="2817" w:type="dxa"/>
            <w:vAlign w:val="center"/>
          </w:tcPr>
          <w:p w14:paraId="7892E812"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Kỳ Anh</w:t>
            </w:r>
          </w:p>
        </w:tc>
        <w:tc>
          <w:tcPr>
            <w:tcW w:w="1036" w:type="dxa"/>
            <w:vAlign w:val="center"/>
          </w:tcPr>
          <w:p w14:paraId="36DDE790"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pacing w:val="-6"/>
                <w:sz w:val="26"/>
                <w:szCs w:val="26"/>
              </w:rPr>
              <w:t>1.762</w:t>
            </w:r>
          </w:p>
        </w:tc>
        <w:tc>
          <w:tcPr>
            <w:tcW w:w="1073" w:type="dxa"/>
            <w:vAlign w:val="center"/>
          </w:tcPr>
          <w:p w14:paraId="7A09496A"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1.994</w:t>
            </w:r>
          </w:p>
        </w:tc>
        <w:tc>
          <w:tcPr>
            <w:tcW w:w="1067" w:type="dxa"/>
            <w:vAlign w:val="center"/>
          </w:tcPr>
          <w:p w14:paraId="515259FF"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1.158,8</w:t>
            </w:r>
          </w:p>
        </w:tc>
        <w:tc>
          <w:tcPr>
            <w:tcW w:w="996" w:type="dxa"/>
            <w:vAlign w:val="center"/>
          </w:tcPr>
          <w:p w14:paraId="5F537A74"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1.823</w:t>
            </w:r>
          </w:p>
        </w:tc>
        <w:tc>
          <w:tcPr>
            <w:tcW w:w="996" w:type="dxa"/>
            <w:vAlign w:val="center"/>
          </w:tcPr>
          <w:p w14:paraId="208DA6C8" w14:textId="77777777" w:rsidR="00085789" w:rsidRDefault="00000000">
            <w:pPr>
              <w:spacing w:line="240" w:lineRule="auto"/>
              <w:jc w:val="center"/>
              <w:rPr>
                <w:rFonts w:asciiTheme="majorHAnsi" w:hAnsiTheme="majorHAnsi" w:cstheme="majorHAnsi"/>
                <w:sz w:val="26"/>
                <w:szCs w:val="26"/>
              </w:rPr>
            </w:pPr>
            <w:r>
              <w:rPr>
                <w:rFonts w:asciiTheme="majorHAnsi" w:hAnsiTheme="majorHAnsi" w:cstheme="majorHAnsi"/>
                <w:sz w:val="26"/>
                <w:szCs w:val="26"/>
              </w:rPr>
              <w:t>1.855</w:t>
            </w:r>
          </w:p>
        </w:tc>
      </w:tr>
      <w:tr w:rsidR="00085789" w14:paraId="06836041" w14:textId="77777777">
        <w:trPr>
          <w:jc w:val="center"/>
        </w:trPr>
        <w:tc>
          <w:tcPr>
            <w:tcW w:w="2817" w:type="dxa"/>
            <w:vAlign w:val="center"/>
          </w:tcPr>
          <w:p w14:paraId="511B3FC2" w14:textId="77777777" w:rsidR="00085789" w:rsidRDefault="00000000">
            <w:pPr>
              <w:spacing w:line="360" w:lineRule="exact"/>
              <w:rPr>
                <w:rFonts w:asciiTheme="majorHAnsi" w:hAnsiTheme="majorHAnsi" w:cstheme="majorHAnsi"/>
                <w:sz w:val="26"/>
                <w:szCs w:val="26"/>
              </w:rPr>
            </w:pPr>
            <w:r>
              <w:rPr>
                <w:rFonts w:asciiTheme="majorHAnsi" w:hAnsiTheme="majorHAnsi" w:cstheme="majorHAnsi"/>
                <w:sz w:val="26"/>
                <w:szCs w:val="26"/>
              </w:rPr>
              <w:t>Trạm Hương Sơn</w:t>
            </w:r>
          </w:p>
        </w:tc>
        <w:tc>
          <w:tcPr>
            <w:tcW w:w="1036" w:type="dxa"/>
            <w:vAlign w:val="center"/>
          </w:tcPr>
          <w:p w14:paraId="1D69CC9F" w14:textId="77777777" w:rsidR="00085789" w:rsidRDefault="00000000">
            <w:pPr>
              <w:jc w:val="center"/>
              <w:rPr>
                <w:rFonts w:asciiTheme="majorHAnsi" w:hAnsiTheme="majorHAnsi" w:cstheme="majorHAnsi"/>
                <w:sz w:val="26"/>
                <w:szCs w:val="26"/>
              </w:rPr>
            </w:pPr>
            <w:r>
              <w:rPr>
                <w:rFonts w:asciiTheme="majorHAnsi" w:hAnsiTheme="majorHAnsi" w:cstheme="majorHAnsi"/>
                <w:sz w:val="26"/>
                <w:szCs w:val="26"/>
              </w:rPr>
              <w:t>1.382</w:t>
            </w:r>
          </w:p>
        </w:tc>
        <w:tc>
          <w:tcPr>
            <w:tcW w:w="1073" w:type="dxa"/>
            <w:vAlign w:val="center"/>
          </w:tcPr>
          <w:p w14:paraId="7EDBACC0" w14:textId="77777777" w:rsidR="00085789" w:rsidRDefault="00000000">
            <w:pPr>
              <w:keepNext/>
              <w:keepLines/>
              <w:widowControl w:val="0"/>
              <w:spacing w:line="240" w:lineRule="auto"/>
              <w:jc w:val="center"/>
              <w:rPr>
                <w:rFonts w:asciiTheme="majorHAnsi" w:hAnsiTheme="majorHAnsi" w:cstheme="majorHAnsi"/>
                <w:bCs/>
                <w:iCs/>
                <w:sz w:val="26"/>
                <w:szCs w:val="26"/>
              </w:rPr>
            </w:pPr>
            <w:r>
              <w:rPr>
                <w:rFonts w:asciiTheme="majorHAnsi" w:hAnsiTheme="majorHAnsi" w:cstheme="majorHAnsi"/>
                <w:bCs/>
                <w:iCs/>
                <w:sz w:val="26"/>
                <w:szCs w:val="26"/>
              </w:rPr>
              <w:t>1.365</w:t>
            </w:r>
          </w:p>
        </w:tc>
        <w:tc>
          <w:tcPr>
            <w:tcW w:w="1067" w:type="dxa"/>
            <w:vAlign w:val="center"/>
          </w:tcPr>
          <w:p w14:paraId="4C7F3C68" w14:textId="77777777" w:rsidR="00085789" w:rsidRDefault="00000000">
            <w:pPr>
              <w:spacing w:line="240" w:lineRule="auto"/>
              <w:jc w:val="center"/>
              <w:rPr>
                <w:rFonts w:asciiTheme="majorHAnsi" w:hAnsiTheme="majorHAnsi" w:cstheme="majorHAnsi"/>
                <w:spacing w:val="-6"/>
                <w:sz w:val="26"/>
                <w:szCs w:val="26"/>
              </w:rPr>
            </w:pPr>
            <w:r>
              <w:rPr>
                <w:rFonts w:asciiTheme="majorHAnsi" w:hAnsiTheme="majorHAnsi" w:cstheme="majorHAnsi"/>
                <w:spacing w:val="-6"/>
                <w:sz w:val="26"/>
                <w:szCs w:val="26"/>
              </w:rPr>
              <w:t>1.390</w:t>
            </w:r>
          </w:p>
        </w:tc>
        <w:tc>
          <w:tcPr>
            <w:tcW w:w="996" w:type="dxa"/>
            <w:vAlign w:val="center"/>
          </w:tcPr>
          <w:p w14:paraId="483D48F5"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1.549</w:t>
            </w:r>
          </w:p>
        </w:tc>
        <w:tc>
          <w:tcPr>
            <w:tcW w:w="996" w:type="dxa"/>
            <w:vAlign w:val="center"/>
          </w:tcPr>
          <w:p w14:paraId="7224BD69" w14:textId="77777777" w:rsidR="00085789" w:rsidRDefault="00000000">
            <w:pPr>
              <w:widowControl w:val="0"/>
              <w:spacing w:line="240" w:lineRule="auto"/>
              <w:jc w:val="center"/>
              <w:rPr>
                <w:rFonts w:asciiTheme="majorHAnsi" w:eastAsia="Calibri" w:hAnsiTheme="majorHAnsi" w:cstheme="majorHAnsi"/>
                <w:sz w:val="26"/>
                <w:szCs w:val="26"/>
              </w:rPr>
            </w:pPr>
            <w:r>
              <w:rPr>
                <w:rFonts w:asciiTheme="majorHAnsi" w:eastAsia="Calibri" w:hAnsiTheme="majorHAnsi" w:cstheme="majorHAnsi"/>
                <w:sz w:val="26"/>
                <w:szCs w:val="26"/>
              </w:rPr>
              <w:t>1.499,5</w:t>
            </w:r>
          </w:p>
        </w:tc>
      </w:tr>
    </w:tbl>
    <w:p w14:paraId="791061DF" w14:textId="77777777" w:rsidR="00085789" w:rsidRDefault="00000000">
      <w:pPr>
        <w:pStyle w:val="bac2"/>
        <w:rPr>
          <w:smallCaps/>
        </w:rPr>
      </w:pPr>
      <w:bookmarkStart w:id="174" w:name="_Toc107203275"/>
      <w:bookmarkStart w:id="175" w:name="_Toc107559649"/>
      <w:bookmarkStart w:id="176" w:name="_Toc116907908"/>
      <w:bookmarkStart w:id="177" w:name="_Toc138977207"/>
      <w:bookmarkStart w:id="178" w:name="_Toc142915240"/>
      <w:bookmarkStart w:id="179" w:name="_Toc142919475"/>
      <w:bookmarkStart w:id="180" w:name="_Toc181861324"/>
      <w:bookmarkStart w:id="181" w:name="_Toc181861935"/>
      <w:bookmarkStart w:id="182" w:name="_Toc193957567"/>
      <w:bookmarkStart w:id="183" w:name="_Toc214311201"/>
      <w:bookmarkEnd w:id="133"/>
      <w:bookmarkEnd w:id="134"/>
      <w:bookmarkEnd w:id="135"/>
      <w:r>
        <w:lastRenderedPageBreak/>
        <w:t xml:space="preserve">1.1.4. </w:t>
      </w:r>
      <w:bookmarkEnd w:id="174"/>
      <w:bookmarkEnd w:id="175"/>
      <w:bookmarkEnd w:id="176"/>
      <w:bookmarkEnd w:id="177"/>
      <w:bookmarkEnd w:id="178"/>
      <w:bookmarkEnd w:id="179"/>
      <w:bookmarkEnd w:id="180"/>
      <w:bookmarkEnd w:id="181"/>
      <w:bookmarkEnd w:id="182"/>
      <w:r>
        <w:t>Đặc điểm thuỷ văn</w:t>
      </w:r>
      <w:bookmarkEnd w:id="183"/>
    </w:p>
    <w:p w14:paraId="04879410" w14:textId="77777777" w:rsidR="00085789" w:rsidRDefault="00000000">
      <w:pPr>
        <w:spacing w:before="120" w:line="240" w:lineRule="auto"/>
        <w:ind w:firstLine="709"/>
        <w:rPr>
          <w:i/>
          <w:sz w:val="26"/>
          <w:szCs w:val="26"/>
        </w:rPr>
      </w:pPr>
      <w:r>
        <w:rPr>
          <w:i/>
          <w:sz w:val="26"/>
          <w:szCs w:val="26"/>
        </w:rPr>
        <w:t>a)</w:t>
      </w:r>
      <w:r>
        <w:rPr>
          <w:i/>
          <w:sz w:val="26"/>
          <w:szCs w:val="26"/>
          <w:lang w:val="vi-VN"/>
        </w:rPr>
        <w:t xml:space="preserve"> Hệ thống sông ngòi</w:t>
      </w:r>
    </w:p>
    <w:p w14:paraId="6047DA97" w14:textId="77777777" w:rsidR="00085789" w:rsidRDefault="00000000">
      <w:pPr>
        <w:widowControl w:val="0"/>
        <w:spacing w:before="120" w:line="240" w:lineRule="auto"/>
        <w:ind w:firstLine="709"/>
        <w:jc w:val="both"/>
        <w:rPr>
          <w:spacing w:val="-4"/>
          <w:sz w:val="26"/>
          <w:szCs w:val="26"/>
          <w:lang w:val="vi-VN"/>
        </w:rPr>
      </w:pPr>
      <w:r>
        <w:rPr>
          <w:spacing w:val="-4"/>
          <w:sz w:val="26"/>
          <w:szCs w:val="26"/>
          <w:lang w:val="vi-VN"/>
        </w:rPr>
        <w:t>Hà Tĩnh có hệ thống sông ngòi khá dày đặc, nhưng có đặc điểm chung là chiều dài ngắn, lưu vực nhỏ, tốc độ dòng chảy lớn, nhất là về mùa mưa lũ. Sự phân bố dòng chảy đối với sông, suối ở Hà Tĩnh theo mùa rõ rệt, hầu hết các con sông đều chịu ảnh hưởng của mưa lũ ở thượng nguồn, những vùng thấp trũng ở hạ lưu thường bị nhiễm mặn do chế độ thủy văn.</w:t>
      </w:r>
    </w:p>
    <w:p w14:paraId="3F99B636" w14:textId="77777777" w:rsidR="00085789" w:rsidRDefault="00000000">
      <w:pPr>
        <w:widowControl w:val="0"/>
        <w:spacing w:before="120" w:line="240" w:lineRule="auto"/>
        <w:ind w:firstLine="709"/>
        <w:jc w:val="both"/>
        <w:rPr>
          <w:sz w:val="26"/>
          <w:szCs w:val="26"/>
          <w:lang w:val="vi-VN"/>
        </w:rPr>
      </w:pPr>
      <w:r>
        <w:rPr>
          <w:spacing w:val="-2"/>
          <w:sz w:val="26"/>
          <w:szCs w:val="26"/>
          <w:lang w:val="vi-VN"/>
        </w:rPr>
        <w:t>Toàn tỉnh có trên 30 con sông lớn nhỏ với tổng chiều dài trên 400</w:t>
      </w:r>
      <w:r>
        <w:rPr>
          <w:spacing w:val="-2"/>
          <w:sz w:val="26"/>
          <w:szCs w:val="26"/>
        </w:rPr>
        <w:t xml:space="preserve"> </w:t>
      </w:r>
      <w:r>
        <w:rPr>
          <w:spacing w:val="-2"/>
          <w:sz w:val="26"/>
          <w:szCs w:val="26"/>
          <w:lang w:val="vi-VN"/>
        </w:rPr>
        <w:t>km, trữ lượng khoảng (9 - 10) tỷ m</w:t>
      </w:r>
      <w:r>
        <w:rPr>
          <w:spacing w:val="-2"/>
          <w:sz w:val="26"/>
          <w:szCs w:val="26"/>
          <w:vertAlign w:val="superscript"/>
          <w:lang w:val="vi-VN"/>
        </w:rPr>
        <w:t>3</w:t>
      </w:r>
      <w:r>
        <w:rPr>
          <w:spacing w:val="-2"/>
          <w:sz w:val="26"/>
          <w:szCs w:val="26"/>
          <w:lang w:val="vi-VN"/>
        </w:rPr>
        <w:t>/năm. Tổng lưu vực của các con sông khoảng 5.924</w:t>
      </w:r>
      <w:r>
        <w:rPr>
          <w:spacing w:val="-2"/>
          <w:sz w:val="26"/>
          <w:szCs w:val="26"/>
        </w:rPr>
        <w:t xml:space="preserve"> </w:t>
      </w:r>
      <w:r>
        <w:rPr>
          <w:spacing w:val="-2"/>
          <w:sz w:val="26"/>
          <w:szCs w:val="26"/>
          <w:lang w:val="vi-VN"/>
        </w:rPr>
        <w:t>km</w:t>
      </w:r>
      <w:r>
        <w:rPr>
          <w:spacing w:val="-2"/>
          <w:sz w:val="26"/>
          <w:szCs w:val="26"/>
          <w:vertAlign w:val="superscript"/>
          <w:lang w:val="vi-VN"/>
        </w:rPr>
        <w:t>2</w:t>
      </w:r>
      <w:r>
        <w:rPr>
          <w:spacing w:val="-2"/>
          <w:sz w:val="26"/>
          <w:szCs w:val="26"/>
          <w:lang w:val="vi-VN"/>
        </w:rPr>
        <w:t>, trong đó</w:t>
      </w:r>
      <w:r>
        <w:rPr>
          <w:spacing w:val="-2"/>
          <w:sz w:val="26"/>
          <w:szCs w:val="26"/>
        </w:rPr>
        <w:t>:</w:t>
      </w:r>
      <w:r>
        <w:rPr>
          <w:spacing w:val="-2"/>
          <w:sz w:val="26"/>
          <w:szCs w:val="26"/>
          <w:lang w:val="vi-VN"/>
        </w:rPr>
        <w:t xml:space="preserve"> Sông La do 02 con sông Ngàn Sâu và sông Ngàn Phố hợp thành với diện tích lưu vực 3.221</w:t>
      </w:r>
      <w:r>
        <w:rPr>
          <w:spacing w:val="-2"/>
          <w:sz w:val="26"/>
          <w:szCs w:val="26"/>
        </w:rPr>
        <w:t xml:space="preserve"> </w:t>
      </w:r>
      <w:r>
        <w:rPr>
          <w:spacing w:val="-2"/>
          <w:sz w:val="26"/>
          <w:szCs w:val="26"/>
          <w:lang w:val="vi-VN"/>
        </w:rPr>
        <w:t>km</w:t>
      </w:r>
      <w:r>
        <w:rPr>
          <w:spacing w:val="-2"/>
          <w:sz w:val="26"/>
          <w:szCs w:val="26"/>
          <w:vertAlign w:val="superscript"/>
          <w:lang w:val="vi-VN"/>
        </w:rPr>
        <w:t>2</w:t>
      </w:r>
      <w:r>
        <w:rPr>
          <w:spacing w:val="-2"/>
          <w:sz w:val="26"/>
          <w:szCs w:val="26"/>
        </w:rPr>
        <w:t>,</w:t>
      </w:r>
      <w:r>
        <w:rPr>
          <w:spacing w:val="-2"/>
          <w:sz w:val="26"/>
          <w:szCs w:val="26"/>
          <w:lang w:val="vi-VN"/>
        </w:rPr>
        <w:t xml:space="preserve"> </w:t>
      </w:r>
      <w:r>
        <w:rPr>
          <w:spacing w:val="-2"/>
          <w:sz w:val="26"/>
          <w:szCs w:val="26"/>
        </w:rPr>
        <w:t>s</w:t>
      </w:r>
      <w:r>
        <w:rPr>
          <w:spacing w:val="-2"/>
          <w:sz w:val="26"/>
          <w:szCs w:val="26"/>
          <w:lang w:val="vi-VN"/>
        </w:rPr>
        <w:t>ông Cửa Sót là hợp lưu của Sông Nghèn và sông Rào Cái với diện tích lưu vực 1.349 km</w:t>
      </w:r>
      <w:r>
        <w:rPr>
          <w:spacing w:val="-2"/>
          <w:sz w:val="26"/>
          <w:szCs w:val="26"/>
          <w:vertAlign w:val="superscript"/>
          <w:lang w:val="vi-VN"/>
        </w:rPr>
        <w:t>2</w:t>
      </w:r>
      <w:r>
        <w:rPr>
          <w:spacing w:val="-2"/>
          <w:sz w:val="26"/>
          <w:szCs w:val="26"/>
        </w:rPr>
        <w:t>,</w:t>
      </w:r>
      <w:r>
        <w:rPr>
          <w:spacing w:val="-2"/>
          <w:sz w:val="26"/>
          <w:szCs w:val="26"/>
          <w:lang w:val="vi-VN"/>
        </w:rPr>
        <w:t xml:space="preserve"> </w:t>
      </w:r>
      <w:r>
        <w:rPr>
          <w:spacing w:val="-2"/>
          <w:sz w:val="26"/>
          <w:szCs w:val="26"/>
        </w:rPr>
        <w:t>s</w:t>
      </w:r>
      <w:r>
        <w:rPr>
          <w:spacing w:val="-2"/>
          <w:sz w:val="26"/>
          <w:szCs w:val="26"/>
          <w:lang w:val="vi-VN"/>
        </w:rPr>
        <w:t>ông Cửa Nhượng là hợp lưu của sông Gia Hội và sông Rác có diện tích lưu vực 356 km</w:t>
      </w:r>
      <w:r>
        <w:rPr>
          <w:spacing w:val="-2"/>
          <w:sz w:val="26"/>
          <w:szCs w:val="26"/>
          <w:vertAlign w:val="superscript"/>
          <w:lang w:val="vi-VN"/>
        </w:rPr>
        <w:t>2</w:t>
      </w:r>
      <w:r>
        <w:rPr>
          <w:spacing w:val="-2"/>
          <w:sz w:val="26"/>
          <w:szCs w:val="26"/>
        </w:rPr>
        <w:t>,</w:t>
      </w:r>
      <w:r>
        <w:rPr>
          <w:spacing w:val="-2"/>
          <w:sz w:val="26"/>
          <w:szCs w:val="26"/>
          <w:lang w:val="vi-VN"/>
        </w:rPr>
        <w:t xml:space="preserve"> </w:t>
      </w:r>
      <w:r>
        <w:rPr>
          <w:spacing w:val="-2"/>
          <w:sz w:val="26"/>
          <w:szCs w:val="26"/>
        </w:rPr>
        <w:t>s</w:t>
      </w:r>
      <w:r>
        <w:rPr>
          <w:spacing w:val="-2"/>
          <w:sz w:val="26"/>
          <w:szCs w:val="26"/>
          <w:lang w:val="vi-VN"/>
        </w:rPr>
        <w:t>ông Cửa Khẩu là hợp lưu của sông Quyền và sông Vịnh với diện tích lưu vực 510 km</w:t>
      </w:r>
      <w:r>
        <w:rPr>
          <w:spacing w:val="-2"/>
          <w:sz w:val="26"/>
          <w:szCs w:val="26"/>
          <w:vertAlign w:val="superscript"/>
          <w:lang w:val="vi-VN"/>
        </w:rPr>
        <w:t>2</w:t>
      </w:r>
      <w:r>
        <w:rPr>
          <w:spacing w:val="-2"/>
          <w:sz w:val="26"/>
          <w:szCs w:val="26"/>
        </w:rPr>
        <w:t>,</w:t>
      </w:r>
      <w:r>
        <w:rPr>
          <w:spacing w:val="-2"/>
          <w:sz w:val="26"/>
          <w:szCs w:val="26"/>
          <w:lang w:val="vi-VN"/>
        </w:rPr>
        <w:t xml:space="preserve"> </w:t>
      </w:r>
      <w:r>
        <w:rPr>
          <w:spacing w:val="-2"/>
          <w:sz w:val="26"/>
          <w:szCs w:val="26"/>
        </w:rPr>
        <w:t>s</w:t>
      </w:r>
      <w:r>
        <w:rPr>
          <w:spacing w:val="-2"/>
          <w:sz w:val="26"/>
          <w:szCs w:val="26"/>
          <w:lang w:val="vi-VN"/>
        </w:rPr>
        <w:t>ông Rào Trổ có lưu vực bao gồm các xã Kỳ Văn, Kỳ Hoa, Kỳ Lạc, Kỳ Thượng, tỉnh Hà Tĩnh và xã Tuyên Bình, Phong Hoá thuộc tỉnh Quảng Trị (tỉnh Quảng Bình trước sá</w:t>
      </w:r>
      <w:r>
        <w:rPr>
          <w:spacing w:val="-2"/>
          <w:sz w:val="26"/>
          <w:szCs w:val="26"/>
        </w:rPr>
        <w:t>p</w:t>
      </w:r>
      <w:r>
        <w:rPr>
          <w:spacing w:val="-2"/>
          <w:sz w:val="26"/>
          <w:szCs w:val="26"/>
          <w:lang w:val="vi-VN"/>
        </w:rPr>
        <w:t xml:space="preserve"> nhập)</w:t>
      </w:r>
      <w:r>
        <w:rPr>
          <w:spacing w:val="-2"/>
          <w:sz w:val="26"/>
          <w:szCs w:val="26"/>
        </w:rPr>
        <w:t>, s</w:t>
      </w:r>
      <w:r>
        <w:rPr>
          <w:spacing w:val="-2"/>
          <w:sz w:val="26"/>
          <w:szCs w:val="26"/>
          <w:lang w:val="vi-VN"/>
        </w:rPr>
        <w:t>ông Rào Trổ có chiều dài hơn 60 km với diện tích lưu vực 556 km</w:t>
      </w:r>
      <w:r>
        <w:rPr>
          <w:spacing w:val="-2"/>
          <w:sz w:val="26"/>
          <w:szCs w:val="26"/>
          <w:vertAlign w:val="superscript"/>
          <w:lang w:val="vi-VN"/>
        </w:rPr>
        <w:t>2</w:t>
      </w:r>
      <w:r>
        <w:rPr>
          <w:spacing w:val="-2"/>
          <w:sz w:val="26"/>
          <w:szCs w:val="26"/>
          <w:lang w:val="vi-VN"/>
        </w:rPr>
        <w:t>, phần đi qua đất Hà Tĩnh có chiều dài 54 km, với diện tích lưu vực là 488 km</w:t>
      </w:r>
      <w:r>
        <w:rPr>
          <w:spacing w:val="-2"/>
          <w:sz w:val="26"/>
          <w:szCs w:val="26"/>
          <w:vertAlign w:val="superscript"/>
          <w:lang w:val="vi-VN"/>
        </w:rPr>
        <w:t>2</w:t>
      </w:r>
      <w:r>
        <w:rPr>
          <w:spacing w:val="-2"/>
          <w:sz w:val="26"/>
          <w:szCs w:val="26"/>
        </w:rPr>
        <w:t>,</w:t>
      </w:r>
      <w:r>
        <w:rPr>
          <w:spacing w:val="-2"/>
          <w:sz w:val="26"/>
          <w:szCs w:val="26"/>
          <w:lang w:val="vi-VN"/>
        </w:rPr>
        <w:t xml:space="preserve"> </w:t>
      </w:r>
      <w:r>
        <w:rPr>
          <w:spacing w:val="-2"/>
          <w:sz w:val="26"/>
          <w:szCs w:val="26"/>
        </w:rPr>
        <w:t>s</w:t>
      </w:r>
      <w:r>
        <w:rPr>
          <w:spacing w:val="-2"/>
          <w:sz w:val="26"/>
          <w:szCs w:val="26"/>
          <w:lang w:val="vi-VN"/>
        </w:rPr>
        <w:t>ông Rào Trổ đổ vào sông Nguồn Nậy tại xã Phong Hoá, trước khi hợp lưu với sông Gianh, tỉnh Quảng Bình</w:t>
      </w:r>
      <w:r>
        <w:rPr>
          <w:sz w:val="26"/>
          <w:szCs w:val="26"/>
          <w:lang w:val="vi-VN"/>
        </w:rPr>
        <w:t xml:space="preserve">. </w:t>
      </w:r>
    </w:p>
    <w:p w14:paraId="06F009EA" w14:textId="77777777" w:rsidR="00085789" w:rsidRDefault="00000000">
      <w:pPr>
        <w:spacing w:before="120" w:line="240" w:lineRule="auto"/>
        <w:ind w:firstLine="709"/>
        <w:jc w:val="both"/>
        <w:rPr>
          <w:spacing w:val="-4"/>
          <w:sz w:val="26"/>
          <w:szCs w:val="26"/>
          <w:lang w:val="vi-VN"/>
        </w:rPr>
      </w:pPr>
      <w:r>
        <w:rPr>
          <w:spacing w:val="-4"/>
          <w:sz w:val="26"/>
          <w:szCs w:val="26"/>
          <w:lang w:val="vi-VN"/>
        </w:rPr>
        <w:t>Các con sông ở Hà Tĩnh là nguồn cung cấp nước phục vụ nhu cầu sinh hoạt và các hoạt động phát triển KT-XH và có ý nghĩa quan trọng trong việc tiêu thoát lũ về mùa mưa lũ.</w:t>
      </w:r>
    </w:p>
    <w:p w14:paraId="41B916BF" w14:textId="77777777" w:rsidR="00085789" w:rsidRDefault="00000000">
      <w:pPr>
        <w:pStyle w:val="Hd2-hinh"/>
        <w:spacing w:before="120" w:after="0" w:line="240" w:lineRule="auto"/>
        <w:ind w:firstLine="709"/>
        <w:jc w:val="both"/>
        <w:rPr>
          <w:rFonts w:ascii="Times New Roman" w:hAnsi="Times New Roman"/>
          <w:b w:val="0"/>
          <w:bCs/>
          <w:color w:val="auto"/>
          <w:sz w:val="26"/>
          <w:lang w:val="vi-VN"/>
        </w:rPr>
      </w:pPr>
      <w:r>
        <w:rPr>
          <w:rFonts w:ascii="Times New Roman" w:hAnsi="Times New Roman"/>
          <w:b w:val="0"/>
          <w:bCs/>
          <w:color w:val="auto"/>
          <w:sz w:val="26"/>
          <w:lang w:val="vi-VN"/>
        </w:rPr>
        <w:t>Để kiểm soát dòng chảy thủy văn của các con sông chính, hiện nay trên địa bàn tỉnh đã bố trí 08 trạm thủy văn và các trạm thủy văn vùng triều do Đài Khí tượng thủy văn Hà Tĩnh quản lý và vận hành</w:t>
      </w:r>
      <w:r>
        <w:rPr>
          <w:rFonts w:ascii="Times New Roman" w:hAnsi="Times New Roman"/>
          <w:b w:val="0"/>
          <w:bCs/>
          <w:color w:val="auto"/>
          <w:sz w:val="26"/>
        </w:rPr>
        <w:t xml:space="preserve">, </w:t>
      </w:r>
      <w:r>
        <w:rPr>
          <w:rFonts w:ascii="Times New Roman" w:hAnsi="Times New Roman"/>
          <w:b w:val="0"/>
          <w:bCs/>
          <w:color w:val="auto"/>
          <w:sz w:val="26"/>
          <w:lang w:val="vi-VN"/>
        </w:rPr>
        <w:t>đo đạc các số liệu về mưa, mực nước và lưu lượng mưa (trạm thuỷ văn: Chu Lễ, La Khê, Hoà Duyệt (sông Ngàn Sâu), Sơn Diệm và Sơn Kim (Ngàn Phố); trạm thủy văn vùng triều (Cẩm Nhượng (sông Cửa Nhượng), Linh Cảm (sông La), Đồng Môn (sông Rào Cái)). Theo số liệu mực nước tại các trạm thủy văn trên địa bàn Hà Tĩnh đo được từ năm 2020-2024, mực nước thấp nhất đo được tại trạm Linh Cảm (sông La) là -143 cm, mực nước cao nhất tại trạm Sơn Kim (sông Ngàn Phố) là 2.488 cm.</w:t>
      </w:r>
    </w:p>
    <w:p w14:paraId="74AA74D3" w14:textId="77777777" w:rsidR="00085789" w:rsidRDefault="00000000">
      <w:pPr>
        <w:widowControl w:val="0"/>
        <w:spacing w:before="120" w:line="240" w:lineRule="auto"/>
        <w:ind w:firstLine="720"/>
        <w:jc w:val="both"/>
        <w:rPr>
          <w:rFonts w:asciiTheme="majorHAnsi" w:hAnsiTheme="majorHAnsi" w:cstheme="majorHAnsi"/>
          <w:sz w:val="26"/>
          <w:szCs w:val="26"/>
          <w:lang w:val="vi-VN"/>
        </w:rPr>
      </w:pPr>
      <w:bookmarkStart w:id="184" w:name="_Toc512524649"/>
      <w:r>
        <w:rPr>
          <w:sz w:val="26"/>
          <w:szCs w:val="26"/>
          <w:lang w:val="vi-VN"/>
        </w:rPr>
        <w:t xml:space="preserve">Tuy nhiên, </w:t>
      </w:r>
      <w:r>
        <w:rPr>
          <w:rFonts w:asciiTheme="majorHAnsi" w:hAnsiTheme="majorHAnsi" w:cstheme="majorHAnsi"/>
          <w:sz w:val="26"/>
          <w:szCs w:val="26"/>
          <w:lang w:val="vi-VN"/>
        </w:rPr>
        <w:t xml:space="preserve">hiện nay mới chỉ có 02 trạm đo lưu lượng dòng chảy tại trạm Sơn Diệm trên sông Ngàn Phố có lưu vực hoàn toàn nằm ở phía Bắc của tỉnh (diện tích </w:t>
      </w:r>
      <w:r>
        <w:rPr>
          <w:rFonts w:asciiTheme="majorHAnsi" w:hAnsiTheme="majorHAnsi" w:cstheme="majorHAnsi"/>
          <w:spacing w:val="-4"/>
          <w:sz w:val="26"/>
          <w:szCs w:val="26"/>
          <w:lang w:val="vi-VN"/>
        </w:rPr>
        <w:t xml:space="preserve">1.060 </w:t>
      </w:r>
      <w:r>
        <w:rPr>
          <w:rFonts w:asciiTheme="majorHAnsi" w:hAnsiTheme="majorHAnsi" w:cstheme="majorHAnsi"/>
          <w:spacing w:val="-2"/>
          <w:sz w:val="26"/>
          <w:szCs w:val="26"/>
          <w:lang w:val="vi-VN"/>
        </w:rPr>
        <w:t>km</w:t>
      </w:r>
      <w:r>
        <w:rPr>
          <w:rFonts w:asciiTheme="majorHAnsi" w:hAnsiTheme="majorHAnsi" w:cstheme="majorHAnsi"/>
          <w:spacing w:val="-2"/>
          <w:sz w:val="26"/>
          <w:szCs w:val="26"/>
          <w:vertAlign w:val="superscript"/>
          <w:lang w:val="vi-VN"/>
        </w:rPr>
        <w:t>2</w:t>
      </w:r>
      <w:r>
        <w:rPr>
          <w:rFonts w:asciiTheme="majorHAnsi" w:hAnsiTheme="majorHAnsi" w:cstheme="majorHAnsi"/>
          <w:spacing w:val="-2"/>
          <w:sz w:val="26"/>
          <w:szCs w:val="26"/>
          <w:lang w:val="vi-VN"/>
        </w:rPr>
        <w:t>)</w:t>
      </w:r>
      <w:r>
        <w:rPr>
          <w:rFonts w:asciiTheme="majorHAnsi" w:hAnsiTheme="majorHAnsi" w:cstheme="majorHAnsi"/>
          <w:spacing w:val="-4"/>
          <w:sz w:val="26"/>
          <w:szCs w:val="26"/>
          <w:lang w:val="vi-VN"/>
        </w:rPr>
        <w:t xml:space="preserve"> </w:t>
      </w:r>
      <w:r>
        <w:rPr>
          <w:rFonts w:asciiTheme="majorHAnsi" w:hAnsiTheme="majorHAnsi" w:cstheme="majorHAnsi"/>
          <w:sz w:val="26"/>
          <w:szCs w:val="26"/>
          <w:lang w:val="vi-VN"/>
        </w:rPr>
        <w:t xml:space="preserve"> và trạm Hoà Duyệt trên sông Ngàn Sâu có lưu vực ở giữa và nam tỉnh (diện tích </w:t>
      </w:r>
      <w:r>
        <w:rPr>
          <w:rFonts w:asciiTheme="majorHAnsi" w:hAnsiTheme="majorHAnsi" w:cstheme="majorHAnsi"/>
          <w:spacing w:val="-5"/>
          <w:sz w:val="26"/>
          <w:szCs w:val="26"/>
          <w:lang w:val="vi-VN"/>
        </w:rPr>
        <w:t xml:space="preserve">2.060 </w:t>
      </w:r>
      <w:r>
        <w:rPr>
          <w:rFonts w:asciiTheme="majorHAnsi" w:hAnsiTheme="majorHAnsi" w:cstheme="majorHAnsi"/>
          <w:spacing w:val="-2"/>
          <w:sz w:val="26"/>
          <w:szCs w:val="26"/>
          <w:lang w:val="vi-VN"/>
        </w:rPr>
        <w:t>km</w:t>
      </w:r>
      <w:r>
        <w:rPr>
          <w:rFonts w:asciiTheme="majorHAnsi" w:hAnsiTheme="majorHAnsi" w:cstheme="majorHAnsi"/>
          <w:spacing w:val="-2"/>
          <w:sz w:val="26"/>
          <w:szCs w:val="26"/>
          <w:vertAlign w:val="superscript"/>
          <w:lang w:val="vi-VN"/>
        </w:rPr>
        <w:t>2</w:t>
      </w:r>
      <w:r>
        <w:rPr>
          <w:rFonts w:asciiTheme="majorHAnsi" w:hAnsiTheme="majorHAnsi" w:cstheme="majorHAnsi"/>
          <w:spacing w:val="-2"/>
          <w:sz w:val="26"/>
          <w:szCs w:val="26"/>
          <w:lang w:val="vi-VN"/>
        </w:rPr>
        <w:t>)</w:t>
      </w:r>
      <w:r>
        <w:rPr>
          <w:rFonts w:asciiTheme="majorHAnsi" w:hAnsiTheme="majorHAnsi" w:cstheme="majorHAnsi"/>
          <w:sz w:val="26"/>
          <w:szCs w:val="26"/>
          <w:lang w:val="vi-VN"/>
        </w:rPr>
        <w:t>. Lưu lượng dòng chảy từ năm 2020-2024, bình quân năm lớn nhất tại trạm Sơn Diệm là 2.090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2024) và năm bé nhất 8,0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2024) gấp đến 261 lần. Ở trạm Hoà Duyệt lớn nhất 2.110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2023), so với năm bé nhất 8,21 m</w:t>
      </w:r>
      <w:r>
        <w:rPr>
          <w:rFonts w:asciiTheme="majorHAnsi" w:hAnsiTheme="majorHAnsi" w:cstheme="majorHAnsi"/>
          <w:sz w:val="26"/>
          <w:szCs w:val="26"/>
          <w:vertAlign w:val="superscript"/>
          <w:lang w:val="vi-VN"/>
        </w:rPr>
        <w:t>3</w:t>
      </w:r>
      <w:r>
        <w:rPr>
          <w:rFonts w:asciiTheme="majorHAnsi" w:hAnsiTheme="majorHAnsi" w:cstheme="majorHAnsi"/>
          <w:sz w:val="26"/>
          <w:szCs w:val="26"/>
          <w:lang w:val="vi-VN"/>
        </w:rPr>
        <w:t>/s (năm 2020), gấp đến 257 lần. Cụ thể theo bảng dưới đây:</w:t>
      </w:r>
      <w:bookmarkEnd w:id="184"/>
      <w:r>
        <w:rPr>
          <w:rFonts w:asciiTheme="majorHAnsi" w:hAnsiTheme="majorHAnsi" w:cstheme="majorHAnsi"/>
          <w:sz w:val="26"/>
          <w:szCs w:val="26"/>
          <w:lang w:val="vi-VN"/>
        </w:rPr>
        <w:t xml:space="preserve"> </w:t>
      </w:r>
    </w:p>
    <w:p w14:paraId="4A50C1E1" w14:textId="77777777" w:rsidR="00085789" w:rsidRDefault="00000000">
      <w:pPr>
        <w:pStyle w:val="-bac4"/>
        <w:rPr>
          <w:lang w:val="vi-VN"/>
        </w:rPr>
      </w:pPr>
      <w:bookmarkStart w:id="185" w:name="_Toc205915635"/>
      <w:bookmarkStart w:id="186" w:name="_Toc213597335"/>
      <w:bookmarkStart w:id="187" w:name="_Toc213600726"/>
      <w:r>
        <w:rPr>
          <w:lang w:val="vi-VN"/>
        </w:rPr>
        <w:t>Bảng</w:t>
      </w:r>
      <w:r>
        <w:rPr>
          <w:spacing w:val="-2"/>
          <w:lang w:val="vi-VN"/>
        </w:rPr>
        <w:t xml:space="preserve"> 1.</w:t>
      </w:r>
      <w:r>
        <w:rPr>
          <w:lang w:val="vi-VN"/>
        </w:rPr>
        <w:t>6.</w:t>
      </w:r>
      <w:r>
        <w:rPr>
          <w:spacing w:val="-3"/>
          <w:lang w:val="vi-VN"/>
        </w:rPr>
        <w:t xml:space="preserve"> </w:t>
      </w:r>
      <w:r>
        <w:rPr>
          <w:lang w:val="vi-VN"/>
        </w:rPr>
        <w:t>Các</w:t>
      </w:r>
      <w:r>
        <w:rPr>
          <w:spacing w:val="-2"/>
          <w:lang w:val="vi-VN"/>
        </w:rPr>
        <w:t xml:space="preserve"> </w:t>
      </w:r>
      <w:r>
        <w:rPr>
          <w:lang w:val="vi-VN"/>
        </w:rPr>
        <w:t>đặc</w:t>
      </w:r>
      <w:r>
        <w:rPr>
          <w:spacing w:val="-3"/>
          <w:lang w:val="vi-VN"/>
        </w:rPr>
        <w:t xml:space="preserve"> </w:t>
      </w:r>
      <w:r>
        <w:rPr>
          <w:lang w:val="vi-VN"/>
        </w:rPr>
        <w:t>trưng</w:t>
      </w:r>
      <w:r>
        <w:rPr>
          <w:spacing w:val="-2"/>
          <w:lang w:val="vi-VN"/>
        </w:rPr>
        <w:t xml:space="preserve"> </w:t>
      </w:r>
      <w:r>
        <w:rPr>
          <w:lang w:val="vi-VN"/>
        </w:rPr>
        <w:t>dòng</w:t>
      </w:r>
      <w:r>
        <w:rPr>
          <w:spacing w:val="-1"/>
          <w:lang w:val="vi-VN"/>
        </w:rPr>
        <w:t xml:space="preserve"> </w:t>
      </w:r>
      <w:r>
        <w:rPr>
          <w:lang w:val="vi-VN"/>
        </w:rPr>
        <w:t>chảy</w:t>
      </w:r>
      <w:r>
        <w:rPr>
          <w:spacing w:val="-2"/>
          <w:lang w:val="vi-VN"/>
        </w:rPr>
        <w:t xml:space="preserve"> </w:t>
      </w:r>
      <w:r>
        <w:rPr>
          <w:lang w:val="vi-VN"/>
        </w:rPr>
        <w:t>năm (các</w:t>
      </w:r>
      <w:r>
        <w:rPr>
          <w:spacing w:val="-2"/>
          <w:lang w:val="vi-VN"/>
        </w:rPr>
        <w:t xml:space="preserve"> </w:t>
      </w:r>
      <w:r>
        <w:rPr>
          <w:lang w:val="vi-VN"/>
        </w:rPr>
        <w:t>nhánh</w:t>
      </w:r>
      <w:r>
        <w:rPr>
          <w:spacing w:val="-4"/>
          <w:lang w:val="vi-VN"/>
        </w:rPr>
        <w:t xml:space="preserve"> </w:t>
      </w:r>
      <w:r>
        <w:rPr>
          <w:lang w:val="vi-VN"/>
        </w:rPr>
        <w:t>sông</w:t>
      </w:r>
      <w:r>
        <w:rPr>
          <w:spacing w:val="-2"/>
          <w:lang w:val="vi-VN"/>
        </w:rPr>
        <w:t xml:space="preserve"> </w:t>
      </w:r>
      <w:r>
        <w:rPr>
          <w:lang w:val="vi-VN"/>
        </w:rPr>
        <w:t>và</w:t>
      </w:r>
      <w:r>
        <w:rPr>
          <w:spacing w:val="-1"/>
          <w:lang w:val="vi-VN"/>
        </w:rPr>
        <w:t xml:space="preserve"> </w:t>
      </w:r>
      <w:r>
        <w:rPr>
          <w:lang w:val="vi-VN"/>
        </w:rPr>
        <w:t>trạm</w:t>
      </w:r>
      <w:r>
        <w:rPr>
          <w:spacing w:val="-7"/>
          <w:lang w:val="vi-VN"/>
        </w:rPr>
        <w:t xml:space="preserve"> </w:t>
      </w:r>
      <w:r>
        <w:rPr>
          <w:lang w:val="vi-VN"/>
        </w:rPr>
        <w:t>đại</w:t>
      </w:r>
      <w:r>
        <w:rPr>
          <w:spacing w:val="-1"/>
          <w:lang w:val="vi-VN"/>
        </w:rPr>
        <w:t xml:space="preserve"> </w:t>
      </w:r>
      <w:r>
        <w:rPr>
          <w:spacing w:val="-2"/>
          <w:lang w:val="vi-VN"/>
        </w:rPr>
        <w:t>biểu)</w:t>
      </w:r>
      <w:bookmarkEnd w:id="185"/>
      <w:bookmarkEnd w:id="186"/>
      <w:bookmarkEnd w:id="187"/>
    </w:p>
    <w:tbl>
      <w:tblPr>
        <w:tblW w:w="10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
        <w:gridCol w:w="567"/>
        <w:gridCol w:w="709"/>
        <w:gridCol w:w="587"/>
        <w:gridCol w:w="567"/>
        <w:gridCol w:w="567"/>
        <w:gridCol w:w="567"/>
        <w:gridCol w:w="569"/>
        <w:gridCol w:w="567"/>
        <w:gridCol w:w="567"/>
        <w:gridCol w:w="567"/>
        <w:gridCol w:w="567"/>
        <w:gridCol w:w="567"/>
        <w:gridCol w:w="567"/>
        <w:gridCol w:w="567"/>
        <w:gridCol w:w="709"/>
        <w:gridCol w:w="567"/>
        <w:gridCol w:w="567"/>
      </w:tblGrid>
      <w:tr w:rsidR="00085789" w14:paraId="09DD2B9C" w14:textId="77777777">
        <w:trPr>
          <w:trHeight w:val="498"/>
          <w:tblHeader/>
          <w:jc w:val="center"/>
        </w:trPr>
        <w:tc>
          <w:tcPr>
            <w:tcW w:w="425" w:type="dxa"/>
            <w:vMerge w:val="restart"/>
            <w:vAlign w:val="center"/>
          </w:tcPr>
          <w:p w14:paraId="172ABF10" w14:textId="77777777" w:rsidR="00085789" w:rsidRDefault="00085789">
            <w:pPr>
              <w:pStyle w:val="TableParagraph"/>
              <w:ind w:left="412"/>
              <w:jc w:val="center"/>
              <w:rPr>
                <w:rFonts w:asciiTheme="majorHAnsi" w:hAnsiTheme="majorHAnsi" w:cstheme="majorHAnsi"/>
                <w:b/>
                <w:sz w:val="20"/>
                <w:szCs w:val="20"/>
                <w:lang w:val="vi-VN"/>
              </w:rPr>
            </w:pPr>
          </w:p>
          <w:p w14:paraId="5DF098FC" w14:textId="77777777" w:rsidR="00085789" w:rsidRDefault="00000000">
            <w:pPr>
              <w:pStyle w:val="TableParagraph"/>
              <w:spacing w:before="1"/>
              <w:ind w:left="318" w:hanging="283"/>
              <w:jc w:val="center"/>
              <w:rPr>
                <w:rFonts w:asciiTheme="majorHAnsi" w:hAnsiTheme="majorHAnsi" w:cstheme="majorHAnsi"/>
                <w:b/>
                <w:sz w:val="20"/>
                <w:szCs w:val="20"/>
              </w:rPr>
            </w:pPr>
            <w:r>
              <w:rPr>
                <w:rFonts w:asciiTheme="majorHAnsi" w:hAnsiTheme="majorHAnsi" w:cstheme="majorHAnsi"/>
                <w:b/>
                <w:spacing w:val="-5"/>
                <w:sz w:val="20"/>
                <w:szCs w:val="20"/>
              </w:rPr>
              <w:t>TT</w:t>
            </w:r>
          </w:p>
        </w:tc>
        <w:tc>
          <w:tcPr>
            <w:tcW w:w="567" w:type="dxa"/>
            <w:vMerge w:val="restart"/>
            <w:vAlign w:val="center"/>
          </w:tcPr>
          <w:p w14:paraId="7229E305" w14:textId="77777777" w:rsidR="00085789" w:rsidRDefault="00085789">
            <w:pPr>
              <w:pStyle w:val="TableParagraph"/>
              <w:spacing w:before="149"/>
              <w:jc w:val="center"/>
              <w:rPr>
                <w:rFonts w:asciiTheme="majorHAnsi" w:hAnsiTheme="majorHAnsi" w:cstheme="majorHAnsi"/>
                <w:b/>
                <w:sz w:val="20"/>
                <w:szCs w:val="20"/>
              </w:rPr>
            </w:pPr>
          </w:p>
          <w:p w14:paraId="4BF73119" w14:textId="77777777" w:rsidR="00085789" w:rsidRDefault="00000000">
            <w:pPr>
              <w:pStyle w:val="TableParagraph"/>
              <w:ind w:left="28"/>
              <w:jc w:val="center"/>
              <w:rPr>
                <w:rFonts w:asciiTheme="majorHAnsi" w:hAnsiTheme="majorHAnsi" w:cstheme="majorHAnsi"/>
                <w:b/>
                <w:sz w:val="20"/>
                <w:szCs w:val="20"/>
              </w:rPr>
            </w:pPr>
            <w:r>
              <w:rPr>
                <w:rFonts w:asciiTheme="majorHAnsi" w:hAnsiTheme="majorHAnsi" w:cstheme="majorHAnsi"/>
                <w:b/>
                <w:spacing w:val="-4"/>
                <w:sz w:val="20"/>
                <w:szCs w:val="20"/>
              </w:rPr>
              <w:t>Trạm</w:t>
            </w:r>
          </w:p>
        </w:tc>
        <w:tc>
          <w:tcPr>
            <w:tcW w:w="709" w:type="dxa"/>
            <w:vMerge w:val="restart"/>
            <w:vAlign w:val="center"/>
          </w:tcPr>
          <w:p w14:paraId="652376B4" w14:textId="77777777" w:rsidR="00085789" w:rsidRDefault="00085789">
            <w:pPr>
              <w:pStyle w:val="TableParagraph"/>
              <w:spacing w:before="149"/>
              <w:jc w:val="center"/>
              <w:rPr>
                <w:rFonts w:asciiTheme="majorHAnsi" w:hAnsiTheme="majorHAnsi" w:cstheme="majorHAnsi"/>
                <w:b/>
                <w:sz w:val="20"/>
                <w:szCs w:val="20"/>
              </w:rPr>
            </w:pPr>
          </w:p>
          <w:p w14:paraId="1C8DC371" w14:textId="77777777" w:rsidR="00085789" w:rsidRDefault="00000000">
            <w:pPr>
              <w:pStyle w:val="TableParagraph"/>
              <w:jc w:val="center"/>
              <w:rPr>
                <w:rFonts w:asciiTheme="majorHAnsi" w:hAnsiTheme="majorHAnsi" w:cstheme="majorHAnsi"/>
                <w:b/>
                <w:sz w:val="20"/>
                <w:szCs w:val="20"/>
              </w:rPr>
            </w:pPr>
            <w:r>
              <w:rPr>
                <w:rFonts w:asciiTheme="majorHAnsi" w:hAnsiTheme="majorHAnsi" w:cstheme="majorHAnsi"/>
                <w:b/>
                <w:spacing w:val="-4"/>
                <w:sz w:val="20"/>
                <w:szCs w:val="20"/>
              </w:rPr>
              <w:t>Sông</w:t>
            </w:r>
          </w:p>
        </w:tc>
        <w:tc>
          <w:tcPr>
            <w:tcW w:w="2857" w:type="dxa"/>
            <w:gridSpan w:val="5"/>
            <w:vAlign w:val="center"/>
          </w:tcPr>
          <w:p w14:paraId="058F76AF" w14:textId="77777777" w:rsidR="00085789" w:rsidRDefault="00000000">
            <w:pPr>
              <w:pStyle w:val="TableParagraph"/>
              <w:jc w:val="center"/>
              <w:rPr>
                <w:rFonts w:asciiTheme="majorHAnsi" w:hAnsiTheme="majorHAnsi" w:cstheme="majorHAnsi"/>
                <w:b/>
                <w:sz w:val="20"/>
                <w:szCs w:val="20"/>
              </w:rPr>
            </w:pPr>
            <w:r>
              <w:rPr>
                <w:rFonts w:asciiTheme="majorHAnsi" w:hAnsiTheme="majorHAnsi" w:cstheme="majorHAnsi"/>
                <w:b/>
                <w:spacing w:val="-5"/>
                <w:position w:val="2"/>
                <w:sz w:val="20"/>
                <w:szCs w:val="20"/>
              </w:rPr>
              <w:t>Q</w:t>
            </w:r>
            <w:r>
              <w:rPr>
                <w:rFonts w:asciiTheme="majorHAnsi" w:hAnsiTheme="majorHAnsi" w:cstheme="majorHAnsi"/>
                <w:b/>
                <w:spacing w:val="-5"/>
                <w:sz w:val="20"/>
                <w:szCs w:val="20"/>
                <w:vertAlign w:val="subscript"/>
              </w:rPr>
              <w:t>max</w:t>
            </w:r>
            <w:r>
              <w:rPr>
                <w:rFonts w:asciiTheme="majorHAnsi" w:hAnsiTheme="majorHAnsi" w:cstheme="majorHAnsi"/>
                <w:b/>
                <w:sz w:val="20"/>
                <w:szCs w:val="20"/>
              </w:rPr>
              <w:t xml:space="preserve"> </w:t>
            </w:r>
            <w:r>
              <w:rPr>
                <w:rFonts w:asciiTheme="majorHAnsi" w:hAnsiTheme="majorHAnsi" w:cstheme="majorHAnsi"/>
                <w:b/>
                <w:spacing w:val="-2"/>
                <w:sz w:val="20"/>
                <w:szCs w:val="20"/>
              </w:rPr>
              <w:t>(m</w:t>
            </w:r>
            <w:r>
              <w:rPr>
                <w:rFonts w:asciiTheme="majorHAnsi" w:hAnsiTheme="majorHAnsi" w:cstheme="majorHAnsi"/>
                <w:b/>
                <w:spacing w:val="-2"/>
                <w:sz w:val="20"/>
                <w:szCs w:val="20"/>
                <w:vertAlign w:val="superscript"/>
              </w:rPr>
              <w:t>3</w:t>
            </w:r>
            <w:r>
              <w:rPr>
                <w:rFonts w:asciiTheme="majorHAnsi" w:hAnsiTheme="majorHAnsi" w:cstheme="majorHAnsi"/>
                <w:b/>
                <w:spacing w:val="-2"/>
                <w:sz w:val="20"/>
                <w:szCs w:val="20"/>
              </w:rPr>
              <w:t>/s)</w:t>
            </w:r>
          </w:p>
        </w:tc>
        <w:tc>
          <w:tcPr>
            <w:tcW w:w="2835" w:type="dxa"/>
            <w:gridSpan w:val="5"/>
            <w:vAlign w:val="center"/>
          </w:tcPr>
          <w:p w14:paraId="6BC8C6A0" w14:textId="77777777" w:rsidR="00085789" w:rsidRDefault="00000000">
            <w:pPr>
              <w:pStyle w:val="TableParagraph"/>
              <w:jc w:val="center"/>
              <w:rPr>
                <w:rFonts w:asciiTheme="majorHAnsi" w:hAnsiTheme="majorHAnsi" w:cstheme="majorHAnsi"/>
                <w:b/>
                <w:sz w:val="20"/>
                <w:szCs w:val="20"/>
              </w:rPr>
            </w:pPr>
            <w:r>
              <w:rPr>
                <w:rFonts w:asciiTheme="majorHAnsi" w:hAnsiTheme="majorHAnsi" w:cstheme="majorHAnsi"/>
                <w:b/>
                <w:sz w:val="20"/>
                <w:szCs w:val="20"/>
              </w:rPr>
              <w:t>Q</w:t>
            </w:r>
            <w:r>
              <w:rPr>
                <w:rFonts w:asciiTheme="majorHAnsi" w:hAnsiTheme="majorHAnsi" w:cstheme="majorHAnsi"/>
                <w:b/>
                <w:sz w:val="20"/>
                <w:szCs w:val="20"/>
                <w:vertAlign w:val="subscript"/>
              </w:rPr>
              <w:t>min</w:t>
            </w:r>
            <w:r>
              <w:rPr>
                <w:rFonts w:asciiTheme="majorHAnsi" w:hAnsiTheme="majorHAnsi" w:cstheme="majorHAnsi"/>
                <w:b/>
                <w:spacing w:val="-2"/>
                <w:sz w:val="20"/>
                <w:szCs w:val="20"/>
              </w:rPr>
              <w:t>(m</w:t>
            </w:r>
            <w:r>
              <w:rPr>
                <w:rFonts w:asciiTheme="majorHAnsi" w:hAnsiTheme="majorHAnsi" w:cstheme="majorHAnsi"/>
                <w:b/>
                <w:spacing w:val="-2"/>
                <w:sz w:val="20"/>
                <w:szCs w:val="20"/>
                <w:vertAlign w:val="superscript"/>
              </w:rPr>
              <w:t>3</w:t>
            </w:r>
            <w:r>
              <w:rPr>
                <w:rFonts w:asciiTheme="majorHAnsi" w:hAnsiTheme="majorHAnsi" w:cstheme="majorHAnsi"/>
                <w:b/>
                <w:spacing w:val="-2"/>
                <w:sz w:val="20"/>
                <w:szCs w:val="20"/>
              </w:rPr>
              <w:t>/s)</w:t>
            </w:r>
          </w:p>
        </w:tc>
        <w:tc>
          <w:tcPr>
            <w:tcW w:w="2977" w:type="dxa"/>
            <w:gridSpan w:val="5"/>
            <w:vAlign w:val="center"/>
          </w:tcPr>
          <w:p w14:paraId="1078EB07" w14:textId="77777777" w:rsidR="00085789" w:rsidRDefault="00000000">
            <w:pPr>
              <w:pStyle w:val="TableParagraph"/>
              <w:jc w:val="center"/>
              <w:rPr>
                <w:rFonts w:asciiTheme="majorHAnsi" w:hAnsiTheme="majorHAnsi" w:cstheme="majorHAnsi"/>
                <w:b/>
                <w:sz w:val="20"/>
                <w:szCs w:val="20"/>
              </w:rPr>
            </w:pPr>
            <w:r>
              <w:rPr>
                <w:rFonts w:asciiTheme="majorHAnsi" w:hAnsiTheme="majorHAnsi" w:cstheme="majorHAnsi"/>
                <w:b/>
                <w:sz w:val="20"/>
                <w:szCs w:val="20"/>
              </w:rPr>
              <w:t>Q</w:t>
            </w:r>
            <w:r>
              <w:rPr>
                <w:rFonts w:asciiTheme="majorHAnsi" w:hAnsiTheme="majorHAnsi" w:cstheme="majorHAnsi"/>
                <w:b/>
                <w:sz w:val="20"/>
                <w:szCs w:val="20"/>
                <w:vertAlign w:val="subscript"/>
              </w:rPr>
              <w:t>tb</w:t>
            </w:r>
            <w:r>
              <w:rPr>
                <w:rFonts w:asciiTheme="majorHAnsi" w:hAnsiTheme="majorHAnsi" w:cstheme="majorHAnsi"/>
                <w:b/>
                <w:spacing w:val="-2"/>
                <w:sz w:val="20"/>
                <w:szCs w:val="20"/>
              </w:rPr>
              <w:t>(m</w:t>
            </w:r>
            <w:r>
              <w:rPr>
                <w:rFonts w:asciiTheme="majorHAnsi" w:hAnsiTheme="majorHAnsi" w:cstheme="majorHAnsi"/>
                <w:b/>
                <w:spacing w:val="-2"/>
                <w:sz w:val="20"/>
                <w:szCs w:val="20"/>
                <w:vertAlign w:val="superscript"/>
              </w:rPr>
              <w:t>3</w:t>
            </w:r>
            <w:r>
              <w:rPr>
                <w:rFonts w:asciiTheme="majorHAnsi" w:hAnsiTheme="majorHAnsi" w:cstheme="majorHAnsi"/>
                <w:b/>
                <w:spacing w:val="-2"/>
                <w:sz w:val="20"/>
                <w:szCs w:val="20"/>
              </w:rPr>
              <w:t>/s)</w:t>
            </w:r>
          </w:p>
        </w:tc>
      </w:tr>
      <w:tr w:rsidR="00085789" w14:paraId="66A03F44" w14:textId="77777777">
        <w:trPr>
          <w:trHeight w:val="547"/>
          <w:jc w:val="center"/>
        </w:trPr>
        <w:tc>
          <w:tcPr>
            <w:tcW w:w="425" w:type="dxa"/>
            <w:vMerge/>
          </w:tcPr>
          <w:p w14:paraId="04DEBEC4" w14:textId="77777777" w:rsidR="00085789" w:rsidRDefault="00085789">
            <w:pPr>
              <w:pStyle w:val="TableParagraph"/>
              <w:rPr>
                <w:rFonts w:asciiTheme="majorHAnsi" w:hAnsiTheme="majorHAnsi" w:cstheme="majorHAnsi"/>
                <w:b/>
                <w:sz w:val="20"/>
                <w:szCs w:val="20"/>
              </w:rPr>
            </w:pPr>
          </w:p>
        </w:tc>
        <w:tc>
          <w:tcPr>
            <w:tcW w:w="567" w:type="dxa"/>
            <w:vMerge/>
          </w:tcPr>
          <w:p w14:paraId="7049166E" w14:textId="77777777" w:rsidR="00085789" w:rsidRDefault="00085789">
            <w:pPr>
              <w:pStyle w:val="TableParagraph"/>
              <w:spacing w:before="149"/>
              <w:rPr>
                <w:rFonts w:asciiTheme="majorHAnsi" w:hAnsiTheme="majorHAnsi" w:cstheme="majorHAnsi"/>
                <w:b/>
                <w:sz w:val="20"/>
                <w:szCs w:val="20"/>
              </w:rPr>
            </w:pPr>
          </w:p>
        </w:tc>
        <w:tc>
          <w:tcPr>
            <w:tcW w:w="709" w:type="dxa"/>
            <w:vMerge/>
          </w:tcPr>
          <w:p w14:paraId="3EEE60C3" w14:textId="77777777" w:rsidR="00085789" w:rsidRDefault="00085789">
            <w:pPr>
              <w:pStyle w:val="TableParagraph"/>
              <w:spacing w:before="149"/>
              <w:rPr>
                <w:rFonts w:asciiTheme="majorHAnsi" w:hAnsiTheme="majorHAnsi" w:cstheme="majorHAnsi"/>
                <w:b/>
                <w:sz w:val="20"/>
                <w:szCs w:val="20"/>
              </w:rPr>
            </w:pPr>
          </w:p>
        </w:tc>
        <w:tc>
          <w:tcPr>
            <w:tcW w:w="587" w:type="dxa"/>
          </w:tcPr>
          <w:p w14:paraId="5A02FAC5"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2020</w:t>
            </w:r>
          </w:p>
        </w:tc>
        <w:tc>
          <w:tcPr>
            <w:tcW w:w="567" w:type="dxa"/>
          </w:tcPr>
          <w:p w14:paraId="3F5B40EA"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2021</w:t>
            </w:r>
          </w:p>
        </w:tc>
        <w:tc>
          <w:tcPr>
            <w:tcW w:w="567" w:type="dxa"/>
          </w:tcPr>
          <w:p w14:paraId="2AD639AF"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2022</w:t>
            </w:r>
          </w:p>
        </w:tc>
        <w:tc>
          <w:tcPr>
            <w:tcW w:w="567" w:type="dxa"/>
          </w:tcPr>
          <w:p w14:paraId="776FBEE5"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2023</w:t>
            </w:r>
          </w:p>
        </w:tc>
        <w:tc>
          <w:tcPr>
            <w:tcW w:w="567" w:type="dxa"/>
          </w:tcPr>
          <w:p w14:paraId="14FB4C9B"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2024</w:t>
            </w:r>
          </w:p>
        </w:tc>
        <w:tc>
          <w:tcPr>
            <w:tcW w:w="567" w:type="dxa"/>
          </w:tcPr>
          <w:p w14:paraId="07B6A211"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2020</w:t>
            </w:r>
          </w:p>
        </w:tc>
        <w:tc>
          <w:tcPr>
            <w:tcW w:w="567" w:type="dxa"/>
          </w:tcPr>
          <w:p w14:paraId="04740BCB"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2021</w:t>
            </w:r>
          </w:p>
        </w:tc>
        <w:tc>
          <w:tcPr>
            <w:tcW w:w="567" w:type="dxa"/>
          </w:tcPr>
          <w:p w14:paraId="72F52543"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2022</w:t>
            </w:r>
          </w:p>
        </w:tc>
        <w:tc>
          <w:tcPr>
            <w:tcW w:w="567" w:type="dxa"/>
          </w:tcPr>
          <w:p w14:paraId="41A37639"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2023</w:t>
            </w:r>
          </w:p>
        </w:tc>
        <w:tc>
          <w:tcPr>
            <w:tcW w:w="567" w:type="dxa"/>
          </w:tcPr>
          <w:p w14:paraId="36FB3E5A"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2024</w:t>
            </w:r>
          </w:p>
        </w:tc>
        <w:tc>
          <w:tcPr>
            <w:tcW w:w="567" w:type="dxa"/>
          </w:tcPr>
          <w:p w14:paraId="5F93CDC6"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2020</w:t>
            </w:r>
          </w:p>
        </w:tc>
        <w:tc>
          <w:tcPr>
            <w:tcW w:w="567" w:type="dxa"/>
          </w:tcPr>
          <w:p w14:paraId="4449FEEB"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2021</w:t>
            </w:r>
          </w:p>
        </w:tc>
        <w:tc>
          <w:tcPr>
            <w:tcW w:w="709" w:type="dxa"/>
          </w:tcPr>
          <w:p w14:paraId="65C55CFA"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2022</w:t>
            </w:r>
          </w:p>
        </w:tc>
        <w:tc>
          <w:tcPr>
            <w:tcW w:w="567" w:type="dxa"/>
          </w:tcPr>
          <w:p w14:paraId="5F8CDA54"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2023</w:t>
            </w:r>
          </w:p>
        </w:tc>
        <w:tc>
          <w:tcPr>
            <w:tcW w:w="567" w:type="dxa"/>
          </w:tcPr>
          <w:p w14:paraId="39A0BDDB" w14:textId="77777777" w:rsidR="00085789" w:rsidRDefault="00000000">
            <w:pPr>
              <w:pStyle w:val="TableParagraph"/>
              <w:spacing w:before="103"/>
              <w:jc w:val="center"/>
              <w:rPr>
                <w:rFonts w:asciiTheme="majorHAnsi" w:hAnsiTheme="majorHAnsi" w:cstheme="majorHAnsi"/>
                <w:b/>
                <w:sz w:val="20"/>
                <w:szCs w:val="20"/>
              </w:rPr>
            </w:pPr>
            <w:r>
              <w:rPr>
                <w:rFonts w:asciiTheme="majorHAnsi" w:hAnsiTheme="majorHAnsi" w:cstheme="majorHAnsi"/>
                <w:b/>
                <w:sz w:val="20"/>
                <w:szCs w:val="20"/>
              </w:rPr>
              <w:t>Năm 2024</w:t>
            </w:r>
          </w:p>
        </w:tc>
      </w:tr>
      <w:tr w:rsidR="00085789" w14:paraId="7D052422" w14:textId="77777777">
        <w:trPr>
          <w:trHeight w:val="510"/>
          <w:jc w:val="center"/>
        </w:trPr>
        <w:tc>
          <w:tcPr>
            <w:tcW w:w="425" w:type="dxa"/>
            <w:vAlign w:val="center"/>
          </w:tcPr>
          <w:p w14:paraId="2CA80333" w14:textId="77777777" w:rsidR="00085789" w:rsidRDefault="00000000">
            <w:pPr>
              <w:pStyle w:val="TableParagraph"/>
              <w:spacing w:before="32" w:line="285" w:lineRule="exact"/>
              <w:ind w:left="2"/>
              <w:jc w:val="center"/>
              <w:rPr>
                <w:rFonts w:asciiTheme="majorHAnsi" w:hAnsiTheme="majorHAnsi" w:cstheme="majorHAnsi"/>
                <w:sz w:val="20"/>
                <w:szCs w:val="20"/>
              </w:rPr>
            </w:pPr>
            <w:r>
              <w:rPr>
                <w:rFonts w:asciiTheme="majorHAnsi" w:hAnsiTheme="majorHAnsi" w:cstheme="majorHAnsi"/>
                <w:spacing w:val="-10"/>
                <w:sz w:val="20"/>
                <w:szCs w:val="20"/>
              </w:rPr>
              <w:t>1</w:t>
            </w:r>
          </w:p>
        </w:tc>
        <w:tc>
          <w:tcPr>
            <w:tcW w:w="567" w:type="dxa"/>
            <w:vAlign w:val="center"/>
          </w:tcPr>
          <w:p w14:paraId="448F79CB" w14:textId="77777777" w:rsidR="00085789" w:rsidRDefault="00000000">
            <w:pPr>
              <w:pStyle w:val="TableParagraph"/>
              <w:spacing w:before="32" w:line="285" w:lineRule="exact"/>
              <w:ind w:left="26"/>
              <w:jc w:val="center"/>
              <w:rPr>
                <w:rFonts w:asciiTheme="majorHAnsi" w:hAnsiTheme="majorHAnsi" w:cstheme="majorHAnsi"/>
                <w:sz w:val="20"/>
                <w:szCs w:val="20"/>
              </w:rPr>
            </w:pPr>
            <w:r>
              <w:rPr>
                <w:rFonts w:asciiTheme="majorHAnsi" w:hAnsiTheme="majorHAnsi" w:cstheme="majorHAnsi"/>
                <w:sz w:val="20"/>
                <w:szCs w:val="20"/>
              </w:rPr>
              <w:t>Sơn Diệm</w:t>
            </w:r>
          </w:p>
        </w:tc>
        <w:tc>
          <w:tcPr>
            <w:tcW w:w="709" w:type="dxa"/>
            <w:vAlign w:val="center"/>
          </w:tcPr>
          <w:p w14:paraId="4F403869" w14:textId="77777777" w:rsidR="00085789" w:rsidRDefault="00000000">
            <w:pPr>
              <w:pStyle w:val="TableParagraph"/>
              <w:spacing w:before="32" w:line="285" w:lineRule="exact"/>
              <w:ind w:left="29"/>
              <w:jc w:val="center"/>
              <w:rPr>
                <w:rFonts w:asciiTheme="majorHAnsi" w:hAnsiTheme="majorHAnsi" w:cstheme="majorHAnsi"/>
                <w:sz w:val="20"/>
                <w:szCs w:val="20"/>
              </w:rPr>
            </w:pPr>
            <w:r>
              <w:rPr>
                <w:rFonts w:asciiTheme="majorHAnsi" w:hAnsiTheme="majorHAnsi" w:cstheme="majorHAnsi"/>
                <w:sz w:val="20"/>
                <w:szCs w:val="20"/>
              </w:rPr>
              <w:t>Ngàn Phố</w:t>
            </w:r>
          </w:p>
        </w:tc>
        <w:tc>
          <w:tcPr>
            <w:tcW w:w="587" w:type="dxa"/>
            <w:vAlign w:val="center"/>
          </w:tcPr>
          <w:p w14:paraId="6DC101E9"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1</w:t>
            </w:r>
            <w:r>
              <w:rPr>
                <w:rFonts w:asciiTheme="majorHAnsi" w:hAnsiTheme="majorHAnsi" w:cstheme="majorHAnsi"/>
                <w:sz w:val="20"/>
                <w:szCs w:val="20"/>
                <w:lang w:val="vi-VN"/>
              </w:rPr>
              <w:t>.</w:t>
            </w:r>
            <w:r>
              <w:rPr>
                <w:rFonts w:asciiTheme="majorHAnsi" w:hAnsiTheme="majorHAnsi" w:cstheme="majorHAnsi"/>
                <w:sz w:val="20"/>
                <w:szCs w:val="20"/>
              </w:rPr>
              <w:t>830</w:t>
            </w:r>
          </w:p>
        </w:tc>
        <w:tc>
          <w:tcPr>
            <w:tcW w:w="567" w:type="dxa"/>
            <w:vAlign w:val="center"/>
          </w:tcPr>
          <w:p w14:paraId="20734BD2"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1.270</w:t>
            </w:r>
          </w:p>
        </w:tc>
        <w:tc>
          <w:tcPr>
            <w:tcW w:w="567" w:type="dxa"/>
            <w:vAlign w:val="center"/>
          </w:tcPr>
          <w:p w14:paraId="02307AA7"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1.850</w:t>
            </w:r>
          </w:p>
        </w:tc>
        <w:tc>
          <w:tcPr>
            <w:tcW w:w="567" w:type="dxa"/>
            <w:vAlign w:val="center"/>
          </w:tcPr>
          <w:p w14:paraId="18DE1776"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1.620</w:t>
            </w:r>
          </w:p>
        </w:tc>
        <w:tc>
          <w:tcPr>
            <w:tcW w:w="567" w:type="dxa"/>
            <w:vAlign w:val="center"/>
          </w:tcPr>
          <w:p w14:paraId="1B36C597" w14:textId="77777777" w:rsidR="00085789" w:rsidRDefault="00000000">
            <w:pPr>
              <w:keepNext/>
              <w:spacing w:line="240" w:lineRule="auto"/>
              <w:jc w:val="center"/>
              <w:rPr>
                <w:rFonts w:asciiTheme="majorHAnsi" w:hAnsiTheme="majorHAnsi" w:cstheme="majorHAnsi"/>
                <w:sz w:val="20"/>
                <w:szCs w:val="20"/>
                <w:lang w:val="vi-VN"/>
              </w:rPr>
            </w:pPr>
            <w:r>
              <w:rPr>
                <w:rFonts w:asciiTheme="majorHAnsi" w:hAnsiTheme="majorHAnsi" w:cstheme="majorHAnsi"/>
                <w:sz w:val="20"/>
                <w:szCs w:val="20"/>
              </w:rPr>
              <w:t>2</w:t>
            </w:r>
            <w:r>
              <w:rPr>
                <w:rFonts w:asciiTheme="majorHAnsi" w:hAnsiTheme="majorHAnsi" w:cstheme="majorHAnsi"/>
                <w:sz w:val="20"/>
                <w:szCs w:val="20"/>
                <w:lang w:val="vi-VN"/>
              </w:rPr>
              <w:t>.</w:t>
            </w:r>
            <w:r>
              <w:rPr>
                <w:rFonts w:asciiTheme="majorHAnsi" w:hAnsiTheme="majorHAnsi" w:cstheme="majorHAnsi"/>
                <w:sz w:val="20"/>
                <w:szCs w:val="20"/>
              </w:rPr>
              <w:t>090</w:t>
            </w:r>
          </w:p>
        </w:tc>
        <w:tc>
          <w:tcPr>
            <w:tcW w:w="567" w:type="dxa"/>
            <w:vAlign w:val="center"/>
          </w:tcPr>
          <w:p w14:paraId="1F46F36C"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2,92</w:t>
            </w:r>
          </w:p>
        </w:tc>
        <w:tc>
          <w:tcPr>
            <w:tcW w:w="567" w:type="dxa"/>
            <w:vAlign w:val="center"/>
          </w:tcPr>
          <w:p w14:paraId="7FF5273C"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9,4</w:t>
            </w:r>
          </w:p>
        </w:tc>
        <w:tc>
          <w:tcPr>
            <w:tcW w:w="567" w:type="dxa"/>
            <w:vAlign w:val="center"/>
          </w:tcPr>
          <w:p w14:paraId="7AEF210E"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11,1</w:t>
            </w:r>
          </w:p>
        </w:tc>
        <w:tc>
          <w:tcPr>
            <w:tcW w:w="567" w:type="dxa"/>
            <w:vAlign w:val="center"/>
          </w:tcPr>
          <w:p w14:paraId="42D40475"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8,0</w:t>
            </w:r>
          </w:p>
        </w:tc>
        <w:tc>
          <w:tcPr>
            <w:tcW w:w="567" w:type="dxa"/>
            <w:vAlign w:val="center"/>
          </w:tcPr>
          <w:p w14:paraId="5ABBC568" w14:textId="77777777" w:rsidR="00085789" w:rsidRDefault="00000000">
            <w:pPr>
              <w:keepNext/>
              <w:spacing w:line="240" w:lineRule="auto"/>
              <w:jc w:val="center"/>
              <w:rPr>
                <w:rFonts w:asciiTheme="majorHAnsi" w:hAnsiTheme="majorHAnsi" w:cstheme="majorHAnsi"/>
                <w:sz w:val="20"/>
                <w:szCs w:val="20"/>
                <w:lang w:val="vi-VN"/>
              </w:rPr>
            </w:pPr>
            <w:r>
              <w:rPr>
                <w:rFonts w:asciiTheme="majorHAnsi" w:hAnsiTheme="majorHAnsi" w:cstheme="majorHAnsi"/>
                <w:sz w:val="20"/>
                <w:szCs w:val="20"/>
              </w:rPr>
              <w:t>7</w:t>
            </w:r>
            <w:r>
              <w:rPr>
                <w:rFonts w:asciiTheme="majorHAnsi" w:hAnsiTheme="majorHAnsi" w:cstheme="majorHAnsi"/>
                <w:sz w:val="20"/>
                <w:szCs w:val="20"/>
                <w:lang w:val="vi-VN"/>
              </w:rPr>
              <w:t>,92</w:t>
            </w:r>
          </w:p>
        </w:tc>
        <w:tc>
          <w:tcPr>
            <w:tcW w:w="567" w:type="dxa"/>
            <w:vAlign w:val="center"/>
          </w:tcPr>
          <w:p w14:paraId="70911CDE"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46,5</w:t>
            </w:r>
          </w:p>
        </w:tc>
        <w:tc>
          <w:tcPr>
            <w:tcW w:w="567" w:type="dxa"/>
            <w:vAlign w:val="center"/>
          </w:tcPr>
          <w:p w14:paraId="0A0D54AE"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43,8</w:t>
            </w:r>
          </w:p>
        </w:tc>
        <w:tc>
          <w:tcPr>
            <w:tcW w:w="709" w:type="dxa"/>
            <w:vAlign w:val="center"/>
          </w:tcPr>
          <w:p w14:paraId="3C765D92"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48,1</w:t>
            </w:r>
          </w:p>
        </w:tc>
        <w:tc>
          <w:tcPr>
            <w:tcW w:w="567" w:type="dxa"/>
            <w:vAlign w:val="center"/>
          </w:tcPr>
          <w:p w14:paraId="23F07305" w14:textId="77777777" w:rsidR="00085789" w:rsidRDefault="00000000">
            <w:pPr>
              <w:keepNext/>
              <w:spacing w:line="240" w:lineRule="auto"/>
              <w:jc w:val="center"/>
              <w:rPr>
                <w:rFonts w:asciiTheme="majorHAnsi" w:hAnsiTheme="majorHAnsi" w:cstheme="majorHAnsi"/>
                <w:sz w:val="20"/>
                <w:szCs w:val="20"/>
              </w:rPr>
            </w:pPr>
            <w:r>
              <w:rPr>
                <w:rFonts w:asciiTheme="majorHAnsi" w:hAnsiTheme="majorHAnsi" w:cstheme="majorHAnsi"/>
                <w:sz w:val="20"/>
                <w:szCs w:val="20"/>
              </w:rPr>
              <w:t>38,8</w:t>
            </w:r>
          </w:p>
        </w:tc>
        <w:tc>
          <w:tcPr>
            <w:tcW w:w="567" w:type="dxa"/>
            <w:vAlign w:val="center"/>
          </w:tcPr>
          <w:p w14:paraId="5A795D82" w14:textId="77777777" w:rsidR="00085789" w:rsidRDefault="00000000">
            <w:pPr>
              <w:keepNext/>
              <w:spacing w:line="240" w:lineRule="auto"/>
              <w:jc w:val="center"/>
              <w:rPr>
                <w:rFonts w:asciiTheme="majorHAnsi" w:hAnsiTheme="majorHAnsi" w:cstheme="majorHAnsi"/>
                <w:sz w:val="20"/>
                <w:szCs w:val="20"/>
                <w:lang w:val="vi-VN"/>
              </w:rPr>
            </w:pPr>
            <w:r>
              <w:rPr>
                <w:rFonts w:asciiTheme="majorHAnsi" w:hAnsiTheme="majorHAnsi" w:cstheme="majorHAnsi"/>
                <w:sz w:val="20"/>
                <w:szCs w:val="20"/>
              </w:rPr>
              <w:t>38,8</w:t>
            </w:r>
          </w:p>
        </w:tc>
      </w:tr>
      <w:tr w:rsidR="00085789" w14:paraId="0D970ACB" w14:textId="77777777">
        <w:trPr>
          <w:trHeight w:val="337"/>
          <w:jc w:val="center"/>
        </w:trPr>
        <w:tc>
          <w:tcPr>
            <w:tcW w:w="425" w:type="dxa"/>
            <w:vAlign w:val="center"/>
          </w:tcPr>
          <w:p w14:paraId="4948195F" w14:textId="77777777" w:rsidR="00085789" w:rsidRDefault="00000000">
            <w:pPr>
              <w:pStyle w:val="TableParagraph"/>
              <w:spacing w:before="33" w:line="285" w:lineRule="exact"/>
              <w:ind w:left="2"/>
              <w:jc w:val="center"/>
              <w:rPr>
                <w:rFonts w:asciiTheme="majorHAnsi" w:hAnsiTheme="majorHAnsi" w:cstheme="majorHAnsi"/>
                <w:sz w:val="20"/>
                <w:szCs w:val="20"/>
              </w:rPr>
            </w:pPr>
            <w:r>
              <w:rPr>
                <w:rFonts w:asciiTheme="majorHAnsi" w:hAnsiTheme="majorHAnsi" w:cstheme="majorHAnsi"/>
                <w:spacing w:val="-10"/>
                <w:sz w:val="20"/>
                <w:szCs w:val="20"/>
              </w:rPr>
              <w:t>2</w:t>
            </w:r>
          </w:p>
        </w:tc>
        <w:tc>
          <w:tcPr>
            <w:tcW w:w="567" w:type="dxa"/>
            <w:vAlign w:val="center"/>
          </w:tcPr>
          <w:p w14:paraId="6E023670" w14:textId="77777777" w:rsidR="00085789" w:rsidRDefault="00000000">
            <w:pPr>
              <w:pStyle w:val="TableParagraph"/>
              <w:spacing w:before="33" w:line="285" w:lineRule="exact"/>
              <w:ind w:left="26"/>
              <w:jc w:val="center"/>
              <w:rPr>
                <w:rFonts w:asciiTheme="majorHAnsi" w:hAnsiTheme="majorHAnsi" w:cstheme="majorHAnsi"/>
                <w:sz w:val="20"/>
                <w:szCs w:val="20"/>
              </w:rPr>
            </w:pPr>
            <w:r>
              <w:rPr>
                <w:rFonts w:asciiTheme="majorHAnsi" w:hAnsiTheme="majorHAnsi" w:cstheme="majorHAnsi"/>
                <w:sz w:val="20"/>
                <w:szCs w:val="20"/>
              </w:rPr>
              <w:t>Hòa Duyệt</w:t>
            </w:r>
          </w:p>
        </w:tc>
        <w:tc>
          <w:tcPr>
            <w:tcW w:w="709" w:type="dxa"/>
            <w:vAlign w:val="center"/>
          </w:tcPr>
          <w:p w14:paraId="65EF5A3A" w14:textId="77777777" w:rsidR="00085789" w:rsidRDefault="00000000">
            <w:pPr>
              <w:pStyle w:val="TableParagraph"/>
              <w:spacing w:before="33" w:line="285" w:lineRule="exact"/>
              <w:ind w:left="29"/>
              <w:jc w:val="center"/>
              <w:rPr>
                <w:rFonts w:asciiTheme="majorHAnsi" w:hAnsiTheme="majorHAnsi" w:cstheme="majorHAnsi"/>
                <w:sz w:val="20"/>
                <w:szCs w:val="20"/>
              </w:rPr>
            </w:pPr>
            <w:r>
              <w:rPr>
                <w:rFonts w:asciiTheme="majorHAnsi" w:hAnsiTheme="majorHAnsi" w:cstheme="majorHAnsi"/>
                <w:sz w:val="20"/>
                <w:szCs w:val="20"/>
              </w:rPr>
              <w:t>Ngàn Sâu</w:t>
            </w:r>
          </w:p>
        </w:tc>
        <w:tc>
          <w:tcPr>
            <w:tcW w:w="587" w:type="dxa"/>
            <w:vAlign w:val="center"/>
          </w:tcPr>
          <w:p w14:paraId="2A654082"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2</w:t>
            </w:r>
            <w:r>
              <w:rPr>
                <w:rFonts w:asciiTheme="majorHAnsi" w:hAnsiTheme="majorHAnsi" w:cstheme="majorHAnsi"/>
                <w:sz w:val="20"/>
                <w:szCs w:val="20"/>
                <w:lang w:val="vi-VN"/>
              </w:rPr>
              <w:t>.</w:t>
            </w:r>
            <w:r>
              <w:rPr>
                <w:rFonts w:asciiTheme="majorHAnsi" w:hAnsiTheme="majorHAnsi" w:cstheme="majorHAnsi"/>
                <w:sz w:val="20"/>
                <w:szCs w:val="20"/>
              </w:rPr>
              <w:t>060</w:t>
            </w:r>
          </w:p>
        </w:tc>
        <w:tc>
          <w:tcPr>
            <w:tcW w:w="567" w:type="dxa"/>
            <w:vAlign w:val="center"/>
          </w:tcPr>
          <w:p w14:paraId="0968821D"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1.060</w:t>
            </w:r>
          </w:p>
        </w:tc>
        <w:tc>
          <w:tcPr>
            <w:tcW w:w="567" w:type="dxa"/>
            <w:vAlign w:val="center"/>
          </w:tcPr>
          <w:p w14:paraId="09543F92"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1.520</w:t>
            </w:r>
          </w:p>
        </w:tc>
        <w:tc>
          <w:tcPr>
            <w:tcW w:w="567" w:type="dxa"/>
            <w:vAlign w:val="center"/>
          </w:tcPr>
          <w:p w14:paraId="00177DE3" w14:textId="77777777" w:rsidR="00085789" w:rsidRDefault="00000000">
            <w:pPr>
              <w:spacing w:line="320" w:lineRule="exact"/>
              <w:jc w:val="center"/>
              <w:rPr>
                <w:rFonts w:asciiTheme="majorHAnsi" w:hAnsiTheme="majorHAnsi" w:cstheme="majorHAnsi"/>
                <w:sz w:val="20"/>
                <w:szCs w:val="20"/>
              </w:rPr>
            </w:pPr>
            <w:r>
              <w:rPr>
                <w:rFonts w:asciiTheme="majorHAnsi" w:hAnsiTheme="majorHAnsi" w:cstheme="majorHAnsi"/>
                <w:sz w:val="20"/>
                <w:szCs w:val="20"/>
              </w:rPr>
              <w:t>2.110</w:t>
            </w:r>
          </w:p>
        </w:tc>
        <w:tc>
          <w:tcPr>
            <w:tcW w:w="567" w:type="dxa"/>
            <w:vAlign w:val="center"/>
          </w:tcPr>
          <w:p w14:paraId="204529A2" w14:textId="77777777" w:rsidR="00085789" w:rsidRDefault="00000000">
            <w:pPr>
              <w:keepNext/>
              <w:spacing w:line="320" w:lineRule="exact"/>
              <w:jc w:val="center"/>
              <w:rPr>
                <w:rFonts w:asciiTheme="majorHAnsi" w:hAnsiTheme="majorHAnsi" w:cstheme="majorHAnsi"/>
                <w:sz w:val="20"/>
                <w:szCs w:val="20"/>
                <w:lang w:val="vi-VN"/>
              </w:rPr>
            </w:pPr>
            <w:r>
              <w:rPr>
                <w:rFonts w:asciiTheme="majorHAnsi" w:hAnsiTheme="majorHAnsi" w:cstheme="majorHAnsi"/>
                <w:sz w:val="20"/>
                <w:szCs w:val="20"/>
              </w:rPr>
              <w:t>1</w:t>
            </w:r>
            <w:r>
              <w:rPr>
                <w:rFonts w:asciiTheme="majorHAnsi" w:hAnsiTheme="majorHAnsi" w:cstheme="majorHAnsi"/>
                <w:sz w:val="20"/>
                <w:szCs w:val="20"/>
                <w:lang w:val="vi-VN"/>
              </w:rPr>
              <w:t>.310</w:t>
            </w:r>
          </w:p>
        </w:tc>
        <w:tc>
          <w:tcPr>
            <w:tcW w:w="567" w:type="dxa"/>
            <w:vAlign w:val="center"/>
          </w:tcPr>
          <w:p w14:paraId="185B003A"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8,21</w:t>
            </w:r>
          </w:p>
        </w:tc>
        <w:tc>
          <w:tcPr>
            <w:tcW w:w="567" w:type="dxa"/>
            <w:vAlign w:val="center"/>
          </w:tcPr>
          <w:p w14:paraId="7624600C"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16,7</w:t>
            </w:r>
          </w:p>
        </w:tc>
        <w:tc>
          <w:tcPr>
            <w:tcW w:w="567" w:type="dxa"/>
            <w:vAlign w:val="center"/>
          </w:tcPr>
          <w:p w14:paraId="6C85A84A"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21,9</w:t>
            </w:r>
          </w:p>
        </w:tc>
        <w:tc>
          <w:tcPr>
            <w:tcW w:w="567" w:type="dxa"/>
            <w:vAlign w:val="center"/>
          </w:tcPr>
          <w:p w14:paraId="5E960981"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8,8</w:t>
            </w:r>
          </w:p>
        </w:tc>
        <w:tc>
          <w:tcPr>
            <w:tcW w:w="567" w:type="dxa"/>
            <w:vAlign w:val="center"/>
          </w:tcPr>
          <w:p w14:paraId="3CF785FC" w14:textId="77777777" w:rsidR="00085789" w:rsidRDefault="00000000">
            <w:pPr>
              <w:keepNext/>
              <w:spacing w:line="320" w:lineRule="exact"/>
              <w:jc w:val="center"/>
              <w:rPr>
                <w:rFonts w:asciiTheme="majorHAnsi" w:hAnsiTheme="majorHAnsi" w:cstheme="majorHAnsi"/>
                <w:sz w:val="20"/>
                <w:szCs w:val="20"/>
                <w:lang w:val="vi-VN"/>
              </w:rPr>
            </w:pPr>
            <w:r>
              <w:rPr>
                <w:rFonts w:asciiTheme="majorHAnsi" w:hAnsiTheme="majorHAnsi" w:cstheme="majorHAnsi"/>
                <w:sz w:val="20"/>
                <w:szCs w:val="20"/>
              </w:rPr>
              <w:t>15</w:t>
            </w:r>
            <w:r>
              <w:rPr>
                <w:rFonts w:asciiTheme="majorHAnsi" w:hAnsiTheme="majorHAnsi" w:cstheme="majorHAnsi"/>
                <w:sz w:val="20"/>
                <w:szCs w:val="20"/>
                <w:lang w:val="vi-VN"/>
              </w:rPr>
              <w:t>,0</w:t>
            </w:r>
          </w:p>
        </w:tc>
        <w:tc>
          <w:tcPr>
            <w:tcW w:w="567" w:type="dxa"/>
            <w:vAlign w:val="center"/>
          </w:tcPr>
          <w:p w14:paraId="7EDBF281"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140</w:t>
            </w:r>
          </w:p>
        </w:tc>
        <w:tc>
          <w:tcPr>
            <w:tcW w:w="567" w:type="dxa"/>
            <w:vAlign w:val="center"/>
          </w:tcPr>
          <w:p w14:paraId="56F33686"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125,8</w:t>
            </w:r>
          </w:p>
        </w:tc>
        <w:tc>
          <w:tcPr>
            <w:tcW w:w="709" w:type="dxa"/>
            <w:vAlign w:val="center"/>
          </w:tcPr>
          <w:p w14:paraId="4B7F8FAA"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104,2</w:t>
            </w:r>
          </w:p>
        </w:tc>
        <w:tc>
          <w:tcPr>
            <w:tcW w:w="567" w:type="dxa"/>
            <w:vAlign w:val="center"/>
          </w:tcPr>
          <w:p w14:paraId="77B7568E"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114,6</w:t>
            </w:r>
          </w:p>
        </w:tc>
        <w:tc>
          <w:tcPr>
            <w:tcW w:w="567" w:type="dxa"/>
            <w:vAlign w:val="center"/>
          </w:tcPr>
          <w:p w14:paraId="4F8071B5" w14:textId="77777777" w:rsidR="00085789" w:rsidRDefault="00000000">
            <w:pPr>
              <w:keepNext/>
              <w:spacing w:line="320" w:lineRule="exact"/>
              <w:jc w:val="center"/>
              <w:rPr>
                <w:rFonts w:asciiTheme="majorHAnsi" w:hAnsiTheme="majorHAnsi" w:cstheme="majorHAnsi"/>
                <w:sz w:val="20"/>
                <w:szCs w:val="20"/>
              </w:rPr>
            </w:pPr>
            <w:r>
              <w:rPr>
                <w:rFonts w:asciiTheme="majorHAnsi" w:hAnsiTheme="majorHAnsi" w:cstheme="majorHAnsi"/>
                <w:sz w:val="20"/>
                <w:szCs w:val="20"/>
              </w:rPr>
              <w:t>107</w:t>
            </w:r>
          </w:p>
        </w:tc>
      </w:tr>
    </w:tbl>
    <w:p w14:paraId="7685BFA5" w14:textId="77777777" w:rsidR="00085789" w:rsidRDefault="00085789">
      <w:pPr>
        <w:pStyle w:val="Hd2-hinh"/>
        <w:rPr>
          <w:color w:val="auto"/>
        </w:rPr>
      </w:pPr>
    </w:p>
    <w:p w14:paraId="04161C19" w14:textId="77777777" w:rsidR="00085789" w:rsidRDefault="00000000">
      <w:pPr>
        <w:pStyle w:val="Hd2-hinh"/>
        <w:rPr>
          <w:color w:val="auto"/>
        </w:rPr>
      </w:pPr>
      <w:r>
        <w:rPr>
          <w:noProof/>
          <w:color w:val="auto"/>
        </w:rPr>
        <w:lastRenderedPageBreak/>
        <w:drawing>
          <wp:anchor distT="0" distB="0" distL="114300" distR="114300" simplePos="0" relativeHeight="251821568" behindDoc="1" locked="0" layoutInCell="1" allowOverlap="1" wp14:anchorId="26ABA003" wp14:editId="2126515C">
            <wp:simplePos x="0" y="0"/>
            <wp:positionH relativeFrom="margin">
              <wp:posOffset>620395</wp:posOffset>
            </wp:positionH>
            <wp:positionV relativeFrom="paragraph">
              <wp:posOffset>130810</wp:posOffset>
            </wp:positionV>
            <wp:extent cx="5317490" cy="2806065"/>
            <wp:effectExtent l="0" t="0" r="16510" b="13335"/>
            <wp:wrapTight wrapText="bothSides">
              <wp:wrapPolygon edited="0">
                <wp:start x="0" y="0"/>
                <wp:lineTo x="0" y="21556"/>
                <wp:lineTo x="21590" y="21556"/>
                <wp:lineTo x="21590" y="0"/>
                <wp:lineTo x="0" y="0"/>
              </wp:wrapPolygon>
            </wp:wrapTight>
            <wp:docPr id="1546394990" name="Chart 1">
              <a:extLst xmlns:a="http://schemas.openxmlformats.org/drawingml/2006/main">
                <a:ext uri="{FF2B5EF4-FFF2-40B4-BE49-F238E27FC236}">
                  <a16:creationId xmlns:a16="http://schemas.microsoft.com/office/drawing/2014/main" id="{BEC8E881-8799-1FDF-EF95-D1FDD8744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p>
    <w:p w14:paraId="5F40A7FF" w14:textId="77777777" w:rsidR="00085789" w:rsidRDefault="00085789">
      <w:pPr>
        <w:pStyle w:val="Hd2-hinh"/>
        <w:rPr>
          <w:color w:val="auto"/>
        </w:rPr>
      </w:pPr>
    </w:p>
    <w:p w14:paraId="4E79D553" w14:textId="77777777" w:rsidR="00085789" w:rsidRDefault="00085789">
      <w:pPr>
        <w:pStyle w:val="Hd2-hinh"/>
        <w:rPr>
          <w:color w:val="auto"/>
        </w:rPr>
      </w:pPr>
    </w:p>
    <w:p w14:paraId="32F9BC60" w14:textId="77777777" w:rsidR="00085789" w:rsidRDefault="00085789">
      <w:pPr>
        <w:pStyle w:val="Hd2-hinh"/>
        <w:rPr>
          <w:color w:val="auto"/>
        </w:rPr>
      </w:pPr>
    </w:p>
    <w:p w14:paraId="31BC85F1" w14:textId="77777777" w:rsidR="00085789" w:rsidRDefault="00085789">
      <w:pPr>
        <w:pStyle w:val="Hd2-hinh"/>
        <w:rPr>
          <w:color w:val="auto"/>
        </w:rPr>
      </w:pPr>
    </w:p>
    <w:p w14:paraId="286B4AF0" w14:textId="77777777" w:rsidR="00085789" w:rsidRDefault="00085789">
      <w:pPr>
        <w:pStyle w:val="Hd2-hinh"/>
        <w:rPr>
          <w:color w:val="auto"/>
        </w:rPr>
      </w:pPr>
    </w:p>
    <w:p w14:paraId="3726B19B" w14:textId="77777777" w:rsidR="00085789" w:rsidRDefault="00085789">
      <w:pPr>
        <w:pStyle w:val="Hd2-hinh"/>
        <w:rPr>
          <w:color w:val="auto"/>
        </w:rPr>
      </w:pPr>
    </w:p>
    <w:p w14:paraId="627847AC" w14:textId="77777777" w:rsidR="00085789" w:rsidRDefault="00085789">
      <w:pPr>
        <w:pStyle w:val="Hd2-hinh"/>
        <w:rPr>
          <w:color w:val="auto"/>
        </w:rPr>
      </w:pPr>
    </w:p>
    <w:p w14:paraId="3B626C73" w14:textId="77777777" w:rsidR="00085789" w:rsidRDefault="00085789">
      <w:pPr>
        <w:pStyle w:val="-bac4"/>
        <w:spacing w:before="0" w:after="0" w:line="240" w:lineRule="auto"/>
      </w:pPr>
      <w:bookmarkStart w:id="188" w:name="_Toc205915636"/>
      <w:bookmarkStart w:id="189" w:name="_Toc213597336"/>
      <w:bookmarkStart w:id="190" w:name="_Toc213600727"/>
    </w:p>
    <w:p w14:paraId="49E73EE2" w14:textId="77777777" w:rsidR="00085789" w:rsidRDefault="00085789">
      <w:pPr>
        <w:pStyle w:val="-bac4"/>
        <w:spacing w:before="0" w:after="0" w:line="240" w:lineRule="auto"/>
      </w:pPr>
    </w:p>
    <w:p w14:paraId="47644C67" w14:textId="77777777" w:rsidR="00085789" w:rsidRDefault="00085789">
      <w:pPr>
        <w:pStyle w:val="-bac4"/>
        <w:spacing w:before="0" w:after="0" w:line="240" w:lineRule="auto"/>
      </w:pPr>
    </w:p>
    <w:p w14:paraId="6DD3DF43" w14:textId="77777777" w:rsidR="00085789" w:rsidRDefault="00085789">
      <w:pPr>
        <w:pStyle w:val="-bac4"/>
        <w:spacing w:before="0" w:after="0" w:line="240" w:lineRule="auto"/>
      </w:pPr>
    </w:p>
    <w:p w14:paraId="7428F0FE" w14:textId="77777777" w:rsidR="00085789" w:rsidRDefault="00085789">
      <w:pPr>
        <w:pStyle w:val="-bac4"/>
        <w:spacing w:before="0" w:after="0" w:line="240" w:lineRule="auto"/>
      </w:pPr>
    </w:p>
    <w:p w14:paraId="61B23097" w14:textId="77777777" w:rsidR="00085789" w:rsidRDefault="00000000">
      <w:pPr>
        <w:pStyle w:val="-bac4"/>
        <w:spacing w:before="0" w:after="0" w:line="240" w:lineRule="auto"/>
      </w:pPr>
      <w:r>
        <w:t>Hình 1.2. Biến động lưu lượng dòng chảy trung bình của trạm Hòa Duyệt và trạm Sơn Diệm từ năm 2020-2024</w:t>
      </w:r>
      <w:bookmarkEnd w:id="188"/>
      <w:bookmarkEnd w:id="189"/>
      <w:bookmarkEnd w:id="190"/>
    </w:p>
    <w:p w14:paraId="0BFEF57D" w14:textId="77777777" w:rsidR="00085789" w:rsidRDefault="00000000">
      <w:pPr>
        <w:pStyle w:val="bac2"/>
      </w:pPr>
      <w:bookmarkStart w:id="191" w:name="_Toc214311202"/>
      <w:r>
        <w:t>1.1.5. Về tài nguyên thiên nhiên</w:t>
      </w:r>
      <w:bookmarkEnd w:id="191"/>
    </w:p>
    <w:p w14:paraId="4F1C6DB6" w14:textId="77777777" w:rsidR="00085789" w:rsidRDefault="00000000">
      <w:pPr>
        <w:spacing w:before="120" w:line="240" w:lineRule="auto"/>
        <w:ind w:firstLine="720"/>
        <w:jc w:val="both"/>
        <w:rPr>
          <w:spacing w:val="-4"/>
          <w:sz w:val="26"/>
          <w:szCs w:val="26"/>
        </w:rPr>
      </w:pPr>
      <w:r>
        <w:rPr>
          <w:spacing w:val="-4"/>
          <w:sz w:val="26"/>
          <w:szCs w:val="26"/>
        </w:rPr>
        <w:t>Hà Tĩnh có tài nguyên thiên nhiên phong phú và đa dạng nhưng chưa phát huy được hết tiềm năng về tài nguyên này trong điều kiện hiện nay do nhiều yếu tố:</w:t>
      </w:r>
    </w:p>
    <w:p w14:paraId="10A9CCE4" w14:textId="77777777" w:rsidR="00085789" w:rsidRDefault="00000000">
      <w:pPr>
        <w:spacing w:before="120" w:line="240" w:lineRule="auto"/>
        <w:ind w:firstLine="720"/>
        <w:jc w:val="both"/>
        <w:rPr>
          <w:spacing w:val="-4"/>
          <w:sz w:val="26"/>
          <w:szCs w:val="26"/>
        </w:rPr>
      </w:pPr>
      <w:r>
        <w:rPr>
          <w:spacing w:val="-4"/>
          <w:sz w:val="26"/>
          <w:szCs w:val="26"/>
        </w:rPr>
        <w:t>- Tài nguyên đất:</w:t>
      </w:r>
    </w:p>
    <w:p w14:paraId="5D25FE46" w14:textId="77777777" w:rsidR="00085789" w:rsidRDefault="00000000">
      <w:pPr>
        <w:spacing w:before="120" w:line="240" w:lineRule="auto"/>
        <w:ind w:firstLine="709"/>
        <w:jc w:val="both"/>
        <w:rPr>
          <w:sz w:val="26"/>
          <w:szCs w:val="26"/>
        </w:rPr>
      </w:pPr>
      <w:r>
        <w:rPr>
          <w:sz w:val="26"/>
          <w:szCs w:val="26"/>
        </w:rPr>
        <w:t>Tài nguyên đất của Hà Tĩnh khá đa dạng, bao gồm 09 nhóm đất, trong đó: nhóm đất có diện tích lớn nhất là đất Acrisols (đất xám) có tỷ trọng 64,72 % diện tích tự nhiên; nhóm đất phù sa (Fluvisols) 16,98 % diện tích tự nhiên; nhóm đất cát (Arenosols) 6,47 % diện tích tự nhiên; nhóm đất tầng mỏng (Leptosols) 5,25 % diện tích tự nhiên, nhóm đất glây (Gleysols) 2,4 % diện tích tự nhiên; còn lại các nhóm đất khác có diện tích không đáng kể, phân bố rải rác trên toàn tỉnh.</w:t>
      </w:r>
    </w:p>
    <w:p w14:paraId="1598AD28" w14:textId="77777777" w:rsidR="00085789" w:rsidRDefault="00000000">
      <w:pPr>
        <w:spacing w:before="120" w:line="240" w:lineRule="auto"/>
        <w:ind w:firstLine="720"/>
        <w:jc w:val="both"/>
        <w:rPr>
          <w:spacing w:val="-4"/>
          <w:sz w:val="26"/>
          <w:szCs w:val="26"/>
        </w:rPr>
      </w:pPr>
      <w:r>
        <w:rPr>
          <w:i/>
          <w:iCs/>
          <w:sz w:val="26"/>
          <w:szCs w:val="26"/>
        </w:rPr>
        <w:t xml:space="preserve"> </w:t>
      </w:r>
      <w:r>
        <w:rPr>
          <w:spacing w:val="-4"/>
          <w:sz w:val="26"/>
          <w:szCs w:val="26"/>
        </w:rPr>
        <w:t xml:space="preserve">Tài nguyên đất của tỉnh khá thích hợp với nhiều loại cây trồng, đặc biệt là các loại cây dài ngày, cây ăn quả có múi. Tuy nhiên, do ảnh hưởng của BĐKH đã làm gia tăng hoạt động hủy hoại đất đai như: xói mòn, rửa trôi, khô hạn, ngập úng, lũ quét và sạt lở.  </w:t>
      </w:r>
    </w:p>
    <w:p w14:paraId="1D379653" w14:textId="77777777" w:rsidR="00085789" w:rsidRDefault="00000000">
      <w:pPr>
        <w:spacing w:before="120" w:line="240" w:lineRule="auto"/>
        <w:ind w:firstLine="720"/>
        <w:jc w:val="both"/>
        <w:rPr>
          <w:spacing w:val="-4"/>
          <w:sz w:val="26"/>
          <w:szCs w:val="26"/>
        </w:rPr>
      </w:pPr>
      <w:r>
        <w:rPr>
          <w:spacing w:val="-4"/>
          <w:sz w:val="26"/>
          <w:szCs w:val="26"/>
        </w:rPr>
        <w:t>- Tài nguyên rừng:</w:t>
      </w:r>
    </w:p>
    <w:p w14:paraId="788EA9DE" w14:textId="77777777" w:rsidR="00085789" w:rsidRDefault="00000000">
      <w:pPr>
        <w:spacing w:before="120" w:line="240" w:lineRule="auto"/>
        <w:ind w:firstLine="709"/>
        <w:jc w:val="both"/>
        <w:rPr>
          <w:sz w:val="26"/>
          <w:szCs w:val="26"/>
        </w:rPr>
      </w:pPr>
      <w:r>
        <w:rPr>
          <w:sz w:val="26"/>
          <w:szCs w:val="26"/>
        </w:rPr>
        <w:t>Là một trong những tỉnh có tài nguyên rừng tương đối lớn so với cả nước (gồm: diện tích rừng và đất có rừng). Toàn tỉnh hiện có 358.472 ha rừng và đất lâm nghiệp (chiếm 60 % diện tích tự nhiên) trong đó: rừng đặc dụng 74.501 ha (chiếm 20,8 % đất lâm nghiệp có rừng); rừng phòng hộ 115.971 ha (chiếm 32,4 % đất lâm nghiệp có rừng); rừng sản xuất 168.000 ha (chiếm 46,9 % đất lâm nghiệp có rừng). Tỷ lệ che phủ rừng từ năm 2021 - 2024 đạt trên 52 %, năm 2025 đạt 48,9 %</w:t>
      </w:r>
      <w:r>
        <w:t xml:space="preserve"> do </w:t>
      </w:r>
      <w:r>
        <w:rPr>
          <w:sz w:val="26"/>
          <w:szCs w:val="26"/>
        </w:rPr>
        <w:t>giảm diện tích rừng đủ tiêu chí thành rừng (tính tỷ lệ che phủ) bị thiệt hại do bão số 5, số 10 gây ra trên địa bàn tỉnh (có khoảng 20.000 ha rừng trồng bị thiệt hại, không đủ tiêu chí thành rừng).</w:t>
      </w:r>
    </w:p>
    <w:p w14:paraId="1417A0F0" w14:textId="77777777" w:rsidR="00085789" w:rsidRDefault="00000000">
      <w:pPr>
        <w:spacing w:before="120" w:line="240" w:lineRule="auto"/>
        <w:ind w:firstLine="720"/>
        <w:jc w:val="both"/>
        <w:rPr>
          <w:spacing w:val="-4"/>
          <w:sz w:val="26"/>
          <w:szCs w:val="26"/>
        </w:rPr>
      </w:pPr>
      <w:r>
        <w:rPr>
          <w:spacing w:val="-4"/>
          <w:sz w:val="26"/>
          <w:szCs w:val="26"/>
        </w:rPr>
        <w:t>Tài nguyên rừng có vai trò hết sức quan trọng không chỉ trong phát triển kinh tế của tỉnh mà còn có chức năng phòng hộ và bảo vệ cảnh quan môi trường, giảm nhẹ thiên tai, phòng chống xói lở, xâm thực và giúp giữ vững cân bằng sinh thái cho tỉnh Hà Tĩnh cũng như vùng Bắc Trung Bộ.</w:t>
      </w:r>
    </w:p>
    <w:p w14:paraId="6985D141" w14:textId="77777777" w:rsidR="00085789" w:rsidRDefault="00000000">
      <w:pPr>
        <w:spacing w:before="120" w:line="240" w:lineRule="auto"/>
        <w:ind w:firstLine="720"/>
        <w:jc w:val="both"/>
        <w:rPr>
          <w:spacing w:val="-4"/>
          <w:sz w:val="26"/>
          <w:szCs w:val="26"/>
        </w:rPr>
      </w:pPr>
      <w:r>
        <w:rPr>
          <w:spacing w:val="-4"/>
          <w:sz w:val="26"/>
          <w:szCs w:val="26"/>
        </w:rPr>
        <w:lastRenderedPageBreak/>
        <w:t>- Tài nguyên nước:</w:t>
      </w:r>
    </w:p>
    <w:p w14:paraId="4DB9A20C" w14:textId="77777777" w:rsidR="00085789" w:rsidRDefault="00000000">
      <w:pPr>
        <w:spacing w:before="120" w:line="240" w:lineRule="auto"/>
        <w:ind w:firstLine="709"/>
        <w:jc w:val="both"/>
        <w:rPr>
          <w:sz w:val="26"/>
          <w:szCs w:val="26"/>
        </w:rPr>
      </w:pPr>
      <w:r>
        <w:rPr>
          <w:sz w:val="26"/>
          <w:szCs w:val="26"/>
        </w:rPr>
        <w:t>Nguồn nước mặt ở Hà Tĩnh khá phong phú nhờ hệ thống ao hồ sông ngòi dày đặc. Do có nhiều cửa sông, cửa lạch nên đã tạo ra những bãi triều rộng lớn, tạo thuận lợi cho phát triển NTST nước mặn lợ cũng như nước ngọt. Ngoài ra, ở vùng cửa sông và các eo vịnh cũng có khả năng phát triển NTTS lồng bè. Nguồn lợi thủy sản nước lợ ở Hà Tĩnh khá phong phú về cả số lượng và thành phần loài như: tôm sú, tôm he, tôm rảo, tôm gai; và cá nước lợ cũng có nhiều loài có giá trị kinh tế cao như: cá đối, cá sú vàng,…. Bên cạnh đó, có cua, ghẹ, rong biển và các loài nhiễm thể.</w:t>
      </w:r>
    </w:p>
    <w:p w14:paraId="658A94BA" w14:textId="77777777" w:rsidR="00085789" w:rsidRDefault="00000000">
      <w:pPr>
        <w:spacing w:before="120" w:line="240" w:lineRule="auto"/>
        <w:ind w:firstLine="709"/>
        <w:jc w:val="both"/>
        <w:rPr>
          <w:sz w:val="26"/>
          <w:szCs w:val="26"/>
        </w:rPr>
      </w:pPr>
      <w:r>
        <w:rPr>
          <w:sz w:val="26"/>
          <w:szCs w:val="26"/>
        </w:rPr>
        <w:t>Tuy khối lượng mặt nước ngọt, mặn và lợ ở Hà Tĩnh lớn nhưng do hệ thống kênh cấp nước cho thủy sản còn chưa đầy đủ nên việc NTTS còn bị hạn chế. Bên cạnh đó, do đặc điểm địa hình ở Hà Tĩnh có dãy Trường Sơn chạy theo hướng Tây Bắc - Đông Nam và Đèo Ngang lấn ra biển, cùng với dãy Trà Sơn, Hồng Lĩnh và một số ngọn núi khác chia cắt địa hình nên đã tạo thành vách núi chắn gió dài hàng chục km, làm cho mạng lưới sông ngòi ở Hà Tĩnh có độ uốn khúc lớn. Địa hình một số nơi còn cao nên việc cấp nước vào ao chủ yếu phải dùng máy bơm, gây tốn kém nhiên liệu và khả năng giữ nước trong ao, đầm khó khăn.</w:t>
      </w:r>
    </w:p>
    <w:p w14:paraId="107892C4" w14:textId="77777777" w:rsidR="00085789" w:rsidRDefault="00000000">
      <w:pPr>
        <w:spacing w:before="120" w:line="240" w:lineRule="auto"/>
        <w:ind w:firstLine="709"/>
        <w:jc w:val="both"/>
        <w:rPr>
          <w:spacing w:val="-4"/>
          <w:sz w:val="26"/>
          <w:szCs w:val="26"/>
        </w:rPr>
      </w:pPr>
      <w:r>
        <w:rPr>
          <w:spacing w:val="-4"/>
          <w:sz w:val="26"/>
          <w:szCs w:val="26"/>
        </w:rPr>
        <w:t>- Tài nguyên biển của Hà Tĩnh khá đa dạng:</w:t>
      </w:r>
    </w:p>
    <w:p w14:paraId="7CA331F5" w14:textId="77777777" w:rsidR="00085789" w:rsidRDefault="00000000">
      <w:pPr>
        <w:spacing w:before="120" w:line="240" w:lineRule="auto"/>
        <w:ind w:firstLine="709"/>
        <w:jc w:val="both"/>
        <w:rPr>
          <w:sz w:val="26"/>
          <w:szCs w:val="26"/>
        </w:rPr>
      </w:pPr>
      <w:r>
        <w:rPr>
          <w:sz w:val="26"/>
          <w:szCs w:val="26"/>
        </w:rPr>
        <w:t>Hà Tĩnh có đường bờ biển dài 137 km, là một trong những tỉnh có bờ biển dài nhất cả nước, với diện tích mặt nước là 18.400 km</w:t>
      </w:r>
      <w:r>
        <w:rPr>
          <w:sz w:val="26"/>
          <w:szCs w:val="26"/>
          <w:vertAlign w:val="superscript"/>
        </w:rPr>
        <w:t>2</w:t>
      </w:r>
      <w:r>
        <w:rPr>
          <w:sz w:val="26"/>
          <w:szCs w:val="26"/>
        </w:rPr>
        <w:t>, có 04 sông lớn được hợp thành bởi các nhánh sông (sông La, Cửa Sót, Cửa Nhượng, Cửa Khẩu) và nhiều vũng, vịnh nước sâu nên đã tạo thuận lợi để phát triển các ngành kinh tế biển như: du lịch biển, xây dựng các cảng biển, cảng cá, đánh bắt và NTTS cũng như phát triển vận tải đường biển. Nước biển Hà Tĩnh có nồng độ muối cao, chất lượng môi trường tốt nên có nhiều thuận lợi để phát triển nghề muối phục vụ cho sinh hoạt và công nghiệp, với sản lượng khai thác hàng năm khoảng 35 ngàn tấn.</w:t>
      </w:r>
    </w:p>
    <w:p w14:paraId="1BC06C28" w14:textId="77777777" w:rsidR="00085789" w:rsidRDefault="00000000">
      <w:pPr>
        <w:spacing w:before="120" w:line="240" w:lineRule="auto"/>
        <w:ind w:firstLine="720"/>
        <w:jc w:val="both"/>
        <w:rPr>
          <w:spacing w:val="-4"/>
          <w:sz w:val="26"/>
          <w:szCs w:val="26"/>
        </w:rPr>
      </w:pPr>
      <w:r>
        <w:rPr>
          <w:sz w:val="26"/>
          <w:szCs w:val="26"/>
        </w:rPr>
        <w:t xml:space="preserve">- Tài nguyên khoáng sản: Hà Tĩnh là địa phương có nguồn tài nguyên khoáng sản phong phú và đa dạng, một số loại khoáng sản có trữ lượng lớn, trong đó có các khoáng sản như: sắt, mangan, titan, vàng, thiếc, kaolin, sericit, quaczit, đá xây dựng, sét, cát, cuội sỏi,…. Các khoáng sản này là nguồn lực rất quan trọng và có ý nghĩa rất lớn trong phát triển kinh tế của tỉnh, một số loại khoảng sản nổi bật như: sắt, titan, khoáng chất công nghiệp (Sericit, thạch anh, cao lanh,…). </w:t>
      </w:r>
      <w:r>
        <w:rPr>
          <w:spacing w:val="-4"/>
          <w:sz w:val="26"/>
          <w:szCs w:val="26"/>
        </w:rPr>
        <w:t>Mặc dù tài nguyên khoáng sản trên địa bàn tỉnh khá phong phú, nhưng một số tài nguyên như: titan, mangan cũng không còn nhiều trữ lượng để khai thác; một số tài nguyên khác như: than bùn, than đá, cát thủy tinh,… thì nằm rải rác ở nhiều xã nên khó khăn cho công tác khai thác, chế biến.</w:t>
      </w:r>
    </w:p>
    <w:p w14:paraId="40020097" w14:textId="77777777" w:rsidR="00085789" w:rsidRDefault="00000000">
      <w:pPr>
        <w:pStyle w:val="bac2"/>
        <w:rPr>
          <w:rFonts w:asciiTheme="minorHAnsi" w:hAnsiTheme="minorHAnsi"/>
          <w:smallCaps/>
        </w:rPr>
      </w:pPr>
      <w:bookmarkStart w:id="192" w:name="_Toc90026973"/>
      <w:bookmarkStart w:id="193" w:name="_Toc138943328"/>
      <w:bookmarkStart w:id="194" w:name="_Toc138977208"/>
      <w:bookmarkStart w:id="195" w:name="_Toc142915241"/>
      <w:bookmarkStart w:id="196" w:name="_Toc142919476"/>
      <w:bookmarkStart w:id="197" w:name="_Toc181861325"/>
      <w:bookmarkStart w:id="198" w:name="_Toc181861936"/>
      <w:bookmarkStart w:id="199" w:name="_Toc193957568"/>
      <w:bookmarkStart w:id="200" w:name="_Toc214311203"/>
      <w:r>
        <w:rPr>
          <w:lang w:val="vi-VN"/>
        </w:rPr>
        <w:t>1.</w:t>
      </w:r>
      <w:r>
        <w:t>2</w:t>
      </w:r>
      <w:r>
        <w:rPr>
          <w:lang w:val="vi-VN"/>
        </w:rPr>
        <w:t xml:space="preserve">. Tình hình phát triển </w:t>
      </w:r>
      <w:bookmarkEnd w:id="192"/>
      <w:bookmarkEnd w:id="193"/>
      <w:bookmarkEnd w:id="194"/>
      <w:bookmarkEnd w:id="195"/>
      <w:bookmarkEnd w:id="196"/>
      <w:bookmarkEnd w:id="197"/>
      <w:bookmarkEnd w:id="198"/>
      <w:bookmarkEnd w:id="199"/>
      <w:r>
        <w:rPr>
          <w:rFonts w:ascii="Times New Roman" w:hAnsi="Times New Roman"/>
        </w:rPr>
        <w:t>KT-XH</w:t>
      </w:r>
      <w:bookmarkEnd w:id="200"/>
    </w:p>
    <w:p w14:paraId="27DD7454" w14:textId="77777777" w:rsidR="00085789" w:rsidRDefault="00000000">
      <w:pPr>
        <w:pStyle w:val="bac2"/>
        <w:rPr>
          <w:smallCaps/>
          <w:lang w:eastAsia="ja-JP"/>
        </w:rPr>
      </w:pPr>
      <w:bookmarkStart w:id="201" w:name="_Toc90026974"/>
      <w:bookmarkStart w:id="202" w:name="_Toc138943329"/>
      <w:bookmarkStart w:id="203" w:name="_Toc138977209"/>
      <w:bookmarkStart w:id="204" w:name="_Toc142915242"/>
      <w:bookmarkStart w:id="205" w:name="_Toc142919477"/>
      <w:bookmarkStart w:id="206" w:name="_Toc181861326"/>
      <w:bookmarkStart w:id="207" w:name="_Toc181861937"/>
      <w:bookmarkStart w:id="208" w:name="_Toc193957569"/>
      <w:bookmarkStart w:id="209" w:name="_Toc214311204"/>
      <w:r>
        <w:rPr>
          <w:lang w:eastAsia="ja-JP"/>
        </w:rPr>
        <w:t xml:space="preserve">1.2.1. </w:t>
      </w:r>
      <w:bookmarkEnd w:id="201"/>
      <w:bookmarkEnd w:id="202"/>
      <w:bookmarkEnd w:id="203"/>
      <w:bookmarkEnd w:id="204"/>
      <w:bookmarkEnd w:id="205"/>
      <w:bookmarkEnd w:id="206"/>
      <w:bookmarkEnd w:id="207"/>
      <w:bookmarkEnd w:id="208"/>
      <w:r>
        <w:rPr>
          <w:lang w:eastAsia="ja-JP"/>
        </w:rPr>
        <w:t>Tình hình phát triển kinh tế</w:t>
      </w:r>
      <w:bookmarkEnd w:id="209"/>
    </w:p>
    <w:p w14:paraId="75C47B53" w14:textId="77777777" w:rsidR="00085789" w:rsidRDefault="00000000">
      <w:pPr>
        <w:pStyle w:val="hd1"/>
        <w:spacing w:before="120" w:after="0" w:line="240" w:lineRule="auto"/>
        <w:ind w:firstLine="709"/>
        <w:rPr>
          <w:rFonts w:ascii="Times New Roman" w:hAnsi="Times New Roman" w:cs="Times New Roman"/>
          <w:b w:val="0"/>
          <w:bCs/>
          <w:smallCaps/>
          <w:color w:val="auto"/>
          <w:spacing w:val="-2"/>
          <w:sz w:val="26"/>
        </w:rPr>
      </w:pPr>
      <w:r>
        <w:rPr>
          <w:rFonts w:ascii="Times New Roman" w:hAnsi="Times New Roman"/>
          <w:b w:val="0"/>
          <w:bCs/>
          <w:color w:val="auto"/>
          <w:spacing w:val="-2"/>
          <w:sz w:val="26"/>
        </w:rPr>
        <w:t xml:space="preserve">Trong giai đoạn 2021-2025, tốc độ tăng trưởng kinh tế đạt bình quân 6,4 %/năm, cơ cấu kinh tế tiếp tục chuyển dịch theo hướng tích cực, tăng dần tỷ trọng khu vực </w:t>
      </w:r>
      <w:r>
        <w:rPr>
          <w:rFonts w:ascii="Times New Roman" w:hAnsi="Times New Roman"/>
          <w:b w:val="0"/>
          <w:bCs/>
          <w:color w:val="auto"/>
          <w:sz w:val="26"/>
        </w:rPr>
        <w:t>công nghiệp và xây dựng và khu vực dịch vụ, giảm dần tỷ trọng khu vực nông, lâm nghiệp và thủy sản, cụ thể: Khu vực công nghiệp và xây dựng chiếm tỷ trọng lớn nhất trong cơ cấu kinh tế của tỉnh qua tất cả các năm, chiếm khoảng 41 % GRDP, cao nhất vào năm 2021 (43,95 %); khu vực dịch vụ ổn định ở mức khoảng 30-35 % và có xu hướng tăng nhẹ qua các năm; khu vực nông, lâm nghiệp và thuỷ sản có xu hướng giảm dần qua từng năm, từ k</w:t>
      </w:r>
      <w:r>
        <w:rPr>
          <w:rFonts w:ascii="Times New Roman" w:hAnsi="Times New Roman" w:cs="Times New Roman"/>
          <w:b w:val="0"/>
          <w:bCs/>
          <w:color w:val="auto"/>
          <w:sz w:val="26"/>
        </w:rPr>
        <w:t xml:space="preserve">hoảng 16,3 % năm 2020 giảm còn 14,07 % năm </w:t>
      </w:r>
      <w:r>
        <w:rPr>
          <w:rFonts w:ascii="Times New Roman" w:hAnsi="Times New Roman"/>
          <w:b w:val="0"/>
          <w:color w:val="auto"/>
          <w:sz w:val="26"/>
        </w:rPr>
        <w:t>2024; tỷ trọng thuế sản phẩm trừ trợ cấp sản phẩm trong GRDP duy trì ở mức thấp (khoảng 8,62-10 %) và không có biến động lớn.</w:t>
      </w:r>
      <w:r>
        <w:rPr>
          <w:rFonts w:ascii="Times New Roman" w:hAnsi="Times New Roman"/>
          <w:b w:val="0"/>
          <w:color w:val="auto"/>
        </w:rPr>
        <w:t xml:space="preserve">  </w:t>
      </w:r>
    </w:p>
    <w:p w14:paraId="0DBC23EE" w14:textId="77777777" w:rsidR="00085789" w:rsidRDefault="00000000">
      <w:pPr>
        <w:pStyle w:val="hd1"/>
        <w:ind w:firstLine="567"/>
        <w:rPr>
          <w:rFonts w:ascii="Times New Roman" w:hAnsi="Times New Roman"/>
          <w:b w:val="0"/>
          <w:bCs/>
          <w:smallCaps/>
          <w:color w:val="auto"/>
          <w:spacing w:val="-2"/>
          <w:sz w:val="26"/>
        </w:rPr>
      </w:pPr>
      <w:r>
        <w:rPr>
          <w:noProof/>
          <w:color w:val="auto"/>
        </w:rPr>
        <w:lastRenderedPageBreak/>
        <w:drawing>
          <wp:anchor distT="0" distB="0" distL="114300" distR="114300" simplePos="0" relativeHeight="251822592" behindDoc="1" locked="0" layoutInCell="1" allowOverlap="1" wp14:anchorId="560BE7B9" wp14:editId="21C591FB">
            <wp:simplePos x="0" y="0"/>
            <wp:positionH relativeFrom="page">
              <wp:posOffset>1414780</wp:posOffset>
            </wp:positionH>
            <wp:positionV relativeFrom="paragraph">
              <wp:posOffset>91440</wp:posOffset>
            </wp:positionV>
            <wp:extent cx="5350510" cy="2870200"/>
            <wp:effectExtent l="0" t="0" r="2540" b="6350"/>
            <wp:wrapTight wrapText="bothSides">
              <wp:wrapPolygon edited="0">
                <wp:start x="0" y="0"/>
                <wp:lineTo x="0" y="21504"/>
                <wp:lineTo x="21533" y="21504"/>
                <wp:lineTo x="21533" y="0"/>
                <wp:lineTo x="0" y="0"/>
              </wp:wrapPolygon>
            </wp:wrapTight>
            <wp:docPr id="1105536499" name="Chart 1">
              <a:extLst xmlns:a="http://schemas.openxmlformats.org/drawingml/2006/main">
                <a:ext uri="{FF2B5EF4-FFF2-40B4-BE49-F238E27FC236}">
                  <a16:creationId xmlns:a16="http://schemas.microsoft.com/office/drawing/2014/main" id="{1BC85849-B9A5-8599-7E19-016DFF3774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p>
    <w:p w14:paraId="05BB0FD8" w14:textId="77777777" w:rsidR="00085789" w:rsidRDefault="00085789">
      <w:pPr>
        <w:pStyle w:val="hd1"/>
        <w:ind w:firstLine="567"/>
        <w:rPr>
          <w:rFonts w:ascii="Times New Roman" w:hAnsi="Times New Roman"/>
          <w:b w:val="0"/>
          <w:bCs/>
          <w:smallCaps/>
          <w:color w:val="auto"/>
          <w:spacing w:val="-2"/>
          <w:sz w:val="26"/>
        </w:rPr>
      </w:pPr>
    </w:p>
    <w:p w14:paraId="745B95A7" w14:textId="77777777" w:rsidR="00085789" w:rsidRDefault="00085789">
      <w:pPr>
        <w:pStyle w:val="hd1"/>
        <w:ind w:firstLine="567"/>
        <w:rPr>
          <w:rFonts w:ascii="Times New Roman" w:hAnsi="Times New Roman"/>
          <w:b w:val="0"/>
          <w:bCs/>
          <w:smallCaps/>
          <w:color w:val="auto"/>
          <w:spacing w:val="-2"/>
          <w:sz w:val="26"/>
        </w:rPr>
      </w:pPr>
    </w:p>
    <w:p w14:paraId="78890CBE" w14:textId="77777777" w:rsidR="00085789" w:rsidRDefault="00085789">
      <w:pPr>
        <w:pStyle w:val="hd1"/>
        <w:ind w:firstLine="567"/>
        <w:rPr>
          <w:rFonts w:ascii="Times New Roman" w:hAnsi="Times New Roman"/>
          <w:b w:val="0"/>
          <w:bCs/>
          <w:smallCaps/>
          <w:color w:val="auto"/>
          <w:spacing w:val="-2"/>
          <w:sz w:val="26"/>
        </w:rPr>
      </w:pPr>
    </w:p>
    <w:p w14:paraId="3CBAD693" w14:textId="77777777" w:rsidR="00085789" w:rsidRDefault="00085789">
      <w:pPr>
        <w:pStyle w:val="hd1"/>
        <w:ind w:firstLine="567"/>
        <w:rPr>
          <w:rFonts w:ascii="Times New Roman" w:hAnsi="Times New Roman"/>
          <w:b w:val="0"/>
          <w:bCs/>
          <w:smallCaps/>
          <w:color w:val="auto"/>
          <w:spacing w:val="-2"/>
          <w:sz w:val="26"/>
        </w:rPr>
      </w:pPr>
    </w:p>
    <w:p w14:paraId="66C6A17D" w14:textId="77777777" w:rsidR="00085789" w:rsidRDefault="00085789">
      <w:pPr>
        <w:pStyle w:val="hd1"/>
        <w:ind w:firstLine="567"/>
        <w:rPr>
          <w:rFonts w:ascii="Times New Roman" w:hAnsi="Times New Roman"/>
          <w:b w:val="0"/>
          <w:bCs/>
          <w:smallCaps/>
          <w:color w:val="auto"/>
          <w:spacing w:val="-2"/>
          <w:sz w:val="26"/>
        </w:rPr>
      </w:pPr>
    </w:p>
    <w:p w14:paraId="6D2E1B50" w14:textId="77777777" w:rsidR="00085789" w:rsidRDefault="00085789">
      <w:pPr>
        <w:pStyle w:val="hd1"/>
        <w:ind w:firstLine="567"/>
        <w:rPr>
          <w:rFonts w:ascii="Times New Roman" w:hAnsi="Times New Roman"/>
          <w:b w:val="0"/>
          <w:bCs/>
          <w:smallCaps/>
          <w:color w:val="auto"/>
          <w:spacing w:val="-2"/>
          <w:sz w:val="26"/>
        </w:rPr>
      </w:pPr>
    </w:p>
    <w:p w14:paraId="1CDAC347" w14:textId="77777777" w:rsidR="00085789" w:rsidRDefault="00085789">
      <w:pPr>
        <w:pStyle w:val="hd1"/>
        <w:ind w:firstLine="567"/>
        <w:rPr>
          <w:rFonts w:ascii="Times New Roman" w:hAnsi="Times New Roman"/>
          <w:b w:val="0"/>
          <w:bCs/>
          <w:smallCaps/>
          <w:color w:val="auto"/>
          <w:spacing w:val="-2"/>
          <w:sz w:val="26"/>
        </w:rPr>
      </w:pPr>
    </w:p>
    <w:p w14:paraId="0F822DF9" w14:textId="77777777" w:rsidR="00085789" w:rsidRDefault="00085789">
      <w:pPr>
        <w:pStyle w:val="hd1"/>
        <w:ind w:firstLine="567"/>
        <w:rPr>
          <w:rFonts w:ascii="Times New Roman" w:hAnsi="Times New Roman"/>
          <w:b w:val="0"/>
          <w:bCs/>
          <w:smallCaps/>
          <w:color w:val="auto"/>
          <w:spacing w:val="-2"/>
          <w:sz w:val="26"/>
        </w:rPr>
      </w:pPr>
    </w:p>
    <w:p w14:paraId="102A5F42" w14:textId="77777777" w:rsidR="00085789" w:rsidRDefault="00000000">
      <w:pPr>
        <w:pStyle w:val="hd1"/>
        <w:ind w:firstLine="567"/>
        <w:rPr>
          <w:rFonts w:ascii="Times New Roman" w:hAnsi="Times New Roman"/>
          <w:b w:val="0"/>
          <w:bCs/>
          <w:smallCaps/>
          <w:color w:val="auto"/>
          <w:spacing w:val="-2"/>
          <w:sz w:val="26"/>
        </w:rPr>
      </w:pPr>
      <w:r>
        <w:rPr>
          <w:rFonts w:ascii="Times New Roman" w:hAnsi="Times New Roman"/>
          <w:b w:val="0"/>
          <w:bCs/>
          <w:smallCaps/>
          <w:noProof/>
          <w:color w:val="auto"/>
          <w:spacing w:val="-2"/>
          <w:sz w:val="26"/>
        </w:rPr>
        <mc:AlternateContent>
          <mc:Choice Requires="wps">
            <w:drawing>
              <wp:anchor distT="0" distB="0" distL="114300" distR="114300" simplePos="0" relativeHeight="251629056" behindDoc="1" locked="0" layoutInCell="1" allowOverlap="1" wp14:anchorId="337E01A2" wp14:editId="04116737">
                <wp:simplePos x="0" y="0"/>
                <wp:positionH relativeFrom="column">
                  <wp:posOffset>763574</wp:posOffset>
                </wp:positionH>
                <wp:positionV relativeFrom="paragraph">
                  <wp:posOffset>582543</wp:posOffset>
                </wp:positionV>
                <wp:extent cx="4694555" cy="368300"/>
                <wp:effectExtent l="0" t="0" r="0" b="0"/>
                <wp:wrapTight wrapText="bothSides">
                  <wp:wrapPolygon edited="0">
                    <wp:start x="263" y="0"/>
                    <wp:lineTo x="263" y="20110"/>
                    <wp:lineTo x="21299" y="20110"/>
                    <wp:lineTo x="21299" y="0"/>
                    <wp:lineTo x="263" y="0"/>
                  </wp:wrapPolygon>
                </wp:wrapTight>
                <wp:docPr id="11" name="Text Box 11"/>
                <wp:cNvGraphicFramePr/>
                <a:graphic xmlns:a="http://schemas.openxmlformats.org/drawingml/2006/main">
                  <a:graphicData uri="http://schemas.microsoft.com/office/word/2010/wordprocessingShape">
                    <wps:wsp>
                      <wps:cNvSpPr txBox="1"/>
                      <wps:spPr>
                        <a:xfrm>
                          <a:off x="0" y="0"/>
                          <a:ext cx="4694555" cy="3683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9BC308" w14:textId="77777777" w:rsidR="00085789" w:rsidRDefault="00000000">
                            <w:pPr>
                              <w:pStyle w:val="-bac4"/>
                            </w:pPr>
                            <w:bookmarkStart w:id="210" w:name="_Toc138977210"/>
                            <w:bookmarkStart w:id="211" w:name="_Toc142919478"/>
                            <w:bookmarkStart w:id="212" w:name="_Toc181861327"/>
                            <w:bookmarkStart w:id="213" w:name="_Toc184097420"/>
                            <w:bookmarkStart w:id="214" w:name="_Toc193957570"/>
                            <w:bookmarkStart w:id="215" w:name="_Toc205915640"/>
                            <w:bookmarkStart w:id="216" w:name="_Toc213597340"/>
                            <w:bookmarkStart w:id="217" w:name="_Toc213600728"/>
                            <w:r>
                              <w:t>Hình 1.3. Cơ cấu kinh tế</w:t>
                            </w:r>
                            <w:bookmarkEnd w:id="210"/>
                            <w:bookmarkEnd w:id="211"/>
                            <w:bookmarkEnd w:id="212"/>
                            <w:bookmarkEnd w:id="213"/>
                            <w:bookmarkEnd w:id="214"/>
                            <w:r>
                              <w:t xml:space="preserve"> tỉnh Hà Tĩnh từ năm 2020-2024</w:t>
                            </w:r>
                            <w:bookmarkEnd w:id="215"/>
                            <w:bookmarkEnd w:id="216"/>
                            <w:bookmarkEnd w:id="21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B6F9F0" id="Text Box 11" o:spid="_x0000_s1028" type="#_x0000_t202" style="position:absolute;left:0;text-align:left;margin-left:60.1pt;margin-top:45.85pt;width:369.65pt;height:2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" filled="f" stroked="f" strokeweight=".5pt">
                <v:textbox>
                  <w:txbxContent>
                    <w:p w14:paraId="2A273E53" w14:textId="0C28FDB7" w:rsidR="000E0CEF" w:rsidRDefault="000E0CEF">
                      <w:pPr>
                        <w:pStyle w:val="-bac4"/>
                      </w:pPr>
                      <w:bookmarkStart w:id="229" w:name="_Toc138977210"/>
                      <w:bookmarkStart w:id="230" w:name="_Toc142919478"/>
                      <w:bookmarkStart w:id="231" w:name="_Toc181861327"/>
                      <w:bookmarkStart w:id="232" w:name="_Toc184097420"/>
                      <w:bookmarkStart w:id="233" w:name="_Toc193957570"/>
                      <w:bookmarkStart w:id="234" w:name="_Toc205915640"/>
                      <w:bookmarkStart w:id="235" w:name="_Toc213597340"/>
                      <w:bookmarkStart w:id="236" w:name="_Toc213600728"/>
                      <w:r>
                        <w:t>Hình 1.</w:t>
                      </w:r>
                      <w:r w:rsidR="00F17F42">
                        <w:t>3</w:t>
                      </w:r>
                      <w:r>
                        <w:t>. Cơ cấu kinh tế</w:t>
                      </w:r>
                      <w:bookmarkEnd w:id="229"/>
                      <w:bookmarkEnd w:id="230"/>
                      <w:bookmarkEnd w:id="231"/>
                      <w:bookmarkEnd w:id="232"/>
                      <w:bookmarkEnd w:id="233"/>
                      <w:r>
                        <w:t xml:space="preserve"> tỉnh Hà Tĩnh từ năm 2020-2024</w:t>
                      </w:r>
                      <w:bookmarkEnd w:id="234"/>
                      <w:bookmarkEnd w:id="235"/>
                      <w:bookmarkEnd w:id="236"/>
                    </w:p>
                  </w:txbxContent>
                </v:textbox>
                <w10:wrap type="tight"/>
              </v:shape>
            </w:pict>
          </mc:Fallback>
        </mc:AlternateContent>
      </w:r>
    </w:p>
    <w:p w14:paraId="44952A7D" w14:textId="77777777" w:rsidR="00085789" w:rsidRDefault="00085789">
      <w:pPr>
        <w:pStyle w:val="hd1"/>
        <w:spacing w:before="120" w:after="0" w:line="240" w:lineRule="auto"/>
        <w:ind w:firstLine="709"/>
        <w:rPr>
          <w:rFonts w:ascii="Times New Roman" w:hAnsi="Times New Roman"/>
          <w:b w:val="0"/>
          <w:bCs/>
          <w:color w:val="auto"/>
          <w:spacing w:val="-2"/>
          <w:sz w:val="24"/>
          <w:szCs w:val="18"/>
        </w:rPr>
      </w:pPr>
    </w:p>
    <w:p w14:paraId="298BCA23" w14:textId="77777777" w:rsidR="00085789" w:rsidRDefault="00000000">
      <w:pPr>
        <w:pStyle w:val="hd1"/>
        <w:spacing w:before="120" w:line="240" w:lineRule="auto"/>
        <w:ind w:firstLine="709"/>
        <w:rPr>
          <w:rFonts w:asciiTheme="majorHAnsi" w:hAnsiTheme="majorHAnsi" w:cstheme="majorHAnsi"/>
          <w:b w:val="0"/>
          <w:bCs/>
          <w:color w:val="auto"/>
          <w:spacing w:val="-2"/>
          <w:sz w:val="26"/>
          <w:szCs w:val="26"/>
        </w:rPr>
      </w:pPr>
      <w:r>
        <w:rPr>
          <w:rFonts w:asciiTheme="majorHAnsi" w:hAnsiTheme="majorHAnsi" w:cstheme="majorHAnsi"/>
          <w:b w:val="0"/>
          <w:bCs/>
          <w:color w:val="auto"/>
          <w:spacing w:val="-2"/>
          <w:sz w:val="26"/>
          <w:szCs w:val="26"/>
        </w:rPr>
        <w:t>Đến tháng 10 năm 2025, các dự án công nghiệp trọng điểm được duy trì đúng tiến độ; lĩnh vực du lịch, dịch vụ khởi sắc nhờ hoạt động quảng bá sôi nổi; tuy nhiên tỉnh chịu ảnh hưởng nặng nề của 03 cơn bão, tác động tiêu cực đến sản xuất và đời sống dân sinh. Sản xuất nông nghiệp giảm 12,76 % so với cùng kỳ năm trước; chăn nuôi gặp khó khăn do dịch tả lợn Châu Phi tái bùng phát, làm giảm quy mô đàn và ảnh hưởng đến sản lượng; thủy sản tiếp tục giữ đà tăng trưởng cả ở khai thác và nuôi trồng; ngành công nghiệp tiếp tục phát huy lợi thế tăng trưởng, chỉ số sản xuất tăng 4,38 % so với cùng kỳ năm 2024; hoạt động thương mại, dịch vụ sôi động, tổng mức bán lẻ hàng hóa và doanh thu dịch vụ 10 tháng đạt hơn 77 nghìn tỷ đồng, tăng 12,62 %, doanh thu vận tải, kho bãi đạt 8.177,35 tỷ đồng, tăng 15,51 %.</w:t>
      </w:r>
    </w:p>
    <w:p w14:paraId="72D67A8D" w14:textId="77777777" w:rsidR="00085789" w:rsidRDefault="00000000">
      <w:pPr>
        <w:pStyle w:val="hd1"/>
        <w:spacing w:before="120" w:after="0" w:line="240" w:lineRule="auto"/>
        <w:ind w:firstLine="709"/>
        <w:rPr>
          <w:rFonts w:asciiTheme="majorHAnsi" w:hAnsiTheme="majorHAnsi" w:cstheme="majorHAnsi"/>
          <w:b w:val="0"/>
          <w:i/>
          <w:smallCaps/>
          <w:noProof/>
          <w:color w:val="auto"/>
          <w:spacing w:val="-2"/>
          <w:sz w:val="26"/>
          <w:szCs w:val="26"/>
        </w:rPr>
      </w:pPr>
      <w:r>
        <w:rPr>
          <w:rFonts w:asciiTheme="majorHAnsi" w:hAnsiTheme="majorHAnsi" w:cstheme="majorHAnsi"/>
          <w:b w:val="0"/>
          <w:iCs/>
          <w:spacing w:val="-2"/>
          <w:sz w:val="26"/>
          <w:szCs w:val="26"/>
        </w:rPr>
        <w:t>Tổng trị giá xuất nhập khẩu đạt 3.671,62 triệu USD, giảm 26,24</w:t>
      </w:r>
      <w:r>
        <w:rPr>
          <w:rFonts w:asciiTheme="majorHAnsi" w:hAnsiTheme="majorHAnsi" w:cstheme="majorHAnsi"/>
          <w:iCs/>
          <w:spacing w:val="-2"/>
          <w:sz w:val="26"/>
          <w:szCs w:val="26"/>
        </w:rPr>
        <w:t xml:space="preserve"> </w:t>
      </w:r>
      <w:r>
        <w:rPr>
          <w:rFonts w:asciiTheme="majorHAnsi" w:hAnsiTheme="majorHAnsi" w:cstheme="majorHAnsi"/>
          <w:b w:val="0"/>
          <w:iCs/>
          <w:spacing w:val="-2"/>
          <w:sz w:val="26"/>
          <w:szCs w:val="26"/>
        </w:rPr>
        <w:t>% so với cùng kỳ; trong đó, xuất khẩu giảm 26,53</w:t>
      </w:r>
      <w:r>
        <w:rPr>
          <w:rFonts w:asciiTheme="majorHAnsi" w:hAnsiTheme="majorHAnsi" w:cstheme="majorHAnsi"/>
          <w:iCs/>
          <w:spacing w:val="-2"/>
          <w:sz w:val="26"/>
          <w:szCs w:val="26"/>
        </w:rPr>
        <w:t xml:space="preserve"> </w:t>
      </w:r>
      <w:r>
        <w:rPr>
          <w:rFonts w:asciiTheme="majorHAnsi" w:hAnsiTheme="majorHAnsi" w:cstheme="majorHAnsi"/>
          <w:b w:val="0"/>
          <w:iCs/>
          <w:spacing w:val="-2"/>
          <w:sz w:val="26"/>
          <w:szCs w:val="26"/>
        </w:rPr>
        <w:t>%, nhập khẩu giảm 26,07</w:t>
      </w:r>
      <w:r>
        <w:rPr>
          <w:rFonts w:asciiTheme="majorHAnsi" w:hAnsiTheme="majorHAnsi" w:cstheme="majorHAnsi"/>
          <w:iCs/>
          <w:spacing w:val="-2"/>
          <w:sz w:val="26"/>
          <w:szCs w:val="26"/>
        </w:rPr>
        <w:t xml:space="preserve"> </w:t>
      </w:r>
      <w:r>
        <w:rPr>
          <w:rFonts w:asciiTheme="majorHAnsi" w:hAnsiTheme="majorHAnsi" w:cstheme="majorHAnsi"/>
          <w:b w:val="0"/>
          <w:iCs/>
          <w:spacing w:val="-2"/>
          <w:sz w:val="26"/>
          <w:szCs w:val="26"/>
        </w:rPr>
        <w:t>%, chủ yếu do Công ty FHS gặp khó khăn xuất khẩu thép và phôi thép vì các chính sách bảo hộ thương mại quốc tế, dẫn đến giảm sản lượng và nhu cầu nhập khẩu nguyên liệu</w:t>
      </w:r>
      <w:r>
        <w:rPr>
          <w:rFonts w:asciiTheme="majorHAnsi" w:hAnsiTheme="majorHAnsi" w:cstheme="majorHAnsi"/>
          <w:b w:val="0"/>
          <w:bCs/>
          <w:iCs/>
          <w:spacing w:val="-2"/>
          <w:sz w:val="26"/>
          <w:szCs w:val="26"/>
        </w:rPr>
        <w:t>.</w:t>
      </w:r>
    </w:p>
    <w:p w14:paraId="29286B42" w14:textId="77777777" w:rsidR="00085789" w:rsidRDefault="00000000">
      <w:pPr>
        <w:pStyle w:val="-bac3"/>
        <w:spacing w:before="120" w:after="0" w:line="240" w:lineRule="auto"/>
      </w:pPr>
      <w:bookmarkStart w:id="218" w:name="_Toc214311205"/>
      <w:bookmarkEnd w:id="19"/>
      <w:r>
        <w:t>1.2.1.1. Phát triển công nghiệp</w:t>
      </w:r>
      <w:bookmarkEnd w:id="218"/>
    </w:p>
    <w:p w14:paraId="0EA79C85" w14:textId="31CB1D2D"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Với mục tiêu xây dựng ngành công nghiệp ngày càng lớn mạnh, hiện đại, </w:t>
      </w:r>
      <w:r>
        <w:rPr>
          <w:spacing w:val="-4"/>
          <w:sz w:val="26"/>
          <w:szCs w:val="26"/>
        </w:rPr>
        <w:t>thân thiện với môi trường, có khả năng cạnh tranh trong bối cảnh hội nhập kinh tế ngày càng sâu rộng với khu vực và thế giới, góp phần thúc đẩy phát triển kinh tế nhanh, hiệu quả, bền vững, đặc biệt là hỗ trợ xây dựng nông thôn mới và nâng cao đời sống nhân dân. UBND tỉnh xác định cần tập trung phát triển công nghiệp theo hướng nhanh, hiệu quả và bền vững, nâng cao năng lực cạnh tranh để chủ động hội nhập quốc tế.</w:t>
      </w:r>
    </w:p>
    <w:p w14:paraId="4F2C501D" w14:textId="582B2109"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Trong giai đoạn 2020-2024, ngành công nghiệp đã đạt được một số kết quả quan trọng như sau: </w:t>
      </w:r>
    </w:p>
    <w:p w14:paraId="720A5268" w14:textId="77777777" w:rsidR="00085789" w:rsidRDefault="00000000">
      <w:pPr>
        <w:widowControl w:val="0"/>
        <w:autoSpaceDE w:val="0"/>
        <w:autoSpaceDN w:val="0"/>
        <w:adjustRightInd w:val="0"/>
        <w:spacing w:before="120" w:line="240" w:lineRule="auto"/>
        <w:ind w:firstLine="709"/>
        <w:jc w:val="both"/>
        <w:rPr>
          <w:b/>
          <w:bCs/>
          <w:sz w:val="26"/>
          <w:szCs w:val="26"/>
        </w:rPr>
      </w:pPr>
      <w:r>
        <w:rPr>
          <w:b/>
          <w:bCs/>
          <w:sz w:val="26"/>
          <w:szCs w:val="26"/>
        </w:rPr>
        <w:t>(1) Về tăng trưởng giá trị sản xuất công nghiệp</w:t>
      </w:r>
    </w:p>
    <w:p w14:paraId="110852E0"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Tốc độ tăng trưởng giá trị sản xuất công nghiệp bình quân giai đoạn (2020-2024) đạt khoảng 5,62 %/năm. Tỷ trọng ngành công nghiệp năm 2024 chiếm 48,18 % trong mức tăng trưởng chung của toàn tỉnh.</w:t>
      </w:r>
    </w:p>
    <w:p w14:paraId="07600EDB"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Sản xuất công nghiệp của tỉnh đa dạng về ngành nghề như ngành khai khoáng, ngành công nghiệp chế biến, chế tạo, ngành sản xuất và phân phối điện khí đốt, nước nóng, hơi </w:t>
      </w:r>
      <w:r>
        <w:rPr>
          <w:sz w:val="26"/>
          <w:szCs w:val="26"/>
        </w:rPr>
        <w:lastRenderedPageBreak/>
        <w:t>nước và điều hoà không khí; ngành cung cấp nước, quản lý và xử lý rác thải. Trong giai đoạn 2020 -2024, chỉ số sản xuất công nghiệp phân theo ngành công nghiệp có nhiều biến động, giảm dần từ năm 2020 (95,45 %) đến năm 2022 (83,61 %), tăng dần từ 2022 đến 2023 (107,28 %) và tiếp tục giảm đến năm 2024 (99,42 %). Các sản phẩm công nghiệp chủ lực tăng trưởng khá như: điện sản xuất ước đạt 9,3 tỷ kWh, tăng 14 %; bia đạt gần 78 triệu lít, tăng 22 %; sản phẩm mới pack pin của Nhà máy pin VinES sau năm thứ hai vận hành đạt sản lượng cả năm gần 8.000 pack, bằng 80 % kế hoạch. Kịp thời triển khai quy hoạch, kế hoạch phát triển điện lực quốc gia; bảo đảm cung ứng điện cho sản xuất và tiêu dùng.</w:t>
      </w:r>
    </w:p>
    <w:p w14:paraId="0B2692DF" w14:textId="77777777" w:rsidR="00085789" w:rsidRDefault="00000000">
      <w:pPr>
        <w:widowControl w:val="0"/>
        <w:autoSpaceDE w:val="0"/>
        <w:autoSpaceDN w:val="0"/>
        <w:adjustRightInd w:val="0"/>
        <w:spacing w:before="120" w:line="240" w:lineRule="auto"/>
        <w:ind w:firstLine="709"/>
        <w:jc w:val="both"/>
        <w:rPr>
          <w:b/>
          <w:bCs/>
          <w:sz w:val="26"/>
          <w:szCs w:val="26"/>
        </w:rPr>
      </w:pPr>
      <w:r>
        <w:rPr>
          <w:b/>
          <w:bCs/>
          <w:sz w:val="26"/>
          <w:szCs w:val="26"/>
        </w:rPr>
        <w:t xml:space="preserve">(2) Về phát triển KCN, CCN </w:t>
      </w:r>
    </w:p>
    <w:p w14:paraId="61DD2809" w14:textId="77777777" w:rsidR="00085789" w:rsidRDefault="00000000">
      <w:pPr>
        <w:spacing w:before="120" w:line="240" w:lineRule="auto"/>
        <w:ind w:firstLine="709"/>
        <w:jc w:val="both"/>
        <w:rPr>
          <w:sz w:val="26"/>
          <w:szCs w:val="26"/>
        </w:rPr>
      </w:pPr>
      <w:r>
        <w:rPr>
          <w:sz w:val="26"/>
          <w:szCs w:val="26"/>
        </w:rPr>
        <w:t xml:space="preserve">Phát huy lợi thế về vị trí địa lý chiến lược, hệ thống hạ tầng giao thông ngày càng được hoàn thiện, cùng nguồn lao động dồi dào, tỉnh Hà Tĩnh đã tập trung đầu tư phát triển các KCN, CCN theo hướng đồng bộ, hiện đại. Trong thời gian qua, nhiều KCN, CCN đã đi vào hoạt động, đạt hiệu quả bước đầu, góp phần chuyển dịch cơ cấu kinh tế, tạo việc làm và tăng nguồn thu ngân sách cho địa phương. </w:t>
      </w:r>
    </w:p>
    <w:p w14:paraId="7C55D5DB" w14:textId="77777777" w:rsidR="00085789" w:rsidRDefault="00000000">
      <w:pPr>
        <w:spacing w:before="120" w:line="240" w:lineRule="auto"/>
        <w:ind w:firstLine="709"/>
        <w:jc w:val="both"/>
        <w:rPr>
          <w:sz w:val="26"/>
          <w:szCs w:val="26"/>
          <w:lang w:val="sq-AL"/>
        </w:rPr>
      </w:pPr>
      <w:r>
        <w:rPr>
          <w:sz w:val="26"/>
          <w:szCs w:val="26"/>
          <w:lang w:val="sq-AL"/>
        </w:rPr>
        <w:t>- Khu công nghiệp:</w:t>
      </w:r>
    </w:p>
    <w:p w14:paraId="03FA24AE" w14:textId="77777777" w:rsidR="00085789" w:rsidRDefault="00000000">
      <w:pPr>
        <w:spacing w:before="80" w:line="240" w:lineRule="auto"/>
        <w:ind w:firstLine="709"/>
        <w:jc w:val="both"/>
        <w:rPr>
          <w:b/>
          <w:bCs/>
          <w:i/>
          <w:iCs/>
          <w:sz w:val="26"/>
          <w:szCs w:val="26"/>
        </w:rPr>
      </w:pPr>
      <w:r>
        <w:rPr>
          <w:sz w:val="26"/>
          <w:szCs w:val="26"/>
          <w:lang w:val="sq-AL"/>
        </w:rPr>
        <w:t xml:space="preserve">Hiện nay, trên địa bàn tỉnh Hà Tĩnh </w:t>
      </w:r>
      <w:r>
        <w:rPr>
          <w:sz w:val="26"/>
          <w:szCs w:val="26"/>
        </w:rPr>
        <w:t xml:space="preserve">có 07 KCN  </w:t>
      </w:r>
      <w:r>
        <w:rPr>
          <w:i/>
          <w:iCs/>
          <w:sz w:val="26"/>
          <w:szCs w:val="26"/>
        </w:rPr>
        <w:t>(KCN</w:t>
      </w:r>
      <w:r>
        <w:rPr>
          <w:sz w:val="26"/>
          <w:szCs w:val="26"/>
        </w:rPr>
        <w:t xml:space="preserve"> </w:t>
      </w:r>
      <w:r>
        <w:rPr>
          <w:i/>
          <w:sz w:val="26"/>
          <w:szCs w:val="26"/>
        </w:rPr>
        <w:t>Gia Lách (phần 100ha), KCN Gia Lách mở rộng, KCN Vũng Áng I, KCN Phú Vinh, KCN Hoành Sơn, KCN Bắc Thạch Hà, KCN Vinhomes Vũng Áng)</w:t>
      </w:r>
      <w:r>
        <w:rPr>
          <w:sz w:val="26"/>
          <w:szCs w:val="26"/>
          <w:lang w:val="vi-VN"/>
        </w:rPr>
        <w:t xml:space="preserve"> </w:t>
      </w:r>
      <w:r>
        <w:rPr>
          <w:sz w:val="26"/>
          <w:szCs w:val="26"/>
        </w:rPr>
        <w:t xml:space="preserve">với tổng diện tích khoảng 1.809,44 ha </w:t>
      </w:r>
      <w:r>
        <w:rPr>
          <w:sz w:val="26"/>
          <w:szCs w:val="26"/>
          <w:lang w:val="vi-VN"/>
        </w:rPr>
        <w:t>trong đó 03 KCN</w:t>
      </w:r>
      <w:r>
        <w:rPr>
          <w:rStyle w:val="FootnoteReference"/>
          <w:sz w:val="26"/>
          <w:szCs w:val="26"/>
          <w:lang w:val="vi-VN"/>
        </w:rPr>
        <w:footnoteReference w:id="1"/>
      </w:r>
      <w:r>
        <w:rPr>
          <w:sz w:val="26"/>
          <w:szCs w:val="26"/>
          <w:lang w:val="vi-VN"/>
        </w:rPr>
        <w:t xml:space="preserve"> đi vào hoạt động với </w:t>
      </w:r>
      <w:r>
        <w:rPr>
          <w:sz w:val="26"/>
          <w:szCs w:val="26"/>
        </w:rPr>
        <w:t>41</w:t>
      </w:r>
      <w:r>
        <w:rPr>
          <w:sz w:val="26"/>
          <w:szCs w:val="26"/>
          <w:lang w:val="vi-VN"/>
        </w:rPr>
        <w:t xml:space="preserve"> dự án thứ cấp (</w:t>
      </w:r>
      <w:r>
        <w:rPr>
          <w:sz w:val="26"/>
          <w:szCs w:val="26"/>
        </w:rPr>
        <w:t>22</w:t>
      </w:r>
      <w:r>
        <w:rPr>
          <w:sz w:val="26"/>
          <w:szCs w:val="26"/>
          <w:lang w:val="vi-VN"/>
        </w:rPr>
        <w:t xml:space="preserve"> dự án đã đi vào </w:t>
      </w:r>
      <w:r>
        <w:rPr>
          <w:spacing w:val="-6"/>
          <w:sz w:val="26"/>
          <w:szCs w:val="26"/>
          <w:lang w:val="vi-VN"/>
        </w:rPr>
        <w:t xml:space="preserve">hoạt động, </w:t>
      </w:r>
      <w:r>
        <w:rPr>
          <w:spacing w:val="-6"/>
          <w:sz w:val="26"/>
          <w:szCs w:val="26"/>
        </w:rPr>
        <w:t xml:space="preserve">19 </w:t>
      </w:r>
      <w:r>
        <w:rPr>
          <w:spacing w:val="-6"/>
          <w:sz w:val="26"/>
          <w:szCs w:val="26"/>
          <w:lang w:val="vi-VN"/>
        </w:rPr>
        <w:t xml:space="preserve">dự án </w:t>
      </w:r>
      <w:r>
        <w:rPr>
          <w:spacing w:val="-6"/>
          <w:sz w:val="26"/>
          <w:szCs w:val="26"/>
        </w:rPr>
        <w:t xml:space="preserve">đang </w:t>
      </w:r>
      <w:r>
        <w:rPr>
          <w:spacing w:val="-6"/>
          <w:sz w:val="26"/>
          <w:szCs w:val="26"/>
          <w:lang w:val="vi-VN"/>
        </w:rPr>
        <w:t>triển khai thực hiện)</w:t>
      </w:r>
      <w:r>
        <w:rPr>
          <w:spacing w:val="-6"/>
          <w:sz w:val="26"/>
          <w:szCs w:val="26"/>
        </w:rPr>
        <w:t>, 03 KCN mới thành lập</w:t>
      </w:r>
      <w:r>
        <w:rPr>
          <w:rStyle w:val="FootnoteReference"/>
          <w:spacing w:val="-6"/>
          <w:sz w:val="26"/>
          <w:szCs w:val="26"/>
        </w:rPr>
        <w:footnoteReference w:id="2"/>
      </w:r>
      <w:r>
        <w:rPr>
          <w:spacing w:val="-6"/>
          <w:sz w:val="26"/>
          <w:szCs w:val="26"/>
        </w:rPr>
        <w:t>, 01 KCN đang xây dựng.</w:t>
      </w:r>
    </w:p>
    <w:p w14:paraId="2E5DCCE7" w14:textId="77777777" w:rsidR="00085789" w:rsidRDefault="00000000">
      <w:pPr>
        <w:spacing w:before="80" w:line="240" w:lineRule="auto"/>
        <w:ind w:firstLine="709"/>
        <w:jc w:val="both"/>
        <w:rPr>
          <w:sz w:val="26"/>
          <w:szCs w:val="26"/>
        </w:rPr>
      </w:pPr>
      <w:r>
        <w:rPr>
          <w:sz w:val="26"/>
          <w:szCs w:val="26"/>
        </w:rPr>
        <w:t xml:space="preserve">- Cụm công nghiệp: </w:t>
      </w:r>
    </w:p>
    <w:p w14:paraId="5F8A7B67" w14:textId="099F405F" w:rsidR="00085789" w:rsidRDefault="00000000">
      <w:pPr>
        <w:spacing w:before="80" w:line="240" w:lineRule="auto"/>
        <w:ind w:firstLine="720"/>
        <w:jc w:val="both"/>
        <w:rPr>
          <w:rFonts w:eastAsia="Calibri"/>
          <w:spacing w:val="-2"/>
          <w:sz w:val="26"/>
          <w:szCs w:val="26"/>
          <w:lang w:val="hsb-DE"/>
        </w:rPr>
      </w:pPr>
      <w:r>
        <w:rPr>
          <w:rFonts w:eastAsia="Calibri"/>
          <w:spacing w:val="-2"/>
          <w:sz w:val="26"/>
          <w:szCs w:val="26"/>
          <w:lang w:val="hsb-DE"/>
        </w:rPr>
        <w:t>Theo Phương</w:t>
      </w:r>
      <w:r>
        <w:rPr>
          <w:rFonts w:eastAsia="Calibri"/>
          <w:spacing w:val="-2"/>
          <w:sz w:val="26"/>
          <w:szCs w:val="26"/>
          <w:lang w:val="vi-VN"/>
        </w:rPr>
        <w:t xml:space="preserve"> án phát triển CCN tích hợp trong </w:t>
      </w:r>
      <w:r>
        <w:rPr>
          <w:rFonts w:eastAsia="Calibri"/>
          <w:spacing w:val="-2"/>
          <w:sz w:val="26"/>
          <w:szCs w:val="26"/>
          <w:lang w:val="hsb-DE"/>
        </w:rPr>
        <w:t>Quy hoạch tỉnh đã được Thủ tướng Chính phủ phê duyệt tại Quyết định số 1363/QĐ-TTg ngày 08/11/2022 thì Hà Tĩnh hiện có 22 CCN đã được thành lập với tổng diện tích 572,11 ha</w:t>
      </w:r>
      <w:r>
        <w:rPr>
          <w:rFonts w:eastAsia="Calibri"/>
          <w:spacing w:val="-2"/>
          <w:sz w:val="26"/>
          <w:szCs w:val="26"/>
          <w:vertAlign w:val="superscript"/>
        </w:rPr>
        <w:footnoteReference w:id="3"/>
      </w:r>
      <w:r>
        <w:rPr>
          <w:rFonts w:eastAsia="Calibri"/>
          <w:spacing w:val="-2"/>
          <w:sz w:val="26"/>
          <w:szCs w:val="26"/>
          <w:lang w:val="hsb-DE"/>
        </w:rPr>
        <w:t>, ngoài ra</w:t>
      </w:r>
      <w:r>
        <w:rPr>
          <w:rFonts w:eastAsia="Calibri"/>
          <w:spacing w:val="-2"/>
          <w:sz w:val="26"/>
          <w:szCs w:val="26"/>
          <w:lang w:val="vi-VN"/>
        </w:rPr>
        <w:t xml:space="preserve"> có </w:t>
      </w:r>
      <w:r>
        <w:rPr>
          <w:rFonts w:eastAsia="Calibri"/>
          <w:spacing w:val="-2"/>
          <w:sz w:val="26"/>
          <w:szCs w:val="26"/>
          <w:lang w:val="hsb-DE"/>
        </w:rPr>
        <w:t>02 CCN không</w:t>
      </w:r>
      <w:r>
        <w:rPr>
          <w:rFonts w:eastAsia="Calibri"/>
          <w:spacing w:val="-2"/>
          <w:sz w:val="26"/>
          <w:szCs w:val="26"/>
          <w:lang w:val="vi-VN"/>
        </w:rPr>
        <w:t xml:space="preserve"> được đưa vào quy hoạch</w:t>
      </w:r>
      <w:r>
        <w:rPr>
          <w:rFonts w:eastAsia="Calibri"/>
          <w:spacing w:val="-2"/>
          <w:sz w:val="26"/>
          <w:szCs w:val="26"/>
          <w:vertAlign w:val="superscript"/>
        </w:rPr>
        <w:footnoteReference w:id="4"/>
      </w:r>
      <w:r>
        <w:rPr>
          <w:rFonts w:eastAsia="Calibri"/>
          <w:spacing w:val="-2"/>
          <w:sz w:val="26"/>
          <w:szCs w:val="26"/>
          <w:lang w:val="hsb-DE"/>
        </w:rPr>
        <w:t xml:space="preserve">. </w:t>
      </w:r>
      <w:r>
        <w:rPr>
          <w:rFonts w:eastAsia="Calibri"/>
          <w:spacing w:val="-2"/>
          <w:sz w:val="26"/>
          <w:szCs w:val="26"/>
          <w:lang w:val="vi-VN"/>
        </w:rPr>
        <w:t>Trong 2</w:t>
      </w:r>
      <w:r>
        <w:rPr>
          <w:rFonts w:eastAsia="Calibri"/>
          <w:spacing w:val="-2"/>
          <w:sz w:val="26"/>
          <w:szCs w:val="26"/>
          <w:lang w:val="hsb-DE"/>
        </w:rPr>
        <w:t>2</w:t>
      </w:r>
      <w:r>
        <w:rPr>
          <w:rFonts w:eastAsia="Calibri"/>
          <w:spacing w:val="-2"/>
          <w:sz w:val="26"/>
          <w:szCs w:val="26"/>
          <w:lang w:val="vi-VN"/>
        </w:rPr>
        <w:t xml:space="preserve"> CCN đã được thành lập </w:t>
      </w:r>
      <w:r>
        <w:rPr>
          <w:rFonts w:eastAsia="Arial"/>
          <w:spacing w:val="-2"/>
          <w:sz w:val="26"/>
          <w:szCs w:val="26"/>
          <w:lang w:val="vi-VN"/>
        </w:rPr>
        <w:t>có 1</w:t>
      </w:r>
      <w:r>
        <w:rPr>
          <w:rFonts w:eastAsia="Arial"/>
          <w:spacing w:val="-2"/>
          <w:sz w:val="26"/>
          <w:szCs w:val="26"/>
          <w:lang w:val="hsb-DE"/>
        </w:rPr>
        <w:t>1</w:t>
      </w:r>
      <w:r>
        <w:rPr>
          <w:rFonts w:eastAsia="Arial"/>
          <w:spacing w:val="-2"/>
          <w:sz w:val="26"/>
          <w:szCs w:val="26"/>
          <w:lang w:val="vi-VN"/>
        </w:rPr>
        <w:t xml:space="preserve"> CCN do doanh nghiệp làm chủ đầu tư</w:t>
      </w:r>
      <w:r>
        <w:rPr>
          <w:rFonts w:eastAsia="Arial"/>
          <w:spacing w:val="-2"/>
          <w:sz w:val="26"/>
          <w:szCs w:val="26"/>
          <w:vertAlign w:val="superscript"/>
          <w:lang w:val="vi-VN"/>
        </w:rPr>
        <w:footnoteReference w:id="5"/>
      </w:r>
      <w:r>
        <w:rPr>
          <w:rFonts w:eastAsia="Arial"/>
          <w:spacing w:val="-2"/>
          <w:sz w:val="26"/>
          <w:szCs w:val="26"/>
          <w:lang w:val="vi-VN"/>
        </w:rPr>
        <w:t xml:space="preserve"> và 1</w:t>
      </w:r>
      <w:r>
        <w:rPr>
          <w:rFonts w:eastAsia="Arial"/>
          <w:spacing w:val="-2"/>
          <w:sz w:val="26"/>
          <w:szCs w:val="26"/>
          <w:lang w:val="hsb-DE"/>
        </w:rPr>
        <w:t>2</w:t>
      </w:r>
      <w:r>
        <w:rPr>
          <w:rFonts w:eastAsia="Arial"/>
          <w:spacing w:val="-2"/>
          <w:sz w:val="26"/>
          <w:szCs w:val="26"/>
          <w:lang w:val="vi-VN"/>
        </w:rPr>
        <w:t xml:space="preserve"> CCN do </w:t>
      </w:r>
      <w:r>
        <w:rPr>
          <w:rFonts w:eastAsia="Arial"/>
          <w:spacing w:val="-2"/>
          <w:sz w:val="26"/>
          <w:szCs w:val="26"/>
          <w:lang w:val="hsb-DE"/>
        </w:rPr>
        <w:t xml:space="preserve">Nhà nước (UBND tỉnh giao </w:t>
      </w:r>
      <w:r>
        <w:rPr>
          <w:rFonts w:eastAsia="Arial"/>
          <w:spacing w:val="-2"/>
          <w:sz w:val="26"/>
          <w:szCs w:val="26"/>
          <w:lang w:val="vi-VN"/>
        </w:rPr>
        <w:t xml:space="preserve">UBND cấp huyện </w:t>
      </w:r>
      <w:r>
        <w:rPr>
          <w:rFonts w:eastAsia="Arial"/>
          <w:spacing w:val="-2"/>
          <w:sz w:val="26"/>
          <w:szCs w:val="26"/>
          <w:lang w:val="hsb-DE"/>
        </w:rPr>
        <w:t xml:space="preserve">(cũ) </w:t>
      </w:r>
      <w:r>
        <w:rPr>
          <w:rFonts w:eastAsia="Arial"/>
          <w:spacing w:val="-2"/>
          <w:sz w:val="26"/>
          <w:szCs w:val="26"/>
          <w:lang w:val="vi-VN"/>
        </w:rPr>
        <w:t>làm chủ đầu tư</w:t>
      </w:r>
      <w:r>
        <w:rPr>
          <w:rFonts w:eastAsia="Arial"/>
          <w:spacing w:val="-2"/>
          <w:sz w:val="26"/>
          <w:szCs w:val="26"/>
          <w:lang w:val="hsb-DE"/>
        </w:rPr>
        <w:t>, quản lý, sau khi sáp nhập chính quyền địa phương 02 cấp thì thuộc quản lý của UBND cấp xã)</w:t>
      </w:r>
      <w:r>
        <w:rPr>
          <w:rFonts w:eastAsia="Arial"/>
          <w:spacing w:val="-2"/>
          <w:sz w:val="26"/>
          <w:szCs w:val="26"/>
          <w:vertAlign w:val="superscript"/>
          <w:lang w:val="vi-VN"/>
        </w:rPr>
        <w:footnoteReference w:id="6"/>
      </w:r>
      <w:r>
        <w:rPr>
          <w:rFonts w:eastAsia="Arial"/>
          <w:spacing w:val="-2"/>
          <w:sz w:val="26"/>
          <w:szCs w:val="26"/>
          <w:lang w:val="vi-VN"/>
        </w:rPr>
        <w:t xml:space="preserve"> </w:t>
      </w:r>
      <w:r>
        <w:rPr>
          <w:rFonts w:eastAsia="Arial"/>
          <w:spacing w:val="-2"/>
          <w:sz w:val="26"/>
          <w:szCs w:val="26"/>
          <w:lang w:val="hsb-DE"/>
        </w:rPr>
        <w:t>(riêng CCN Thái Yên có 2 phần, phần cũ diện tích 5,5 ha thuộc quản lý của UBND xã Đức Thịnh và phần mở rộng diện tích 15,3 ha thuộc quản lý của Công ty CP Đầu tư IDI)</w:t>
      </w:r>
      <w:r>
        <w:rPr>
          <w:rFonts w:eastAsia="Arial"/>
          <w:spacing w:val="-2"/>
          <w:sz w:val="26"/>
          <w:szCs w:val="26"/>
          <w:lang w:val="vi-VN"/>
        </w:rPr>
        <w:t>; đến nay, 19 CCN đã có dự án thứ cấp</w:t>
      </w:r>
      <w:r>
        <w:rPr>
          <w:rFonts w:eastAsia="Arial"/>
          <w:spacing w:val="-2"/>
          <w:sz w:val="26"/>
          <w:szCs w:val="26"/>
          <w:lang w:val="hsb-DE"/>
        </w:rPr>
        <w:t xml:space="preserve">, </w:t>
      </w:r>
      <w:r>
        <w:rPr>
          <w:rFonts w:eastAsia="Arial"/>
          <w:spacing w:val="-2"/>
          <w:sz w:val="26"/>
          <w:szCs w:val="26"/>
          <w:lang w:val="vi-VN"/>
        </w:rPr>
        <w:t>0</w:t>
      </w:r>
      <w:r>
        <w:rPr>
          <w:rFonts w:eastAsia="Arial"/>
          <w:spacing w:val="-2"/>
          <w:sz w:val="26"/>
          <w:szCs w:val="26"/>
          <w:lang w:val="hsb-DE"/>
        </w:rPr>
        <w:t>3</w:t>
      </w:r>
      <w:r>
        <w:rPr>
          <w:rFonts w:eastAsia="Arial"/>
          <w:spacing w:val="-2"/>
          <w:sz w:val="26"/>
          <w:szCs w:val="26"/>
          <w:lang w:val="vi-VN"/>
        </w:rPr>
        <w:t xml:space="preserve"> CCN chưa triển khai xây dựng</w:t>
      </w:r>
      <w:r>
        <w:rPr>
          <w:rFonts w:eastAsia="Arial"/>
          <w:spacing w:val="-2"/>
          <w:sz w:val="26"/>
          <w:szCs w:val="26"/>
          <w:vertAlign w:val="superscript"/>
          <w:lang w:val="vi-VN"/>
        </w:rPr>
        <w:footnoteReference w:id="7"/>
      </w:r>
      <w:r>
        <w:rPr>
          <w:rFonts w:eastAsia="Arial"/>
          <w:spacing w:val="-2"/>
          <w:sz w:val="26"/>
          <w:szCs w:val="26"/>
          <w:lang w:val="vi-VN"/>
        </w:rPr>
        <w:t xml:space="preserve"> (CCN mới thành lập, đang triển khai các bước tiếp theo), đạt tỷ lệ lấp đầy trung bình gần </w:t>
      </w:r>
      <w:r>
        <w:rPr>
          <w:rFonts w:eastAsia="Arial"/>
          <w:spacing w:val="-2"/>
          <w:sz w:val="26"/>
          <w:szCs w:val="26"/>
          <w:lang w:val="hsb-DE"/>
        </w:rPr>
        <w:t>59,74</w:t>
      </w:r>
      <w:r>
        <w:rPr>
          <w:rFonts w:eastAsia="Arial"/>
          <w:spacing w:val="-2"/>
          <w:sz w:val="26"/>
          <w:szCs w:val="26"/>
          <w:lang w:val="vi-VN"/>
        </w:rPr>
        <w:t>%</w:t>
      </w:r>
      <w:r>
        <w:rPr>
          <w:rFonts w:eastAsia="Calibri"/>
          <w:spacing w:val="-2"/>
          <w:sz w:val="26"/>
          <w:szCs w:val="26"/>
          <w:lang w:val="hsb-DE"/>
        </w:rPr>
        <w:t>.</w:t>
      </w:r>
    </w:p>
    <w:p w14:paraId="5EAD152E" w14:textId="77777777" w:rsidR="00085789" w:rsidRDefault="00000000">
      <w:pPr>
        <w:widowControl w:val="0"/>
        <w:autoSpaceDE w:val="0"/>
        <w:autoSpaceDN w:val="0"/>
        <w:adjustRightInd w:val="0"/>
        <w:spacing w:before="80" w:line="240" w:lineRule="auto"/>
        <w:ind w:firstLine="709"/>
        <w:jc w:val="both"/>
        <w:rPr>
          <w:sz w:val="26"/>
          <w:szCs w:val="26"/>
        </w:rPr>
      </w:pPr>
      <w:r>
        <w:rPr>
          <w:sz w:val="26"/>
          <w:szCs w:val="26"/>
        </w:rPr>
        <w:lastRenderedPageBreak/>
        <w:t>Trong khu vực công nghiệp - xây dựng, ngành công nghiệp đóng vai trò đầu tàu, là động lực chính trong tăng trưởng kinh tế. Trong 10 tháng đầu năm 2025 chỉ số sản xuất công nghiệp (IIP) tăng 4,38 % so với cùng kỳ năm 2024. Các ngành mũi nhọn như: khai khoáng, sản xuất năng lượng, sản xuất sợi, packpin, cellpin ghi nhận mức tăng trưởng ấn tượng, đóng góp lớn cho tăng trưởng chung. Kế hoạch phát triển ngành đến hết năm 2025 với các chỉ tiêu chủ yếu: giá trị gia tăng ngành công nghiệp trong GRDP tăng khoảng 9 % so với cùng kỳ; chỉ số sản xuất công nghiệp (IIP) tăng khoảng 10 % so với năm 2024.</w:t>
      </w:r>
    </w:p>
    <w:p w14:paraId="31125BBB" w14:textId="77777777" w:rsidR="00085789" w:rsidRDefault="00000000">
      <w:pPr>
        <w:widowControl w:val="0"/>
        <w:autoSpaceDE w:val="0"/>
        <w:autoSpaceDN w:val="0"/>
        <w:adjustRightInd w:val="0"/>
        <w:spacing w:before="120" w:line="240" w:lineRule="auto"/>
        <w:ind w:firstLine="709"/>
        <w:jc w:val="both"/>
        <w:rPr>
          <w:b/>
          <w:bCs/>
          <w:sz w:val="26"/>
          <w:szCs w:val="26"/>
        </w:rPr>
      </w:pPr>
      <w:r>
        <w:rPr>
          <w:b/>
          <w:bCs/>
          <w:sz w:val="26"/>
          <w:szCs w:val="26"/>
        </w:rPr>
        <w:t>(3) Về phát triển tiểu thủ công nghiệp, làng nghề</w:t>
      </w:r>
    </w:p>
    <w:p w14:paraId="2855DC7E"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Hà Tĩnh hiện có có 07 làng nghề</w:t>
      </w:r>
      <w:r>
        <w:rPr>
          <w:rStyle w:val="FootnoteReference"/>
          <w:sz w:val="26"/>
          <w:szCs w:val="26"/>
        </w:rPr>
        <w:footnoteReference w:id="8"/>
      </w:r>
      <w:r>
        <w:rPr>
          <w:sz w:val="26"/>
          <w:szCs w:val="26"/>
        </w:rPr>
        <w:t xml:space="preserve"> truyền thống, 06 làng nghề</w:t>
      </w:r>
      <w:r>
        <w:rPr>
          <w:rStyle w:val="FootnoteReference"/>
          <w:sz w:val="26"/>
          <w:szCs w:val="26"/>
        </w:rPr>
        <w:footnoteReference w:id="9"/>
      </w:r>
      <w:r>
        <w:rPr>
          <w:sz w:val="26"/>
          <w:szCs w:val="26"/>
        </w:rPr>
        <w:t xml:space="preserve"> đã được công nhận, không có làng nghề bị ô nhiễm nghiêm trọng theo danh mục 47 làng nghề đã được Bộ Tài nguyên và Môi trường (trước đây) xác định và đề nghị địa phương thực hiện xử lý ô nhiễm theo Công văn số 2436/BTNMT-TCMT ngày 26/06/2013. Các làng nghề đã góp phần chuyển đổi cơ cấu kinh tế nông thôn, nâng cao thu nhập, đóng góp tích cực vào xây dựng nông thôn mới trên địa bàn tỉnh. Theo báo cáo của các địa phương, nhiều cơ sở sản xuất tại các làng nghề đã thực hiện thủ tục môi trường, có công trình biện pháp xử lý chất thải theo quy định; tuy nhiên công tác bảo vệ môi trường tại các làng nghề còn một số bất cập, hạn chế: hầu hết các làng nghề đều nằm xen lẫn trong khu dân cư; hạ tầng thu gom xử lý nước thải, khí thải chưa đảm bảo,…. Để tạo điều kiện phát triển làng nghề, tỉnh đã quy hoạch 08 CCN làng nghề, gồm: CCN Thái Yên để phát triển nghề mộc; CCN Trường Sơn để phát triển nghề đóng thuyền; CCN Trung Lương phát triển nghề rèn, đúc; CCN Yên Huy phát triển nghề mộc; CCN Thạch Kim, CCN Cẩm Nhượng và CCN Kỳ Ninh phát triển nghề chế biến thủy, hải sản; CCN Thạch Đồng phát triển nghề may chăn ga gối đệm. Việc quy hoạch, xây dựng các CCN làng nghề đã góp phần mở rộng quy mô, phát huy giá trị của các làng nghề truyền thống, đồng thời góp phần giảm thiểu tác động của việc phát triển các làng nghề đối với chất lượng môi trường sống của các khu dân cư trên địa bàn. </w:t>
      </w:r>
    </w:p>
    <w:p w14:paraId="00F89329" w14:textId="77777777" w:rsidR="00085789" w:rsidRDefault="00000000">
      <w:pPr>
        <w:pStyle w:val="bac2"/>
        <w:spacing w:before="120" w:after="0" w:line="240" w:lineRule="auto"/>
      </w:pPr>
      <w:bookmarkStart w:id="219" w:name="_Toc214311206"/>
      <w:r>
        <w:t>1.2.1.2.  Phát triển xây dựng</w:t>
      </w:r>
      <w:bookmarkEnd w:id="219"/>
    </w:p>
    <w:p w14:paraId="5B324703" w14:textId="77777777" w:rsidR="00085789" w:rsidRDefault="00000000">
      <w:pPr>
        <w:spacing w:before="120" w:line="240" w:lineRule="auto"/>
        <w:ind w:firstLine="720"/>
        <w:jc w:val="both"/>
        <w:rPr>
          <w:bCs/>
          <w:iCs/>
          <w:sz w:val="26"/>
          <w:szCs w:val="26"/>
        </w:rPr>
      </w:pPr>
      <w:r>
        <w:rPr>
          <w:rFonts w:eastAsia="Calibri"/>
          <w:sz w:val="26"/>
          <w:szCs w:val="26"/>
        </w:rPr>
        <w:t xml:space="preserve">Trong giai đoạn 2020-2025, ngành xây dựng có bước phát triển mạnh, tạo động lực cho tăng trưởng và phát triển kinh tế; tốc độ tăng trưởng GRDP bình quân giai đoạn 2020-2024 đạt 9,9 %, cao nhất năm 2023 đạt 20,23 %, 6 tháng đầu năm 2025 đạt 16,62 %. </w:t>
      </w:r>
      <w:r>
        <w:rPr>
          <w:bCs/>
          <w:iCs/>
          <w:sz w:val="26"/>
          <w:szCs w:val="26"/>
        </w:rPr>
        <w:t>Nguồn lực đầu tư kết cấu hạ tầng KT-XH được huy động, tập trung cao, trọng tâm là giao thông, KCN, đô thị; nhiều dự án trọng điểm, quy mô lớn được triển khai, hoàn thành đưa vào sử dụng như các cầu, tuyến đường giao thông kết nối liên vùng, các bệnh viện, trường học,… các doanh nghiệp xây dựng đã vượt qua các khó khăn, đặc biệt là sự biến động về nguyên, vật liệu, khan hiếm vật tư, vật liệu để thích ứng với tình hình, đóng góp quan trọng vào thực hiện các mục tiêu, nhiệm vụ đầu tư phát triển hạ tầng KT-XH.</w:t>
      </w:r>
    </w:p>
    <w:p w14:paraId="32DB23FF"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Trong thời gian qua, tỉnh Hà Tĩnh đã xây dựng được hệ thống đô thị hiện đại, hạ tầng diện mạo NMT đã có sự chuyển biến vượt bậc, đời sống người dân từng bước được cải thiện, nâng cao. </w:t>
      </w:r>
    </w:p>
    <w:p w14:paraId="1C00ADC7" w14:textId="71E484E4" w:rsidR="00085789" w:rsidRDefault="00000000">
      <w:pPr>
        <w:pBdr>
          <w:top w:val="dotted" w:sz="4" w:space="0" w:color="FFFFFF"/>
          <w:left w:val="dotted" w:sz="4" w:space="0" w:color="FFFFFF"/>
          <w:bottom w:val="dotted" w:sz="4" w:space="2" w:color="FFFFFF"/>
          <w:right w:val="dotted" w:sz="4" w:space="0" w:color="FFFFFF"/>
        </w:pBdr>
        <w:shd w:val="clear" w:color="auto" w:fill="FFFFFF"/>
        <w:tabs>
          <w:tab w:val="left" w:pos="709"/>
        </w:tabs>
        <w:spacing w:before="120" w:line="240" w:lineRule="auto"/>
        <w:ind w:firstLine="720"/>
        <w:jc w:val="both"/>
        <w:rPr>
          <w:sz w:val="26"/>
          <w:szCs w:val="26"/>
          <w:lang w:val="nl-NL"/>
        </w:rPr>
      </w:pPr>
      <w:r>
        <w:rPr>
          <w:sz w:val="26"/>
          <w:szCs w:val="26"/>
          <w:lang w:val="nl-NL"/>
        </w:rPr>
        <w:t xml:space="preserve">Giai đoạn 2021-2025, </w:t>
      </w:r>
      <w:r>
        <w:rPr>
          <w:sz w:val="26"/>
          <w:szCs w:val="26"/>
        </w:rPr>
        <w:t xml:space="preserve">toàn tỉnh </w:t>
      </w:r>
      <w:r>
        <w:rPr>
          <w:sz w:val="26"/>
          <w:szCs w:val="26"/>
          <w:lang w:val="nl-NL"/>
        </w:rPr>
        <w:t>có thêm 497 thôn đạt chuẩn Khu dân cư nông thôn mới kiểu mẫu (</w:t>
      </w:r>
      <w:r>
        <w:rPr>
          <w:i/>
          <w:sz w:val="26"/>
          <w:szCs w:val="26"/>
          <w:lang w:val="nl-NL"/>
        </w:rPr>
        <w:t>bằng 69,7 % giai đoạn 2016-2020</w:t>
      </w:r>
      <w:r>
        <w:rPr>
          <w:sz w:val="26"/>
          <w:szCs w:val="26"/>
          <w:lang w:val="nl-NL"/>
        </w:rPr>
        <w:t xml:space="preserve">), 10 xã còn lại là những xã khó khăn </w:t>
      </w:r>
      <w:r>
        <w:rPr>
          <w:sz w:val="26"/>
          <w:szCs w:val="26"/>
          <w:lang w:val="nl-NL"/>
        </w:rPr>
        <w:lastRenderedPageBreak/>
        <w:t>nhất toàn tỉnh đạt chuẩn NTM, 46 xã đạt chuẩn NTM nâng cao (</w:t>
      </w:r>
      <w:r>
        <w:rPr>
          <w:i/>
          <w:sz w:val="26"/>
          <w:szCs w:val="26"/>
          <w:lang w:val="nl-NL"/>
        </w:rPr>
        <w:t>bằng 242 % giai đoạn 2016-2020</w:t>
      </w:r>
      <w:r>
        <w:rPr>
          <w:sz w:val="26"/>
          <w:szCs w:val="26"/>
          <w:lang w:val="nl-NL"/>
        </w:rPr>
        <w:t>), 15 xã đạt chuẩn NTM kiểu mẫu (</w:t>
      </w:r>
      <w:r>
        <w:rPr>
          <w:i/>
          <w:sz w:val="26"/>
          <w:szCs w:val="26"/>
          <w:lang w:val="nl-NL"/>
        </w:rPr>
        <w:t>bằng 750 % giai đoạn 2016-2020</w:t>
      </w:r>
      <w:r>
        <w:rPr>
          <w:sz w:val="26"/>
          <w:szCs w:val="26"/>
          <w:lang w:val="nl-NL"/>
        </w:rPr>
        <w:t xml:space="preserve">). Đến ngày 30/6/2025, toàn tỉnh có 169/169 xã đạt chuẩn NTM (đạt 100 %), 69/169 xã đạt chuẩn NTM nâng cao (đạt 40,8 %), 18/169 xã đạt chuẩn NTM kiểu mẫu (đạt 10,7 %), 12/12 đơn vị cấp huyện đạt chuẩn/hoàn thành nhiệm vụ xây dựng NTM; </w:t>
      </w:r>
      <w:r w:rsidR="00DD3D46">
        <w:rPr>
          <w:sz w:val="26"/>
          <w:szCs w:val="26"/>
          <w:lang w:val="nl-NL"/>
        </w:rPr>
        <w:t>0</w:t>
      </w:r>
      <w:r>
        <w:rPr>
          <w:sz w:val="26"/>
          <w:szCs w:val="26"/>
          <w:lang w:val="nl-NL"/>
        </w:rPr>
        <w:t>2 huyện đạt chuẩn NTM nâng cao.</w:t>
      </w:r>
    </w:p>
    <w:p w14:paraId="61177159" w14:textId="77777777" w:rsidR="00085789" w:rsidRDefault="00000000">
      <w:pPr>
        <w:pBdr>
          <w:top w:val="dotted" w:sz="4" w:space="0" w:color="FFFFFF"/>
          <w:left w:val="dotted" w:sz="4" w:space="0" w:color="FFFFFF"/>
          <w:bottom w:val="dotted" w:sz="4" w:space="2" w:color="FFFFFF"/>
          <w:right w:val="dotted" w:sz="4" w:space="0" w:color="FFFFFF"/>
        </w:pBdr>
        <w:shd w:val="clear" w:color="auto" w:fill="FFFFFF"/>
        <w:tabs>
          <w:tab w:val="left" w:pos="709"/>
        </w:tabs>
        <w:spacing w:before="120" w:line="240" w:lineRule="auto"/>
        <w:ind w:firstLine="720"/>
        <w:jc w:val="both"/>
        <w:rPr>
          <w:lang w:val="nl-NL"/>
        </w:rPr>
      </w:pPr>
      <w:r>
        <w:rPr>
          <w:sz w:val="26"/>
          <w:szCs w:val="26"/>
          <w:lang w:val="nl-NL"/>
        </w:rPr>
        <w:t xml:space="preserve">Hệ thống các khu đô thị mới không ngừng được đầu tư mới góp phần tạo chuyển biến về nếp sống đô thị văn minh, hiện đại, </w:t>
      </w:r>
      <w:r>
        <w:rPr>
          <w:bCs/>
          <w:sz w:val="26"/>
          <w:szCs w:val="26"/>
        </w:rPr>
        <w:t xml:space="preserve">tính đến ngày 30/6/2025 </w:t>
      </w:r>
      <w:r>
        <w:rPr>
          <w:sz w:val="26"/>
          <w:szCs w:val="26"/>
          <w:lang w:val="nl-NL"/>
        </w:rPr>
        <w:t>tỷ lệ đô thị hóa đạt 40%, sau ngày 01/7/2025, thực hiện giải thể cấp huyện và sắp xếp lại đơn vị hành chính theo quy định, tỷ lệ đô thị hóa đạt 20,58 %. Triển khai xây dựng các dự án hạ tầng kỹ thuật, cấp thoát nước, chiếu sáng đô thị, xử lý CTR và nâng cao tỷ lệ dân cư sử dụng nước sạch. Trên địa bàn tỉnh có 03 đơn vị được giao quản lý, vận hành và khai thác công trình cấp nước đô thị với 15 nhà máy có tổng công suất 120.500 m</w:t>
      </w:r>
      <w:r>
        <w:rPr>
          <w:sz w:val="26"/>
          <w:szCs w:val="26"/>
          <w:vertAlign w:val="superscript"/>
          <w:lang w:val="nl-NL"/>
        </w:rPr>
        <w:t>3</w:t>
      </w:r>
      <w:r>
        <w:rPr>
          <w:sz w:val="26"/>
          <w:szCs w:val="26"/>
          <w:lang w:val="nl-NL"/>
        </w:rPr>
        <w:t>/ngđ. Mức nước bình quân đầu người: 120 l/ng.ngđ; tỷ lệ dân cư được sử dụng nước sạch ở đô thị đạt 88 %.</w:t>
      </w:r>
    </w:p>
    <w:p w14:paraId="5B645D2A" w14:textId="77777777" w:rsidR="00085789" w:rsidRDefault="00000000">
      <w:pPr>
        <w:spacing w:before="60" w:line="240" w:lineRule="auto"/>
        <w:ind w:firstLine="720"/>
        <w:jc w:val="both"/>
        <w:rPr>
          <w:lang w:val="hsb-DE"/>
        </w:rPr>
      </w:pPr>
      <w:r>
        <w:rPr>
          <w:spacing w:val="-4"/>
          <w:sz w:val="26"/>
          <w:szCs w:val="26"/>
          <w:lang w:val="nl-NL"/>
        </w:rPr>
        <w:t>Thoát nước đô thị và khu công nghiệp: Mạng lưới thoát nước ở các đô thị trên địa bàn tỉnh chủ yếu là hệ thống thoát nước chung</w:t>
      </w:r>
      <w:r>
        <w:rPr>
          <w:lang w:val="hsb-DE"/>
        </w:rPr>
        <w:t xml:space="preserve">, </w:t>
      </w:r>
      <w:r>
        <w:rPr>
          <w:sz w:val="26"/>
          <w:szCs w:val="26"/>
          <w:lang w:val="hsb-DE"/>
        </w:rPr>
        <w:t xml:space="preserve">tại phường Nam Hồng Lĩnh, Bắc Hồng Lĩnh mới chỉ có công trình hồ điều hòa xử lý nước thải tập trung cho khu vực trung tâm; </w:t>
      </w:r>
      <w:r>
        <w:rPr>
          <w:rFonts w:eastAsia="Arial"/>
          <w:sz w:val="26"/>
          <w:szCs w:val="26"/>
          <w:shd w:val="clear" w:color="auto" w:fill="FFFFFF"/>
          <w:lang w:val="hsb-DE"/>
        </w:rPr>
        <w:t>đ</w:t>
      </w:r>
      <w:r>
        <w:rPr>
          <w:rFonts w:eastAsia="Arial"/>
          <w:sz w:val="26"/>
          <w:szCs w:val="26"/>
          <w:shd w:val="clear" w:color="auto" w:fill="FFFFFF"/>
          <w:lang w:val="vi-VN"/>
        </w:rPr>
        <w:t xml:space="preserve">ối với </w:t>
      </w:r>
      <w:r>
        <w:rPr>
          <w:rFonts w:eastAsia="Arial"/>
          <w:sz w:val="26"/>
          <w:szCs w:val="26"/>
          <w:shd w:val="clear" w:color="auto" w:fill="FFFFFF"/>
          <w:lang w:val="hsb-DE"/>
        </w:rPr>
        <w:t>thành phố Hà Tĩnh trước đây (nay là phường Thành Sen, một phần phường Trần Phú và Hà Huy Tập),</w:t>
      </w:r>
      <w:r>
        <w:rPr>
          <w:rFonts w:eastAsia="Arial"/>
          <w:sz w:val="26"/>
          <w:szCs w:val="26"/>
          <w:shd w:val="clear" w:color="auto" w:fill="FFFFFF"/>
          <w:lang w:val="vi-VN"/>
        </w:rPr>
        <w:t xml:space="preserve"> Dự án Nhà máy xử lý nước thải tại thành phố Hà Tĩnh đã được Hội đồng thẩm định cấp cơ sở họp xem xét, góp ý, </w:t>
      </w:r>
      <w:r>
        <w:rPr>
          <w:rFonts w:eastAsia="Arial"/>
          <w:sz w:val="26"/>
          <w:szCs w:val="26"/>
          <w:shd w:val="clear" w:color="auto" w:fill="FFFFFF"/>
          <w:lang w:val="hsb-DE"/>
        </w:rPr>
        <w:t xml:space="preserve">nhưng </w:t>
      </w:r>
      <w:r>
        <w:rPr>
          <w:rFonts w:eastAsia="Arial"/>
          <w:sz w:val="26"/>
          <w:szCs w:val="26"/>
          <w:shd w:val="clear" w:color="auto" w:fill="FFFFFF"/>
          <w:lang w:val="vi-VN"/>
        </w:rPr>
        <w:t>hiện nay</w:t>
      </w:r>
      <w:r>
        <w:rPr>
          <w:rFonts w:eastAsia="Arial"/>
          <w:sz w:val="26"/>
          <w:szCs w:val="26"/>
          <w:shd w:val="clear" w:color="auto" w:fill="FFFFFF"/>
          <w:lang w:val="hsb-DE"/>
        </w:rPr>
        <w:t xml:space="preserve"> chưa phê duyệt thực hiện. </w:t>
      </w:r>
      <w:r>
        <w:rPr>
          <w:sz w:val="26"/>
          <w:szCs w:val="26"/>
          <w:lang w:val="hsb-DE"/>
        </w:rPr>
        <w:t>Đối với hệ thống thu gom, xử lý nước thải cho 01 phần xã Kỳ Hoa, phường Sông Trí đã triển khai đầu tư xây dựng hệ thống thu gom và trạm xử lý nước thải với công suất 2.000m</w:t>
      </w:r>
      <w:r>
        <w:rPr>
          <w:sz w:val="26"/>
          <w:szCs w:val="26"/>
          <w:vertAlign w:val="superscript"/>
          <w:lang w:val="hsb-DE"/>
        </w:rPr>
        <w:t>3</w:t>
      </w:r>
      <w:r>
        <w:rPr>
          <w:sz w:val="26"/>
          <w:szCs w:val="26"/>
          <w:lang w:val="hsb-DE"/>
        </w:rPr>
        <w:t>/ngày đêm, hiện nay đã xây dựng hoàn thành, đang thẩm định cấp giấy phép môi trường để hoạt động theo quy định. Ngoài ra, tại xã Hương Khê đang triển khai xây dựng hệ thống thu gom và trạm xử lý nước thải với công suất 1.500m</w:t>
      </w:r>
      <w:r>
        <w:rPr>
          <w:sz w:val="26"/>
          <w:szCs w:val="26"/>
          <w:vertAlign w:val="superscript"/>
          <w:lang w:val="hsb-DE"/>
        </w:rPr>
        <w:t>3</w:t>
      </w:r>
      <w:r>
        <w:rPr>
          <w:sz w:val="26"/>
          <w:szCs w:val="26"/>
          <w:lang w:val="hsb-DE"/>
        </w:rPr>
        <w:t>/ngày đêm (thuộc Dự án cải thiện cơ sở hạ tầng đô thị Hương Khê nguồn vốn AFD); xã Thạch Hà đang triển khai dự án đầu tư xây dựng hệ thống thu gom và trạm xử lý nước thải với công suất 1.400m</w:t>
      </w:r>
      <w:r>
        <w:rPr>
          <w:sz w:val="26"/>
          <w:szCs w:val="26"/>
          <w:vertAlign w:val="superscript"/>
          <w:lang w:val="hsb-DE"/>
        </w:rPr>
        <w:t>3</w:t>
      </w:r>
      <w:r>
        <w:rPr>
          <w:sz w:val="26"/>
          <w:szCs w:val="26"/>
          <w:lang w:val="hsb-DE"/>
        </w:rPr>
        <w:t xml:space="preserve">/ngày đêm (Dự án cải thiện cơ sở hạ tầng đô thị Thạch Hà nguồn vốn AFD). Tỷ lệ khu đô thị có hệ thống xử lý nước thải, chất thải đạt tiêu chuẩn quy định đạt 62,5 %. </w:t>
      </w:r>
    </w:p>
    <w:p w14:paraId="3456FB6F" w14:textId="77777777" w:rsidR="00085789" w:rsidRDefault="00000000">
      <w:pPr>
        <w:widowControl w:val="0"/>
        <w:autoSpaceDE w:val="0"/>
        <w:autoSpaceDN w:val="0"/>
        <w:adjustRightInd w:val="0"/>
        <w:spacing w:before="120" w:line="240" w:lineRule="auto"/>
        <w:ind w:firstLine="709"/>
        <w:jc w:val="both"/>
        <w:rPr>
          <w:sz w:val="26"/>
          <w:szCs w:val="26"/>
          <w:lang w:val="nl-NL"/>
        </w:rPr>
      </w:pPr>
      <w:r>
        <w:rPr>
          <w:sz w:val="26"/>
          <w:szCs w:val="26"/>
          <w:lang w:val="nl-NL"/>
        </w:rPr>
        <w:t xml:space="preserve">Quản lý CTR thông thường: toàn tỉnh có 12 khu xử lý CTRSH được đầu tư và đang vận hành xử lý gồm: 03 nhà máy, 03 bãi chôn lấp, 06 lò đốt độc lập. </w:t>
      </w:r>
    </w:p>
    <w:p w14:paraId="07F8AFBD" w14:textId="77777777" w:rsidR="00085789" w:rsidRDefault="00000000">
      <w:pPr>
        <w:widowControl w:val="0"/>
        <w:autoSpaceDE w:val="0"/>
        <w:autoSpaceDN w:val="0"/>
        <w:adjustRightInd w:val="0"/>
        <w:spacing w:before="120" w:line="240" w:lineRule="auto"/>
        <w:ind w:firstLine="709"/>
        <w:jc w:val="both"/>
        <w:rPr>
          <w:spacing w:val="-6"/>
          <w:sz w:val="26"/>
          <w:szCs w:val="26"/>
          <w:lang w:val="nl-NL"/>
        </w:rPr>
      </w:pPr>
      <w:r>
        <w:rPr>
          <w:spacing w:val="-6"/>
          <w:sz w:val="26"/>
          <w:szCs w:val="26"/>
          <w:lang w:val="nl-NL"/>
        </w:rPr>
        <w:t>Chiếu sáng đô thị: Hệ thống chiếu sáng đô thị ngày càng được quan tâm đầu tư với tỷ lệ chiếu sáng ở các tuyến đường chính đạt 100%, các tuyến đường khác đạt trung bình 60%.</w:t>
      </w:r>
    </w:p>
    <w:p w14:paraId="6A7A940A" w14:textId="77777777" w:rsidR="00085789" w:rsidRDefault="00000000">
      <w:pPr>
        <w:widowControl w:val="0"/>
        <w:autoSpaceDE w:val="0"/>
        <w:autoSpaceDN w:val="0"/>
        <w:adjustRightInd w:val="0"/>
        <w:spacing w:before="120" w:line="240" w:lineRule="auto"/>
        <w:ind w:firstLine="709"/>
        <w:jc w:val="both"/>
        <w:rPr>
          <w:sz w:val="26"/>
          <w:szCs w:val="26"/>
          <w:lang w:val="nl-NL"/>
        </w:rPr>
      </w:pPr>
      <w:r>
        <w:rPr>
          <w:sz w:val="26"/>
          <w:szCs w:val="26"/>
          <w:lang w:val="nl-NL"/>
        </w:rPr>
        <w:t>Hoạt động quản lý nhà ở, thị trường bất động sản và vật liệu xây dựng được chú trọng. Công tác cải cách hành chính, thanh tra kiểm tra, phát triển vật liệu xây không nung và xây dựng NTM được thực hiện hiệu quả. Tuy nhiên, ngành vẫn gặp khó khăn về hệ thống dữ liệu, quy trình TTHC, và sự thiếu đồng bộ giữa các quy định pháp luật.</w:t>
      </w:r>
    </w:p>
    <w:p w14:paraId="7B8E2E2D" w14:textId="77777777" w:rsidR="00085789" w:rsidRDefault="00000000">
      <w:pPr>
        <w:pStyle w:val="bac2"/>
        <w:spacing w:before="120" w:after="0" w:line="240" w:lineRule="auto"/>
        <w:rPr>
          <w:lang w:val="nl-NL"/>
        </w:rPr>
      </w:pPr>
      <w:bookmarkStart w:id="220" w:name="_Toc214311207"/>
      <w:r>
        <w:rPr>
          <w:lang w:val="nl-NL"/>
        </w:rPr>
        <w:t>1.2.1.3.  Phát triển năng lượng</w:t>
      </w:r>
      <w:bookmarkEnd w:id="220"/>
    </w:p>
    <w:p w14:paraId="188E7FCB" w14:textId="77777777" w:rsidR="00085789" w:rsidRDefault="00000000">
      <w:pPr>
        <w:pBdr>
          <w:top w:val="dotted" w:sz="4" w:space="0" w:color="FFFFFF"/>
          <w:left w:val="dotted" w:sz="4" w:space="1" w:color="FFFFFF"/>
          <w:bottom w:val="dotted" w:sz="4" w:space="0" w:color="FFFFFF"/>
          <w:right w:val="dotted" w:sz="4" w:space="29" w:color="FFFFFF"/>
        </w:pBdr>
        <w:shd w:val="clear" w:color="auto" w:fill="FFFFFF"/>
        <w:tabs>
          <w:tab w:val="left" w:pos="1560"/>
          <w:tab w:val="left" w:pos="3765"/>
          <w:tab w:val="left" w:pos="6405"/>
        </w:tabs>
        <w:spacing w:before="120" w:line="240" w:lineRule="auto"/>
        <w:ind w:firstLine="709"/>
        <w:jc w:val="both"/>
        <w:rPr>
          <w:spacing w:val="-2"/>
          <w:sz w:val="26"/>
          <w:szCs w:val="26"/>
          <w:lang w:val="nl-NL"/>
        </w:rPr>
      </w:pPr>
      <w:r>
        <w:rPr>
          <w:rFonts w:eastAsia="Calibri"/>
          <w:bCs/>
          <w:spacing w:val="-2"/>
          <w:sz w:val="26"/>
          <w:szCs w:val="26"/>
          <w:lang w:val="nl-NL"/>
        </w:rPr>
        <w:t>Hà Tĩnh là địa phương có hạ tầng truyền tải điện khá tốt. Nguồn cấp điện gồm 02 nguồn chính là từ TBA 500 kV Hà Tĩnh (công suất 500 MVA) và từ TBA 220 kV Hưng Đông - Nghệ An (công suất 500 MVA). Ngoài ra còn có các nguồn cấp hỗ trợ khác được lấy từ nhà máy điện đấu nối lưới điện 110 kV và nguồn điện mặt trời mái nhà.</w:t>
      </w:r>
      <w:r>
        <w:rPr>
          <w:spacing w:val="-2"/>
          <w:sz w:val="26"/>
          <w:szCs w:val="26"/>
          <w:lang w:val="nl-NL"/>
        </w:rPr>
        <w:t xml:space="preserve"> </w:t>
      </w:r>
    </w:p>
    <w:p w14:paraId="2DC94392" w14:textId="77777777" w:rsidR="00085789" w:rsidRDefault="00000000">
      <w:pPr>
        <w:pBdr>
          <w:top w:val="dotted" w:sz="4" w:space="0" w:color="FFFFFF"/>
          <w:left w:val="dotted" w:sz="4" w:space="1" w:color="FFFFFF"/>
          <w:bottom w:val="dotted" w:sz="4" w:space="0" w:color="FFFFFF"/>
          <w:right w:val="dotted" w:sz="4" w:space="29" w:color="FFFFFF"/>
        </w:pBdr>
        <w:shd w:val="clear" w:color="auto" w:fill="FFFFFF"/>
        <w:tabs>
          <w:tab w:val="left" w:pos="1560"/>
          <w:tab w:val="left" w:pos="3765"/>
          <w:tab w:val="left" w:pos="6405"/>
        </w:tabs>
        <w:spacing w:before="120" w:line="240" w:lineRule="auto"/>
        <w:ind w:firstLine="709"/>
        <w:jc w:val="both"/>
        <w:rPr>
          <w:rFonts w:eastAsia="Calibri"/>
          <w:bCs/>
          <w:spacing w:val="-4"/>
          <w:sz w:val="26"/>
          <w:szCs w:val="26"/>
          <w:lang w:val="nl-NL"/>
        </w:rPr>
      </w:pPr>
      <w:r>
        <w:rPr>
          <w:spacing w:val="-4"/>
          <w:sz w:val="26"/>
          <w:szCs w:val="26"/>
          <w:lang w:val="nl-NL"/>
        </w:rPr>
        <w:lastRenderedPageBreak/>
        <w:t>Hiện nay toàn tỉnh có 13 dự án nhà máy điện, bao gồm: 03 dự án nhiệt điện</w:t>
      </w:r>
      <w:r>
        <w:rPr>
          <w:rStyle w:val="FootnoteReference"/>
          <w:spacing w:val="-4"/>
          <w:sz w:val="26"/>
          <w:szCs w:val="26"/>
        </w:rPr>
        <w:footnoteReference w:id="10"/>
      </w:r>
      <w:r>
        <w:rPr>
          <w:spacing w:val="-4"/>
          <w:sz w:val="26"/>
          <w:szCs w:val="26"/>
          <w:lang w:val="nl-NL"/>
        </w:rPr>
        <w:t>, 07 dự án thủy điện</w:t>
      </w:r>
      <w:r>
        <w:rPr>
          <w:rStyle w:val="FootnoteReference"/>
          <w:spacing w:val="-4"/>
          <w:sz w:val="26"/>
          <w:szCs w:val="26"/>
        </w:rPr>
        <w:footnoteReference w:id="11"/>
      </w:r>
      <w:r>
        <w:rPr>
          <w:spacing w:val="-4"/>
          <w:sz w:val="26"/>
          <w:szCs w:val="26"/>
          <w:lang w:val="nl-NL"/>
        </w:rPr>
        <w:t>, 01 dự án điện gió</w:t>
      </w:r>
      <w:r>
        <w:rPr>
          <w:rStyle w:val="FootnoteReference"/>
          <w:spacing w:val="-4"/>
          <w:sz w:val="26"/>
          <w:szCs w:val="26"/>
        </w:rPr>
        <w:footnoteReference w:id="12"/>
      </w:r>
      <w:r>
        <w:rPr>
          <w:spacing w:val="-4"/>
          <w:sz w:val="26"/>
          <w:szCs w:val="26"/>
          <w:lang w:val="nl-NL"/>
        </w:rPr>
        <w:t>, 02 dự án điện mặt trời</w:t>
      </w:r>
      <w:r>
        <w:rPr>
          <w:rStyle w:val="FootnoteReference"/>
          <w:spacing w:val="-4"/>
          <w:sz w:val="26"/>
          <w:szCs w:val="26"/>
        </w:rPr>
        <w:footnoteReference w:id="13"/>
      </w:r>
      <w:r>
        <w:rPr>
          <w:spacing w:val="-4"/>
          <w:sz w:val="26"/>
          <w:szCs w:val="26"/>
          <w:lang w:val="nl-NL"/>
        </w:rPr>
        <w:t xml:space="preserve"> và các hệ thống điện mặt trời mái nhà do các tổ chức, cá nhân lắp đặt. Tổng sản lượng điện của các dự án đã đi vào vận hành (bao gồm cả dự án Nhà máy nhiệt điện Vũng Áng 2) khoảng 10 tỷ kWh/năm. Trong đó, một số dự án đang trong quá trình triển khai, chưa đi vào hoạt động như: Nhà máy Thủy điện Vũ Quang đang thi công xây dựng; Trang trại phong điện HBRE Hà Tĩnh đang chuẩn bị thi công).</w:t>
      </w:r>
    </w:p>
    <w:p w14:paraId="1D32140E" w14:textId="77777777" w:rsidR="00085789" w:rsidRDefault="00000000">
      <w:pPr>
        <w:pStyle w:val="bac2"/>
        <w:spacing w:before="120" w:after="0" w:line="240" w:lineRule="auto"/>
        <w:rPr>
          <w:lang w:val="nl-NL"/>
        </w:rPr>
      </w:pPr>
      <w:bookmarkStart w:id="221" w:name="_Toc214311208"/>
      <w:r>
        <w:rPr>
          <w:lang w:val="nl-NL"/>
        </w:rPr>
        <w:t>1.2.1.4. Phát triển giao thông vận tải</w:t>
      </w:r>
      <w:bookmarkEnd w:id="221"/>
    </w:p>
    <w:p w14:paraId="253812A9" w14:textId="77777777" w:rsidR="00085789" w:rsidRDefault="00000000">
      <w:pPr>
        <w:spacing w:before="120" w:line="240" w:lineRule="auto"/>
        <w:ind w:firstLine="709"/>
        <w:jc w:val="both"/>
        <w:rPr>
          <w:sz w:val="26"/>
          <w:szCs w:val="26"/>
          <w:lang w:val="nl-NL"/>
        </w:rPr>
      </w:pPr>
      <w:r>
        <w:rPr>
          <w:sz w:val="26"/>
          <w:szCs w:val="26"/>
          <w:lang w:val="nl-NL"/>
        </w:rPr>
        <w:t xml:space="preserve">Hà Tĩnh có hệ thống đường giao thông đường bộ, đường sắt, đường thuỷ rất thuận lợi cho phát triển KT-XH và giao lưu văn hoá với các tỉnh khác trong cả nước. Hạ tầng giao thông phát triển khá nhanh, nhất là hệ thống giao thông đường bộ. </w:t>
      </w:r>
    </w:p>
    <w:p w14:paraId="7330B25C" w14:textId="77777777" w:rsidR="00085789" w:rsidRDefault="00000000">
      <w:pPr>
        <w:spacing w:before="120" w:line="240" w:lineRule="auto"/>
        <w:ind w:firstLine="709"/>
        <w:jc w:val="both"/>
        <w:rPr>
          <w:sz w:val="26"/>
          <w:szCs w:val="26"/>
          <w:lang w:val="nl-NL"/>
        </w:rPr>
      </w:pPr>
      <w:r>
        <w:rPr>
          <w:sz w:val="26"/>
          <w:szCs w:val="26"/>
          <w:lang w:val="nl-NL"/>
        </w:rPr>
        <w:t xml:space="preserve">- </w:t>
      </w:r>
      <w:r>
        <w:rPr>
          <w:sz w:val="26"/>
          <w:szCs w:val="26"/>
          <w:lang w:val="vi-VN"/>
        </w:rPr>
        <w:t>Đối với hệ thống đường bộ cao tốc</w:t>
      </w:r>
      <w:r>
        <w:rPr>
          <w:sz w:val="26"/>
          <w:szCs w:val="26"/>
          <w:lang w:val="nl-NL"/>
        </w:rPr>
        <w:t>: Tổng chiều dài đi qua địa bàn tỉnh Hà Tĩnh là 102,38 km; tổng chiều dài đã đưa vào khai thác, sử dụng đến thời điểm hiện tại là 94,38 km gồm: cao tốc Diễn Châu - Bãi Vọt đoạn qua Hà Tĩnh dài 4,9 km; cao tốc Bãi Vọt - Hàm Nghi dài 35,28 km; cao tốc Hàm Nghi - Vũng Áng dài 54,2 km.</w:t>
      </w:r>
    </w:p>
    <w:p w14:paraId="2E3772E0" w14:textId="77777777" w:rsidR="00085789" w:rsidRDefault="00000000">
      <w:pPr>
        <w:spacing w:before="120" w:line="240" w:lineRule="auto"/>
        <w:ind w:firstLine="709"/>
        <w:jc w:val="both"/>
        <w:rPr>
          <w:sz w:val="26"/>
          <w:szCs w:val="26"/>
          <w:lang w:val="nl-NL"/>
        </w:rPr>
      </w:pPr>
      <w:r>
        <w:rPr>
          <w:sz w:val="26"/>
          <w:szCs w:val="26"/>
          <w:lang w:val="nl-NL"/>
        </w:rPr>
        <w:t>- Đối với hệ thống quốc lộ: Gồm các tuyến Quốc lộ ủy quyền Khu Quản lý đường bộ II quản lý (QL.1, QL.8 và QL.12C) và các tuyến Quốc lộ ủy thác Sở Xây dựng quản lý (QL.8B, QL.8C, QL.15, QL.15B và QL.281)</w:t>
      </w:r>
      <w:r>
        <w:rPr>
          <w:sz w:val="26"/>
          <w:szCs w:val="26"/>
          <w:lang w:val="vi-VN"/>
        </w:rPr>
        <w:t xml:space="preserve">: </w:t>
      </w:r>
      <w:r>
        <w:rPr>
          <w:sz w:val="26"/>
          <w:szCs w:val="26"/>
          <w:lang w:val="nl-NL"/>
        </w:rPr>
        <w:t>Tổng chiều dài các tuyến là 738,74 km.</w:t>
      </w:r>
    </w:p>
    <w:p w14:paraId="203ED42B" w14:textId="77777777" w:rsidR="00085789" w:rsidRDefault="00000000">
      <w:pPr>
        <w:widowControl w:val="0"/>
        <w:autoSpaceDE w:val="0"/>
        <w:autoSpaceDN w:val="0"/>
        <w:adjustRightInd w:val="0"/>
        <w:spacing w:before="120" w:line="240" w:lineRule="auto"/>
        <w:ind w:firstLine="709"/>
        <w:jc w:val="both"/>
        <w:rPr>
          <w:sz w:val="26"/>
          <w:szCs w:val="26"/>
          <w:lang w:val="nl-NL"/>
        </w:rPr>
      </w:pPr>
      <w:r>
        <w:rPr>
          <w:sz w:val="26"/>
          <w:szCs w:val="26"/>
          <w:lang w:val="nl-NL"/>
        </w:rPr>
        <w:t>- Đối với hệ thống đường bộ địa phương: Gồm hệ thống các tuyến đường tỉnh, đường huyện, đường đô thị, đường xã, đường chuyên dùng và đường khác. Tổng chiều dài là 13.638,64 km. Trong năm 2024, tỉnh đẩy nhanh tiến độ các dự án lớn, trọng điểm như: đường trục chính trung tâm nối Quốc lộ 1 đoạn tránh TX Kỳ Anh đến cụm cảng nước sâu Vũng Áng - Sơn Dương; đường từ Quốc lộ 12 C đi Khu liên hợp gang thép Formosa Hà Tĩnh; Đường vành đai phía Nam KKT Vũng Áng; đường Xô Viết Nghệ Tĩnh kéo dài về phía Đông; đường Hàm Nghi kéo dài; đường vành đai phía đông;….</w:t>
      </w:r>
    </w:p>
    <w:p w14:paraId="255E3277" w14:textId="77777777" w:rsidR="00085789" w:rsidRDefault="00000000">
      <w:pPr>
        <w:widowControl w:val="0"/>
        <w:autoSpaceDE w:val="0"/>
        <w:autoSpaceDN w:val="0"/>
        <w:adjustRightInd w:val="0"/>
        <w:spacing w:before="120" w:line="240" w:lineRule="auto"/>
        <w:ind w:firstLine="709"/>
        <w:jc w:val="both"/>
        <w:rPr>
          <w:sz w:val="26"/>
          <w:szCs w:val="26"/>
          <w:lang w:val="nl-NL"/>
        </w:rPr>
      </w:pPr>
      <w:r>
        <w:rPr>
          <w:sz w:val="26"/>
          <w:szCs w:val="26"/>
          <w:lang w:val="nl-NL"/>
        </w:rPr>
        <w:t xml:space="preserve">- Đường thuỷ: gồm 03 tuyến đường thuỷ nội địa quốc gia với tổng chiều dài 167,5 km </w:t>
      </w:r>
      <w:r>
        <w:rPr>
          <w:iCs/>
          <w:sz w:val="26"/>
          <w:szCs w:val="26"/>
          <w:lang w:val="nl-NL"/>
        </w:rPr>
        <w:t>(gồm sông La - Ngàn Sâu dài 40 km, sông Nghèn dài 64,5 km, sông Rào Cái - Gia Hội dài 63 km)</w:t>
      </w:r>
      <w:r>
        <w:rPr>
          <w:i/>
          <w:iCs/>
          <w:sz w:val="26"/>
          <w:szCs w:val="26"/>
          <w:lang w:val="nl-NL"/>
        </w:rPr>
        <w:t xml:space="preserve"> </w:t>
      </w:r>
      <w:r>
        <w:rPr>
          <w:sz w:val="26"/>
          <w:szCs w:val="26"/>
          <w:lang w:val="nl-NL"/>
        </w:rPr>
        <w:t xml:space="preserve">và 03 tuyến đường thuỷ nội địa địa phương với tổng chiều dài 87 km (gồm sông Ngàn Phố dài 29,5 km, sông Ngàn Sâu dài 34,5 km và sông Kinh dài 23,0 km) Sở Giao thông vận tải </w:t>
      </w:r>
      <w:r>
        <w:rPr>
          <w:i/>
          <w:iCs/>
          <w:sz w:val="26"/>
          <w:szCs w:val="26"/>
          <w:lang w:val="nl-NL"/>
        </w:rPr>
        <w:t xml:space="preserve">(nay là Sở Xây dựng) </w:t>
      </w:r>
      <w:r>
        <w:rPr>
          <w:sz w:val="26"/>
          <w:szCs w:val="26"/>
          <w:lang w:val="nl-NL"/>
        </w:rPr>
        <w:t>được uỷ quyền quản lý.</w:t>
      </w:r>
    </w:p>
    <w:p w14:paraId="29C2C597" w14:textId="77777777" w:rsidR="00085789" w:rsidRDefault="00000000">
      <w:pPr>
        <w:widowControl w:val="0"/>
        <w:autoSpaceDE w:val="0"/>
        <w:autoSpaceDN w:val="0"/>
        <w:adjustRightInd w:val="0"/>
        <w:spacing w:before="140" w:line="240" w:lineRule="auto"/>
        <w:ind w:firstLine="709"/>
        <w:jc w:val="both"/>
        <w:rPr>
          <w:sz w:val="26"/>
          <w:szCs w:val="26"/>
          <w:lang w:val="nl-NL"/>
        </w:rPr>
      </w:pPr>
      <w:r>
        <w:rPr>
          <w:sz w:val="26"/>
          <w:szCs w:val="26"/>
          <w:lang w:val="nl-NL"/>
        </w:rPr>
        <w:t xml:space="preserve">- Cảng biển: Hiện nay trên địa bàn Hà Tĩnh có 07 bến cảng đang hoạt động, khai thác, trong đó, khu vực Vũng Áng - Sơn Dương có 05 bến cảng gồm: bến cảng Vũng Áng, bến cảng xăng dầu LPG Vũng Áng, bến cảng Nhà máy Nhiệt điện Vũng Áng I, bến cảng Nhà máy Nhiệt điện Vũng Áng II và bến cảng Sơn Dương; Khu vực Nghi Xuân có bến cảng Xuân Hải và bến cảng xăng dầu Xuân Giang. Cảng hàng hóa (03 cảng), Cảng chuyên dùng tại Km7+380 Km7+505 Sông Đào bờ phải, 03 cảng đóng mới-sửa chữa phương tiện được Cục Đường thủy nội địa Việt Nam công bố. </w:t>
      </w:r>
    </w:p>
    <w:p w14:paraId="3022FAD6" w14:textId="77777777" w:rsidR="00085789" w:rsidRDefault="00000000">
      <w:pPr>
        <w:widowControl w:val="0"/>
        <w:autoSpaceDE w:val="0"/>
        <w:autoSpaceDN w:val="0"/>
        <w:adjustRightInd w:val="0"/>
        <w:spacing w:before="140" w:line="240" w:lineRule="auto"/>
        <w:ind w:firstLine="709"/>
        <w:jc w:val="both"/>
        <w:rPr>
          <w:sz w:val="26"/>
          <w:szCs w:val="26"/>
          <w:lang w:val="nl-NL"/>
        </w:rPr>
      </w:pPr>
      <w:r>
        <w:rPr>
          <w:sz w:val="26"/>
          <w:szCs w:val="26"/>
          <w:lang w:val="nl-NL"/>
        </w:rPr>
        <w:t>Theo Quy hoạch chi tiết phát triển vùng đất, vùng nước cảng biển Hà Tĩnh thời kỳ 2021-2030, tầm nhìn đến năm 2050 được Bộ Xây dựng phê duyệt tại Quyết định số 977/</w:t>
      </w:r>
      <w:r>
        <w:rPr>
          <w:spacing w:val="-6"/>
          <w:sz w:val="26"/>
          <w:szCs w:val="26"/>
          <w:lang w:val="nl-NL"/>
        </w:rPr>
        <w:t>QĐ-BXD ngày 30/6/2025, mục tiêu đến năm 2030, tổng lượng hàng hóa thông qua hệ thống cảng biển Hà Tĩnh đạt từ 46,3 triệu đến 83,5 triệu tấn; về hạ tầng, quy hoạch tổng cộng 13 bến cảng với từ 36 đến 44 cầu cảng, tổng chiều dài cầu cảng từ 7.509 m đến 9.653 m.</w:t>
      </w:r>
    </w:p>
    <w:p w14:paraId="48FDBA6F" w14:textId="77777777" w:rsidR="00085789" w:rsidRDefault="00000000">
      <w:pPr>
        <w:spacing w:before="140" w:line="240" w:lineRule="auto"/>
        <w:ind w:firstLine="709"/>
        <w:jc w:val="both"/>
        <w:rPr>
          <w:sz w:val="26"/>
          <w:szCs w:val="26"/>
          <w:lang w:val="nl-NL"/>
        </w:rPr>
      </w:pPr>
      <w:r>
        <w:rPr>
          <w:sz w:val="26"/>
          <w:szCs w:val="26"/>
          <w:lang w:val="nl-NL"/>
        </w:rPr>
        <w:lastRenderedPageBreak/>
        <w:t xml:space="preserve">- Các doanh nghiệp, hộ kinh doanh cá thể hoạt động vận tải hàng hóa và hành khách trên địa bàn tỉnh có 717 đơn vị (trong đó 637 đơn vị vận tải hàng hóa; 80 đơn vị vận tải hành khách); quy mô các đơn vị kinh doanh vận tải chủ yếu là vừa và nhỏ (trong đó: có 07 doanh nghiệp quy mô vừa; 710 đơn vị quy mô nhỏ). </w:t>
      </w:r>
    </w:p>
    <w:p w14:paraId="48E6143B" w14:textId="77777777" w:rsidR="00085789" w:rsidRDefault="00000000">
      <w:pPr>
        <w:spacing w:before="140" w:line="240" w:lineRule="auto"/>
        <w:ind w:firstLine="709"/>
        <w:jc w:val="both"/>
        <w:rPr>
          <w:sz w:val="26"/>
          <w:szCs w:val="26"/>
          <w:lang w:val="nl-NL"/>
        </w:rPr>
      </w:pPr>
      <w:r>
        <w:rPr>
          <w:sz w:val="26"/>
          <w:szCs w:val="26"/>
          <w:lang w:val="nl-NL"/>
        </w:rPr>
        <w:t xml:space="preserve">- Về phương tiện có đăng ký hoạt động kinh doanh vận tải trên địa bàn tỉnh có 3.484 xe ô tô hoạt động kinh doanh vận tải (1.385 xe vận tải hành khách, trong đó có 379 ô tô taxi điện, 1.720 vận tải hàng hóa đang dùng nhiên liệu hóa thạch). Ngoài ra, có 82.539 xe ô tô các loại, trong đó: 645 phương tiện ô tô con chạy điện, 857.844 xe mô tô, xe máy, xe máy điện, trong đó riêng xe máy điện là 116.435 phương tiện.  </w:t>
      </w:r>
    </w:p>
    <w:p w14:paraId="3DA30874" w14:textId="77777777" w:rsidR="00085789" w:rsidRDefault="00000000">
      <w:pPr>
        <w:pStyle w:val="bac2"/>
        <w:spacing w:before="120" w:after="0" w:line="240" w:lineRule="auto"/>
        <w:rPr>
          <w:lang w:val="nl-NL"/>
        </w:rPr>
      </w:pPr>
      <w:bookmarkStart w:id="222" w:name="_Toc214311209"/>
      <w:r>
        <w:rPr>
          <w:lang w:val="nl-NL"/>
        </w:rPr>
        <w:t>1.2.1.5.  Phát triển nông - lâm nghiệp và thủy sản</w:t>
      </w:r>
      <w:bookmarkEnd w:id="222"/>
    </w:p>
    <w:p w14:paraId="32882EFF" w14:textId="16985C80" w:rsidR="00085789" w:rsidRDefault="00000000">
      <w:pPr>
        <w:widowControl w:val="0"/>
        <w:autoSpaceDE w:val="0"/>
        <w:autoSpaceDN w:val="0"/>
        <w:adjustRightInd w:val="0"/>
        <w:spacing w:before="140" w:line="240" w:lineRule="auto"/>
        <w:ind w:firstLine="709"/>
        <w:jc w:val="both"/>
        <w:rPr>
          <w:spacing w:val="-6"/>
          <w:sz w:val="26"/>
          <w:szCs w:val="26"/>
          <w:lang w:val="nl-NL"/>
        </w:rPr>
      </w:pPr>
      <w:r>
        <w:rPr>
          <w:spacing w:val="-6"/>
          <w:sz w:val="26"/>
          <w:szCs w:val="26"/>
          <w:lang w:val="nl-NL"/>
        </w:rPr>
        <w:t>Trong cơ cấu kinh tế ngành nông, lâm nghiệp và thủy sản trên địa bàn tỉnh giai đoạn từ năm 2020-2024 có tỷ trọng giảm dần qua từng năm, từ khoảng 16,3 % năm 2020 giảm còn 14,07 % năm 2024 nhưng tổng sản phẩm trên địa bàn tăng dần theo từng năm, cụ thể trong vòng 5 năm tăng 2.737,77 tỷ đồng (tăng từ 13.139,23 tỷ đồng lên 15.877 tỷ đồng).</w:t>
      </w:r>
    </w:p>
    <w:p w14:paraId="2D7FB2D9" w14:textId="77777777" w:rsidR="00085789" w:rsidRDefault="00000000">
      <w:pPr>
        <w:widowControl w:val="0"/>
        <w:autoSpaceDE w:val="0"/>
        <w:autoSpaceDN w:val="0"/>
        <w:adjustRightInd w:val="0"/>
        <w:ind w:firstLine="709"/>
        <w:jc w:val="both"/>
        <w:rPr>
          <w:sz w:val="24"/>
          <w:szCs w:val="24"/>
          <w:lang w:val="nl-NL"/>
        </w:rPr>
      </w:pPr>
      <w:r>
        <w:rPr>
          <w:noProof/>
        </w:rPr>
        <w:drawing>
          <wp:anchor distT="0" distB="0" distL="114300" distR="114300" simplePos="0" relativeHeight="251824640" behindDoc="1" locked="0" layoutInCell="1" allowOverlap="1" wp14:anchorId="2AB167C6" wp14:editId="569FA39F">
            <wp:simplePos x="0" y="0"/>
            <wp:positionH relativeFrom="page">
              <wp:posOffset>1811020</wp:posOffset>
            </wp:positionH>
            <wp:positionV relativeFrom="paragraph">
              <wp:posOffset>76835</wp:posOffset>
            </wp:positionV>
            <wp:extent cx="4300855" cy="3191510"/>
            <wp:effectExtent l="0" t="0" r="4445" b="8890"/>
            <wp:wrapTight wrapText="bothSides">
              <wp:wrapPolygon edited="0">
                <wp:start x="0" y="0"/>
                <wp:lineTo x="0" y="21531"/>
                <wp:lineTo x="21527" y="21531"/>
                <wp:lineTo x="21527" y="0"/>
                <wp:lineTo x="0" y="0"/>
              </wp:wrapPolygon>
            </wp:wrapTight>
            <wp:docPr id="1536102256" name="Chart 1">
              <a:extLst xmlns:a="http://schemas.openxmlformats.org/drawingml/2006/main">
                <a:ext uri="{FF2B5EF4-FFF2-40B4-BE49-F238E27FC236}">
                  <a16:creationId xmlns:a16="http://schemas.microsoft.com/office/drawing/2014/main" id="{74E495F9-1806-8D54-EB02-6A116A1207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p>
    <w:p w14:paraId="16FCE9E1" w14:textId="77777777" w:rsidR="00085789" w:rsidRDefault="00085789">
      <w:pPr>
        <w:widowControl w:val="0"/>
        <w:autoSpaceDE w:val="0"/>
        <w:autoSpaceDN w:val="0"/>
        <w:adjustRightInd w:val="0"/>
        <w:ind w:firstLine="709"/>
        <w:jc w:val="both"/>
        <w:rPr>
          <w:sz w:val="24"/>
          <w:szCs w:val="24"/>
          <w:lang w:val="nl-NL"/>
        </w:rPr>
      </w:pPr>
    </w:p>
    <w:p w14:paraId="7FA5154E" w14:textId="77777777" w:rsidR="00085789" w:rsidRDefault="00085789">
      <w:pPr>
        <w:widowControl w:val="0"/>
        <w:autoSpaceDE w:val="0"/>
        <w:autoSpaceDN w:val="0"/>
        <w:adjustRightInd w:val="0"/>
        <w:ind w:firstLine="709"/>
        <w:jc w:val="both"/>
        <w:rPr>
          <w:sz w:val="24"/>
          <w:szCs w:val="24"/>
          <w:lang w:val="nl-NL"/>
        </w:rPr>
      </w:pPr>
    </w:p>
    <w:p w14:paraId="7B2F56DB" w14:textId="77777777" w:rsidR="00085789" w:rsidRDefault="00085789">
      <w:pPr>
        <w:widowControl w:val="0"/>
        <w:autoSpaceDE w:val="0"/>
        <w:autoSpaceDN w:val="0"/>
        <w:adjustRightInd w:val="0"/>
        <w:ind w:firstLine="709"/>
        <w:jc w:val="both"/>
        <w:rPr>
          <w:sz w:val="24"/>
          <w:szCs w:val="24"/>
          <w:lang w:val="nl-NL"/>
        </w:rPr>
      </w:pPr>
    </w:p>
    <w:p w14:paraId="622403C5" w14:textId="77777777" w:rsidR="00085789" w:rsidRDefault="00085789">
      <w:pPr>
        <w:widowControl w:val="0"/>
        <w:autoSpaceDE w:val="0"/>
        <w:autoSpaceDN w:val="0"/>
        <w:adjustRightInd w:val="0"/>
        <w:ind w:firstLine="709"/>
        <w:jc w:val="both"/>
        <w:rPr>
          <w:sz w:val="24"/>
          <w:szCs w:val="24"/>
          <w:lang w:val="nl-NL"/>
        </w:rPr>
      </w:pPr>
    </w:p>
    <w:p w14:paraId="1AB19248" w14:textId="77777777" w:rsidR="00085789" w:rsidRDefault="00085789">
      <w:pPr>
        <w:widowControl w:val="0"/>
        <w:autoSpaceDE w:val="0"/>
        <w:autoSpaceDN w:val="0"/>
        <w:adjustRightInd w:val="0"/>
        <w:ind w:firstLine="709"/>
        <w:jc w:val="both"/>
        <w:rPr>
          <w:sz w:val="24"/>
          <w:szCs w:val="24"/>
          <w:lang w:val="nl-NL"/>
        </w:rPr>
      </w:pPr>
    </w:p>
    <w:p w14:paraId="29459558" w14:textId="77777777" w:rsidR="00085789" w:rsidRDefault="00085789">
      <w:pPr>
        <w:widowControl w:val="0"/>
        <w:autoSpaceDE w:val="0"/>
        <w:autoSpaceDN w:val="0"/>
        <w:adjustRightInd w:val="0"/>
        <w:ind w:firstLine="709"/>
        <w:jc w:val="both"/>
        <w:rPr>
          <w:sz w:val="24"/>
          <w:szCs w:val="24"/>
          <w:lang w:val="nl-NL"/>
        </w:rPr>
      </w:pPr>
    </w:p>
    <w:p w14:paraId="6D7F2BDB" w14:textId="77777777" w:rsidR="00085789" w:rsidRDefault="00085789">
      <w:pPr>
        <w:widowControl w:val="0"/>
        <w:autoSpaceDE w:val="0"/>
        <w:autoSpaceDN w:val="0"/>
        <w:adjustRightInd w:val="0"/>
        <w:ind w:firstLine="709"/>
        <w:jc w:val="both"/>
        <w:rPr>
          <w:sz w:val="24"/>
          <w:szCs w:val="24"/>
          <w:lang w:val="nl-NL"/>
        </w:rPr>
      </w:pPr>
    </w:p>
    <w:p w14:paraId="42C25710" w14:textId="77777777" w:rsidR="00085789" w:rsidRDefault="00085789">
      <w:pPr>
        <w:widowControl w:val="0"/>
        <w:autoSpaceDE w:val="0"/>
        <w:autoSpaceDN w:val="0"/>
        <w:adjustRightInd w:val="0"/>
        <w:ind w:firstLine="709"/>
        <w:jc w:val="both"/>
        <w:rPr>
          <w:sz w:val="24"/>
          <w:szCs w:val="24"/>
          <w:lang w:val="nl-NL"/>
        </w:rPr>
      </w:pPr>
    </w:p>
    <w:p w14:paraId="3492C6DF" w14:textId="77777777" w:rsidR="00085789" w:rsidRDefault="00085789">
      <w:pPr>
        <w:widowControl w:val="0"/>
        <w:autoSpaceDE w:val="0"/>
        <w:autoSpaceDN w:val="0"/>
        <w:adjustRightInd w:val="0"/>
        <w:ind w:firstLine="709"/>
        <w:jc w:val="both"/>
        <w:rPr>
          <w:sz w:val="24"/>
          <w:szCs w:val="24"/>
          <w:lang w:val="nl-NL"/>
        </w:rPr>
      </w:pPr>
    </w:p>
    <w:p w14:paraId="7DE42C7A" w14:textId="77777777" w:rsidR="00085789" w:rsidRDefault="00085789">
      <w:pPr>
        <w:widowControl w:val="0"/>
        <w:autoSpaceDE w:val="0"/>
        <w:autoSpaceDN w:val="0"/>
        <w:adjustRightInd w:val="0"/>
        <w:ind w:firstLine="709"/>
        <w:jc w:val="both"/>
        <w:rPr>
          <w:sz w:val="24"/>
          <w:szCs w:val="24"/>
          <w:lang w:val="nl-NL"/>
        </w:rPr>
      </w:pPr>
    </w:p>
    <w:p w14:paraId="358B51DC" w14:textId="77777777" w:rsidR="00085789" w:rsidRDefault="00000000">
      <w:pPr>
        <w:widowControl w:val="0"/>
        <w:autoSpaceDE w:val="0"/>
        <w:autoSpaceDN w:val="0"/>
        <w:adjustRightInd w:val="0"/>
        <w:jc w:val="both"/>
        <w:rPr>
          <w:sz w:val="24"/>
          <w:szCs w:val="24"/>
          <w:lang w:val="nl-NL"/>
        </w:rPr>
      </w:pPr>
      <w:r>
        <w:rPr>
          <w:noProof/>
        </w:rPr>
        <mc:AlternateContent>
          <mc:Choice Requires="wps">
            <w:drawing>
              <wp:anchor distT="0" distB="0" distL="114300" distR="114300" simplePos="0" relativeHeight="251825664" behindDoc="0" locked="0" layoutInCell="1" allowOverlap="1" wp14:anchorId="1C2BFB3B" wp14:editId="5E51C080">
                <wp:simplePos x="0" y="0"/>
                <wp:positionH relativeFrom="column">
                  <wp:posOffset>4723773</wp:posOffset>
                </wp:positionH>
                <wp:positionV relativeFrom="paragraph">
                  <wp:posOffset>8890</wp:posOffset>
                </wp:positionV>
                <wp:extent cx="914400" cy="308610"/>
                <wp:effectExtent l="0" t="0" r="0" b="0"/>
                <wp:wrapNone/>
                <wp:docPr id="1851509011" name="Text Box 480"/>
                <wp:cNvGraphicFramePr/>
                <a:graphic xmlns:a="http://schemas.openxmlformats.org/drawingml/2006/main">
                  <a:graphicData uri="http://schemas.microsoft.com/office/word/2010/wordprocessingShape">
                    <wps:wsp>
                      <wps:cNvSpPr txBox="1"/>
                      <wps:spPr>
                        <a:xfrm>
                          <a:off x="0" y="0"/>
                          <a:ext cx="914400" cy="308610"/>
                        </a:xfrm>
                        <a:prstGeom prst="rect">
                          <a:avLst/>
                        </a:prstGeom>
                        <a:noFill/>
                        <a:ln w="6350">
                          <a:noFill/>
                        </a:ln>
                      </wps:spPr>
                      <wps:txbx>
                        <w:txbxContent>
                          <w:p w14:paraId="752989BD" w14:textId="77777777" w:rsidR="00085789" w:rsidRDefault="00000000">
                            <w:pPr>
                              <w:rPr>
                                <w:sz w:val="20"/>
                                <w:szCs w:val="20"/>
                              </w:rPr>
                            </w:pPr>
                            <w:r>
                              <w:rPr>
                                <w:sz w:val="20"/>
                                <w:szCs w:val="20"/>
                              </w:rPr>
                              <w:t>Năm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2D08D5" id="Text Box 480" o:spid="_x0000_s1029" type="#_x0000_t202" style="position:absolute;left:0;text-align:left;margin-left:371.95pt;margin-top:.7pt;width:1in;height:24.3pt;z-index:2518256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" filled="f" stroked="f" strokeweight=".5pt">
                <v:textbox>
                  <w:txbxContent>
                    <w:p w14:paraId="6B69EB52" w14:textId="77777777" w:rsidR="000E0CEF" w:rsidRDefault="000E0CEF">
                      <w:pPr>
                        <w:rPr>
                          <w:sz w:val="20"/>
                          <w:szCs w:val="20"/>
                        </w:rPr>
                      </w:pPr>
                      <w:r>
                        <w:rPr>
                          <w:sz w:val="20"/>
                          <w:szCs w:val="20"/>
                        </w:rPr>
                        <w:t>Năm</w:t>
                      </w:r>
                    </w:p>
                  </w:txbxContent>
                </v:textbox>
              </v:shape>
            </w:pict>
          </mc:Fallback>
        </mc:AlternateContent>
      </w:r>
    </w:p>
    <w:p w14:paraId="3CD04368" w14:textId="77777777" w:rsidR="00085789" w:rsidRDefault="00085789">
      <w:pPr>
        <w:pStyle w:val="-bac4"/>
        <w:spacing w:before="0" w:after="0" w:line="240" w:lineRule="auto"/>
        <w:rPr>
          <w:lang w:val="nl-NL"/>
        </w:rPr>
      </w:pPr>
      <w:bookmarkStart w:id="223" w:name="_Toc205915647"/>
      <w:bookmarkStart w:id="224" w:name="_Toc213597347"/>
      <w:bookmarkStart w:id="225" w:name="_Toc213600730"/>
    </w:p>
    <w:p w14:paraId="1CB6C87F" w14:textId="77777777" w:rsidR="00085789" w:rsidRDefault="00085789">
      <w:pPr>
        <w:pStyle w:val="-bac4"/>
        <w:spacing w:before="0" w:after="0" w:line="240" w:lineRule="auto"/>
        <w:rPr>
          <w:lang w:val="nl-NL"/>
        </w:rPr>
      </w:pPr>
    </w:p>
    <w:p w14:paraId="2B367034" w14:textId="77777777" w:rsidR="00085789" w:rsidRDefault="00085789">
      <w:pPr>
        <w:pStyle w:val="-bac4"/>
        <w:spacing w:before="0" w:after="0" w:line="240" w:lineRule="auto"/>
        <w:rPr>
          <w:lang w:val="nl-NL"/>
        </w:rPr>
      </w:pPr>
    </w:p>
    <w:p w14:paraId="627B39FA" w14:textId="77777777" w:rsidR="00085789" w:rsidRDefault="00085789">
      <w:pPr>
        <w:pStyle w:val="-bac4"/>
        <w:spacing w:before="0" w:after="0" w:line="240" w:lineRule="auto"/>
        <w:rPr>
          <w:lang w:val="nl-NL"/>
        </w:rPr>
      </w:pPr>
    </w:p>
    <w:p w14:paraId="2C6C29C7" w14:textId="77777777" w:rsidR="00085789" w:rsidRDefault="00085789">
      <w:pPr>
        <w:pStyle w:val="-bac4"/>
        <w:spacing w:before="0" w:after="0" w:line="240" w:lineRule="auto"/>
        <w:rPr>
          <w:lang w:val="nl-NL"/>
        </w:rPr>
      </w:pPr>
    </w:p>
    <w:p w14:paraId="731EB55D" w14:textId="77777777" w:rsidR="00980AFB" w:rsidRDefault="00980AFB">
      <w:pPr>
        <w:pStyle w:val="-bac4"/>
        <w:spacing w:before="0" w:after="0" w:line="240" w:lineRule="auto"/>
        <w:rPr>
          <w:lang w:val="nl-NL"/>
        </w:rPr>
      </w:pPr>
    </w:p>
    <w:p w14:paraId="4C8B77BB" w14:textId="323695D4" w:rsidR="00085789" w:rsidRDefault="00000000">
      <w:pPr>
        <w:pStyle w:val="-bac4"/>
        <w:spacing w:before="0" w:after="0" w:line="240" w:lineRule="auto"/>
        <w:rPr>
          <w:lang w:val="nl-NL"/>
        </w:rPr>
      </w:pPr>
      <w:r>
        <w:rPr>
          <w:lang w:val="nl-NL"/>
        </w:rPr>
        <w:t>Hình 1.4. Tổng sản phẩm trên địa bàn theo giá hiện hành theo ngành nông, lâm nghiệp và thủy sản từ năm 2020-2024</w:t>
      </w:r>
      <w:bookmarkEnd w:id="223"/>
      <w:bookmarkEnd w:id="224"/>
      <w:bookmarkEnd w:id="225"/>
    </w:p>
    <w:p w14:paraId="1D7D22DE" w14:textId="77777777" w:rsidR="00085789" w:rsidRDefault="00000000">
      <w:pPr>
        <w:widowControl w:val="0"/>
        <w:autoSpaceDE w:val="0"/>
        <w:autoSpaceDN w:val="0"/>
        <w:adjustRightInd w:val="0"/>
        <w:spacing w:before="120" w:line="240" w:lineRule="auto"/>
        <w:ind w:firstLine="709"/>
        <w:jc w:val="both"/>
        <w:rPr>
          <w:sz w:val="26"/>
          <w:szCs w:val="26"/>
          <w:lang w:val="nl-NL"/>
        </w:rPr>
      </w:pPr>
      <w:r>
        <w:rPr>
          <w:b/>
          <w:bCs/>
          <w:sz w:val="26"/>
          <w:szCs w:val="26"/>
          <w:lang w:val="nl-NL"/>
        </w:rPr>
        <w:t>* Đối với trồng trọt</w:t>
      </w:r>
      <w:r>
        <w:rPr>
          <w:sz w:val="26"/>
          <w:szCs w:val="26"/>
          <w:lang w:val="nl-NL"/>
        </w:rPr>
        <w:t>:</w:t>
      </w:r>
    </w:p>
    <w:p w14:paraId="64AF61A2" w14:textId="77777777" w:rsidR="00085789" w:rsidRDefault="00000000">
      <w:pPr>
        <w:widowControl w:val="0"/>
        <w:autoSpaceDE w:val="0"/>
        <w:autoSpaceDN w:val="0"/>
        <w:adjustRightInd w:val="0"/>
        <w:spacing w:before="140" w:line="240" w:lineRule="auto"/>
        <w:ind w:firstLine="709"/>
        <w:jc w:val="both"/>
        <w:rPr>
          <w:noProof/>
          <w:sz w:val="26"/>
          <w:szCs w:val="26"/>
          <w:lang w:val="nl-NL"/>
        </w:rPr>
      </w:pPr>
      <w:r>
        <w:rPr>
          <w:sz w:val="26"/>
          <w:szCs w:val="26"/>
          <w:lang w:val="nl-NL"/>
        </w:rPr>
        <w:t xml:space="preserve">Giai đoạn 2020-2024, ngành trồng trọt dần chuyển theo hướng chất lượng cao, ứng dụng công nghệ sinh học, cơ giới hoá,... đặc biệt là việc áp dụng các giống cây trồng mới với sản lượng và năng suất cao, góp phần thay đổi cơ cấu cây trồng. </w:t>
      </w:r>
      <w:r>
        <w:rPr>
          <w:noProof/>
          <w:sz w:val="26"/>
          <w:szCs w:val="26"/>
          <w:lang w:val="nl-NL"/>
        </w:rPr>
        <w:t xml:space="preserve">Tổng sản lượng cây lương thực có hạt năm 2024 đạt 670,779 tấn (tăng 15,57 % so với năm 2020). Sản lượng cây lâu năm tăng nhanh giai đoạn 2020-2022, từ 157.528 tấn lên 204.275 tấn (tăng 29,7 %). Sau đó giảm mạnh trong 2 năm tiếp theo từ 2024-2025, chỉ còn </w:t>
      </w:r>
      <w:r>
        <w:rPr>
          <w:sz w:val="26"/>
          <w:szCs w:val="26"/>
          <w:lang w:val="nl-NL"/>
        </w:rPr>
        <w:t xml:space="preserve">175.254 </w:t>
      </w:r>
      <w:r>
        <w:rPr>
          <w:noProof/>
          <w:sz w:val="26"/>
          <w:szCs w:val="26"/>
          <w:lang w:val="nl-NL"/>
        </w:rPr>
        <w:t xml:space="preserve">tấn (năm 2024) và </w:t>
      </w:r>
      <w:r>
        <w:rPr>
          <w:sz w:val="26"/>
          <w:szCs w:val="26"/>
          <w:lang w:val="nl-NL"/>
        </w:rPr>
        <w:t xml:space="preserve">174.248 </w:t>
      </w:r>
      <w:r>
        <w:rPr>
          <w:noProof/>
          <w:sz w:val="26"/>
          <w:szCs w:val="26"/>
          <w:lang w:val="nl-NL"/>
        </w:rPr>
        <w:t>tấn (ước tính hết năm 2025) do diện tích cây lâu năm giảm.</w:t>
      </w:r>
    </w:p>
    <w:p w14:paraId="37416C87" w14:textId="77777777" w:rsidR="00085789" w:rsidRDefault="00085789">
      <w:pPr>
        <w:pStyle w:val="-bac4"/>
        <w:spacing w:before="120" w:after="0" w:line="240" w:lineRule="auto"/>
        <w:rPr>
          <w:lang w:val="nl-NL"/>
        </w:rPr>
      </w:pPr>
      <w:bookmarkStart w:id="226" w:name="_Toc205915648"/>
      <w:bookmarkStart w:id="227" w:name="_Toc213597348"/>
      <w:bookmarkStart w:id="228" w:name="_Toc213600731"/>
    </w:p>
    <w:p w14:paraId="63ED475D" w14:textId="77777777" w:rsidR="00085789" w:rsidRDefault="00085789">
      <w:pPr>
        <w:pStyle w:val="-bac4"/>
        <w:spacing w:before="120" w:after="0" w:line="240" w:lineRule="auto"/>
        <w:rPr>
          <w:lang w:val="nl-NL"/>
        </w:rPr>
      </w:pPr>
    </w:p>
    <w:p w14:paraId="20D7B033" w14:textId="77777777" w:rsidR="00085789" w:rsidRDefault="00085789">
      <w:pPr>
        <w:pStyle w:val="-bac4"/>
        <w:spacing w:before="120" w:after="0" w:line="240" w:lineRule="auto"/>
        <w:rPr>
          <w:lang w:val="nl-NL"/>
        </w:rPr>
      </w:pPr>
    </w:p>
    <w:p w14:paraId="0D8F6035" w14:textId="77777777" w:rsidR="00085789" w:rsidRDefault="00000000">
      <w:pPr>
        <w:pStyle w:val="-bac4"/>
        <w:spacing w:before="120" w:after="0" w:line="240" w:lineRule="auto"/>
        <w:rPr>
          <w:lang w:val="nl-NL"/>
        </w:rPr>
      </w:pPr>
      <w:r>
        <w:rPr>
          <w:lang w:val="nl-NL"/>
        </w:rPr>
        <w:lastRenderedPageBreak/>
        <w:t>Bảng 1.7. Kết quả thực hiện một số chỉ tiêu phát triển ngành trồng trọt từ năm 2020-2025</w:t>
      </w:r>
      <w:bookmarkEnd w:id="226"/>
      <w:bookmarkEnd w:id="227"/>
      <w:bookmarkEnd w:id="228"/>
    </w:p>
    <w:tbl>
      <w:tblPr>
        <w:tblStyle w:val="TableGrid"/>
        <w:tblW w:w="0" w:type="auto"/>
        <w:jc w:val="center"/>
        <w:tblLook w:val="04A0" w:firstRow="1" w:lastRow="0" w:firstColumn="1" w:lastColumn="0" w:noHBand="0" w:noVBand="1"/>
      </w:tblPr>
      <w:tblGrid>
        <w:gridCol w:w="670"/>
        <w:gridCol w:w="2084"/>
        <w:gridCol w:w="1108"/>
        <w:gridCol w:w="1064"/>
        <w:gridCol w:w="1061"/>
        <w:gridCol w:w="1061"/>
        <w:gridCol w:w="1061"/>
        <w:gridCol w:w="1208"/>
      </w:tblGrid>
      <w:tr w:rsidR="00085789" w14:paraId="5B22133B" w14:textId="77777777">
        <w:trPr>
          <w:trHeight w:val="561"/>
          <w:tblHeader/>
          <w:jc w:val="center"/>
        </w:trPr>
        <w:tc>
          <w:tcPr>
            <w:tcW w:w="562" w:type="dxa"/>
            <w:vAlign w:val="center"/>
          </w:tcPr>
          <w:p w14:paraId="506A9643" w14:textId="77777777" w:rsidR="00085789" w:rsidRDefault="00000000">
            <w:pPr>
              <w:spacing w:line="240" w:lineRule="auto"/>
              <w:rPr>
                <w:b/>
                <w:sz w:val="24"/>
                <w:szCs w:val="24"/>
              </w:rPr>
            </w:pPr>
            <w:r>
              <w:rPr>
                <w:b/>
                <w:sz w:val="24"/>
                <w:szCs w:val="24"/>
              </w:rPr>
              <w:t>STT</w:t>
            </w:r>
          </w:p>
        </w:tc>
        <w:tc>
          <w:tcPr>
            <w:tcW w:w="2084" w:type="dxa"/>
            <w:tcBorders>
              <w:tl2br w:val="single" w:sz="4" w:space="0" w:color="auto"/>
            </w:tcBorders>
            <w:vAlign w:val="center"/>
          </w:tcPr>
          <w:p w14:paraId="24136D58" w14:textId="77777777" w:rsidR="00085789" w:rsidRDefault="00000000">
            <w:pPr>
              <w:spacing w:line="240" w:lineRule="auto"/>
              <w:rPr>
                <w:b/>
                <w:sz w:val="24"/>
                <w:szCs w:val="24"/>
              </w:rPr>
            </w:pPr>
            <w:r>
              <w:rPr>
                <w:b/>
                <w:sz w:val="24"/>
                <w:szCs w:val="24"/>
              </w:rPr>
              <w:t xml:space="preserve">                 Năm</w:t>
            </w:r>
          </w:p>
          <w:p w14:paraId="18569D1E" w14:textId="77777777" w:rsidR="00085789" w:rsidRDefault="00000000">
            <w:pPr>
              <w:spacing w:line="240" w:lineRule="auto"/>
              <w:rPr>
                <w:b/>
                <w:sz w:val="24"/>
                <w:szCs w:val="24"/>
              </w:rPr>
            </w:pPr>
            <w:r>
              <w:rPr>
                <w:b/>
                <w:sz w:val="24"/>
                <w:szCs w:val="24"/>
              </w:rPr>
              <w:t>Chỉ tiêu</w:t>
            </w:r>
          </w:p>
        </w:tc>
        <w:tc>
          <w:tcPr>
            <w:tcW w:w="1108" w:type="dxa"/>
            <w:vAlign w:val="center"/>
          </w:tcPr>
          <w:p w14:paraId="4DD63AB3" w14:textId="77777777" w:rsidR="00085789" w:rsidRDefault="00000000">
            <w:pPr>
              <w:spacing w:line="240" w:lineRule="auto"/>
              <w:jc w:val="center"/>
              <w:rPr>
                <w:b/>
                <w:sz w:val="24"/>
                <w:szCs w:val="24"/>
              </w:rPr>
            </w:pPr>
            <w:r>
              <w:rPr>
                <w:b/>
                <w:sz w:val="24"/>
                <w:szCs w:val="24"/>
              </w:rPr>
              <w:t xml:space="preserve">2020 </w:t>
            </w:r>
          </w:p>
        </w:tc>
        <w:tc>
          <w:tcPr>
            <w:tcW w:w="1064" w:type="dxa"/>
            <w:vAlign w:val="center"/>
          </w:tcPr>
          <w:p w14:paraId="2E96C4B6" w14:textId="77777777" w:rsidR="00085789" w:rsidRDefault="00000000">
            <w:pPr>
              <w:spacing w:line="240" w:lineRule="auto"/>
              <w:jc w:val="center"/>
              <w:rPr>
                <w:sz w:val="24"/>
                <w:szCs w:val="24"/>
              </w:rPr>
            </w:pPr>
            <w:r>
              <w:rPr>
                <w:b/>
                <w:sz w:val="24"/>
                <w:szCs w:val="24"/>
              </w:rPr>
              <w:t>2021</w:t>
            </w:r>
          </w:p>
        </w:tc>
        <w:tc>
          <w:tcPr>
            <w:tcW w:w="1061" w:type="dxa"/>
            <w:vAlign w:val="center"/>
          </w:tcPr>
          <w:p w14:paraId="6905523B" w14:textId="77777777" w:rsidR="00085789" w:rsidRDefault="00000000">
            <w:pPr>
              <w:spacing w:line="240" w:lineRule="auto"/>
              <w:jc w:val="center"/>
              <w:rPr>
                <w:b/>
                <w:sz w:val="24"/>
                <w:szCs w:val="24"/>
              </w:rPr>
            </w:pPr>
            <w:r>
              <w:rPr>
                <w:b/>
                <w:sz w:val="24"/>
                <w:szCs w:val="24"/>
              </w:rPr>
              <w:t>2022</w:t>
            </w:r>
          </w:p>
        </w:tc>
        <w:tc>
          <w:tcPr>
            <w:tcW w:w="1061" w:type="dxa"/>
            <w:vAlign w:val="center"/>
          </w:tcPr>
          <w:p w14:paraId="0C3092A7" w14:textId="77777777" w:rsidR="00085789" w:rsidRDefault="00000000">
            <w:pPr>
              <w:spacing w:line="240" w:lineRule="auto"/>
              <w:jc w:val="center"/>
              <w:rPr>
                <w:b/>
                <w:sz w:val="24"/>
                <w:szCs w:val="24"/>
              </w:rPr>
            </w:pPr>
            <w:r>
              <w:rPr>
                <w:b/>
                <w:sz w:val="24"/>
                <w:szCs w:val="24"/>
              </w:rPr>
              <w:t>2023</w:t>
            </w:r>
          </w:p>
        </w:tc>
        <w:tc>
          <w:tcPr>
            <w:tcW w:w="1061" w:type="dxa"/>
            <w:vAlign w:val="center"/>
          </w:tcPr>
          <w:p w14:paraId="3E76D5C1" w14:textId="77777777" w:rsidR="00085789" w:rsidRDefault="00000000">
            <w:pPr>
              <w:spacing w:line="240" w:lineRule="auto"/>
              <w:jc w:val="center"/>
              <w:rPr>
                <w:b/>
                <w:sz w:val="24"/>
                <w:szCs w:val="24"/>
              </w:rPr>
            </w:pPr>
            <w:r>
              <w:rPr>
                <w:b/>
                <w:sz w:val="24"/>
                <w:szCs w:val="24"/>
              </w:rPr>
              <w:t>2024</w:t>
            </w:r>
          </w:p>
        </w:tc>
        <w:tc>
          <w:tcPr>
            <w:tcW w:w="1208" w:type="dxa"/>
            <w:vAlign w:val="center"/>
          </w:tcPr>
          <w:p w14:paraId="6FF312B8" w14:textId="77777777" w:rsidR="00085789" w:rsidRDefault="00000000">
            <w:pPr>
              <w:spacing w:line="240" w:lineRule="auto"/>
              <w:jc w:val="center"/>
              <w:rPr>
                <w:b/>
                <w:sz w:val="24"/>
                <w:szCs w:val="24"/>
              </w:rPr>
            </w:pPr>
            <w:r>
              <w:rPr>
                <w:b/>
                <w:sz w:val="24"/>
                <w:szCs w:val="24"/>
              </w:rPr>
              <w:t>2025 (Uớc cả năm) (*)</w:t>
            </w:r>
          </w:p>
        </w:tc>
      </w:tr>
      <w:tr w:rsidR="00085789" w14:paraId="4A12E120" w14:textId="77777777">
        <w:trPr>
          <w:jc w:val="center"/>
        </w:trPr>
        <w:tc>
          <w:tcPr>
            <w:tcW w:w="562" w:type="dxa"/>
            <w:vAlign w:val="center"/>
          </w:tcPr>
          <w:p w14:paraId="454897F9" w14:textId="77777777" w:rsidR="00085789" w:rsidRDefault="00000000">
            <w:pPr>
              <w:spacing w:line="240" w:lineRule="auto"/>
              <w:jc w:val="center"/>
              <w:rPr>
                <w:sz w:val="24"/>
                <w:szCs w:val="24"/>
              </w:rPr>
            </w:pPr>
            <w:r>
              <w:rPr>
                <w:sz w:val="24"/>
                <w:szCs w:val="24"/>
              </w:rPr>
              <w:t>1</w:t>
            </w:r>
          </w:p>
        </w:tc>
        <w:tc>
          <w:tcPr>
            <w:tcW w:w="2084" w:type="dxa"/>
            <w:vAlign w:val="center"/>
          </w:tcPr>
          <w:p w14:paraId="0CFB079F" w14:textId="77777777" w:rsidR="00085789" w:rsidRDefault="00000000">
            <w:pPr>
              <w:spacing w:line="240" w:lineRule="auto"/>
              <w:jc w:val="both"/>
              <w:rPr>
                <w:bCs/>
                <w:sz w:val="24"/>
                <w:szCs w:val="24"/>
              </w:rPr>
            </w:pPr>
            <w:r>
              <w:rPr>
                <w:bCs/>
                <w:sz w:val="24"/>
                <w:szCs w:val="24"/>
              </w:rPr>
              <w:t>Diện tích gieo trồng cây lương thực có hạt (ha)</w:t>
            </w:r>
          </w:p>
        </w:tc>
        <w:tc>
          <w:tcPr>
            <w:tcW w:w="1108" w:type="dxa"/>
            <w:vAlign w:val="center"/>
          </w:tcPr>
          <w:p w14:paraId="15602246" w14:textId="77777777" w:rsidR="00085789" w:rsidRDefault="00000000">
            <w:pPr>
              <w:spacing w:line="240" w:lineRule="auto"/>
              <w:jc w:val="center"/>
              <w:rPr>
                <w:sz w:val="24"/>
                <w:szCs w:val="24"/>
              </w:rPr>
            </w:pPr>
            <w:r>
              <w:rPr>
                <w:sz w:val="24"/>
                <w:szCs w:val="24"/>
              </w:rPr>
              <w:t>114.324</w:t>
            </w:r>
          </w:p>
        </w:tc>
        <w:tc>
          <w:tcPr>
            <w:tcW w:w="1064" w:type="dxa"/>
            <w:vAlign w:val="center"/>
          </w:tcPr>
          <w:p w14:paraId="240FA429" w14:textId="77777777" w:rsidR="00085789" w:rsidRDefault="00000000">
            <w:pPr>
              <w:spacing w:line="240" w:lineRule="auto"/>
              <w:jc w:val="center"/>
              <w:rPr>
                <w:sz w:val="24"/>
                <w:szCs w:val="24"/>
              </w:rPr>
            </w:pPr>
            <w:r>
              <w:rPr>
                <w:sz w:val="24"/>
                <w:szCs w:val="24"/>
              </w:rPr>
              <w:t>117.108</w:t>
            </w:r>
          </w:p>
        </w:tc>
        <w:tc>
          <w:tcPr>
            <w:tcW w:w="1061" w:type="dxa"/>
            <w:vAlign w:val="center"/>
          </w:tcPr>
          <w:p w14:paraId="07196C60" w14:textId="77777777" w:rsidR="00085789" w:rsidRDefault="00000000">
            <w:pPr>
              <w:spacing w:line="240" w:lineRule="auto"/>
              <w:jc w:val="center"/>
              <w:rPr>
                <w:sz w:val="24"/>
                <w:szCs w:val="24"/>
              </w:rPr>
            </w:pPr>
            <w:r>
              <w:rPr>
                <w:sz w:val="24"/>
                <w:szCs w:val="24"/>
              </w:rPr>
              <w:t>117.717</w:t>
            </w:r>
          </w:p>
        </w:tc>
        <w:tc>
          <w:tcPr>
            <w:tcW w:w="1061" w:type="dxa"/>
            <w:vAlign w:val="center"/>
          </w:tcPr>
          <w:p w14:paraId="755F4A2E" w14:textId="77777777" w:rsidR="00085789" w:rsidRDefault="00000000">
            <w:pPr>
              <w:spacing w:line="240" w:lineRule="auto"/>
              <w:jc w:val="center"/>
              <w:rPr>
                <w:sz w:val="24"/>
                <w:szCs w:val="24"/>
              </w:rPr>
            </w:pPr>
            <w:r>
              <w:rPr>
                <w:sz w:val="24"/>
                <w:szCs w:val="24"/>
              </w:rPr>
              <w:t>118.666</w:t>
            </w:r>
          </w:p>
        </w:tc>
        <w:tc>
          <w:tcPr>
            <w:tcW w:w="1061" w:type="dxa"/>
            <w:vAlign w:val="center"/>
          </w:tcPr>
          <w:p w14:paraId="63ADC676" w14:textId="77777777" w:rsidR="00085789" w:rsidRDefault="00000000">
            <w:pPr>
              <w:spacing w:line="240" w:lineRule="auto"/>
              <w:jc w:val="center"/>
              <w:rPr>
                <w:sz w:val="24"/>
                <w:szCs w:val="24"/>
              </w:rPr>
            </w:pPr>
            <w:r>
              <w:rPr>
                <w:sz w:val="24"/>
                <w:szCs w:val="24"/>
              </w:rPr>
              <w:t>118.739</w:t>
            </w:r>
          </w:p>
        </w:tc>
        <w:tc>
          <w:tcPr>
            <w:tcW w:w="1208" w:type="dxa"/>
            <w:vAlign w:val="center"/>
          </w:tcPr>
          <w:p w14:paraId="1CA39188" w14:textId="77777777" w:rsidR="00085789" w:rsidRDefault="00000000">
            <w:pPr>
              <w:spacing w:line="240" w:lineRule="auto"/>
              <w:jc w:val="center"/>
              <w:rPr>
                <w:sz w:val="24"/>
                <w:szCs w:val="24"/>
              </w:rPr>
            </w:pPr>
            <w:r>
              <w:rPr>
                <w:sz w:val="24"/>
                <w:szCs w:val="24"/>
              </w:rPr>
              <w:t>119.145</w:t>
            </w:r>
          </w:p>
        </w:tc>
      </w:tr>
      <w:tr w:rsidR="00085789" w14:paraId="75A62224" w14:textId="77777777">
        <w:trPr>
          <w:jc w:val="center"/>
        </w:trPr>
        <w:tc>
          <w:tcPr>
            <w:tcW w:w="562" w:type="dxa"/>
            <w:vAlign w:val="center"/>
          </w:tcPr>
          <w:p w14:paraId="515376D8" w14:textId="77777777" w:rsidR="00085789" w:rsidRDefault="00000000">
            <w:pPr>
              <w:spacing w:line="240" w:lineRule="auto"/>
              <w:jc w:val="center"/>
              <w:rPr>
                <w:sz w:val="24"/>
                <w:szCs w:val="24"/>
              </w:rPr>
            </w:pPr>
            <w:r>
              <w:rPr>
                <w:sz w:val="24"/>
                <w:szCs w:val="24"/>
              </w:rPr>
              <w:t>2</w:t>
            </w:r>
          </w:p>
        </w:tc>
        <w:tc>
          <w:tcPr>
            <w:tcW w:w="2084" w:type="dxa"/>
            <w:vAlign w:val="center"/>
          </w:tcPr>
          <w:p w14:paraId="0A031DBB" w14:textId="77777777" w:rsidR="00085789" w:rsidRDefault="00000000">
            <w:pPr>
              <w:spacing w:line="240" w:lineRule="auto"/>
              <w:jc w:val="both"/>
              <w:rPr>
                <w:bCs/>
                <w:spacing w:val="-6"/>
                <w:sz w:val="24"/>
                <w:szCs w:val="24"/>
              </w:rPr>
            </w:pPr>
            <w:r>
              <w:rPr>
                <w:bCs/>
                <w:spacing w:val="-6"/>
                <w:sz w:val="24"/>
                <w:szCs w:val="24"/>
              </w:rPr>
              <w:t xml:space="preserve">Sản lượng cây lương thực có hạt  (tấn) </w:t>
            </w:r>
          </w:p>
        </w:tc>
        <w:tc>
          <w:tcPr>
            <w:tcW w:w="1108" w:type="dxa"/>
            <w:vAlign w:val="center"/>
          </w:tcPr>
          <w:p w14:paraId="34983992" w14:textId="77777777" w:rsidR="00085789" w:rsidRDefault="00000000">
            <w:pPr>
              <w:spacing w:line="240" w:lineRule="auto"/>
              <w:jc w:val="center"/>
              <w:rPr>
                <w:sz w:val="24"/>
                <w:szCs w:val="24"/>
              </w:rPr>
            </w:pPr>
            <w:r>
              <w:rPr>
                <w:sz w:val="24"/>
                <w:szCs w:val="24"/>
              </w:rPr>
              <w:t>580.394</w:t>
            </w:r>
          </w:p>
        </w:tc>
        <w:tc>
          <w:tcPr>
            <w:tcW w:w="1064" w:type="dxa"/>
            <w:vAlign w:val="center"/>
          </w:tcPr>
          <w:p w14:paraId="4EE55714" w14:textId="77777777" w:rsidR="00085789" w:rsidRDefault="00000000">
            <w:pPr>
              <w:spacing w:line="240" w:lineRule="auto"/>
              <w:jc w:val="center"/>
              <w:rPr>
                <w:sz w:val="24"/>
                <w:szCs w:val="24"/>
              </w:rPr>
            </w:pPr>
            <w:r>
              <w:rPr>
                <w:sz w:val="24"/>
                <w:szCs w:val="24"/>
              </w:rPr>
              <w:t>633.351</w:t>
            </w:r>
          </w:p>
        </w:tc>
        <w:tc>
          <w:tcPr>
            <w:tcW w:w="1061" w:type="dxa"/>
            <w:vAlign w:val="center"/>
          </w:tcPr>
          <w:p w14:paraId="4F4A6737" w14:textId="77777777" w:rsidR="00085789" w:rsidRDefault="00000000">
            <w:pPr>
              <w:spacing w:line="240" w:lineRule="auto"/>
              <w:jc w:val="center"/>
              <w:rPr>
                <w:sz w:val="24"/>
                <w:szCs w:val="24"/>
              </w:rPr>
            </w:pPr>
            <w:r>
              <w:rPr>
                <w:sz w:val="24"/>
                <w:szCs w:val="24"/>
              </w:rPr>
              <w:t>616.716</w:t>
            </w:r>
          </w:p>
        </w:tc>
        <w:tc>
          <w:tcPr>
            <w:tcW w:w="1061" w:type="dxa"/>
            <w:vAlign w:val="center"/>
          </w:tcPr>
          <w:p w14:paraId="746697B9" w14:textId="77777777" w:rsidR="00085789" w:rsidRDefault="00000000">
            <w:pPr>
              <w:spacing w:line="240" w:lineRule="auto"/>
              <w:jc w:val="center"/>
              <w:rPr>
                <w:sz w:val="24"/>
                <w:szCs w:val="24"/>
              </w:rPr>
            </w:pPr>
            <w:r>
              <w:rPr>
                <w:sz w:val="24"/>
                <w:szCs w:val="24"/>
              </w:rPr>
              <w:t>646.087</w:t>
            </w:r>
          </w:p>
        </w:tc>
        <w:tc>
          <w:tcPr>
            <w:tcW w:w="1061" w:type="dxa"/>
            <w:vAlign w:val="center"/>
          </w:tcPr>
          <w:p w14:paraId="1ED77FE2" w14:textId="77777777" w:rsidR="00085789" w:rsidRDefault="00000000">
            <w:pPr>
              <w:spacing w:line="240" w:lineRule="auto"/>
              <w:jc w:val="center"/>
              <w:rPr>
                <w:sz w:val="24"/>
                <w:szCs w:val="24"/>
              </w:rPr>
            </w:pPr>
            <w:r>
              <w:rPr>
                <w:sz w:val="24"/>
                <w:szCs w:val="24"/>
              </w:rPr>
              <w:t>670.779</w:t>
            </w:r>
          </w:p>
        </w:tc>
        <w:tc>
          <w:tcPr>
            <w:tcW w:w="1208" w:type="dxa"/>
            <w:vAlign w:val="center"/>
          </w:tcPr>
          <w:p w14:paraId="4C51B553" w14:textId="77777777" w:rsidR="00085789" w:rsidRDefault="00000000">
            <w:pPr>
              <w:spacing w:line="240" w:lineRule="auto"/>
              <w:jc w:val="center"/>
              <w:rPr>
                <w:sz w:val="24"/>
                <w:szCs w:val="24"/>
              </w:rPr>
            </w:pPr>
            <w:r>
              <w:rPr>
                <w:sz w:val="24"/>
                <w:szCs w:val="24"/>
              </w:rPr>
              <w:t>676.093</w:t>
            </w:r>
          </w:p>
        </w:tc>
      </w:tr>
      <w:tr w:rsidR="00085789" w14:paraId="7C218858" w14:textId="77777777">
        <w:trPr>
          <w:jc w:val="center"/>
        </w:trPr>
        <w:tc>
          <w:tcPr>
            <w:tcW w:w="562" w:type="dxa"/>
            <w:vAlign w:val="center"/>
          </w:tcPr>
          <w:p w14:paraId="0178BBFD" w14:textId="77777777" w:rsidR="00085789" w:rsidRDefault="00000000">
            <w:pPr>
              <w:spacing w:line="240" w:lineRule="auto"/>
              <w:jc w:val="center"/>
              <w:rPr>
                <w:sz w:val="24"/>
                <w:szCs w:val="24"/>
              </w:rPr>
            </w:pPr>
            <w:r>
              <w:rPr>
                <w:sz w:val="24"/>
                <w:szCs w:val="24"/>
              </w:rPr>
              <w:t>3</w:t>
            </w:r>
          </w:p>
        </w:tc>
        <w:tc>
          <w:tcPr>
            <w:tcW w:w="2084" w:type="dxa"/>
            <w:vAlign w:val="center"/>
          </w:tcPr>
          <w:p w14:paraId="0FD08499" w14:textId="77777777" w:rsidR="00085789" w:rsidRDefault="00000000">
            <w:pPr>
              <w:spacing w:line="240" w:lineRule="auto"/>
              <w:jc w:val="both"/>
              <w:rPr>
                <w:bCs/>
                <w:sz w:val="24"/>
                <w:szCs w:val="24"/>
              </w:rPr>
            </w:pPr>
            <w:r>
              <w:rPr>
                <w:bCs/>
                <w:sz w:val="24"/>
                <w:szCs w:val="24"/>
              </w:rPr>
              <w:t>Diện tích cây lâu năm (ha)</w:t>
            </w:r>
          </w:p>
        </w:tc>
        <w:tc>
          <w:tcPr>
            <w:tcW w:w="1108" w:type="dxa"/>
            <w:vAlign w:val="center"/>
          </w:tcPr>
          <w:p w14:paraId="4D7B9116" w14:textId="77777777" w:rsidR="00085789" w:rsidRDefault="00000000">
            <w:pPr>
              <w:spacing w:line="240" w:lineRule="auto"/>
              <w:jc w:val="center"/>
              <w:rPr>
                <w:sz w:val="26"/>
                <w:szCs w:val="26"/>
              </w:rPr>
            </w:pPr>
            <w:r>
              <w:rPr>
                <w:sz w:val="26"/>
                <w:szCs w:val="26"/>
              </w:rPr>
              <w:t>28.776</w:t>
            </w:r>
          </w:p>
        </w:tc>
        <w:tc>
          <w:tcPr>
            <w:tcW w:w="1064" w:type="dxa"/>
            <w:vAlign w:val="center"/>
          </w:tcPr>
          <w:p w14:paraId="1879E47B" w14:textId="77777777" w:rsidR="00085789" w:rsidRDefault="00000000">
            <w:pPr>
              <w:spacing w:line="240" w:lineRule="auto"/>
              <w:jc w:val="center"/>
              <w:rPr>
                <w:sz w:val="26"/>
                <w:szCs w:val="26"/>
              </w:rPr>
            </w:pPr>
            <w:r>
              <w:rPr>
                <w:sz w:val="26"/>
                <w:szCs w:val="26"/>
              </w:rPr>
              <w:t>28.841</w:t>
            </w:r>
          </w:p>
        </w:tc>
        <w:tc>
          <w:tcPr>
            <w:tcW w:w="1061" w:type="dxa"/>
            <w:vAlign w:val="center"/>
          </w:tcPr>
          <w:p w14:paraId="173EF8A3" w14:textId="77777777" w:rsidR="00085789" w:rsidRDefault="00000000">
            <w:pPr>
              <w:spacing w:line="240" w:lineRule="auto"/>
              <w:jc w:val="center"/>
              <w:rPr>
                <w:sz w:val="26"/>
                <w:szCs w:val="26"/>
              </w:rPr>
            </w:pPr>
            <w:r>
              <w:rPr>
                <w:sz w:val="26"/>
                <w:szCs w:val="26"/>
              </w:rPr>
              <w:t>29.272</w:t>
            </w:r>
          </w:p>
        </w:tc>
        <w:tc>
          <w:tcPr>
            <w:tcW w:w="1061" w:type="dxa"/>
            <w:vAlign w:val="center"/>
          </w:tcPr>
          <w:p w14:paraId="65D5304C" w14:textId="77777777" w:rsidR="00085789" w:rsidRDefault="00000000">
            <w:pPr>
              <w:spacing w:line="240" w:lineRule="auto"/>
              <w:jc w:val="center"/>
              <w:rPr>
                <w:sz w:val="26"/>
                <w:szCs w:val="26"/>
              </w:rPr>
            </w:pPr>
            <w:r>
              <w:rPr>
                <w:sz w:val="26"/>
                <w:szCs w:val="26"/>
              </w:rPr>
              <w:t>28.946</w:t>
            </w:r>
          </w:p>
        </w:tc>
        <w:tc>
          <w:tcPr>
            <w:tcW w:w="1061" w:type="dxa"/>
            <w:vAlign w:val="center"/>
          </w:tcPr>
          <w:p w14:paraId="3EAABE75" w14:textId="77777777" w:rsidR="00085789" w:rsidRDefault="00000000">
            <w:pPr>
              <w:spacing w:line="240" w:lineRule="auto"/>
              <w:jc w:val="center"/>
              <w:rPr>
                <w:sz w:val="26"/>
                <w:szCs w:val="26"/>
              </w:rPr>
            </w:pPr>
            <w:r>
              <w:rPr>
                <w:sz w:val="26"/>
                <w:szCs w:val="26"/>
              </w:rPr>
              <w:t>25.966</w:t>
            </w:r>
          </w:p>
        </w:tc>
        <w:tc>
          <w:tcPr>
            <w:tcW w:w="1208" w:type="dxa"/>
            <w:vAlign w:val="center"/>
          </w:tcPr>
          <w:p w14:paraId="37596918" w14:textId="77777777" w:rsidR="00085789" w:rsidRDefault="00000000">
            <w:pPr>
              <w:spacing w:line="240" w:lineRule="auto"/>
              <w:jc w:val="center"/>
              <w:rPr>
                <w:sz w:val="26"/>
                <w:szCs w:val="26"/>
              </w:rPr>
            </w:pPr>
            <w:r>
              <w:rPr>
                <w:sz w:val="26"/>
                <w:szCs w:val="26"/>
              </w:rPr>
              <w:t>21.029</w:t>
            </w:r>
          </w:p>
        </w:tc>
      </w:tr>
      <w:tr w:rsidR="00085789" w14:paraId="122FF42B" w14:textId="77777777">
        <w:trPr>
          <w:jc w:val="center"/>
        </w:trPr>
        <w:tc>
          <w:tcPr>
            <w:tcW w:w="562" w:type="dxa"/>
            <w:vAlign w:val="center"/>
          </w:tcPr>
          <w:p w14:paraId="2D7894E0" w14:textId="77777777" w:rsidR="00085789" w:rsidRDefault="00000000">
            <w:pPr>
              <w:spacing w:line="240" w:lineRule="auto"/>
              <w:jc w:val="center"/>
              <w:rPr>
                <w:sz w:val="24"/>
                <w:szCs w:val="24"/>
              </w:rPr>
            </w:pPr>
            <w:r>
              <w:rPr>
                <w:sz w:val="24"/>
                <w:szCs w:val="24"/>
              </w:rPr>
              <w:t>4</w:t>
            </w:r>
          </w:p>
        </w:tc>
        <w:tc>
          <w:tcPr>
            <w:tcW w:w="2084" w:type="dxa"/>
            <w:vAlign w:val="center"/>
          </w:tcPr>
          <w:p w14:paraId="05F4276D" w14:textId="77777777" w:rsidR="00085789" w:rsidRDefault="00000000">
            <w:pPr>
              <w:spacing w:line="240" w:lineRule="auto"/>
              <w:jc w:val="both"/>
              <w:rPr>
                <w:bCs/>
                <w:sz w:val="24"/>
                <w:szCs w:val="24"/>
              </w:rPr>
            </w:pPr>
            <w:r>
              <w:rPr>
                <w:bCs/>
                <w:sz w:val="24"/>
                <w:szCs w:val="24"/>
              </w:rPr>
              <w:t>Sản lượng cây lâu năm (tấn)</w:t>
            </w:r>
          </w:p>
        </w:tc>
        <w:tc>
          <w:tcPr>
            <w:tcW w:w="1108" w:type="dxa"/>
            <w:vAlign w:val="center"/>
          </w:tcPr>
          <w:p w14:paraId="0299301B" w14:textId="77777777" w:rsidR="00085789" w:rsidRDefault="00000000">
            <w:pPr>
              <w:spacing w:line="240" w:lineRule="auto"/>
              <w:jc w:val="center"/>
              <w:rPr>
                <w:sz w:val="26"/>
                <w:szCs w:val="26"/>
              </w:rPr>
            </w:pPr>
            <w:r>
              <w:rPr>
                <w:sz w:val="26"/>
                <w:szCs w:val="26"/>
              </w:rPr>
              <w:t>157.528</w:t>
            </w:r>
          </w:p>
        </w:tc>
        <w:tc>
          <w:tcPr>
            <w:tcW w:w="1064" w:type="dxa"/>
            <w:vAlign w:val="center"/>
          </w:tcPr>
          <w:p w14:paraId="49D7356E" w14:textId="77777777" w:rsidR="00085789" w:rsidRDefault="00000000">
            <w:pPr>
              <w:spacing w:line="240" w:lineRule="auto"/>
              <w:jc w:val="center"/>
              <w:rPr>
                <w:sz w:val="26"/>
                <w:szCs w:val="26"/>
              </w:rPr>
            </w:pPr>
            <w:r>
              <w:rPr>
                <w:sz w:val="26"/>
                <w:szCs w:val="26"/>
              </w:rPr>
              <w:t>186.314</w:t>
            </w:r>
          </w:p>
        </w:tc>
        <w:tc>
          <w:tcPr>
            <w:tcW w:w="1061" w:type="dxa"/>
            <w:vAlign w:val="center"/>
          </w:tcPr>
          <w:p w14:paraId="60298A96" w14:textId="77777777" w:rsidR="00085789" w:rsidRDefault="00000000">
            <w:pPr>
              <w:spacing w:line="240" w:lineRule="auto"/>
              <w:jc w:val="center"/>
              <w:rPr>
                <w:sz w:val="26"/>
                <w:szCs w:val="26"/>
              </w:rPr>
            </w:pPr>
            <w:r>
              <w:rPr>
                <w:sz w:val="26"/>
                <w:szCs w:val="26"/>
              </w:rPr>
              <w:t>201.939</w:t>
            </w:r>
          </w:p>
        </w:tc>
        <w:tc>
          <w:tcPr>
            <w:tcW w:w="1061" w:type="dxa"/>
            <w:vAlign w:val="center"/>
          </w:tcPr>
          <w:p w14:paraId="34B6943B" w14:textId="77777777" w:rsidR="00085789" w:rsidRDefault="00000000">
            <w:pPr>
              <w:spacing w:line="240" w:lineRule="auto"/>
              <w:jc w:val="center"/>
              <w:rPr>
                <w:sz w:val="26"/>
                <w:szCs w:val="26"/>
              </w:rPr>
            </w:pPr>
            <w:r>
              <w:rPr>
                <w:sz w:val="26"/>
                <w:szCs w:val="26"/>
              </w:rPr>
              <w:t>204.275</w:t>
            </w:r>
          </w:p>
        </w:tc>
        <w:tc>
          <w:tcPr>
            <w:tcW w:w="1061" w:type="dxa"/>
            <w:vAlign w:val="center"/>
          </w:tcPr>
          <w:p w14:paraId="5B6158F3" w14:textId="77777777" w:rsidR="00085789" w:rsidRDefault="00000000">
            <w:pPr>
              <w:spacing w:line="240" w:lineRule="auto"/>
              <w:jc w:val="center"/>
              <w:rPr>
                <w:sz w:val="26"/>
                <w:szCs w:val="26"/>
              </w:rPr>
            </w:pPr>
            <w:r>
              <w:rPr>
                <w:sz w:val="26"/>
                <w:szCs w:val="26"/>
              </w:rPr>
              <w:t>175.254</w:t>
            </w:r>
          </w:p>
        </w:tc>
        <w:tc>
          <w:tcPr>
            <w:tcW w:w="1208" w:type="dxa"/>
            <w:vAlign w:val="center"/>
          </w:tcPr>
          <w:p w14:paraId="409E40FD" w14:textId="77777777" w:rsidR="00085789" w:rsidRDefault="00000000">
            <w:pPr>
              <w:spacing w:line="240" w:lineRule="auto"/>
              <w:jc w:val="center"/>
              <w:rPr>
                <w:sz w:val="26"/>
                <w:szCs w:val="26"/>
              </w:rPr>
            </w:pPr>
            <w:r>
              <w:rPr>
                <w:sz w:val="26"/>
                <w:szCs w:val="26"/>
              </w:rPr>
              <w:t>174.248</w:t>
            </w:r>
          </w:p>
        </w:tc>
      </w:tr>
    </w:tbl>
    <w:p w14:paraId="141F87CB" w14:textId="77777777" w:rsidR="0014333B" w:rsidRPr="0014333B" w:rsidRDefault="0014333B">
      <w:pPr>
        <w:widowControl w:val="0"/>
        <w:autoSpaceDE w:val="0"/>
        <w:autoSpaceDN w:val="0"/>
        <w:adjustRightInd w:val="0"/>
        <w:spacing w:before="60" w:line="240" w:lineRule="auto"/>
        <w:ind w:firstLine="709"/>
        <w:jc w:val="both"/>
        <w:rPr>
          <w:b/>
          <w:bCs/>
          <w:sz w:val="18"/>
          <w:szCs w:val="18"/>
        </w:rPr>
      </w:pPr>
    </w:p>
    <w:p w14:paraId="54B6C952" w14:textId="17E70109" w:rsidR="00085789" w:rsidRDefault="00000000">
      <w:pPr>
        <w:widowControl w:val="0"/>
        <w:autoSpaceDE w:val="0"/>
        <w:autoSpaceDN w:val="0"/>
        <w:adjustRightInd w:val="0"/>
        <w:spacing w:before="60" w:line="240" w:lineRule="auto"/>
        <w:ind w:firstLine="709"/>
        <w:jc w:val="both"/>
        <w:rPr>
          <w:b/>
          <w:bCs/>
          <w:sz w:val="26"/>
          <w:szCs w:val="26"/>
        </w:rPr>
      </w:pPr>
      <w:r>
        <w:rPr>
          <w:b/>
          <w:bCs/>
          <w:sz w:val="26"/>
          <w:szCs w:val="26"/>
        </w:rPr>
        <w:t>* Đối với chăn nuôi:</w:t>
      </w:r>
    </w:p>
    <w:p w14:paraId="0356355F" w14:textId="6E215803" w:rsidR="00085789" w:rsidRDefault="00000000">
      <w:pPr>
        <w:widowControl w:val="0"/>
        <w:autoSpaceDE w:val="0"/>
        <w:autoSpaceDN w:val="0"/>
        <w:adjustRightInd w:val="0"/>
        <w:spacing w:before="60" w:line="240" w:lineRule="auto"/>
        <w:ind w:firstLine="709"/>
        <w:jc w:val="both"/>
        <w:rPr>
          <w:sz w:val="26"/>
          <w:szCs w:val="26"/>
        </w:rPr>
      </w:pPr>
      <w:r>
        <w:rPr>
          <w:sz w:val="26"/>
          <w:szCs w:val="26"/>
        </w:rPr>
        <w:t xml:space="preserve">- Giai đoạn 2020-2024: Tăng trưởng lĩnh vực chăn nuôi bình quân đạt trên 2,5 %/năm. Năm 2024 tăng trưởng chăn nuôi đạt 4,6 %, năm 2025 dự kiến chăn nuôi tăng trưởng đạt gần 3 %. Trong cơ cấu GTSX nội ngành nông nghiệp chăn nuôi chiếm trên 53 %; năm 2024 GTSX chăn nuôi đạt trên 10.800 tỷ đồng (theo giá hiện hành). </w:t>
      </w:r>
    </w:p>
    <w:p w14:paraId="1D4A242D" w14:textId="77777777" w:rsidR="00085789" w:rsidRDefault="00000000">
      <w:pPr>
        <w:widowControl w:val="0"/>
        <w:autoSpaceDE w:val="0"/>
        <w:autoSpaceDN w:val="0"/>
        <w:adjustRightInd w:val="0"/>
        <w:spacing w:before="60" w:line="240" w:lineRule="auto"/>
        <w:ind w:firstLine="709"/>
        <w:jc w:val="both"/>
        <w:rPr>
          <w:sz w:val="26"/>
          <w:szCs w:val="26"/>
        </w:rPr>
      </w:pPr>
      <w:r>
        <w:rPr>
          <w:sz w:val="26"/>
          <w:szCs w:val="26"/>
        </w:rPr>
        <w:t xml:space="preserve">Toàn tỉnh có 254 trang trại chăn nuôi quy mô lớn và vừa (trong đó có 198 trang trại </w:t>
      </w:r>
      <w:r>
        <w:rPr>
          <w:spacing w:val="-4"/>
          <w:sz w:val="26"/>
          <w:szCs w:val="26"/>
        </w:rPr>
        <w:t>chăn nuôi lợn, 48 trang trại chăn nuôi gà, 08 trang trại chăn nuôi bò), gồm có 46 trang trại quy mô lớn, 208 trang trại quy mô vừa; tổng đàn chăn nuôi trang trại: đàn lợn chiếm khoảng 70 %; đàn gà chiếm khoảng 9 %. Số lượng vật nuôi theo số liệu thống kê từ năm 2020 đến năm 2025 như sau:</w:t>
      </w:r>
    </w:p>
    <w:p w14:paraId="405AA1B2" w14:textId="77777777" w:rsidR="00085789" w:rsidRDefault="00000000">
      <w:pPr>
        <w:pStyle w:val="-bac4"/>
      </w:pPr>
      <w:bookmarkStart w:id="229" w:name="_Toc205915649"/>
      <w:bookmarkStart w:id="230" w:name="_Toc213597349"/>
      <w:bookmarkStart w:id="231" w:name="_Toc213600732"/>
      <w:r>
        <w:t xml:space="preserve">Bảng 1.8. Số lượng vật </w:t>
      </w:r>
      <w:r>
        <w:rPr>
          <w:rFonts w:asciiTheme="majorHAnsi" w:hAnsiTheme="majorHAnsi" w:cstheme="majorHAnsi"/>
        </w:rPr>
        <w:t xml:space="preserve">nuôi </w:t>
      </w:r>
      <w:r>
        <w:t>năm 2020-2025</w:t>
      </w:r>
      <w:bookmarkEnd w:id="229"/>
      <w:bookmarkEnd w:id="230"/>
      <w:bookmarkEnd w:id="231"/>
    </w:p>
    <w:tbl>
      <w:tblPr>
        <w:tblStyle w:val="TableGrid"/>
        <w:tblW w:w="0" w:type="auto"/>
        <w:jc w:val="center"/>
        <w:tblLook w:val="04A0" w:firstRow="1" w:lastRow="0" w:firstColumn="1" w:lastColumn="0" w:noHBand="0" w:noVBand="1"/>
      </w:tblPr>
      <w:tblGrid>
        <w:gridCol w:w="691"/>
        <w:gridCol w:w="2139"/>
        <w:gridCol w:w="1134"/>
        <w:gridCol w:w="1076"/>
        <w:gridCol w:w="996"/>
        <w:gridCol w:w="996"/>
        <w:gridCol w:w="996"/>
        <w:gridCol w:w="1034"/>
      </w:tblGrid>
      <w:tr w:rsidR="00085789" w14:paraId="3AC07A97" w14:textId="77777777">
        <w:trPr>
          <w:trHeight w:val="561"/>
          <w:tblHeader/>
          <w:jc w:val="center"/>
        </w:trPr>
        <w:tc>
          <w:tcPr>
            <w:tcW w:w="691" w:type="dxa"/>
            <w:vAlign w:val="center"/>
          </w:tcPr>
          <w:p w14:paraId="6FFA1136" w14:textId="77777777" w:rsidR="00085789" w:rsidRDefault="00000000">
            <w:pPr>
              <w:spacing w:line="360" w:lineRule="exact"/>
              <w:rPr>
                <w:b/>
                <w:sz w:val="24"/>
                <w:szCs w:val="24"/>
              </w:rPr>
            </w:pPr>
            <w:r>
              <w:rPr>
                <w:b/>
                <w:sz w:val="24"/>
                <w:szCs w:val="24"/>
              </w:rPr>
              <w:t>STT</w:t>
            </w:r>
          </w:p>
        </w:tc>
        <w:tc>
          <w:tcPr>
            <w:tcW w:w="2139" w:type="dxa"/>
            <w:tcBorders>
              <w:tl2br w:val="single" w:sz="4" w:space="0" w:color="auto"/>
            </w:tcBorders>
            <w:vAlign w:val="center"/>
          </w:tcPr>
          <w:p w14:paraId="677345DE" w14:textId="77777777" w:rsidR="00085789" w:rsidRDefault="00000000">
            <w:pPr>
              <w:spacing w:line="360" w:lineRule="exact"/>
              <w:rPr>
                <w:b/>
                <w:sz w:val="24"/>
                <w:szCs w:val="24"/>
              </w:rPr>
            </w:pPr>
            <w:r>
              <w:rPr>
                <w:b/>
                <w:sz w:val="24"/>
                <w:szCs w:val="24"/>
              </w:rPr>
              <w:t xml:space="preserve">                 Năm</w:t>
            </w:r>
          </w:p>
          <w:p w14:paraId="4C4C3C3A" w14:textId="77777777" w:rsidR="00085789" w:rsidRDefault="00000000">
            <w:pPr>
              <w:spacing w:line="360" w:lineRule="exact"/>
              <w:rPr>
                <w:b/>
                <w:sz w:val="24"/>
                <w:szCs w:val="24"/>
              </w:rPr>
            </w:pPr>
            <w:r>
              <w:rPr>
                <w:b/>
                <w:sz w:val="24"/>
                <w:szCs w:val="24"/>
              </w:rPr>
              <w:t>Vật nuôi</w:t>
            </w:r>
          </w:p>
        </w:tc>
        <w:tc>
          <w:tcPr>
            <w:tcW w:w="1134" w:type="dxa"/>
            <w:vAlign w:val="center"/>
          </w:tcPr>
          <w:p w14:paraId="23AF4A19" w14:textId="77777777" w:rsidR="00085789" w:rsidRDefault="00000000">
            <w:pPr>
              <w:spacing w:line="360" w:lineRule="exact"/>
              <w:jc w:val="center"/>
              <w:rPr>
                <w:b/>
                <w:sz w:val="24"/>
                <w:szCs w:val="24"/>
              </w:rPr>
            </w:pPr>
            <w:r>
              <w:rPr>
                <w:b/>
                <w:sz w:val="24"/>
                <w:szCs w:val="24"/>
              </w:rPr>
              <w:t>2020 (*)</w:t>
            </w:r>
          </w:p>
        </w:tc>
        <w:tc>
          <w:tcPr>
            <w:tcW w:w="1076" w:type="dxa"/>
            <w:vAlign w:val="center"/>
          </w:tcPr>
          <w:p w14:paraId="16BA706F" w14:textId="77777777" w:rsidR="00085789" w:rsidRDefault="00000000">
            <w:pPr>
              <w:spacing w:line="360" w:lineRule="exact"/>
              <w:jc w:val="center"/>
              <w:rPr>
                <w:sz w:val="24"/>
                <w:szCs w:val="24"/>
              </w:rPr>
            </w:pPr>
            <w:r>
              <w:rPr>
                <w:b/>
                <w:sz w:val="24"/>
                <w:szCs w:val="24"/>
              </w:rPr>
              <w:t>2021</w:t>
            </w:r>
          </w:p>
        </w:tc>
        <w:tc>
          <w:tcPr>
            <w:tcW w:w="996" w:type="dxa"/>
            <w:vAlign w:val="center"/>
          </w:tcPr>
          <w:p w14:paraId="09781384" w14:textId="77777777" w:rsidR="00085789" w:rsidRDefault="00000000">
            <w:pPr>
              <w:spacing w:line="360" w:lineRule="exact"/>
              <w:jc w:val="center"/>
              <w:rPr>
                <w:b/>
                <w:sz w:val="24"/>
                <w:szCs w:val="24"/>
              </w:rPr>
            </w:pPr>
            <w:r>
              <w:rPr>
                <w:b/>
                <w:sz w:val="24"/>
                <w:szCs w:val="24"/>
              </w:rPr>
              <w:t>2022</w:t>
            </w:r>
          </w:p>
        </w:tc>
        <w:tc>
          <w:tcPr>
            <w:tcW w:w="996" w:type="dxa"/>
            <w:vAlign w:val="center"/>
          </w:tcPr>
          <w:p w14:paraId="5E91637A" w14:textId="77777777" w:rsidR="00085789" w:rsidRDefault="00000000">
            <w:pPr>
              <w:spacing w:line="360" w:lineRule="exact"/>
              <w:jc w:val="center"/>
              <w:rPr>
                <w:b/>
                <w:sz w:val="24"/>
                <w:szCs w:val="24"/>
              </w:rPr>
            </w:pPr>
            <w:r>
              <w:rPr>
                <w:b/>
                <w:sz w:val="24"/>
                <w:szCs w:val="24"/>
              </w:rPr>
              <w:t>2023</w:t>
            </w:r>
          </w:p>
        </w:tc>
        <w:tc>
          <w:tcPr>
            <w:tcW w:w="996" w:type="dxa"/>
            <w:vAlign w:val="center"/>
          </w:tcPr>
          <w:p w14:paraId="0AA225D3" w14:textId="77777777" w:rsidR="00085789" w:rsidRDefault="00000000">
            <w:pPr>
              <w:spacing w:line="360" w:lineRule="exact"/>
              <w:jc w:val="center"/>
              <w:rPr>
                <w:b/>
                <w:sz w:val="24"/>
                <w:szCs w:val="24"/>
              </w:rPr>
            </w:pPr>
            <w:r>
              <w:rPr>
                <w:b/>
                <w:sz w:val="24"/>
                <w:szCs w:val="24"/>
              </w:rPr>
              <w:t>2024</w:t>
            </w:r>
          </w:p>
        </w:tc>
        <w:tc>
          <w:tcPr>
            <w:tcW w:w="1034" w:type="dxa"/>
            <w:vAlign w:val="center"/>
          </w:tcPr>
          <w:p w14:paraId="0991D5B7" w14:textId="77777777" w:rsidR="00085789" w:rsidRDefault="00000000">
            <w:pPr>
              <w:spacing w:line="240" w:lineRule="auto"/>
              <w:jc w:val="center"/>
              <w:rPr>
                <w:b/>
                <w:sz w:val="24"/>
                <w:szCs w:val="24"/>
              </w:rPr>
            </w:pPr>
            <w:r>
              <w:rPr>
                <w:b/>
                <w:sz w:val="24"/>
                <w:szCs w:val="24"/>
              </w:rPr>
              <w:t>2025 (ước cả năm)</w:t>
            </w:r>
          </w:p>
        </w:tc>
      </w:tr>
      <w:tr w:rsidR="00085789" w14:paraId="48A78CB1" w14:textId="77777777">
        <w:trPr>
          <w:jc w:val="center"/>
        </w:trPr>
        <w:tc>
          <w:tcPr>
            <w:tcW w:w="691" w:type="dxa"/>
            <w:vAlign w:val="center"/>
          </w:tcPr>
          <w:p w14:paraId="052BB3AC" w14:textId="77777777" w:rsidR="00085789" w:rsidRDefault="00000000">
            <w:pPr>
              <w:spacing w:line="360" w:lineRule="exact"/>
              <w:jc w:val="center"/>
              <w:rPr>
                <w:sz w:val="24"/>
                <w:szCs w:val="24"/>
              </w:rPr>
            </w:pPr>
            <w:r>
              <w:rPr>
                <w:sz w:val="24"/>
                <w:szCs w:val="24"/>
              </w:rPr>
              <w:t>1</w:t>
            </w:r>
          </w:p>
        </w:tc>
        <w:tc>
          <w:tcPr>
            <w:tcW w:w="2139" w:type="dxa"/>
            <w:vAlign w:val="center"/>
          </w:tcPr>
          <w:p w14:paraId="78988587" w14:textId="77777777" w:rsidR="00085789" w:rsidRDefault="00000000">
            <w:pPr>
              <w:spacing w:line="360" w:lineRule="exact"/>
              <w:rPr>
                <w:bCs/>
                <w:sz w:val="24"/>
                <w:szCs w:val="24"/>
              </w:rPr>
            </w:pPr>
            <w:r>
              <w:rPr>
                <w:bCs/>
                <w:sz w:val="24"/>
                <w:szCs w:val="24"/>
              </w:rPr>
              <w:t>Lợn (con)</w:t>
            </w:r>
          </w:p>
        </w:tc>
        <w:tc>
          <w:tcPr>
            <w:tcW w:w="1134" w:type="dxa"/>
            <w:vAlign w:val="center"/>
          </w:tcPr>
          <w:p w14:paraId="0E478727" w14:textId="77777777" w:rsidR="00085789" w:rsidRDefault="00000000">
            <w:pPr>
              <w:spacing w:line="240" w:lineRule="auto"/>
              <w:jc w:val="center"/>
              <w:rPr>
                <w:sz w:val="24"/>
                <w:szCs w:val="24"/>
              </w:rPr>
            </w:pPr>
            <w:r>
              <w:rPr>
                <w:sz w:val="24"/>
                <w:szCs w:val="24"/>
              </w:rPr>
              <w:t>405.413</w:t>
            </w:r>
          </w:p>
        </w:tc>
        <w:tc>
          <w:tcPr>
            <w:tcW w:w="1076" w:type="dxa"/>
            <w:vAlign w:val="center"/>
          </w:tcPr>
          <w:p w14:paraId="6918A76D" w14:textId="77777777" w:rsidR="00085789" w:rsidRDefault="00000000">
            <w:pPr>
              <w:spacing w:line="240" w:lineRule="auto"/>
              <w:jc w:val="center"/>
              <w:rPr>
                <w:sz w:val="24"/>
                <w:szCs w:val="24"/>
              </w:rPr>
            </w:pPr>
            <w:r>
              <w:rPr>
                <w:sz w:val="24"/>
                <w:szCs w:val="24"/>
              </w:rPr>
              <w:t>408.721</w:t>
            </w:r>
          </w:p>
        </w:tc>
        <w:tc>
          <w:tcPr>
            <w:tcW w:w="996" w:type="dxa"/>
            <w:vAlign w:val="center"/>
          </w:tcPr>
          <w:p w14:paraId="71DBECA4" w14:textId="77777777" w:rsidR="00085789" w:rsidRDefault="00000000">
            <w:pPr>
              <w:spacing w:line="360" w:lineRule="exact"/>
              <w:jc w:val="center"/>
              <w:rPr>
                <w:sz w:val="24"/>
                <w:szCs w:val="24"/>
              </w:rPr>
            </w:pPr>
            <w:r>
              <w:rPr>
                <w:sz w:val="24"/>
                <w:szCs w:val="24"/>
              </w:rPr>
              <w:t>396.096</w:t>
            </w:r>
          </w:p>
        </w:tc>
        <w:tc>
          <w:tcPr>
            <w:tcW w:w="996" w:type="dxa"/>
            <w:vAlign w:val="center"/>
          </w:tcPr>
          <w:p w14:paraId="1D124CF0" w14:textId="77777777" w:rsidR="00085789" w:rsidRDefault="00000000">
            <w:pPr>
              <w:spacing w:line="360" w:lineRule="exact"/>
              <w:jc w:val="center"/>
              <w:rPr>
                <w:sz w:val="24"/>
                <w:szCs w:val="24"/>
              </w:rPr>
            </w:pPr>
            <w:r>
              <w:rPr>
                <w:sz w:val="24"/>
                <w:szCs w:val="24"/>
              </w:rPr>
              <w:t>400.080</w:t>
            </w:r>
          </w:p>
        </w:tc>
        <w:tc>
          <w:tcPr>
            <w:tcW w:w="996" w:type="dxa"/>
            <w:vAlign w:val="center"/>
          </w:tcPr>
          <w:p w14:paraId="621E4251" w14:textId="77777777" w:rsidR="00085789" w:rsidRDefault="00000000">
            <w:pPr>
              <w:spacing w:line="360" w:lineRule="exact"/>
              <w:jc w:val="center"/>
              <w:rPr>
                <w:sz w:val="24"/>
                <w:szCs w:val="24"/>
              </w:rPr>
            </w:pPr>
            <w:r>
              <w:rPr>
                <w:sz w:val="24"/>
                <w:szCs w:val="24"/>
              </w:rPr>
              <w:t>405.270</w:t>
            </w:r>
          </w:p>
        </w:tc>
        <w:tc>
          <w:tcPr>
            <w:tcW w:w="1034" w:type="dxa"/>
            <w:vAlign w:val="center"/>
          </w:tcPr>
          <w:p w14:paraId="3DE300EE" w14:textId="77777777" w:rsidR="00085789" w:rsidRDefault="00000000">
            <w:pPr>
              <w:spacing w:line="360" w:lineRule="exact"/>
              <w:jc w:val="center"/>
              <w:rPr>
                <w:sz w:val="24"/>
                <w:szCs w:val="24"/>
              </w:rPr>
            </w:pPr>
            <w:r>
              <w:rPr>
                <w:sz w:val="24"/>
                <w:szCs w:val="24"/>
              </w:rPr>
              <w:t>405.500</w:t>
            </w:r>
          </w:p>
        </w:tc>
      </w:tr>
      <w:tr w:rsidR="00085789" w14:paraId="4F9261CD" w14:textId="77777777">
        <w:trPr>
          <w:jc w:val="center"/>
        </w:trPr>
        <w:tc>
          <w:tcPr>
            <w:tcW w:w="691" w:type="dxa"/>
            <w:vAlign w:val="center"/>
          </w:tcPr>
          <w:p w14:paraId="5ECD4129" w14:textId="77777777" w:rsidR="00085789" w:rsidRDefault="00000000">
            <w:pPr>
              <w:spacing w:line="360" w:lineRule="exact"/>
              <w:jc w:val="center"/>
              <w:rPr>
                <w:sz w:val="24"/>
                <w:szCs w:val="24"/>
              </w:rPr>
            </w:pPr>
            <w:r>
              <w:rPr>
                <w:sz w:val="24"/>
                <w:szCs w:val="24"/>
              </w:rPr>
              <w:t>2</w:t>
            </w:r>
          </w:p>
        </w:tc>
        <w:tc>
          <w:tcPr>
            <w:tcW w:w="2139" w:type="dxa"/>
            <w:vAlign w:val="center"/>
          </w:tcPr>
          <w:p w14:paraId="03499A17" w14:textId="77777777" w:rsidR="00085789" w:rsidRDefault="00000000">
            <w:pPr>
              <w:spacing w:line="360" w:lineRule="exact"/>
              <w:rPr>
                <w:bCs/>
                <w:sz w:val="24"/>
                <w:szCs w:val="24"/>
              </w:rPr>
            </w:pPr>
            <w:r>
              <w:rPr>
                <w:bCs/>
                <w:sz w:val="24"/>
                <w:szCs w:val="24"/>
              </w:rPr>
              <w:t>Bò (con)</w:t>
            </w:r>
          </w:p>
        </w:tc>
        <w:tc>
          <w:tcPr>
            <w:tcW w:w="1134" w:type="dxa"/>
            <w:vAlign w:val="center"/>
          </w:tcPr>
          <w:p w14:paraId="39A90FD1" w14:textId="77777777" w:rsidR="00085789" w:rsidRDefault="00000000">
            <w:pPr>
              <w:spacing w:line="240" w:lineRule="auto"/>
              <w:jc w:val="center"/>
              <w:rPr>
                <w:sz w:val="24"/>
                <w:szCs w:val="24"/>
              </w:rPr>
            </w:pPr>
            <w:r>
              <w:rPr>
                <w:sz w:val="24"/>
                <w:szCs w:val="24"/>
              </w:rPr>
              <w:t>168.987</w:t>
            </w:r>
          </w:p>
        </w:tc>
        <w:tc>
          <w:tcPr>
            <w:tcW w:w="1076" w:type="dxa"/>
            <w:vAlign w:val="center"/>
          </w:tcPr>
          <w:p w14:paraId="25D085E5" w14:textId="77777777" w:rsidR="00085789" w:rsidRDefault="00000000">
            <w:pPr>
              <w:spacing w:line="240" w:lineRule="auto"/>
              <w:jc w:val="center"/>
              <w:rPr>
                <w:sz w:val="24"/>
                <w:szCs w:val="24"/>
              </w:rPr>
            </w:pPr>
            <w:r>
              <w:rPr>
                <w:sz w:val="24"/>
                <w:szCs w:val="24"/>
              </w:rPr>
              <w:t>166.984</w:t>
            </w:r>
          </w:p>
        </w:tc>
        <w:tc>
          <w:tcPr>
            <w:tcW w:w="996" w:type="dxa"/>
            <w:vAlign w:val="center"/>
          </w:tcPr>
          <w:p w14:paraId="4BAD58D0" w14:textId="77777777" w:rsidR="00085789" w:rsidRDefault="00000000">
            <w:pPr>
              <w:spacing w:line="360" w:lineRule="exact"/>
              <w:jc w:val="center"/>
              <w:rPr>
                <w:sz w:val="24"/>
                <w:szCs w:val="24"/>
              </w:rPr>
            </w:pPr>
            <w:r>
              <w:rPr>
                <w:sz w:val="24"/>
                <w:szCs w:val="24"/>
              </w:rPr>
              <w:t>167.815</w:t>
            </w:r>
          </w:p>
        </w:tc>
        <w:tc>
          <w:tcPr>
            <w:tcW w:w="996" w:type="dxa"/>
            <w:vAlign w:val="center"/>
          </w:tcPr>
          <w:p w14:paraId="54350D5C" w14:textId="77777777" w:rsidR="00085789" w:rsidRDefault="00000000">
            <w:pPr>
              <w:spacing w:line="360" w:lineRule="exact"/>
              <w:jc w:val="center"/>
              <w:rPr>
                <w:sz w:val="24"/>
                <w:szCs w:val="24"/>
              </w:rPr>
            </w:pPr>
            <w:r>
              <w:rPr>
                <w:sz w:val="24"/>
                <w:szCs w:val="24"/>
              </w:rPr>
              <w:t>164.020</w:t>
            </w:r>
          </w:p>
        </w:tc>
        <w:tc>
          <w:tcPr>
            <w:tcW w:w="996" w:type="dxa"/>
            <w:vAlign w:val="center"/>
          </w:tcPr>
          <w:p w14:paraId="124E6E8C" w14:textId="77777777" w:rsidR="00085789" w:rsidRDefault="00000000">
            <w:pPr>
              <w:spacing w:line="360" w:lineRule="exact"/>
              <w:jc w:val="center"/>
              <w:rPr>
                <w:sz w:val="24"/>
                <w:szCs w:val="24"/>
              </w:rPr>
            </w:pPr>
            <w:r>
              <w:rPr>
                <w:sz w:val="24"/>
                <w:szCs w:val="24"/>
              </w:rPr>
              <w:t>161.162</w:t>
            </w:r>
          </w:p>
        </w:tc>
        <w:tc>
          <w:tcPr>
            <w:tcW w:w="1034" w:type="dxa"/>
            <w:vAlign w:val="center"/>
          </w:tcPr>
          <w:p w14:paraId="65F3A874" w14:textId="77777777" w:rsidR="00085789" w:rsidRDefault="00000000">
            <w:pPr>
              <w:spacing w:line="360" w:lineRule="exact"/>
              <w:jc w:val="center"/>
              <w:rPr>
                <w:sz w:val="24"/>
                <w:szCs w:val="24"/>
              </w:rPr>
            </w:pPr>
            <w:r>
              <w:rPr>
                <w:sz w:val="24"/>
                <w:szCs w:val="24"/>
              </w:rPr>
              <w:t>156.000</w:t>
            </w:r>
          </w:p>
        </w:tc>
      </w:tr>
      <w:tr w:rsidR="00085789" w14:paraId="59F0BD35" w14:textId="77777777">
        <w:trPr>
          <w:jc w:val="center"/>
        </w:trPr>
        <w:tc>
          <w:tcPr>
            <w:tcW w:w="691" w:type="dxa"/>
            <w:vAlign w:val="center"/>
          </w:tcPr>
          <w:p w14:paraId="3DBED262" w14:textId="77777777" w:rsidR="00085789" w:rsidRDefault="00000000">
            <w:pPr>
              <w:spacing w:line="360" w:lineRule="exact"/>
              <w:jc w:val="center"/>
              <w:rPr>
                <w:sz w:val="24"/>
                <w:szCs w:val="24"/>
              </w:rPr>
            </w:pPr>
            <w:r>
              <w:rPr>
                <w:sz w:val="24"/>
                <w:szCs w:val="24"/>
              </w:rPr>
              <w:t>3</w:t>
            </w:r>
          </w:p>
        </w:tc>
        <w:tc>
          <w:tcPr>
            <w:tcW w:w="2139" w:type="dxa"/>
            <w:vAlign w:val="center"/>
          </w:tcPr>
          <w:p w14:paraId="5C99DC6E" w14:textId="77777777" w:rsidR="00085789" w:rsidRDefault="00000000">
            <w:pPr>
              <w:spacing w:line="360" w:lineRule="exact"/>
              <w:rPr>
                <w:bCs/>
                <w:sz w:val="24"/>
                <w:szCs w:val="24"/>
              </w:rPr>
            </w:pPr>
            <w:r>
              <w:rPr>
                <w:bCs/>
                <w:sz w:val="24"/>
                <w:szCs w:val="24"/>
              </w:rPr>
              <w:t>Hươu (con)</w:t>
            </w:r>
          </w:p>
        </w:tc>
        <w:tc>
          <w:tcPr>
            <w:tcW w:w="1134" w:type="dxa"/>
            <w:vAlign w:val="center"/>
          </w:tcPr>
          <w:p w14:paraId="15AA5835" w14:textId="77777777" w:rsidR="00085789" w:rsidRDefault="00000000">
            <w:pPr>
              <w:spacing w:line="240" w:lineRule="auto"/>
              <w:jc w:val="center"/>
              <w:rPr>
                <w:sz w:val="24"/>
                <w:szCs w:val="24"/>
              </w:rPr>
            </w:pPr>
            <w:r>
              <w:rPr>
                <w:sz w:val="24"/>
                <w:szCs w:val="24"/>
              </w:rPr>
              <w:t>37.781</w:t>
            </w:r>
          </w:p>
        </w:tc>
        <w:tc>
          <w:tcPr>
            <w:tcW w:w="1076" w:type="dxa"/>
            <w:vAlign w:val="center"/>
          </w:tcPr>
          <w:p w14:paraId="4306A07A" w14:textId="77777777" w:rsidR="00085789" w:rsidRDefault="00000000">
            <w:pPr>
              <w:spacing w:line="240" w:lineRule="auto"/>
              <w:jc w:val="center"/>
              <w:rPr>
                <w:sz w:val="24"/>
                <w:szCs w:val="24"/>
              </w:rPr>
            </w:pPr>
            <w:r>
              <w:rPr>
                <w:sz w:val="24"/>
                <w:szCs w:val="24"/>
              </w:rPr>
              <w:t>37.661</w:t>
            </w:r>
          </w:p>
        </w:tc>
        <w:tc>
          <w:tcPr>
            <w:tcW w:w="996" w:type="dxa"/>
            <w:vAlign w:val="center"/>
          </w:tcPr>
          <w:p w14:paraId="70473D23" w14:textId="77777777" w:rsidR="00085789" w:rsidRDefault="00000000">
            <w:pPr>
              <w:spacing w:line="360" w:lineRule="exact"/>
              <w:jc w:val="center"/>
              <w:rPr>
                <w:sz w:val="24"/>
                <w:szCs w:val="24"/>
              </w:rPr>
            </w:pPr>
            <w:r>
              <w:rPr>
                <w:sz w:val="24"/>
                <w:szCs w:val="24"/>
              </w:rPr>
              <w:t>40.067</w:t>
            </w:r>
          </w:p>
        </w:tc>
        <w:tc>
          <w:tcPr>
            <w:tcW w:w="996" w:type="dxa"/>
            <w:vAlign w:val="center"/>
          </w:tcPr>
          <w:p w14:paraId="7801593A" w14:textId="77777777" w:rsidR="00085789" w:rsidRDefault="00000000">
            <w:pPr>
              <w:spacing w:line="360" w:lineRule="exact"/>
              <w:jc w:val="center"/>
              <w:rPr>
                <w:sz w:val="24"/>
                <w:szCs w:val="24"/>
              </w:rPr>
            </w:pPr>
            <w:r>
              <w:rPr>
                <w:sz w:val="24"/>
                <w:szCs w:val="24"/>
              </w:rPr>
              <w:t>50.321</w:t>
            </w:r>
          </w:p>
        </w:tc>
        <w:tc>
          <w:tcPr>
            <w:tcW w:w="996" w:type="dxa"/>
            <w:vAlign w:val="center"/>
          </w:tcPr>
          <w:p w14:paraId="66C90D77" w14:textId="77777777" w:rsidR="00085789" w:rsidRDefault="00000000">
            <w:pPr>
              <w:spacing w:line="360" w:lineRule="exact"/>
              <w:jc w:val="center"/>
              <w:rPr>
                <w:sz w:val="24"/>
                <w:szCs w:val="24"/>
              </w:rPr>
            </w:pPr>
            <w:r>
              <w:rPr>
                <w:sz w:val="24"/>
                <w:szCs w:val="24"/>
              </w:rPr>
              <w:t>50.321</w:t>
            </w:r>
          </w:p>
        </w:tc>
        <w:tc>
          <w:tcPr>
            <w:tcW w:w="1034" w:type="dxa"/>
            <w:vAlign w:val="center"/>
          </w:tcPr>
          <w:p w14:paraId="4A1670C3" w14:textId="77777777" w:rsidR="00085789" w:rsidRDefault="00000000">
            <w:pPr>
              <w:spacing w:line="360" w:lineRule="exact"/>
              <w:jc w:val="center"/>
              <w:rPr>
                <w:sz w:val="24"/>
                <w:szCs w:val="24"/>
              </w:rPr>
            </w:pPr>
            <w:r>
              <w:rPr>
                <w:sz w:val="24"/>
                <w:szCs w:val="24"/>
              </w:rPr>
              <w:t>51.000</w:t>
            </w:r>
          </w:p>
        </w:tc>
      </w:tr>
      <w:tr w:rsidR="00085789" w14:paraId="709164EE" w14:textId="77777777">
        <w:trPr>
          <w:jc w:val="center"/>
        </w:trPr>
        <w:tc>
          <w:tcPr>
            <w:tcW w:w="691" w:type="dxa"/>
            <w:vAlign w:val="center"/>
          </w:tcPr>
          <w:p w14:paraId="03978854" w14:textId="77777777" w:rsidR="00085789" w:rsidRDefault="00000000">
            <w:pPr>
              <w:spacing w:line="360" w:lineRule="exact"/>
              <w:jc w:val="center"/>
              <w:rPr>
                <w:sz w:val="24"/>
                <w:szCs w:val="24"/>
              </w:rPr>
            </w:pPr>
            <w:r>
              <w:rPr>
                <w:sz w:val="24"/>
                <w:szCs w:val="24"/>
              </w:rPr>
              <w:t>4</w:t>
            </w:r>
          </w:p>
        </w:tc>
        <w:tc>
          <w:tcPr>
            <w:tcW w:w="2139" w:type="dxa"/>
            <w:vAlign w:val="center"/>
          </w:tcPr>
          <w:p w14:paraId="6755AB78" w14:textId="77777777" w:rsidR="00085789" w:rsidRDefault="00000000">
            <w:pPr>
              <w:spacing w:line="360" w:lineRule="exact"/>
              <w:rPr>
                <w:bCs/>
                <w:sz w:val="24"/>
                <w:szCs w:val="24"/>
              </w:rPr>
            </w:pPr>
            <w:r>
              <w:rPr>
                <w:bCs/>
                <w:sz w:val="24"/>
                <w:szCs w:val="24"/>
              </w:rPr>
              <w:t>Trâu (con)</w:t>
            </w:r>
          </w:p>
        </w:tc>
        <w:tc>
          <w:tcPr>
            <w:tcW w:w="1134" w:type="dxa"/>
            <w:vAlign w:val="center"/>
          </w:tcPr>
          <w:p w14:paraId="5CA01A32" w14:textId="77777777" w:rsidR="00085789" w:rsidRDefault="00000000">
            <w:pPr>
              <w:spacing w:line="240" w:lineRule="auto"/>
              <w:jc w:val="center"/>
              <w:rPr>
                <w:sz w:val="24"/>
                <w:szCs w:val="24"/>
              </w:rPr>
            </w:pPr>
            <w:r>
              <w:rPr>
                <w:sz w:val="24"/>
                <w:szCs w:val="24"/>
              </w:rPr>
              <w:t>67.239</w:t>
            </w:r>
          </w:p>
        </w:tc>
        <w:tc>
          <w:tcPr>
            <w:tcW w:w="1076" w:type="dxa"/>
            <w:vAlign w:val="center"/>
          </w:tcPr>
          <w:p w14:paraId="0519D6D2" w14:textId="77777777" w:rsidR="00085789" w:rsidRDefault="00000000">
            <w:pPr>
              <w:spacing w:line="240" w:lineRule="auto"/>
              <w:jc w:val="center"/>
              <w:rPr>
                <w:sz w:val="24"/>
                <w:szCs w:val="24"/>
              </w:rPr>
            </w:pPr>
            <w:r>
              <w:rPr>
                <w:sz w:val="24"/>
                <w:szCs w:val="24"/>
              </w:rPr>
              <w:t>67.150</w:t>
            </w:r>
          </w:p>
        </w:tc>
        <w:tc>
          <w:tcPr>
            <w:tcW w:w="996" w:type="dxa"/>
            <w:vAlign w:val="center"/>
          </w:tcPr>
          <w:p w14:paraId="4B52E3EC" w14:textId="77777777" w:rsidR="00085789" w:rsidRDefault="00000000">
            <w:pPr>
              <w:spacing w:line="360" w:lineRule="exact"/>
              <w:jc w:val="center"/>
              <w:rPr>
                <w:sz w:val="24"/>
                <w:szCs w:val="24"/>
              </w:rPr>
            </w:pPr>
            <w:r>
              <w:rPr>
                <w:sz w:val="24"/>
                <w:szCs w:val="24"/>
              </w:rPr>
              <w:t>67.986</w:t>
            </w:r>
          </w:p>
        </w:tc>
        <w:tc>
          <w:tcPr>
            <w:tcW w:w="996" w:type="dxa"/>
            <w:vAlign w:val="center"/>
          </w:tcPr>
          <w:p w14:paraId="45FE9FF6" w14:textId="77777777" w:rsidR="00085789" w:rsidRDefault="00000000">
            <w:pPr>
              <w:spacing w:line="360" w:lineRule="exact"/>
              <w:jc w:val="center"/>
              <w:rPr>
                <w:sz w:val="24"/>
                <w:szCs w:val="24"/>
              </w:rPr>
            </w:pPr>
            <w:r>
              <w:rPr>
                <w:sz w:val="24"/>
                <w:szCs w:val="24"/>
              </w:rPr>
              <w:t>65.220</w:t>
            </w:r>
          </w:p>
        </w:tc>
        <w:tc>
          <w:tcPr>
            <w:tcW w:w="996" w:type="dxa"/>
            <w:vAlign w:val="center"/>
          </w:tcPr>
          <w:p w14:paraId="544B884B" w14:textId="77777777" w:rsidR="00085789" w:rsidRDefault="00000000">
            <w:pPr>
              <w:spacing w:line="360" w:lineRule="exact"/>
              <w:jc w:val="center"/>
              <w:rPr>
                <w:sz w:val="24"/>
                <w:szCs w:val="24"/>
              </w:rPr>
            </w:pPr>
            <w:r>
              <w:rPr>
                <w:sz w:val="24"/>
                <w:szCs w:val="24"/>
              </w:rPr>
              <w:t>65.220</w:t>
            </w:r>
          </w:p>
        </w:tc>
        <w:tc>
          <w:tcPr>
            <w:tcW w:w="1034" w:type="dxa"/>
            <w:vAlign w:val="center"/>
          </w:tcPr>
          <w:p w14:paraId="70B87C9C" w14:textId="77777777" w:rsidR="00085789" w:rsidRDefault="00000000">
            <w:pPr>
              <w:spacing w:line="360" w:lineRule="exact"/>
              <w:jc w:val="center"/>
              <w:rPr>
                <w:sz w:val="24"/>
                <w:szCs w:val="24"/>
              </w:rPr>
            </w:pPr>
            <w:r>
              <w:rPr>
                <w:sz w:val="24"/>
                <w:szCs w:val="24"/>
              </w:rPr>
              <w:t>61.500</w:t>
            </w:r>
          </w:p>
        </w:tc>
      </w:tr>
      <w:tr w:rsidR="00085789" w14:paraId="44703DBF" w14:textId="77777777">
        <w:trPr>
          <w:trHeight w:val="347"/>
          <w:jc w:val="center"/>
        </w:trPr>
        <w:tc>
          <w:tcPr>
            <w:tcW w:w="691" w:type="dxa"/>
            <w:vAlign w:val="center"/>
          </w:tcPr>
          <w:p w14:paraId="14D9ECD5" w14:textId="77777777" w:rsidR="00085789" w:rsidRDefault="00000000">
            <w:pPr>
              <w:spacing w:line="360" w:lineRule="exact"/>
              <w:jc w:val="center"/>
              <w:rPr>
                <w:sz w:val="24"/>
                <w:szCs w:val="24"/>
              </w:rPr>
            </w:pPr>
            <w:r>
              <w:rPr>
                <w:sz w:val="24"/>
                <w:szCs w:val="24"/>
              </w:rPr>
              <w:t>5</w:t>
            </w:r>
          </w:p>
        </w:tc>
        <w:tc>
          <w:tcPr>
            <w:tcW w:w="2139" w:type="dxa"/>
            <w:vAlign w:val="center"/>
          </w:tcPr>
          <w:p w14:paraId="075F704A" w14:textId="77777777" w:rsidR="00085789" w:rsidRDefault="00000000">
            <w:pPr>
              <w:spacing w:line="360" w:lineRule="exact"/>
              <w:rPr>
                <w:bCs/>
                <w:spacing w:val="-6"/>
                <w:sz w:val="24"/>
                <w:szCs w:val="24"/>
              </w:rPr>
            </w:pPr>
            <w:r>
              <w:rPr>
                <w:bCs/>
                <w:spacing w:val="-6"/>
                <w:sz w:val="24"/>
                <w:szCs w:val="24"/>
              </w:rPr>
              <w:t>Gia cầm (nghìn con)</w:t>
            </w:r>
          </w:p>
        </w:tc>
        <w:tc>
          <w:tcPr>
            <w:tcW w:w="1134" w:type="dxa"/>
            <w:vAlign w:val="center"/>
          </w:tcPr>
          <w:p w14:paraId="7363703E" w14:textId="77777777" w:rsidR="00085789" w:rsidRDefault="00000000">
            <w:pPr>
              <w:spacing w:line="240" w:lineRule="auto"/>
              <w:jc w:val="center"/>
              <w:rPr>
                <w:sz w:val="24"/>
                <w:szCs w:val="24"/>
              </w:rPr>
            </w:pPr>
            <w:r>
              <w:rPr>
                <w:sz w:val="24"/>
                <w:szCs w:val="24"/>
              </w:rPr>
              <w:t>10.086</w:t>
            </w:r>
          </w:p>
        </w:tc>
        <w:tc>
          <w:tcPr>
            <w:tcW w:w="1076" w:type="dxa"/>
            <w:vAlign w:val="center"/>
          </w:tcPr>
          <w:p w14:paraId="48D5DE8D" w14:textId="77777777" w:rsidR="00085789" w:rsidRDefault="00000000">
            <w:pPr>
              <w:spacing w:line="240" w:lineRule="auto"/>
              <w:jc w:val="center"/>
              <w:rPr>
                <w:sz w:val="24"/>
                <w:szCs w:val="24"/>
              </w:rPr>
            </w:pPr>
            <w:r>
              <w:rPr>
                <w:sz w:val="24"/>
                <w:szCs w:val="24"/>
              </w:rPr>
              <w:t>10.101</w:t>
            </w:r>
          </w:p>
        </w:tc>
        <w:tc>
          <w:tcPr>
            <w:tcW w:w="996" w:type="dxa"/>
            <w:vAlign w:val="center"/>
          </w:tcPr>
          <w:p w14:paraId="4FC7B3F1" w14:textId="77777777" w:rsidR="00085789" w:rsidRDefault="00000000">
            <w:pPr>
              <w:spacing w:line="360" w:lineRule="exact"/>
              <w:jc w:val="center"/>
              <w:rPr>
                <w:sz w:val="24"/>
                <w:szCs w:val="24"/>
              </w:rPr>
            </w:pPr>
            <w:r>
              <w:rPr>
                <w:sz w:val="24"/>
                <w:szCs w:val="24"/>
              </w:rPr>
              <w:t>9.953</w:t>
            </w:r>
          </w:p>
        </w:tc>
        <w:tc>
          <w:tcPr>
            <w:tcW w:w="996" w:type="dxa"/>
            <w:vAlign w:val="center"/>
          </w:tcPr>
          <w:p w14:paraId="3B4F13E5" w14:textId="77777777" w:rsidR="00085789" w:rsidRDefault="00000000">
            <w:pPr>
              <w:spacing w:line="360" w:lineRule="exact"/>
              <w:jc w:val="center"/>
              <w:rPr>
                <w:sz w:val="24"/>
                <w:szCs w:val="24"/>
              </w:rPr>
            </w:pPr>
            <w:r>
              <w:rPr>
                <w:sz w:val="24"/>
                <w:szCs w:val="24"/>
              </w:rPr>
              <w:t>10.248</w:t>
            </w:r>
          </w:p>
        </w:tc>
        <w:tc>
          <w:tcPr>
            <w:tcW w:w="996" w:type="dxa"/>
            <w:vAlign w:val="center"/>
          </w:tcPr>
          <w:p w14:paraId="63BB0EE2" w14:textId="77777777" w:rsidR="00085789" w:rsidRDefault="00000000">
            <w:pPr>
              <w:spacing w:line="360" w:lineRule="exact"/>
              <w:jc w:val="center"/>
              <w:rPr>
                <w:sz w:val="24"/>
                <w:szCs w:val="24"/>
              </w:rPr>
            </w:pPr>
            <w:r>
              <w:rPr>
                <w:sz w:val="24"/>
                <w:szCs w:val="24"/>
              </w:rPr>
              <w:t>10.248</w:t>
            </w:r>
          </w:p>
        </w:tc>
        <w:tc>
          <w:tcPr>
            <w:tcW w:w="1034" w:type="dxa"/>
            <w:vAlign w:val="center"/>
          </w:tcPr>
          <w:p w14:paraId="1A36D403" w14:textId="77777777" w:rsidR="00085789" w:rsidRDefault="00000000">
            <w:pPr>
              <w:spacing w:line="360" w:lineRule="exact"/>
              <w:jc w:val="center"/>
              <w:rPr>
                <w:sz w:val="24"/>
                <w:szCs w:val="24"/>
              </w:rPr>
            </w:pPr>
            <w:r>
              <w:rPr>
                <w:sz w:val="24"/>
                <w:szCs w:val="24"/>
              </w:rPr>
              <w:t>10.380</w:t>
            </w:r>
          </w:p>
        </w:tc>
      </w:tr>
    </w:tbl>
    <w:p w14:paraId="305D74FF" w14:textId="77777777" w:rsidR="0014333B" w:rsidRPr="0014333B" w:rsidRDefault="0014333B">
      <w:pPr>
        <w:widowControl w:val="0"/>
        <w:autoSpaceDE w:val="0"/>
        <w:autoSpaceDN w:val="0"/>
        <w:adjustRightInd w:val="0"/>
        <w:spacing w:before="120" w:line="240" w:lineRule="auto"/>
        <w:ind w:firstLine="709"/>
        <w:jc w:val="both"/>
        <w:rPr>
          <w:b/>
          <w:bCs/>
          <w:i/>
          <w:iCs/>
          <w:sz w:val="16"/>
          <w:szCs w:val="16"/>
        </w:rPr>
      </w:pPr>
    </w:p>
    <w:p w14:paraId="20FDAD3E" w14:textId="18A94234" w:rsidR="00085789" w:rsidRDefault="00000000">
      <w:pPr>
        <w:widowControl w:val="0"/>
        <w:autoSpaceDE w:val="0"/>
        <w:autoSpaceDN w:val="0"/>
        <w:adjustRightInd w:val="0"/>
        <w:spacing w:before="120" w:line="240" w:lineRule="auto"/>
        <w:ind w:firstLine="709"/>
        <w:jc w:val="both"/>
        <w:rPr>
          <w:b/>
          <w:bCs/>
          <w:i/>
          <w:iCs/>
          <w:sz w:val="26"/>
          <w:szCs w:val="26"/>
        </w:rPr>
      </w:pPr>
      <w:r>
        <w:rPr>
          <w:b/>
          <w:bCs/>
          <w:i/>
          <w:iCs/>
          <w:sz w:val="26"/>
          <w:szCs w:val="26"/>
        </w:rPr>
        <w:t>* Đối với NTTS:</w:t>
      </w:r>
    </w:p>
    <w:p w14:paraId="3EEBE9BB" w14:textId="77777777" w:rsidR="00085789" w:rsidRDefault="00000000">
      <w:pPr>
        <w:widowControl w:val="0"/>
        <w:autoSpaceDE w:val="0"/>
        <w:autoSpaceDN w:val="0"/>
        <w:adjustRightInd w:val="0"/>
        <w:spacing w:before="120" w:after="120" w:line="240" w:lineRule="auto"/>
        <w:ind w:firstLine="709"/>
        <w:jc w:val="both"/>
        <w:rPr>
          <w:sz w:val="26"/>
          <w:szCs w:val="26"/>
        </w:rPr>
      </w:pPr>
      <w:r>
        <w:rPr>
          <w:sz w:val="26"/>
          <w:szCs w:val="26"/>
        </w:rPr>
        <w:t>Trong giai đoạn 2020-2024, diện tích NTTS biến động không đáng kể, giảm nhẹ từ 7.476 ha (năm 2020) xuống còn 7.250 ha (năm 2023). Từ năm 2023 đến năm 2024, diện tích ổn định lại ở mức khoảng 7.360 ha. Theo kế hoạch NTTS năm 2025 diện tích NTTS duy trì bằng năm 2024 là 7.360 ha.  Sản lượng thủy sản giai đoạn 2020 - 2024 tăng đều qua các năm với mức tăng trung bình khoảng 1,44 %/năm, trong đó, sản lượng khai thác thủy sản tăng trung bình khoảng 1,17 %/năm (riêng năm 2024 tăng 4,04 % so với năm 2023) và sản lượng NTTS tăng trung bình khoảng 2,08 %/năm. Ước tính đến cuối năm 2025, sản lượng NTTS tăng so với năm 2024 là 6,8 %.</w:t>
      </w:r>
    </w:p>
    <w:p w14:paraId="7B728C56" w14:textId="77777777" w:rsidR="00085789" w:rsidRDefault="00000000">
      <w:pPr>
        <w:pStyle w:val="-bac4"/>
      </w:pPr>
      <w:bookmarkStart w:id="232" w:name="_Toc205915650"/>
      <w:r>
        <w:br w:type="column"/>
      </w:r>
      <w:bookmarkStart w:id="233" w:name="_Toc213597350"/>
      <w:bookmarkStart w:id="234" w:name="_Toc213600733"/>
      <w:r>
        <w:lastRenderedPageBreak/>
        <w:t>Bảng 1.9. Thống kê diện tích, sản lượng thuỷ sản từ năm 2020-2025</w:t>
      </w:r>
      <w:bookmarkEnd w:id="232"/>
      <w:bookmarkEnd w:id="233"/>
      <w:bookmarkEnd w:id="234"/>
    </w:p>
    <w:tbl>
      <w:tblPr>
        <w:tblStyle w:val="TableGrid"/>
        <w:tblW w:w="0" w:type="auto"/>
        <w:jc w:val="center"/>
        <w:tblLayout w:type="fixed"/>
        <w:tblLook w:val="04A0" w:firstRow="1" w:lastRow="0" w:firstColumn="1" w:lastColumn="0" w:noHBand="0" w:noVBand="1"/>
      </w:tblPr>
      <w:tblGrid>
        <w:gridCol w:w="562"/>
        <w:gridCol w:w="2268"/>
        <w:gridCol w:w="1134"/>
        <w:gridCol w:w="1076"/>
        <w:gridCol w:w="996"/>
        <w:gridCol w:w="996"/>
        <w:gridCol w:w="996"/>
        <w:gridCol w:w="1034"/>
      </w:tblGrid>
      <w:tr w:rsidR="00085789" w14:paraId="6CE26263" w14:textId="77777777">
        <w:trPr>
          <w:trHeight w:val="561"/>
          <w:tblHeader/>
          <w:jc w:val="center"/>
        </w:trPr>
        <w:tc>
          <w:tcPr>
            <w:tcW w:w="562" w:type="dxa"/>
            <w:vAlign w:val="center"/>
          </w:tcPr>
          <w:p w14:paraId="747EC489" w14:textId="77777777" w:rsidR="00085789" w:rsidRDefault="00000000">
            <w:pPr>
              <w:spacing w:line="240" w:lineRule="auto"/>
              <w:rPr>
                <w:b/>
                <w:sz w:val="24"/>
                <w:szCs w:val="24"/>
              </w:rPr>
            </w:pPr>
            <w:r>
              <w:rPr>
                <w:b/>
                <w:sz w:val="24"/>
                <w:szCs w:val="24"/>
              </w:rPr>
              <w:t>STT</w:t>
            </w:r>
          </w:p>
        </w:tc>
        <w:tc>
          <w:tcPr>
            <w:tcW w:w="2268" w:type="dxa"/>
            <w:tcBorders>
              <w:tl2br w:val="single" w:sz="4" w:space="0" w:color="auto"/>
            </w:tcBorders>
            <w:vAlign w:val="center"/>
          </w:tcPr>
          <w:p w14:paraId="3E46C15E" w14:textId="77777777" w:rsidR="00085789" w:rsidRDefault="00000000">
            <w:pPr>
              <w:spacing w:line="240" w:lineRule="auto"/>
              <w:rPr>
                <w:b/>
                <w:sz w:val="24"/>
                <w:szCs w:val="24"/>
              </w:rPr>
            </w:pPr>
            <w:r>
              <w:rPr>
                <w:b/>
                <w:sz w:val="24"/>
                <w:szCs w:val="24"/>
              </w:rPr>
              <w:t xml:space="preserve">                 Năm</w:t>
            </w:r>
          </w:p>
          <w:p w14:paraId="3B7507E5" w14:textId="77777777" w:rsidR="00085789" w:rsidRDefault="00000000">
            <w:pPr>
              <w:spacing w:line="240" w:lineRule="auto"/>
              <w:rPr>
                <w:b/>
                <w:sz w:val="24"/>
                <w:szCs w:val="24"/>
              </w:rPr>
            </w:pPr>
            <w:r>
              <w:rPr>
                <w:b/>
                <w:sz w:val="24"/>
                <w:szCs w:val="24"/>
              </w:rPr>
              <w:t>Nội dung</w:t>
            </w:r>
          </w:p>
        </w:tc>
        <w:tc>
          <w:tcPr>
            <w:tcW w:w="1134" w:type="dxa"/>
            <w:vAlign w:val="center"/>
          </w:tcPr>
          <w:p w14:paraId="13BCA061" w14:textId="77777777" w:rsidR="00085789" w:rsidRDefault="00000000">
            <w:pPr>
              <w:spacing w:line="240" w:lineRule="auto"/>
              <w:jc w:val="center"/>
              <w:rPr>
                <w:b/>
                <w:sz w:val="24"/>
                <w:szCs w:val="24"/>
              </w:rPr>
            </w:pPr>
            <w:r>
              <w:rPr>
                <w:b/>
                <w:sz w:val="24"/>
                <w:szCs w:val="24"/>
              </w:rPr>
              <w:t>2020</w:t>
            </w:r>
          </w:p>
        </w:tc>
        <w:tc>
          <w:tcPr>
            <w:tcW w:w="1076" w:type="dxa"/>
            <w:vAlign w:val="center"/>
          </w:tcPr>
          <w:p w14:paraId="466167F4" w14:textId="77777777" w:rsidR="00085789" w:rsidRDefault="00000000">
            <w:pPr>
              <w:spacing w:line="240" w:lineRule="auto"/>
              <w:jc w:val="center"/>
              <w:rPr>
                <w:sz w:val="24"/>
                <w:szCs w:val="24"/>
              </w:rPr>
            </w:pPr>
            <w:r>
              <w:rPr>
                <w:b/>
                <w:sz w:val="24"/>
                <w:szCs w:val="24"/>
              </w:rPr>
              <w:t>2021</w:t>
            </w:r>
          </w:p>
        </w:tc>
        <w:tc>
          <w:tcPr>
            <w:tcW w:w="996" w:type="dxa"/>
            <w:vAlign w:val="center"/>
          </w:tcPr>
          <w:p w14:paraId="21DDD6C1" w14:textId="77777777" w:rsidR="00085789" w:rsidRDefault="00000000">
            <w:pPr>
              <w:spacing w:line="240" w:lineRule="auto"/>
              <w:jc w:val="center"/>
              <w:rPr>
                <w:b/>
                <w:sz w:val="24"/>
                <w:szCs w:val="24"/>
              </w:rPr>
            </w:pPr>
            <w:r>
              <w:rPr>
                <w:b/>
                <w:sz w:val="24"/>
                <w:szCs w:val="24"/>
              </w:rPr>
              <w:t>2022</w:t>
            </w:r>
          </w:p>
        </w:tc>
        <w:tc>
          <w:tcPr>
            <w:tcW w:w="996" w:type="dxa"/>
            <w:vAlign w:val="center"/>
          </w:tcPr>
          <w:p w14:paraId="56847F28" w14:textId="77777777" w:rsidR="00085789" w:rsidRDefault="00000000">
            <w:pPr>
              <w:spacing w:line="240" w:lineRule="auto"/>
              <w:jc w:val="center"/>
              <w:rPr>
                <w:b/>
                <w:sz w:val="24"/>
                <w:szCs w:val="24"/>
              </w:rPr>
            </w:pPr>
            <w:r>
              <w:rPr>
                <w:b/>
                <w:sz w:val="24"/>
                <w:szCs w:val="24"/>
              </w:rPr>
              <w:t>2023</w:t>
            </w:r>
          </w:p>
        </w:tc>
        <w:tc>
          <w:tcPr>
            <w:tcW w:w="996" w:type="dxa"/>
            <w:vAlign w:val="center"/>
          </w:tcPr>
          <w:p w14:paraId="340F0197" w14:textId="77777777" w:rsidR="00085789" w:rsidRDefault="00000000">
            <w:pPr>
              <w:spacing w:line="240" w:lineRule="auto"/>
              <w:jc w:val="center"/>
              <w:rPr>
                <w:b/>
                <w:sz w:val="24"/>
                <w:szCs w:val="24"/>
              </w:rPr>
            </w:pPr>
            <w:r>
              <w:rPr>
                <w:b/>
                <w:sz w:val="24"/>
                <w:szCs w:val="24"/>
              </w:rPr>
              <w:t>2024</w:t>
            </w:r>
          </w:p>
        </w:tc>
        <w:tc>
          <w:tcPr>
            <w:tcW w:w="1034" w:type="dxa"/>
            <w:vAlign w:val="center"/>
          </w:tcPr>
          <w:p w14:paraId="3EBCD273" w14:textId="77777777" w:rsidR="00085789" w:rsidRDefault="00000000">
            <w:pPr>
              <w:spacing w:line="240" w:lineRule="auto"/>
              <w:jc w:val="center"/>
              <w:rPr>
                <w:b/>
                <w:sz w:val="24"/>
                <w:szCs w:val="24"/>
              </w:rPr>
            </w:pPr>
            <w:r>
              <w:rPr>
                <w:b/>
                <w:sz w:val="24"/>
                <w:szCs w:val="24"/>
              </w:rPr>
              <w:t>2025 (ước cả năm) (*)</w:t>
            </w:r>
          </w:p>
        </w:tc>
      </w:tr>
      <w:tr w:rsidR="00085789" w14:paraId="0C9C115F" w14:textId="77777777">
        <w:trPr>
          <w:jc w:val="center"/>
        </w:trPr>
        <w:tc>
          <w:tcPr>
            <w:tcW w:w="562" w:type="dxa"/>
            <w:vAlign w:val="center"/>
          </w:tcPr>
          <w:p w14:paraId="43E55D49" w14:textId="77777777" w:rsidR="00085789" w:rsidRDefault="00000000">
            <w:pPr>
              <w:spacing w:line="240" w:lineRule="auto"/>
              <w:jc w:val="center"/>
              <w:rPr>
                <w:sz w:val="24"/>
                <w:szCs w:val="24"/>
              </w:rPr>
            </w:pPr>
            <w:r>
              <w:rPr>
                <w:sz w:val="24"/>
                <w:szCs w:val="24"/>
              </w:rPr>
              <w:t>1</w:t>
            </w:r>
          </w:p>
        </w:tc>
        <w:tc>
          <w:tcPr>
            <w:tcW w:w="2268" w:type="dxa"/>
            <w:vAlign w:val="center"/>
          </w:tcPr>
          <w:p w14:paraId="513893F5" w14:textId="77777777" w:rsidR="00085789" w:rsidRDefault="00000000">
            <w:pPr>
              <w:spacing w:line="240" w:lineRule="auto"/>
              <w:rPr>
                <w:bCs/>
                <w:sz w:val="24"/>
                <w:szCs w:val="24"/>
              </w:rPr>
            </w:pPr>
            <w:r>
              <w:rPr>
                <w:bCs/>
                <w:sz w:val="24"/>
                <w:szCs w:val="24"/>
              </w:rPr>
              <w:t>Diện tích (ha)</w:t>
            </w:r>
          </w:p>
        </w:tc>
        <w:tc>
          <w:tcPr>
            <w:tcW w:w="1134" w:type="dxa"/>
            <w:vAlign w:val="center"/>
          </w:tcPr>
          <w:p w14:paraId="02910110" w14:textId="77777777" w:rsidR="00085789" w:rsidRDefault="00000000">
            <w:pPr>
              <w:spacing w:line="240" w:lineRule="auto"/>
              <w:jc w:val="center"/>
              <w:rPr>
                <w:sz w:val="24"/>
                <w:szCs w:val="24"/>
              </w:rPr>
            </w:pPr>
            <w:r>
              <w:rPr>
                <w:sz w:val="24"/>
                <w:szCs w:val="24"/>
              </w:rPr>
              <w:t>7.476</w:t>
            </w:r>
          </w:p>
        </w:tc>
        <w:tc>
          <w:tcPr>
            <w:tcW w:w="1076" w:type="dxa"/>
            <w:vAlign w:val="center"/>
          </w:tcPr>
          <w:p w14:paraId="0FE27B3D" w14:textId="77777777" w:rsidR="00085789" w:rsidRDefault="00000000">
            <w:pPr>
              <w:spacing w:line="240" w:lineRule="auto"/>
              <w:jc w:val="center"/>
              <w:rPr>
                <w:sz w:val="24"/>
                <w:szCs w:val="24"/>
              </w:rPr>
            </w:pPr>
            <w:r>
              <w:rPr>
                <w:sz w:val="24"/>
                <w:szCs w:val="24"/>
              </w:rPr>
              <w:t>7.452</w:t>
            </w:r>
          </w:p>
        </w:tc>
        <w:tc>
          <w:tcPr>
            <w:tcW w:w="996" w:type="dxa"/>
            <w:vAlign w:val="center"/>
          </w:tcPr>
          <w:p w14:paraId="7E9E7E05" w14:textId="77777777" w:rsidR="00085789" w:rsidRDefault="00000000">
            <w:pPr>
              <w:spacing w:line="240" w:lineRule="auto"/>
              <w:jc w:val="center"/>
              <w:rPr>
                <w:sz w:val="24"/>
                <w:szCs w:val="24"/>
              </w:rPr>
            </w:pPr>
            <w:r>
              <w:rPr>
                <w:sz w:val="24"/>
                <w:szCs w:val="24"/>
              </w:rPr>
              <w:t>7.314</w:t>
            </w:r>
          </w:p>
        </w:tc>
        <w:tc>
          <w:tcPr>
            <w:tcW w:w="996" w:type="dxa"/>
            <w:vAlign w:val="center"/>
          </w:tcPr>
          <w:p w14:paraId="215572C4" w14:textId="77777777" w:rsidR="00085789" w:rsidRDefault="00000000">
            <w:pPr>
              <w:spacing w:line="240" w:lineRule="auto"/>
              <w:jc w:val="center"/>
              <w:rPr>
                <w:sz w:val="24"/>
                <w:szCs w:val="24"/>
              </w:rPr>
            </w:pPr>
            <w:r>
              <w:rPr>
                <w:sz w:val="24"/>
                <w:szCs w:val="24"/>
              </w:rPr>
              <w:t>7.250</w:t>
            </w:r>
          </w:p>
        </w:tc>
        <w:tc>
          <w:tcPr>
            <w:tcW w:w="996" w:type="dxa"/>
            <w:vAlign w:val="center"/>
          </w:tcPr>
          <w:p w14:paraId="662080DF" w14:textId="77777777" w:rsidR="00085789" w:rsidRDefault="00000000">
            <w:pPr>
              <w:spacing w:line="240" w:lineRule="auto"/>
              <w:jc w:val="center"/>
              <w:rPr>
                <w:sz w:val="24"/>
                <w:szCs w:val="24"/>
              </w:rPr>
            </w:pPr>
            <w:r>
              <w:rPr>
                <w:sz w:val="24"/>
                <w:szCs w:val="24"/>
              </w:rPr>
              <w:t>7.360</w:t>
            </w:r>
          </w:p>
        </w:tc>
        <w:tc>
          <w:tcPr>
            <w:tcW w:w="1034" w:type="dxa"/>
            <w:vAlign w:val="center"/>
          </w:tcPr>
          <w:p w14:paraId="07FCE9A5" w14:textId="77777777" w:rsidR="00085789" w:rsidRDefault="00000000">
            <w:pPr>
              <w:spacing w:line="240" w:lineRule="auto"/>
              <w:jc w:val="center"/>
              <w:rPr>
                <w:sz w:val="24"/>
                <w:szCs w:val="24"/>
              </w:rPr>
            </w:pPr>
            <w:r>
              <w:rPr>
                <w:sz w:val="24"/>
                <w:szCs w:val="24"/>
              </w:rPr>
              <w:t>7.360</w:t>
            </w:r>
          </w:p>
        </w:tc>
      </w:tr>
      <w:tr w:rsidR="00085789" w14:paraId="7916AC43" w14:textId="77777777">
        <w:trPr>
          <w:jc w:val="center"/>
        </w:trPr>
        <w:tc>
          <w:tcPr>
            <w:tcW w:w="562" w:type="dxa"/>
            <w:vAlign w:val="center"/>
          </w:tcPr>
          <w:p w14:paraId="5A53265A" w14:textId="77777777" w:rsidR="00085789" w:rsidRDefault="00000000">
            <w:pPr>
              <w:spacing w:line="240" w:lineRule="auto"/>
              <w:jc w:val="center"/>
              <w:rPr>
                <w:sz w:val="24"/>
                <w:szCs w:val="24"/>
              </w:rPr>
            </w:pPr>
            <w:r>
              <w:rPr>
                <w:sz w:val="24"/>
                <w:szCs w:val="24"/>
              </w:rPr>
              <w:t>2</w:t>
            </w:r>
          </w:p>
        </w:tc>
        <w:tc>
          <w:tcPr>
            <w:tcW w:w="2268" w:type="dxa"/>
            <w:vAlign w:val="center"/>
          </w:tcPr>
          <w:p w14:paraId="42F3376B" w14:textId="77777777" w:rsidR="00085789" w:rsidRDefault="00000000">
            <w:pPr>
              <w:spacing w:line="240" w:lineRule="auto"/>
              <w:rPr>
                <w:bCs/>
                <w:sz w:val="24"/>
                <w:szCs w:val="24"/>
              </w:rPr>
            </w:pPr>
            <w:r>
              <w:rPr>
                <w:sz w:val="24"/>
                <w:szCs w:val="24"/>
              </w:rPr>
              <w:t>Sản lượng (tấn)</w:t>
            </w:r>
          </w:p>
        </w:tc>
        <w:tc>
          <w:tcPr>
            <w:tcW w:w="1134" w:type="dxa"/>
            <w:vAlign w:val="center"/>
          </w:tcPr>
          <w:p w14:paraId="07A1CCDB" w14:textId="77777777" w:rsidR="00085789" w:rsidRDefault="00000000">
            <w:pPr>
              <w:spacing w:line="240" w:lineRule="auto"/>
              <w:jc w:val="center"/>
              <w:rPr>
                <w:sz w:val="24"/>
                <w:szCs w:val="24"/>
              </w:rPr>
            </w:pPr>
            <w:r>
              <w:rPr>
                <w:sz w:val="24"/>
                <w:szCs w:val="24"/>
              </w:rPr>
              <w:t>55.471</w:t>
            </w:r>
          </w:p>
        </w:tc>
        <w:tc>
          <w:tcPr>
            <w:tcW w:w="1076" w:type="dxa"/>
            <w:vAlign w:val="center"/>
          </w:tcPr>
          <w:p w14:paraId="653C9DE3" w14:textId="77777777" w:rsidR="00085789" w:rsidRDefault="00000000">
            <w:pPr>
              <w:spacing w:line="240" w:lineRule="auto"/>
              <w:jc w:val="center"/>
              <w:rPr>
                <w:sz w:val="24"/>
                <w:szCs w:val="24"/>
              </w:rPr>
            </w:pPr>
            <w:r>
              <w:rPr>
                <w:sz w:val="24"/>
                <w:szCs w:val="24"/>
              </w:rPr>
              <w:t>54.310</w:t>
            </w:r>
          </w:p>
        </w:tc>
        <w:tc>
          <w:tcPr>
            <w:tcW w:w="996" w:type="dxa"/>
            <w:vAlign w:val="center"/>
          </w:tcPr>
          <w:p w14:paraId="6181ED5F" w14:textId="77777777" w:rsidR="00085789" w:rsidRDefault="00000000">
            <w:pPr>
              <w:spacing w:line="240" w:lineRule="auto"/>
              <w:jc w:val="center"/>
              <w:rPr>
                <w:sz w:val="24"/>
                <w:szCs w:val="24"/>
              </w:rPr>
            </w:pPr>
            <w:r>
              <w:rPr>
                <w:sz w:val="24"/>
                <w:szCs w:val="24"/>
              </w:rPr>
              <w:t>55.193</w:t>
            </w:r>
          </w:p>
        </w:tc>
        <w:tc>
          <w:tcPr>
            <w:tcW w:w="996" w:type="dxa"/>
            <w:vAlign w:val="center"/>
          </w:tcPr>
          <w:p w14:paraId="507C4288" w14:textId="77777777" w:rsidR="00085789" w:rsidRDefault="00000000">
            <w:pPr>
              <w:spacing w:line="240" w:lineRule="auto"/>
              <w:jc w:val="center"/>
              <w:rPr>
                <w:sz w:val="24"/>
                <w:szCs w:val="24"/>
              </w:rPr>
            </w:pPr>
            <w:r>
              <w:rPr>
                <w:sz w:val="24"/>
                <w:szCs w:val="24"/>
              </w:rPr>
              <w:t>56.452</w:t>
            </w:r>
          </w:p>
        </w:tc>
        <w:tc>
          <w:tcPr>
            <w:tcW w:w="996" w:type="dxa"/>
            <w:vAlign w:val="center"/>
          </w:tcPr>
          <w:p w14:paraId="4A114042" w14:textId="77777777" w:rsidR="00085789" w:rsidRDefault="00000000">
            <w:pPr>
              <w:spacing w:line="240" w:lineRule="auto"/>
              <w:jc w:val="center"/>
              <w:rPr>
                <w:sz w:val="24"/>
                <w:szCs w:val="24"/>
              </w:rPr>
            </w:pPr>
            <w:r>
              <w:rPr>
                <w:sz w:val="24"/>
                <w:szCs w:val="24"/>
              </w:rPr>
              <w:t>58.737</w:t>
            </w:r>
          </w:p>
        </w:tc>
        <w:tc>
          <w:tcPr>
            <w:tcW w:w="1034" w:type="dxa"/>
            <w:vAlign w:val="center"/>
          </w:tcPr>
          <w:p w14:paraId="12DB108D" w14:textId="77777777" w:rsidR="00085789" w:rsidRDefault="00000000">
            <w:pPr>
              <w:spacing w:line="240" w:lineRule="auto"/>
              <w:jc w:val="center"/>
              <w:rPr>
                <w:sz w:val="24"/>
                <w:szCs w:val="24"/>
              </w:rPr>
            </w:pPr>
            <w:r>
              <w:rPr>
                <w:sz w:val="24"/>
                <w:szCs w:val="24"/>
              </w:rPr>
              <w:t>62.780</w:t>
            </w:r>
          </w:p>
        </w:tc>
      </w:tr>
      <w:tr w:rsidR="00085789" w14:paraId="01ECD180" w14:textId="77777777">
        <w:trPr>
          <w:jc w:val="center"/>
        </w:trPr>
        <w:tc>
          <w:tcPr>
            <w:tcW w:w="562" w:type="dxa"/>
            <w:vAlign w:val="center"/>
          </w:tcPr>
          <w:p w14:paraId="75DB8BA2" w14:textId="77777777" w:rsidR="00085789" w:rsidRDefault="00085789">
            <w:pPr>
              <w:spacing w:line="240" w:lineRule="auto"/>
              <w:jc w:val="center"/>
              <w:rPr>
                <w:sz w:val="24"/>
                <w:szCs w:val="24"/>
              </w:rPr>
            </w:pPr>
          </w:p>
        </w:tc>
        <w:tc>
          <w:tcPr>
            <w:tcW w:w="2268" w:type="dxa"/>
            <w:vAlign w:val="center"/>
          </w:tcPr>
          <w:p w14:paraId="0288CB74" w14:textId="77777777" w:rsidR="00085789" w:rsidRDefault="00000000">
            <w:pPr>
              <w:spacing w:line="240" w:lineRule="auto"/>
              <w:rPr>
                <w:i/>
                <w:iCs/>
                <w:sz w:val="24"/>
                <w:szCs w:val="24"/>
              </w:rPr>
            </w:pPr>
            <w:r>
              <w:rPr>
                <w:i/>
                <w:iCs/>
                <w:sz w:val="24"/>
                <w:szCs w:val="24"/>
              </w:rPr>
              <w:t>Khai thác</w:t>
            </w:r>
          </w:p>
        </w:tc>
        <w:tc>
          <w:tcPr>
            <w:tcW w:w="1134" w:type="dxa"/>
            <w:vAlign w:val="center"/>
          </w:tcPr>
          <w:p w14:paraId="54F1CF85" w14:textId="77777777" w:rsidR="00085789" w:rsidRDefault="00000000">
            <w:pPr>
              <w:spacing w:line="240" w:lineRule="auto"/>
              <w:jc w:val="center"/>
              <w:rPr>
                <w:i/>
                <w:iCs/>
                <w:sz w:val="24"/>
                <w:szCs w:val="24"/>
              </w:rPr>
            </w:pPr>
            <w:r>
              <w:rPr>
                <w:i/>
                <w:iCs/>
                <w:sz w:val="24"/>
                <w:szCs w:val="24"/>
              </w:rPr>
              <w:t>39.490</w:t>
            </w:r>
          </w:p>
        </w:tc>
        <w:tc>
          <w:tcPr>
            <w:tcW w:w="1076" w:type="dxa"/>
            <w:vAlign w:val="center"/>
          </w:tcPr>
          <w:p w14:paraId="5BB30BDE" w14:textId="77777777" w:rsidR="00085789" w:rsidRDefault="00000000">
            <w:pPr>
              <w:spacing w:line="240" w:lineRule="auto"/>
              <w:jc w:val="center"/>
              <w:rPr>
                <w:i/>
                <w:iCs/>
                <w:sz w:val="24"/>
                <w:szCs w:val="24"/>
              </w:rPr>
            </w:pPr>
            <w:r>
              <w:rPr>
                <w:i/>
                <w:iCs/>
                <w:sz w:val="24"/>
                <w:szCs w:val="24"/>
              </w:rPr>
              <w:t>38.528</w:t>
            </w:r>
          </w:p>
        </w:tc>
        <w:tc>
          <w:tcPr>
            <w:tcW w:w="996" w:type="dxa"/>
            <w:vAlign w:val="center"/>
          </w:tcPr>
          <w:p w14:paraId="7EDB195D" w14:textId="77777777" w:rsidR="00085789" w:rsidRDefault="00000000">
            <w:pPr>
              <w:spacing w:line="240" w:lineRule="auto"/>
              <w:jc w:val="center"/>
              <w:rPr>
                <w:i/>
                <w:iCs/>
                <w:sz w:val="24"/>
                <w:szCs w:val="24"/>
              </w:rPr>
            </w:pPr>
            <w:r>
              <w:rPr>
                <w:i/>
                <w:iCs/>
                <w:sz w:val="24"/>
                <w:szCs w:val="24"/>
              </w:rPr>
              <w:t>38.908</w:t>
            </w:r>
          </w:p>
        </w:tc>
        <w:tc>
          <w:tcPr>
            <w:tcW w:w="996" w:type="dxa"/>
            <w:vAlign w:val="center"/>
          </w:tcPr>
          <w:p w14:paraId="3668FD32" w14:textId="77777777" w:rsidR="00085789" w:rsidRDefault="00000000">
            <w:pPr>
              <w:spacing w:line="240" w:lineRule="auto"/>
              <w:jc w:val="center"/>
              <w:rPr>
                <w:i/>
                <w:iCs/>
                <w:sz w:val="24"/>
                <w:szCs w:val="24"/>
              </w:rPr>
            </w:pPr>
            <w:r>
              <w:rPr>
                <w:i/>
                <w:iCs/>
                <w:sz w:val="24"/>
                <w:szCs w:val="24"/>
              </w:rPr>
              <w:t>39.613</w:t>
            </w:r>
          </w:p>
        </w:tc>
        <w:tc>
          <w:tcPr>
            <w:tcW w:w="996" w:type="dxa"/>
            <w:vAlign w:val="center"/>
          </w:tcPr>
          <w:p w14:paraId="74C63D1B" w14:textId="77777777" w:rsidR="00085789" w:rsidRDefault="00000000">
            <w:pPr>
              <w:spacing w:line="240" w:lineRule="auto"/>
              <w:jc w:val="center"/>
              <w:rPr>
                <w:i/>
                <w:iCs/>
                <w:sz w:val="24"/>
                <w:szCs w:val="24"/>
              </w:rPr>
            </w:pPr>
            <w:r>
              <w:rPr>
                <w:i/>
                <w:iCs/>
                <w:sz w:val="24"/>
                <w:szCs w:val="24"/>
              </w:rPr>
              <w:t>41.378</w:t>
            </w:r>
          </w:p>
        </w:tc>
        <w:tc>
          <w:tcPr>
            <w:tcW w:w="1034" w:type="dxa"/>
            <w:vAlign w:val="center"/>
          </w:tcPr>
          <w:p w14:paraId="74231BC2" w14:textId="77777777" w:rsidR="00085789" w:rsidRDefault="00000000">
            <w:pPr>
              <w:spacing w:line="240" w:lineRule="auto"/>
              <w:jc w:val="center"/>
              <w:rPr>
                <w:i/>
                <w:iCs/>
                <w:sz w:val="24"/>
                <w:szCs w:val="24"/>
              </w:rPr>
            </w:pPr>
            <w:r>
              <w:rPr>
                <w:i/>
                <w:iCs/>
                <w:sz w:val="24"/>
                <w:szCs w:val="24"/>
              </w:rPr>
              <w:t>45.000</w:t>
            </w:r>
          </w:p>
        </w:tc>
      </w:tr>
      <w:tr w:rsidR="00085789" w14:paraId="2C07A84D" w14:textId="77777777">
        <w:trPr>
          <w:jc w:val="center"/>
        </w:trPr>
        <w:tc>
          <w:tcPr>
            <w:tcW w:w="562" w:type="dxa"/>
            <w:vAlign w:val="center"/>
          </w:tcPr>
          <w:p w14:paraId="752DBDE4" w14:textId="77777777" w:rsidR="00085789" w:rsidRDefault="00085789">
            <w:pPr>
              <w:spacing w:line="240" w:lineRule="auto"/>
              <w:jc w:val="center"/>
              <w:rPr>
                <w:sz w:val="24"/>
                <w:szCs w:val="24"/>
              </w:rPr>
            </w:pPr>
          </w:p>
        </w:tc>
        <w:tc>
          <w:tcPr>
            <w:tcW w:w="2268" w:type="dxa"/>
            <w:vAlign w:val="center"/>
          </w:tcPr>
          <w:p w14:paraId="76DABBFA" w14:textId="77777777" w:rsidR="00085789" w:rsidRDefault="00000000">
            <w:pPr>
              <w:spacing w:line="240" w:lineRule="auto"/>
              <w:rPr>
                <w:i/>
                <w:iCs/>
                <w:sz w:val="24"/>
                <w:szCs w:val="24"/>
              </w:rPr>
            </w:pPr>
            <w:r>
              <w:rPr>
                <w:i/>
                <w:iCs/>
                <w:sz w:val="24"/>
                <w:szCs w:val="24"/>
              </w:rPr>
              <w:t>Nuôi trồng</w:t>
            </w:r>
          </w:p>
        </w:tc>
        <w:tc>
          <w:tcPr>
            <w:tcW w:w="1134" w:type="dxa"/>
            <w:vAlign w:val="center"/>
          </w:tcPr>
          <w:p w14:paraId="406A692B" w14:textId="77777777" w:rsidR="00085789" w:rsidRDefault="00000000">
            <w:pPr>
              <w:spacing w:line="240" w:lineRule="auto"/>
              <w:jc w:val="center"/>
              <w:rPr>
                <w:i/>
                <w:iCs/>
                <w:sz w:val="24"/>
                <w:szCs w:val="24"/>
              </w:rPr>
            </w:pPr>
            <w:r>
              <w:rPr>
                <w:i/>
                <w:iCs/>
                <w:sz w:val="24"/>
                <w:szCs w:val="24"/>
              </w:rPr>
              <w:t>15.981</w:t>
            </w:r>
          </w:p>
        </w:tc>
        <w:tc>
          <w:tcPr>
            <w:tcW w:w="1076" w:type="dxa"/>
            <w:vAlign w:val="center"/>
          </w:tcPr>
          <w:p w14:paraId="4D51807F" w14:textId="77777777" w:rsidR="00085789" w:rsidRDefault="00000000">
            <w:pPr>
              <w:spacing w:line="240" w:lineRule="auto"/>
              <w:jc w:val="center"/>
              <w:rPr>
                <w:i/>
                <w:iCs/>
                <w:sz w:val="24"/>
                <w:szCs w:val="24"/>
              </w:rPr>
            </w:pPr>
            <w:r>
              <w:rPr>
                <w:i/>
                <w:iCs/>
                <w:sz w:val="24"/>
                <w:szCs w:val="24"/>
              </w:rPr>
              <w:t>15.782</w:t>
            </w:r>
          </w:p>
        </w:tc>
        <w:tc>
          <w:tcPr>
            <w:tcW w:w="996" w:type="dxa"/>
            <w:vAlign w:val="center"/>
          </w:tcPr>
          <w:p w14:paraId="4ABB54DD" w14:textId="77777777" w:rsidR="00085789" w:rsidRDefault="00000000">
            <w:pPr>
              <w:spacing w:line="240" w:lineRule="auto"/>
              <w:jc w:val="center"/>
              <w:rPr>
                <w:i/>
                <w:iCs/>
                <w:sz w:val="24"/>
                <w:szCs w:val="24"/>
              </w:rPr>
            </w:pPr>
            <w:r>
              <w:rPr>
                <w:i/>
                <w:iCs/>
                <w:sz w:val="24"/>
                <w:szCs w:val="24"/>
              </w:rPr>
              <w:t>16.285</w:t>
            </w:r>
          </w:p>
        </w:tc>
        <w:tc>
          <w:tcPr>
            <w:tcW w:w="996" w:type="dxa"/>
            <w:vAlign w:val="center"/>
          </w:tcPr>
          <w:p w14:paraId="0FB37C21" w14:textId="77777777" w:rsidR="00085789" w:rsidRDefault="00000000">
            <w:pPr>
              <w:spacing w:line="240" w:lineRule="auto"/>
              <w:jc w:val="center"/>
              <w:rPr>
                <w:i/>
                <w:iCs/>
                <w:sz w:val="24"/>
                <w:szCs w:val="24"/>
              </w:rPr>
            </w:pPr>
            <w:r>
              <w:rPr>
                <w:i/>
                <w:iCs/>
                <w:sz w:val="24"/>
                <w:szCs w:val="24"/>
              </w:rPr>
              <w:t>16.839</w:t>
            </w:r>
          </w:p>
        </w:tc>
        <w:tc>
          <w:tcPr>
            <w:tcW w:w="996" w:type="dxa"/>
            <w:vAlign w:val="center"/>
          </w:tcPr>
          <w:p w14:paraId="73ADA94B" w14:textId="77777777" w:rsidR="00085789" w:rsidRDefault="00000000">
            <w:pPr>
              <w:spacing w:line="240" w:lineRule="auto"/>
              <w:jc w:val="center"/>
              <w:rPr>
                <w:i/>
                <w:iCs/>
                <w:sz w:val="24"/>
                <w:szCs w:val="24"/>
              </w:rPr>
            </w:pPr>
            <w:r>
              <w:rPr>
                <w:i/>
                <w:iCs/>
                <w:sz w:val="24"/>
                <w:szCs w:val="24"/>
              </w:rPr>
              <w:t>17.359</w:t>
            </w:r>
          </w:p>
        </w:tc>
        <w:tc>
          <w:tcPr>
            <w:tcW w:w="1034" w:type="dxa"/>
            <w:vAlign w:val="center"/>
          </w:tcPr>
          <w:p w14:paraId="6844A1FF" w14:textId="77777777" w:rsidR="00085789" w:rsidRDefault="00000000">
            <w:pPr>
              <w:spacing w:line="240" w:lineRule="auto"/>
              <w:jc w:val="center"/>
              <w:rPr>
                <w:i/>
                <w:iCs/>
                <w:sz w:val="24"/>
                <w:szCs w:val="24"/>
              </w:rPr>
            </w:pPr>
            <w:r>
              <w:rPr>
                <w:i/>
                <w:iCs/>
                <w:sz w:val="24"/>
                <w:szCs w:val="24"/>
              </w:rPr>
              <w:t>17.780</w:t>
            </w:r>
          </w:p>
        </w:tc>
      </w:tr>
    </w:tbl>
    <w:p w14:paraId="3CD064B2" w14:textId="77777777" w:rsidR="00085789" w:rsidRDefault="00000000">
      <w:pPr>
        <w:widowControl w:val="0"/>
        <w:autoSpaceDE w:val="0"/>
        <w:autoSpaceDN w:val="0"/>
        <w:adjustRightInd w:val="0"/>
        <w:ind w:firstLine="709"/>
        <w:jc w:val="both"/>
        <w:rPr>
          <w:sz w:val="14"/>
          <w:szCs w:val="14"/>
        </w:rPr>
      </w:pPr>
      <w:r>
        <w:rPr>
          <w:noProof/>
        </w:rPr>
        <mc:AlternateContent>
          <mc:Choice Requires="wps">
            <w:drawing>
              <wp:anchor distT="0" distB="0" distL="114300" distR="114300" simplePos="0" relativeHeight="251996672" behindDoc="0" locked="0" layoutInCell="1" allowOverlap="1" wp14:anchorId="0152E5F1" wp14:editId="644BF031">
                <wp:simplePos x="0" y="0"/>
                <wp:positionH relativeFrom="column">
                  <wp:posOffset>2305050</wp:posOffset>
                </wp:positionH>
                <wp:positionV relativeFrom="paragraph">
                  <wp:posOffset>44119</wp:posOffset>
                </wp:positionV>
                <wp:extent cx="914400" cy="379730"/>
                <wp:effectExtent l="0" t="0" r="0" b="1270"/>
                <wp:wrapNone/>
                <wp:docPr id="386497528" name="Text Box 83"/>
                <wp:cNvGraphicFramePr/>
                <a:graphic xmlns:a="http://schemas.openxmlformats.org/drawingml/2006/main">
                  <a:graphicData uri="http://schemas.microsoft.com/office/word/2010/wordprocessingShape">
                    <wps:wsp>
                      <wps:cNvSpPr txBox="1"/>
                      <wps:spPr>
                        <a:xfrm>
                          <a:off x="0" y="0"/>
                          <a:ext cx="914400" cy="379730"/>
                        </a:xfrm>
                        <a:prstGeom prst="rect">
                          <a:avLst/>
                        </a:prstGeom>
                        <a:noFill/>
                        <a:ln w="6350">
                          <a:noFill/>
                        </a:ln>
                      </wps:spPr>
                      <wps:txbx>
                        <w:txbxContent>
                          <w:p w14:paraId="7694D3B1" w14:textId="77777777" w:rsidR="00085789" w:rsidRDefault="00085789"/>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66E8AD" id="Text Box 83" o:spid="_x0000_s1030" type="#_x0000_t202" style="position:absolute;left:0;text-align:left;margin-left:181.5pt;margin-top:3.45pt;width:1in;height:29.9pt;z-index:2519966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" filled="f" stroked="f" strokeweight=".5pt">
                <v:textbox>
                  <w:txbxContent>
                    <w:p w14:paraId="0D717D08" w14:textId="1B9A05A9" w:rsidR="000E0CEF" w:rsidRDefault="000E0CEF"/>
                  </w:txbxContent>
                </v:textbox>
              </v:shape>
            </w:pict>
          </mc:Fallback>
        </mc:AlternateContent>
      </w:r>
      <w:r>
        <w:rPr>
          <w:noProof/>
        </w:rPr>
        <w:drawing>
          <wp:anchor distT="0" distB="0" distL="114300" distR="114300" simplePos="0" relativeHeight="251826688" behindDoc="1" locked="0" layoutInCell="1" allowOverlap="1" wp14:anchorId="504A76FF" wp14:editId="53C3E8DB">
            <wp:simplePos x="0" y="0"/>
            <wp:positionH relativeFrom="margin">
              <wp:posOffset>50165</wp:posOffset>
            </wp:positionH>
            <wp:positionV relativeFrom="paragraph">
              <wp:posOffset>226695</wp:posOffset>
            </wp:positionV>
            <wp:extent cx="5565140" cy="2588895"/>
            <wp:effectExtent l="0" t="0" r="16510" b="1905"/>
            <wp:wrapTight wrapText="bothSides">
              <wp:wrapPolygon edited="0">
                <wp:start x="0" y="0"/>
                <wp:lineTo x="0" y="21457"/>
                <wp:lineTo x="21590" y="21457"/>
                <wp:lineTo x="21590" y="0"/>
                <wp:lineTo x="0" y="0"/>
              </wp:wrapPolygon>
            </wp:wrapTight>
            <wp:docPr id="921987822" name="Chart 1">
              <a:extLst xmlns:a="http://schemas.openxmlformats.org/drawingml/2006/main">
                <a:ext uri="{FF2B5EF4-FFF2-40B4-BE49-F238E27FC236}">
                  <a16:creationId xmlns:a16="http://schemas.microsoft.com/office/drawing/2014/main" id="{5C4124B1-00A4-0587-FEA3-E5BE7CAC66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bookmarkStart w:id="235" w:name="_Toc205915651"/>
    </w:p>
    <w:p w14:paraId="3B7D47DE" w14:textId="77777777" w:rsidR="00203F98" w:rsidRPr="00203F98" w:rsidRDefault="00203F98">
      <w:pPr>
        <w:widowControl w:val="0"/>
        <w:autoSpaceDE w:val="0"/>
        <w:autoSpaceDN w:val="0"/>
        <w:adjustRightInd w:val="0"/>
        <w:spacing w:line="240" w:lineRule="auto"/>
        <w:ind w:firstLine="709"/>
        <w:jc w:val="both"/>
        <w:rPr>
          <w:b/>
          <w:bCs/>
          <w:sz w:val="24"/>
          <w:szCs w:val="24"/>
        </w:rPr>
      </w:pPr>
    </w:p>
    <w:p w14:paraId="21B3C886" w14:textId="7644765A" w:rsidR="00085789" w:rsidRDefault="00000000">
      <w:pPr>
        <w:widowControl w:val="0"/>
        <w:autoSpaceDE w:val="0"/>
        <w:autoSpaceDN w:val="0"/>
        <w:adjustRightInd w:val="0"/>
        <w:spacing w:line="240" w:lineRule="auto"/>
        <w:ind w:firstLine="709"/>
        <w:jc w:val="both"/>
        <w:rPr>
          <w:b/>
          <w:bCs/>
        </w:rPr>
      </w:pPr>
      <w:r>
        <w:rPr>
          <w:b/>
          <w:bCs/>
        </w:rPr>
        <w:t>Hình 1.5. Diện tích và sản lượng thuỷ sản từ năm 2020-2025</w:t>
      </w:r>
      <w:bookmarkEnd w:id="235"/>
      <w:r>
        <w:rPr>
          <w:b/>
          <w:bCs/>
        </w:rPr>
        <w:t xml:space="preserve"> </w:t>
      </w:r>
    </w:p>
    <w:p w14:paraId="09207794" w14:textId="77777777" w:rsidR="00085789" w:rsidRDefault="00000000">
      <w:pPr>
        <w:widowControl w:val="0"/>
        <w:autoSpaceDE w:val="0"/>
        <w:autoSpaceDN w:val="0"/>
        <w:adjustRightInd w:val="0"/>
        <w:spacing w:before="120" w:line="240" w:lineRule="auto"/>
        <w:ind w:firstLine="709"/>
        <w:jc w:val="both"/>
        <w:rPr>
          <w:b/>
          <w:bCs/>
          <w:sz w:val="26"/>
          <w:szCs w:val="26"/>
        </w:rPr>
      </w:pPr>
      <w:r>
        <w:rPr>
          <w:b/>
          <w:bCs/>
          <w:sz w:val="26"/>
          <w:szCs w:val="26"/>
        </w:rPr>
        <w:t>* Đối với lâm nghiệp:</w:t>
      </w:r>
    </w:p>
    <w:p w14:paraId="3D981366" w14:textId="77777777" w:rsidR="00085789" w:rsidRDefault="00000000">
      <w:pPr>
        <w:widowControl w:val="0"/>
        <w:autoSpaceDE w:val="0"/>
        <w:autoSpaceDN w:val="0"/>
        <w:adjustRightInd w:val="0"/>
        <w:spacing w:before="80" w:line="240" w:lineRule="auto"/>
        <w:ind w:firstLine="709"/>
        <w:jc w:val="both"/>
        <w:rPr>
          <w:rFonts w:ascii="Calibri" w:hAnsi="Calibri"/>
          <w:b/>
          <w:bCs/>
          <w:sz w:val="26"/>
          <w:szCs w:val="26"/>
          <w:lang w:val="nl-NL"/>
        </w:rPr>
      </w:pPr>
      <w:bookmarkStart w:id="236" w:name="_Hlk204088552"/>
      <w:r>
        <w:rPr>
          <w:rFonts w:asciiTheme="majorHAnsi" w:eastAsia="Calibri" w:hAnsiTheme="majorHAnsi" w:cstheme="majorHAnsi"/>
          <w:iCs/>
          <w:sz w:val="26"/>
          <w:szCs w:val="26"/>
          <w:lang w:val="pt-PT"/>
        </w:rPr>
        <w:t xml:space="preserve">Phát triển lâm nghiệp </w:t>
      </w:r>
      <w:bookmarkEnd w:id="236"/>
      <w:r>
        <w:rPr>
          <w:rFonts w:asciiTheme="majorHAnsi" w:eastAsia="Calibri" w:hAnsiTheme="majorHAnsi" w:cstheme="majorHAnsi"/>
          <w:iCs/>
          <w:sz w:val="26"/>
          <w:szCs w:val="26"/>
          <w:lang w:val="pt-PT"/>
        </w:rPr>
        <w:t xml:space="preserve">theo hướng bền vững, </w:t>
      </w:r>
      <w:r>
        <w:rPr>
          <w:rFonts w:asciiTheme="majorHAnsi" w:hAnsiTheme="majorHAnsi" w:cstheme="majorHAnsi"/>
          <w:spacing w:val="-4"/>
          <w:sz w:val="26"/>
          <w:szCs w:val="26"/>
          <w:lang w:val="es-ES_tradnl"/>
        </w:rPr>
        <w:t>tập trung thâm canh, gắn với phát huy các nhà máy chế biến gỗ hiện có.</w:t>
      </w:r>
      <w:r>
        <w:rPr>
          <w:rFonts w:asciiTheme="majorHAnsi" w:eastAsia="Calibri" w:hAnsiTheme="majorHAnsi" w:cstheme="majorHAnsi"/>
          <w:iCs/>
          <w:sz w:val="26"/>
          <w:szCs w:val="26"/>
          <w:lang w:val="pt-PT"/>
        </w:rPr>
        <w:t xml:space="preserve"> </w:t>
      </w:r>
      <w:r>
        <w:rPr>
          <w:rFonts w:asciiTheme="majorHAnsi" w:hAnsiTheme="majorHAnsi" w:cstheme="majorHAnsi"/>
          <w:bCs/>
          <w:sz w:val="26"/>
          <w:szCs w:val="26"/>
          <w:lang w:val="pt-PT"/>
        </w:rPr>
        <w:t>Giai đoạn từ 2021-2024 diện tích trồng rừng tập trung   37.149 ha</w:t>
      </w:r>
      <w:r>
        <w:rPr>
          <w:rStyle w:val="FootnoteReference"/>
          <w:rFonts w:asciiTheme="majorHAnsi" w:hAnsiTheme="majorHAnsi" w:cstheme="majorHAnsi"/>
          <w:bCs/>
          <w:sz w:val="26"/>
          <w:szCs w:val="26"/>
          <w:lang w:val="pt-PT"/>
        </w:rPr>
        <w:footnoteReference w:id="14"/>
      </w:r>
      <w:r>
        <w:rPr>
          <w:rFonts w:asciiTheme="majorHAnsi" w:hAnsiTheme="majorHAnsi" w:cstheme="majorHAnsi"/>
          <w:bCs/>
          <w:sz w:val="26"/>
          <w:szCs w:val="26"/>
          <w:lang w:val="pt-PT"/>
        </w:rPr>
        <w:t xml:space="preserve">, đến năm </w:t>
      </w:r>
      <w:bookmarkStart w:id="237" w:name="_Hlk204770243"/>
      <w:r>
        <w:rPr>
          <w:rFonts w:asciiTheme="majorHAnsi" w:hAnsiTheme="majorHAnsi" w:cstheme="majorHAnsi"/>
          <w:bCs/>
          <w:sz w:val="26"/>
          <w:szCs w:val="26"/>
          <w:lang w:val="pt-PT"/>
        </w:rPr>
        <w:t>2025 ước tính 46.449 ha</w:t>
      </w:r>
      <w:r>
        <w:rPr>
          <w:rStyle w:val="FootnoteReference"/>
          <w:rFonts w:asciiTheme="majorHAnsi" w:hAnsiTheme="majorHAnsi" w:cstheme="majorHAnsi"/>
          <w:bCs/>
          <w:sz w:val="26"/>
          <w:szCs w:val="26"/>
          <w:lang w:val="pt-PT"/>
        </w:rPr>
        <w:footnoteReference w:id="15"/>
      </w:r>
      <w:r>
        <w:rPr>
          <w:rFonts w:asciiTheme="majorHAnsi" w:hAnsiTheme="majorHAnsi" w:cstheme="majorHAnsi"/>
          <w:bCs/>
          <w:sz w:val="26"/>
          <w:szCs w:val="26"/>
          <w:lang w:val="pt-PT"/>
        </w:rPr>
        <w:t xml:space="preserve">, khoanh nuôi xúc tiến tái sinh tự nhiên </w:t>
      </w:r>
      <w:bookmarkEnd w:id="237"/>
      <w:r>
        <w:rPr>
          <w:rFonts w:asciiTheme="majorHAnsi" w:hAnsiTheme="majorHAnsi" w:cstheme="majorHAnsi"/>
          <w:bCs/>
          <w:sz w:val="26"/>
          <w:szCs w:val="26"/>
          <w:lang w:val="pt-PT"/>
        </w:rPr>
        <w:t>(chuyển tiếp) 1.983 lượt ha</w:t>
      </w:r>
      <w:r>
        <w:rPr>
          <w:rStyle w:val="FootnoteReference"/>
          <w:rFonts w:asciiTheme="majorHAnsi" w:hAnsiTheme="majorHAnsi" w:cstheme="majorHAnsi"/>
          <w:bCs/>
          <w:sz w:val="26"/>
          <w:szCs w:val="26"/>
          <w:lang w:val="pt-PT"/>
        </w:rPr>
        <w:footnoteReference w:id="16"/>
      </w:r>
      <w:r>
        <w:rPr>
          <w:rFonts w:asciiTheme="majorHAnsi" w:hAnsiTheme="majorHAnsi" w:cstheme="majorHAnsi"/>
          <w:bCs/>
          <w:sz w:val="26"/>
          <w:szCs w:val="26"/>
          <w:lang w:val="pt-PT"/>
        </w:rPr>
        <w:t>, chăm sóc rừng: 89.260 lượt ha</w:t>
      </w:r>
      <w:r>
        <w:rPr>
          <w:rStyle w:val="FootnoteReference"/>
          <w:rFonts w:asciiTheme="majorHAnsi" w:hAnsiTheme="majorHAnsi" w:cstheme="majorHAnsi"/>
          <w:bCs/>
          <w:sz w:val="26"/>
          <w:szCs w:val="26"/>
          <w:lang w:val="pt-PT"/>
        </w:rPr>
        <w:footnoteReference w:id="17"/>
      </w:r>
      <w:r>
        <w:rPr>
          <w:rFonts w:asciiTheme="majorHAnsi" w:hAnsiTheme="majorHAnsi" w:cstheme="majorHAnsi"/>
          <w:bCs/>
          <w:sz w:val="26"/>
          <w:szCs w:val="26"/>
          <w:lang w:val="pt-PT"/>
        </w:rPr>
        <w:t>, trồng cây phân tán 10.871.000 cây</w:t>
      </w:r>
      <w:r>
        <w:rPr>
          <w:rStyle w:val="FootnoteReference"/>
          <w:rFonts w:asciiTheme="majorHAnsi" w:hAnsiTheme="majorHAnsi" w:cstheme="majorHAnsi"/>
          <w:bCs/>
          <w:sz w:val="26"/>
          <w:szCs w:val="26"/>
          <w:lang w:val="pt-PT"/>
        </w:rPr>
        <w:footnoteReference w:id="18"/>
      </w:r>
      <w:r>
        <w:rPr>
          <w:rFonts w:asciiTheme="majorHAnsi" w:hAnsiTheme="majorHAnsi" w:cstheme="majorHAnsi"/>
          <w:bCs/>
          <w:sz w:val="26"/>
          <w:szCs w:val="26"/>
          <w:lang w:val="pt-PT"/>
        </w:rPr>
        <w:t xml:space="preserve">. </w:t>
      </w:r>
      <w:r>
        <w:rPr>
          <w:rFonts w:asciiTheme="majorHAnsi" w:hAnsiTheme="majorHAnsi" w:cstheme="majorHAnsi"/>
          <w:bCs/>
          <w:spacing w:val="-4"/>
          <w:sz w:val="26"/>
          <w:szCs w:val="26"/>
          <w:lang w:val="pt-PT"/>
        </w:rPr>
        <w:t xml:space="preserve">Tổng diện tích rừng được cấp chứng chỉ quản lý rừng bền vững (FSC) trên toàn tỉnh khoảng 30.668,72 ha, phấn đấu tới năm 2030 có khoảng 37.000 ha rừng được cấp chứng FSC, gồm rừng trồng sản xuất 32.000 ha, rừng cao su 5.000 ha. </w:t>
      </w:r>
      <w:r>
        <w:rPr>
          <w:rFonts w:asciiTheme="majorHAnsi" w:hAnsiTheme="majorHAnsi" w:cstheme="majorHAnsi"/>
          <w:spacing w:val="-4"/>
          <w:sz w:val="26"/>
          <w:szCs w:val="26"/>
          <w:lang w:val="nl-NL"/>
        </w:rPr>
        <w:t xml:space="preserve">Công tác quản lý, bảo vệ rừng, PCCC rừng hàng năm được các cấp, ngành tập trung chỉ đạo, tổ chức thực hiện có hiệu quả; duy trì </w:t>
      </w:r>
      <w:r>
        <w:rPr>
          <w:rFonts w:asciiTheme="majorHAnsi" w:hAnsiTheme="majorHAnsi" w:cstheme="majorHAnsi"/>
          <w:spacing w:val="-4"/>
          <w:sz w:val="26"/>
          <w:szCs w:val="26"/>
          <w:lang w:val="es-ES_tradnl"/>
        </w:rPr>
        <w:t xml:space="preserve">độ che phủ rừng </w:t>
      </w:r>
      <w:r>
        <w:rPr>
          <w:rFonts w:asciiTheme="majorHAnsi" w:hAnsiTheme="majorHAnsi" w:cstheme="majorHAnsi"/>
          <w:bCs/>
          <w:spacing w:val="-4"/>
          <w:sz w:val="26"/>
          <w:szCs w:val="26"/>
          <w:lang w:val="nl-NL"/>
        </w:rPr>
        <w:t>ổn định trên 52 %, riêng năm 2025 đạt 48,9% (giảm so với các năm trước do diện tích rừng đủ tiêu chí thành rừng (tính tỷ lệ che phủ) bị thiệt hại do bão số 5, số 10 gây ra trên địa bàn tỉnh (có khoảng 20.000 ha rừng trồng bị thiệt hại, không đủ tiêu chí thành rừng))</w:t>
      </w:r>
      <w:r>
        <w:rPr>
          <w:rStyle w:val="FootnoteReference"/>
          <w:rFonts w:asciiTheme="majorHAnsi" w:hAnsiTheme="majorHAnsi" w:cstheme="majorHAnsi"/>
          <w:bCs/>
          <w:spacing w:val="-4"/>
          <w:sz w:val="26"/>
          <w:szCs w:val="26"/>
          <w:lang w:val="nl-NL"/>
        </w:rPr>
        <w:footnoteReference w:id="19"/>
      </w:r>
      <w:r>
        <w:rPr>
          <w:rFonts w:asciiTheme="majorHAnsi" w:hAnsiTheme="majorHAnsi" w:cstheme="majorHAnsi"/>
          <w:bCs/>
          <w:spacing w:val="-4"/>
          <w:sz w:val="26"/>
          <w:szCs w:val="26"/>
          <w:lang w:val="nl-NL"/>
        </w:rPr>
        <w:t>. Chuyển mục đích sử dụng rừng sang mục đích khác trên địa bàn tỉnh được thực hiện nghiêm túc, đúng các quy định của pháp luật về Lâm nghiệp.</w:t>
      </w:r>
      <w:r>
        <w:rPr>
          <w:rFonts w:asciiTheme="majorHAnsi" w:hAnsiTheme="majorHAnsi" w:cstheme="majorHAnsi"/>
          <w:bCs/>
          <w:sz w:val="26"/>
          <w:szCs w:val="26"/>
          <w:lang w:val="nl-NL"/>
        </w:rPr>
        <w:t xml:space="preserve"> </w:t>
      </w:r>
    </w:p>
    <w:p w14:paraId="0E2D1776" w14:textId="77777777" w:rsidR="00085789" w:rsidRDefault="00000000">
      <w:pPr>
        <w:pStyle w:val="bac2"/>
        <w:spacing w:before="120" w:after="0" w:line="240" w:lineRule="auto"/>
        <w:rPr>
          <w:lang w:val="nl-NL"/>
        </w:rPr>
      </w:pPr>
      <w:bookmarkStart w:id="238" w:name="_Toc214311210"/>
      <w:r>
        <w:rPr>
          <w:lang w:val="nl-NL"/>
        </w:rPr>
        <w:lastRenderedPageBreak/>
        <w:t>1.2.1.6. Hoạt động y tế</w:t>
      </w:r>
      <w:bookmarkEnd w:id="238"/>
    </w:p>
    <w:p w14:paraId="72E9B074" w14:textId="103A702A" w:rsidR="00085789" w:rsidRDefault="00000000">
      <w:pPr>
        <w:widowControl w:val="0"/>
        <w:autoSpaceDE w:val="0"/>
        <w:autoSpaceDN w:val="0"/>
        <w:adjustRightInd w:val="0"/>
        <w:spacing w:before="120" w:line="240" w:lineRule="auto"/>
        <w:ind w:firstLine="709"/>
        <w:jc w:val="both"/>
        <w:rPr>
          <w:rStyle w:val="fontstyle01"/>
          <w:rFonts w:ascii="Times New Roman" w:hAnsi="Times New Roman" w:cs="Times New Roman"/>
          <w:b/>
          <w:color w:val="auto"/>
          <w:spacing w:val="-4"/>
          <w:lang w:val="nl-NL"/>
        </w:rPr>
      </w:pPr>
      <w:r>
        <w:rPr>
          <w:rStyle w:val="fontstyle01"/>
          <w:rFonts w:ascii="Times New Roman" w:hAnsi="Times New Roman" w:cs="Times New Roman"/>
          <w:color w:val="auto"/>
          <w:spacing w:val="-4"/>
          <w:lang w:val="nl-NL"/>
        </w:rPr>
        <w:t>Công tác bảo vệ, chăm sóc và nâng cao sức khoẻ nhân dân đã đạt được những kết quả quan trọng. Hệ thống y tế từng bước được củng cố và kiện toàn; nhiều dịch bệnh nguy hiểm được khống chế và đẩy lùi; cơ sở vật chất, điều kiện làm việc và thiết bị y tế từng bước được đầu tư hoàn thiện; trình độ đội ngũ cán bộ y tế và chất lượng dịch vụ khám bệnh, chữa bệnh, phòng bệnh cho nhân dân ở các tuyến ngày càng được nâng cao. Nhiều chỉ tiêu về y tế, sức khoẻ của nhân dân được cải thiện rõ rệt. Mạng lưới khám bệnh, chữa bệnh, phục hồi chức năng ngày càng được mở rộng và phát triển cả công</w:t>
      </w:r>
      <w:r>
        <w:rPr>
          <w:rStyle w:val="fontstyle01"/>
          <w:rFonts w:ascii="Times New Roman" w:hAnsi="Times New Roman" w:cs="Times New Roman"/>
          <w:color w:val="auto"/>
          <w:lang w:val="nl-NL"/>
        </w:rPr>
        <w:t xml:space="preserve"> lập và ngoài công lập.</w:t>
      </w:r>
    </w:p>
    <w:p w14:paraId="0A2340E3" w14:textId="2CEDC583" w:rsidR="00085789" w:rsidRDefault="00000000">
      <w:pPr>
        <w:widowControl w:val="0"/>
        <w:autoSpaceDE w:val="0"/>
        <w:autoSpaceDN w:val="0"/>
        <w:adjustRightInd w:val="0"/>
        <w:spacing w:before="120" w:line="240" w:lineRule="auto"/>
        <w:ind w:firstLine="709"/>
        <w:jc w:val="both"/>
        <w:rPr>
          <w:sz w:val="26"/>
          <w:szCs w:val="26"/>
          <w:lang w:val="nl-NL"/>
        </w:rPr>
      </w:pPr>
      <w:r>
        <w:rPr>
          <w:sz w:val="26"/>
          <w:szCs w:val="26"/>
          <w:lang w:val="nl-NL"/>
        </w:rPr>
        <w:t>Hiện nay, toàn tỉnh có 608 cơ sở y tế trong đó có 605 cơ sở khám chữa bệnh (236 cơ sở công lập và 369 phòng khám tư nhân), 03 cơ sở y tế dự phòng (Trung tâm kiểm soát bệnh tật, Trung tâm Kiểm nghiệm thuốc - dược phẩm - mỹ phẩm; TTYT thị xã Kỳ Anh (nay là TTYT Hoành Sơn)). Tổng số giường bệnh năm 2024 là 4204 giường. Sau khi UBND tỉnh phê duyệt chỉ tiêu giường bệnh một số cơ sở khám bệnh, chữa bệnh công lập (tại Quyết định số 1023/QĐ-UBND ngày 13/5/2025</w:t>
      </w:r>
      <w:r>
        <w:rPr>
          <w:rStyle w:val="FootnoteReference"/>
          <w:sz w:val="26"/>
          <w:szCs w:val="26"/>
        </w:rPr>
        <w:footnoteReference w:id="20"/>
      </w:r>
      <w:r>
        <w:rPr>
          <w:sz w:val="26"/>
          <w:szCs w:val="26"/>
          <w:lang w:val="nl-NL"/>
        </w:rPr>
        <w:t xml:space="preserve">), tổng số giường bệnh tăng lên là 4.609 giường. </w:t>
      </w:r>
    </w:p>
    <w:p w14:paraId="057D09ED" w14:textId="77777777" w:rsidR="00085789" w:rsidRDefault="00000000">
      <w:pPr>
        <w:pStyle w:val="-bac4"/>
        <w:rPr>
          <w:lang w:val="nl-NL"/>
        </w:rPr>
      </w:pPr>
      <w:bookmarkStart w:id="239" w:name="_Toc205915653"/>
      <w:bookmarkStart w:id="240" w:name="_Toc213597352"/>
      <w:bookmarkStart w:id="241" w:name="_Toc213600734"/>
      <w:r>
        <w:rPr>
          <w:lang w:val="nl-NL"/>
        </w:rPr>
        <w:t>Bảng 1.10. Các cơ sở khám chữa bệnh</w:t>
      </w:r>
      <w:bookmarkEnd w:id="239"/>
      <w:bookmarkEnd w:id="240"/>
      <w:bookmarkEnd w:id="241"/>
    </w:p>
    <w:tbl>
      <w:tblPr>
        <w:tblStyle w:val="TableGrid"/>
        <w:tblW w:w="9634" w:type="dxa"/>
        <w:jc w:val="center"/>
        <w:tblLook w:val="04A0" w:firstRow="1" w:lastRow="0" w:firstColumn="1" w:lastColumn="0" w:noHBand="0" w:noVBand="1"/>
      </w:tblPr>
      <w:tblGrid>
        <w:gridCol w:w="670"/>
        <w:gridCol w:w="900"/>
        <w:gridCol w:w="870"/>
        <w:gridCol w:w="803"/>
        <w:gridCol w:w="723"/>
        <w:gridCol w:w="623"/>
        <w:gridCol w:w="1017"/>
        <w:gridCol w:w="750"/>
        <w:gridCol w:w="723"/>
        <w:gridCol w:w="1017"/>
        <w:gridCol w:w="897"/>
        <w:gridCol w:w="756"/>
      </w:tblGrid>
      <w:tr w:rsidR="00085789" w14:paraId="7E2433D9" w14:textId="77777777">
        <w:trPr>
          <w:trHeight w:val="317"/>
          <w:tblHeader/>
          <w:jc w:val="center"/>
        </w:trPr>
        <w:tc>
          <w:tcPr>
            <w:tcW w:w="671" w:type="dxa"/>
            <w:vMerge w:val="restart"/>
            <w:vAlign w:val="center"/>
          </w:tcPr>
          <w:p w14:paraId="28F28B30"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STT</w:t>
            </w:r>
          </w:p>
        </w:tc>
        <w:tc>
          <w:tcPr>
            <w:tcW w:w="902" w:type="dxa"/>
            <w:vMerge w:val="restart"/>
            <w:vAlign w:val="center"/>
          </w:tcPr>
          <w:p w14:paraId="7BD26BDA"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Thông tin</w:t>
            </w:r>
          </w:p>
        </w:tc>
        <w:tc>
          <w:tcPr>
            <w:tcW w:w="4036" w:type="dxa"/>
            <w:gridSpan w:val="5"/>
          </w:tcPr>
          <w:p w14:paraId="52808BF8"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Cơ sở công lập</w:t>
            </w:r>
          </w:p>
        </w:tc>
        <w:tc>
          <w:tcPr>
            <w:tcW w:w="3387" w:type="dxa"/>
            <w:gridSpan w:val="4"/>
          </w:tcPr>
          <w:p w14:paraId="28869A03"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Cơ sở tư nhân</w:t>
            </w:r>
          </w:p>
        </w:tc>
        <w:tc>
          <w:tcPr>
            <w:tcW w:w="638" w:type="dxa"/>
            <w:vMerge w:val="restart"/>
            <w:vAlign w:val="center"/>
          </w:tcPr>
          <w:p w14:paraId="4ECF34AA"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Tổng</w:t>
            </w:r>
          </w:p>
        </w:tc>
      </w:tr>
      <w:tr w:rsidR="00085789" w14:paraId="20A39E3A" w14:textId="77777777">
        <w:trPr>
          <w:trHeight w:val="999"/>
          <w:tblHeader/>
          <w:jc w:val="center"/>
        </w:trPr>
        <w:tc>
          <w:tcPr>
            <w:tcW w:w="671" w:type="dxa"/>
            <w:vMerge/>
            <w:vAlign w:val="center"/>
          </w:tcPr>
          <w:p w14:paraId="4DE600B8" w14:textId="77777777" w:rsidR="00085789" w:rsidRDefault="00085789">
            <w:pPr>
              <w:widowControl w:val="0"/>
              <w:autoSpaceDE w:val="0"/>
              <w:autoSpaceDN w:val="0"/>
              <w:adjustRightInd w:val="0"/>
              <w:spacing w:line="240" w:lineRule="auto"/>
              <w:jc w:val="center"/>
              <w:rPr>
                <w:b/>
                <w:bCs/>
                <w:sz w:val="24"/>
                <w:szCs w:val="24"/>
              </w:rPr>
            </w:pPr>
          </w:p>
        </w:tc>
        <w:tc>
          <w:tcPr>
            <w:tcW w:w="902" w:type="dxa"/>
            <w:vMerge/>
            <w:vAlign w:val="center"/>
          </w:tcPr>
          <w:p w14:paraId="0BB67A79" w14:textId="77777777" w:rsidR="00085789" w:rsidRDefault="00085789">
            <w:pPr>
              <w:widowControl w:val="0"/>
              <w:autoSpaceDE w:val="0"/>
              <w:autoSpaceDN w:val="0"/>
              <w:adjustRightInd w:val="0"/>
              <w:spacing w:line="240" w:lineRule="auto"/>
              <w:jc w:val="center"/>
              <w:rPr>
                <w:b/>
                <w:bCs/>
                <w:sz w:val="24"/>
                <w:szCs w:val="24"/>
              </w:rPr>
            </w:pPr>
          </w:p>
        </w:tc>
        <w:tc>
          <w:tcPr>
            <w:tcW w:w="870" w:type="dxa"/>
            <w:vAlign w:val="center"/>
          </w:tcPr>
          <w:p w14:paraId="72852F73" w14:textId="77777777" w:rsidR="00085789" w:rsidRDefault="00000000">
            <w:pPr>
              <w:widowControl w:val="0"/>
              <w:autoSpaceDE w:val="0"/>
              <w:autoSpaceDN w:val="0"/>
              <w:adjustRightInd w:val="0"/>
              <w:spacing w:line="240" w:lineRule="auto"/>
              <w:jc w:val="center"/>
              <w:rPr>
                <w:sz w:val="24"/>
                <w:szCs w:val="24"/>
              </w:rPr>
            </w:pPr>
            <w:r>
              <w:rPr>
                <w:b/>
                <w:bCs/>
                <w:sz w:val="24"/>
                <w:szCs w:val="24"/>
              </w:rPr>
              <w:t>Bệnh viện/ TTYT</w:t>
            </w:r>
          </w:p>
        </w:tc>
        <w:tc>
          <w:tcPr>
            <w:tcW w:w="803" w:type="dxa"/>
            <w:vAlign w:val="center"/>
          </w:tcPr>
          <w:p w14:paraId="7A7A3128" w14:textId="77777777" w:rsidR="00085789" w:rsidRDefault="00000000">
            <w:pPr>
              <w:widowControl w:val="0"/>
              <w:autoSpaceDE w:val="0"/>
              <w:autoSpaceDN w:val="0"/>
              <w:adjustRightInd w:val="0"/>
              <w:spacing w:line="240" w:lineRule="auto"/>
              <w:jc w:val="center"/>
              <w:rPr>
                <w:sz w:val="24"/>
                <w:szCs w:val="24"/>
              </w:rPr>
            </w:pPr>
            <w:r>
              <w:rPr>
                <w:b/>
                <w:bCs/>
                <w:sz w:val="24"/>
                <w:szCs w:val="24"/>
              </w:rPr>
              <w:t>Trạm Y tế</w:t>
            </w:r>
          </w:p>
        </w:tc>
        <w:tc>
          <w:tcPr>
            <w:tcW w:w="723" w:type="dxa"/>
            <w:vAlign w:val="center"/>
          </w:tcPr>
          <w:p w14:paraId="3CBCB867" w14:textId="77777777" w:rsidR="00085789" w:rsidRDefault="00000000">
            <w:pPr>
              <w:widowControl w:val="0"/>
              <w:autoSpaceDE w:val="0"/>
              <w:autoSpaceDN w:val="0"/>
              <w:adjustRightInd w:val="0"/>
              <w:spacing w:line="240" w:lineRule="auto"/>
              <w:jc w:val="center"/>
              <w:rPr>
                <w:sz w:val="24"/>
                <w:szCs w:val="24"/>
              </w:rPr>
            </w:pPr>
            <w:r>
              <w:rPr>
                <w:b/>
                <w:bCs/>
                <w:sz w:val="24"/>
                <w:szCs w:val="24"/>
              </w:rPr>
              <w:t>PK Đa khoa</w:t>
            </w:r>
          </w:p>
        </w:tc>
        <w:tc>
          <w:tcPr>
            <w:tcW w:w="623" w:type="dxa"/>
            <w:vAlign w:val="center"/>
          </w:tcPr>
          <w:p w14:paraId="2EFB1E69" w14:textId="77777777" w:rsidR="00085789" w:rsidRDefault="00000000">
            <w:pPr>
              <w:widowControl w:val="0"/>
              <w:autoSpaceDE w:val="0"/>
              <w:autoSpaceDN w:val="0"/>
              <w:adjustRightInd w:val="0"/>
              <w:spacing w:line="240" w:lineRule="auto"/>
              <w:ind w:left="-114" w:right="-108"/>
              <w:jc w:val="center"/>
              <w:rPr>
                <w:sz w:val="24"/>
                <w:szCs w:val="24"/>
              </w:rPr>
            </w:pPr>
            <w:r>
              <w:rPr>
                <w:b/>
                <w:bCs/>
                <w:sz w:val="24"/>
                <w:szCs w:val="24"/>
              </w:rPr>
              <w:t>YT</w:t>
            </w:r>
            <w:r>
              <w:rPr>
                <w:b/>
                <w:bCs/>
                <w:sz w:val="24"/>
                <w:szCs w:val="24"/>
              </w:rPr>
              <w:br/>
              <w:t xml:space="preserve"> Cơ quan</w:t>
            </w:r>
          </w:p>
        </w:tc>
        <w:tc>
          <w:tcPr>
            <w:tcW w:w="1017" w:type="dxa"/>
            <w:vAlign w:val="center"/>
          </w:tcPr>
          <w:p w14:paraId="72CA778F" w14:textId="77777777" w:rsidR="00085789" w:rsidRDefault="00000000">
            <w:pPr>
              <w:widowControl w:val="0"/>
              <w:autoSpaceDE w:val="0"/>
              <w:autoSpaceDN w:val="0"/>
              <w:adjustRightInd w:val="0"/>
              <w:spacing w:line="240" w:lineRule="auto"/>
              <w:jc w:val="center"/>
              <w:rPr>
                <w:sz w:val="24"/>
                <w:szCs w:val="24"/>
              </w:rPr>
            </w:pPr>
            <w:r>
              <w:rPr>
                <w:b/>
                <w:bCs/>
                <w:sz w:val="24"/>
                <w:szCs w:val="24"/>
              </w:rPr>
              <w:t>Chuyên khoa</w:t>
            </w:r>
          </w:p>
        </w:tc>
        <w:tc>
          <w:tcPr>
            <w:tcW w:w="750" w:type="dxa"/>
            <w:vAlign w:val="center"/>
          </w:tcPr>
          <w:p w14:paraId="5C59ABD9" w14:textId="77777777" w:rsidR="00085789" w:rsidRDefault="00000000">
            <w:pPr>
              <w:widowControl w:val="0"/>
              <w:autoSpaceDE w:val="0"/>
              <w:autoSpaceDN w:val="0"/>
              <w:adjustRightInd w:val="0"/>
              <w:spacing w:line="240" w:lineRule="auto"/>
              <w:jc w:val="center"/>
              <w:rPr>
                <w:sz w:val="24"/>
                <w:szCs w:val="24"/>
              </w:rPr>
            </w:pPr>
            <w:r>
              <w:rPr>
                <w:b/>
                <w:bCs/>
                <w:sz w:val="24"/>
                <w:szCs w:val="24"/>
              </w:rPr>
              <w:t>Bệnh viện</w:t>
            </w:r>
          </w:p>
        </w:tc>
        <w:tc>
          <w:tcPr>
            <w:tcW w:w="723" w:type="dxa"/>
            <w:vAlign w:val="center"/>
          </w:tcPr>
          <w:p w14:paraId="77228A42" w14:textId="77777777" w:rsidR="00085789" w:rsidRDefault="00000000">
            <w:pPr>
              <w:widowControl w:val="0"/>
              <w:autoSpaceDE w:val="0"/>
              <w:autoSpaceDN w:val="0"/>
              <w:adjustRightInd w:val="0"/>
              <w:spacing w:line="240" w:lineRule="auto"/>
              <w:jc w:val="center"/>
              <w:rPr>
                <w:sz w:val="24"/>
                <w:szCs w:val="24"/>
              </w:rPr>
            </w:pPr>
            <w:r>
              <w:rPr>
                <w:b/>
                <w:bCs/>
                <w:sz w:val="24"/>
                <w:szCs w:val="24"/>
              </w:rPr>
              <w:t>PK Đa khoa</w:t>
            </w:r>
          </w:p>
        </w:tc>
        <w:tc>
          <w:tcPr>
            <w:tcW w:w="1017" w:type="dxa"/>
            <w:vAlign w:val="center"/>
          </w:tcPr>
          <w:p w14:paraId="031EEB6F" w14:textId="77777777" w:rsidR="00085789" w:rsidRDefault="00000000">
            <w:pPr>
              <w:widowControl w:val="0"/>
              <w:autoSpaceDE w:val="0"/>
              <w:autoSpaceDN w:val="0"/>
              <w:adjustRightInd w:val="0"/>
              <w:spacing w:line="240" w:lineRule="auto"/>
              <w:jc w:val="center"/>
              <w:rPr>
                <w:sz w:val="24"/>
                <w:szCs w:val="24"/>
              </w:rPr>
            </w:pPr>
            <w:r>
              <w:rPr>
                <w:b/>
                <w:bCs/>
                <w:sz w:val="24"/>
                <w:szCs w:val="24"/>
              </w:rPr>
              <w:t>Chuyên khoa</w:t>
            </w:r>
          </w:p>
        </w:tc>
        <w:tc>
          <w:tcPr>
            <w:tcW w:w="897" w:type="dxa"/>
            <w:vAlign w:val="center"/>
          </w:tcPr>
          <w:p w14:paraId="543AB2B3" w14:textId="77777777" w:rsidR="00085789" w:rsidRDefault="00000000">
            <w:pPr>
              <w:spacing w:line="240" w:lineRule="auto"/>
              <w:jc w:val="center"/>
              <w:rPr>
                <w:b/>
                <w:bCs/>
                <w:sz w:val="24"/>
                <w:szCs w:val="24"/>
              </w:rPr>
            </w:pPr>
            <w:r>
              <w:rPr>
                <w:b/>
                <w:bCs/>
                <w:sz w:val="24"/>
                <w:szCs w:val="24"/>
              </w:rPr>
              <w:t>DVYT</w:t>
            </w:r>
          </w:p>
          <w:p w14:paraId="6AE671C4" w14:textId="77777777" w:rsidR="00085789" w:rsidRDefault="00085789">
            <w:pPr>
              <w:widowControl w:val="0"/>
              <w:autoSpaceDE w:val="0"/>
              <w:autoSpaceDN w:val="0"/>
              <w:adjustRightInd w:val="0"/>
              <w:spacing w:line="240" w:lineRule="auto"/>
              <w:jc w:val="center"/>
              <w:rPr>
                <w:sz w:val="24"/>
                <w:szCs w:val="24"/>
              </w:rPr>
            </w:pPr>
          </w:p>
        </w:tc>
        <w:tc>
          <w:tcPr>
            <w:tcW w:w="638" w:type="dxa"/>
            <w:vMerge/>
          </w:tcPr>
          <w:p w14:paraId="25A75CE6" w14:textId="77777777" w:rsidR="00085789" w:rsidRDefault="00085789">
            <w:pPr>
              <w:spacing w:line="240" w:lineRule="auto"/>
              <w:jc w:val="center"/>
              <w:rPr>
                <w:b/>
                <w:bCs/>
                <w:sz w:val="24"/>
                <w:szCs w:val="24"/>
              </w:rPr>
            </w:pPr>
          </w:p>
        </w:tc>
      </w:tr>
      <w:tr w:rsidR="00085789" w14:paraId="0DD13AAB" w14:textId="77777777">
        <w:trPr>
          <w:tblHeader/>
          <w:jc w:val="center"/>
        </w:trPr>
        <w:tc>
          <w:tcPr>
            <w:tcW w:w="671" w:type="dxa"/>
            <w:vAlign w:val="center"/>
          </w:tcPr>
          <w:p w14:paraId="3FF9D32A" w14:textId="77777777" w:rsidR="00085789" w:rsidRDefault="00000000">
            <w:pPr>
              <w:widowControl w:val="0"/>
              <w:autoSpaceDE w:val="0"/>
              <w:autoSpaceDN w:val="0"/>
              <w:adjustRightInd w:val="0"/>
              <w:spacing w:line="240" w:lineRule="auto"/>
              <w:jc w:val="center"/>
              <w:rPr>
                <w:sz w:val="24"/>
                <w:szCs w:val="24"/>
              </w:rPr>
            </w:pPr>
            <w:r>
              <w:rPr>
                <w:sz w:val="24"/>
                <w:szCs w:val="24"/>
              </w:rPr>
              <w:t>1</w:t>
            </w:r>
          </w:p>
        </w:tc>
        <w:tc>
          <w:tcPr>
            <w:tcW w:w="902" w:type="dxa"/>
            <w:vAlign w:val="center"/>
          </w:tcPr>
          <w:p w14:paraId="6E26BFA8" w14:textId="77777777" w:rsidR="00085789" w:rsidRDefault="00000000">
            <w:pPr>
              <w:widowControl w:val="0"/>
              <w:autoSpaceDE w:val="0"/>
              <w:autoSpaceDN w:val="0"/>
              <w:adjustRightInd w:val="0"/>
              <w:spacing w:line="240" w:lineRule="auto"/>
              <w:jc w:val="center"/>
              <w:rPr>
                <w:sz w:val="24"/>
                <w:szCs w:val="24"/>
              </w:rPr>
            </w:pPr>
            <w:r>
              <w:rPr>
                <w:sz w:val="24"/>
                <w:szCs w:val="24"/>
              </w:rPr>
              <w:t>Số cơ sở</w:t>
            </w:r>
          </w:p>
        </w:tc>
        <w:tc>
          <w:tcPr>
            <w:tcW w:w="870" w:type="dxa"/>
            <w:vAlign w:val="center"/>
          </w:tcPr>
          <w:p w14:paraId="5F938238" w14:textId="77777777" w:rsidR="00085789" w:rsidRDefault="00000000">
            <w:pPr>
              <w:widowControl w:val="0"/>
              <w:autoSpaceDE w:val="0"/>
              <w:autoSpaceDN w:val="0"/>
              <w:adjustRightInd w:val="0"/>
              <w:spacing w:line="240" w:lineRule="auto"/>
              <w:jc w:val="center"/>
              <w:rPr>
                <w:sz w:val="24"/>
                <w:szCs w:val="24"/>
              </w:rPr>
            </w:pPr>
            <w:r>
              <w:rPr>
                <w:sz w:val="24"/>
                <w:szCs w:val="24"/>
              </w:rPr>
              <w:t>19</w:t>
            </w:r>
          </w:p>
        </w:tc>
        <w:tc>
          <w:tcPr>
            <w:tcW w:w="803" w:type="dxa"/>
            <w:vAlign w:val="center"/>
          </w:tcPr>
          <w:p w14:paraId="38F797A7" w14:textId="77777777" w:rsidR="00085789" w:rsidRDefault="00000000">
            <w:pPr>
              <w:widowControl w:val="0"/>
              <w:autoSpaceDE w:val="0"/>
              <w:autoSpaceDN w:val="0"/>
              <w:adjustRightInd w:val="0"/>
              <w:spacing w:line="240" w:lineRule="auto"/>
              <w:jc w:val="center"/>
              <w:rPr>
                <w:sz w:val="24"/>
                <w:szCs w:val="24"/>
              </w:rPr>
            </w:pPr>
            <w:r>
              <w:rPr>
                <w:sz w:val="24"/>
                <w:szCs w:val="24"/>
              </w:rPr>
              <w:t>209</w:t>
            </w:r>
          </w:p>
        </w:tc>
        <w:tc>
          <w:tcPr>
            <w:tcW w:w="723" w:type="dxa"/>
            <w:vAlign w:val="center"/>
          </w:tcPr>
          <w:p w14:paraId="0D81BE6F" w14:textId="77777777" w:rsidR="00085789" w:rsidRDefault="00000000">
            <w:pPr>
              <w:widowControl w:val="0"/>
              <w:autoSpaceDE w:val="0"/>
              <w:autoSpaceDN w:val="0"/>
              <w:adjustRightInd w:val="0"/>
              <w:spacing w:line="240" w:lineRule="auto"/>
              <w:jc w:val="center"/>
              <w:rPr>
                <w:sz w:val="24"/>
                <w:szCs w:val="24"/>
              </w:rPr>
            </w:pPr>
            <w:r>
              <w:rPr>
                <w:sz w:val="24"/>
                <w:szCs w:val="24"/>
              </w:rPr>
              <w:t>4</w:t>
            </w:r>
          </w:p>
        </w:tc>
        <w:tc>
          <w:tcPr>
            <w:tcW w:w="623" w:type="dxa"/>
            <w:vAlign w:val="center"/>
          </w:tcPr>
          <w:p w14:paraId="457356DB" w14:textId="77777777" w:rsidR="00085789" w:rsidRDefault="00000000">
            <w:pPr>
              <w:widowControl w:val="0"/>
              <w:autoSpaceDE w:val="0"/>
              <w:autoSpaceDN w:val="0"/>
              <w:adjustRightInd w:val="0"/>
              <w:spacing w:line="240" w:lineRule="auto"/>
              <w:ind w:left="-114" w:right="-108"/>
              <w:jc w:val="center"/>
              <w:rPr>
                <w:sz w:val="24"/>
                <w:szCs w:val="24"/>
              </w:rPr>
            </w:pPr>
            <w:r>
              <w:rPr>
                <w:sz w:val="24"/>
                <w:szCs w:val="24"/>
              </w:rPr>
              <w:t>3</w:t>
            </w:r>
          </w:p>
        </w:tc>
        <w:tc>
          <w:tcPr>
            <w:tcW w:w="1017" w:type="dxa"/>
            <w:vAlign w:val="center"/>
          </w:tcPr>
          <w:p w14:paraId="74D7E1AD" w14:textId="77777777" w:rsidR="00085789" w:rsidRDefault="00000000">
            <w:pPr>
              <w:widowControl w:val="0"/>
              <w:autoSpaceDE w:val="0"/>
              <w:autoSpaceDN w:val="0"/>
              <w:adjustRightInd w:val="0"/>
              <w:spacing w:line="240" w:lineRule="auto"/>
              <w:jc w:val="center"/>
              <w:rPr>
                <w:sz w:val="24"/>
                <w:szCs w:val="24"/>
              </w:rPr>
            </w:pPr>
            <w:r>
              <w:rPr>
                <w:sz w:val="24"/>
                <w:szCs w:val="24"/>
              </w:rPr>
              <w:t>1</w:t>
            </w:r>
          </w:p>
        </w:tc>
        <w:tc>
          <w:tcPr>
            <w:tcW w:w="750" w:type="dxa"/>
            <w:vAlign w:val="center"/>
          </w:tcPr>
          <w:p w14:paraId="18F9AD0D" w14:textId="77777777" w:rsidR="00085789" w:rsidRDefault="00000000">
            <w:pPr>
              <w:widowControl w:val="0"/>
              <w:autoSpaceDE w:val="0"/>
              <w:autoSpaceDN w:val="0"/>
              <w:adjustRightInd w:val="0"/>
              <w:spacing w:line="240" w:lineRule="auto"/>
              <w:jc w:val="center"/>
              <w:rPr>
                <w:sz w:val="24"/>
                <w:szCs w:val="24"/>
              </w:rPr>
            </w:pPr>
            <w:r>
              <w:rPr>
                <w:sz w:val="24"/>
                <w:szCs w:val="24"/>
              </w:rPr>
              <w:t>3</w:t>
            </w:r>
          </w:p>
        </w:tc>
        <w:tc>
          <w:tcPr>
            <w:tcW w:w="723" w:type="dxa"/>
            <w:vAlign w:val="center"/>
          </w:tcPr>
          <w:p w14:paraId="3D70814C" w14:textId="77777777" w:rsidR="00085789" w:rsidRDefault="00000000">
            <w:pPr>
              <w:widowControl w:val="0"/>
              <w:autoSpaceDE w:val="0"/>
              <w:autoSpaceDN w:val="0"/>
              <w:adjustRightInd w:val="0"/>
              <w:spacing w:line="240" w:lineRule="auto"/>
              <w:jc w:val="center"/>
              <w:rPr>
                <w:sz w:val="24"/>
                <w:szCs w:val="24"/>
              </w:rPr>
            </w:pPr>
            <w:r>
              <w:rPr>
                <w:sz w:val="24"/>
                <w:szCs w:val="24"/>
              </w:rPr>
              <w:t>19</w:t>
            </w:r>
          </w:p>
        </w:tc>
        <w:tc>
          <w:tcPr>
            <w:tcW w:w="1017" w:type="dxa"/>
            <w:vAlign w:val="center"/>
          </w:tcPr>
          <w:p w14:paraId="201D1595" w14:textId="77777777" w:rsidR="00085789" w:rsidRDefault="00000000">
            <w:pPr>
              <w:widowControl w:val="0"/>
              <w:autoSpaceDE w:val="0"/>
              <w:autoSpaceDN w:val="0"/>
              <w:adjustRightInd w:val="0"/>
              <w:spacing w:line="240" w:lineRule="auto"/>
              <w:jc w:val="center"/>
              <w:rPr>
                <w:sz w:val="24"/>
                <w:szCs w:val="24"/>
              </w:rPr>
            </w:pPr>
            <w:r>
              <w:rPr>
                <w:sz w:val="24"/>
                <w:szCs w:val="24"/>
              </w:rPr>
              <w:t>232</w:t>
            </w:r>
          </w:p>
        </w:tc>
        <w:tc>
          <w:tcPr>
            <w:tcW w:w="897" w:type="dxa"/>
            <w:vAlign w:val="center"/>
          </w:tcPr>
          <w:p w14:paraId="16D1A7DC" w14:textId="77777777" w:rsidR="00085789" w:rsidRDefault="00000000">
            <w:pPr>
              <w:widowControl w:val="0"/>
              <w:autoSpaceDE w:val="0"/>
              <w:autoSpaceDN w:val="0"/>
              <w:adjustRightInd w:val="0"/>
              <w:spacing w:line="240" w:lineRule="auto"/>
              <w:jc w:val="center"/>
              <w:rPr>
                <w:sz w:val="24"/>
                <w:szCs w:val="24"/>
              </w:rPr>
            </w:pPr>
            <w:r>
              <w:rPr>
                <w:sz w:val="24"/>
                <w:szCs w:val="24"/>
              </w:rPr>
              <w:t>34</w:t>
            </w:r>
          </w:p>
        </w:tc>
        <w:tc>
          <w:tcPr>
            <w:tcW w:w="638" w:type="dxa"/>
            <w:vAlign w:val="center"/>
          </w:tcPr>
          <w:p w14:paraId="04215547" w14:textId="77777777" w:rsidR="00085789" w:rsidRDefault="00000000">
            <w:pPr>
              <w:widowControl w:val="0"/>
              <w:autoSpaceDE w:val="0"/>
              <w:autoSpaceDN w:val="0"/>
              <w:adjustRightInd w:val="0"/>
              <w:spacing w:line="240" w:lineRule="auto"/>
              <w:jc w:val="center"/>
              <w:rPr>
                <w:sz w:val="24"/>
                <w:szCs w:val="24"/>
              </w:rPr>
            </w:pPr>
            <w:r>
              <w:rPr>
                <w:sz w:val="24"/>
                <w:szCs w:val="24"/>
              </w:rPr>
              <w:t>605</w:t>
            </w:r>
          </w:p>
        </w:tc>
      </w:tr>
      <w:tr w:rsidR="00085789" w14:paraId="4759B96E" w14:textId="77777777">
        <w:trPr>
          <w:tblHeader/>
          <w:jc w:val="center"/>
        </w:trPr>
        <w:tc>
          <w:tcPr>
            <w:tcW w:w="671" w:type="dxa"/>
            <w:vAlign w:val="center"/>
          </w:tcPr>
          <w:p w14:paraId="2EC47C9A" w14:textId="77777777" w:rsidR="00085789" w:rsidRDefault="00000000">
            <w:pPr>
              <w:widowControl w:val="0"/>
              <w:autoSpaceDE w:val="0"/>
              <w:autoSpaceDN w:val="0"/>
              <w:adjustRightInd w:val="0"/>
              <w:spacing w:line="240" w:lineRule="auto"/>
              <w:jc w:val="center"/>
              <w:rPr>
                <w:sz w:val="24"/>
                <w:szCs w:val="24"/>
              </w:rPr>
            </w:pPr>
            <w:r>
              <w:rPr>
                <w:sz w:val="24"/>
                <w:szCs w:val="24"/>
              </w:rPr>
              <w:t>2</w:t>
            </w:r>
          </w:p>
        </w:tc>
        <w:tc>
          <w:tcPr>
            <w:tcW w:w="902" w:type="dxa"/>
            <w:vAlign w:val="center"/>
          </w:tcPr>
          <w:p w14:paraId="42ECE88D" w14:textId="77777777" w:rsidR="00085789" w:rsidRDefault="00000000">
            <w:pPr>
              <w:widowControl w:val="0"/>
              <w:autoSpaceDE w:val="0"/>
              <w:autoSpaceDN w:val="0"/>
              <w:adjustRightInd w:val="0"/>
              <w:spacing w:line="240" w:lineRule="auto"/>
              <w:jc w:val="center"/>
              <w:rPr>
                <w:sz w:val="24"/>
                <w:szCs w:val="24"/>
              </w:rPr>
            </w:pPr>
            <w:r>
              <w:rPr>
                <w:sz w:val="24"/>
                <w:szCs w:val="24"/>
              </w:rPr>
              <w:t>Số giường bệnh</w:t>
            </w:r>
          </w:p>
        </w:tc>
        <w:tc>
          <w:tcPr>
            <w:tcW w:w="870" w:type="dxa"/>
            <w:vAlign w:val="center"/>
          </w:tcPr>
          <w:p w14:paraId="15A24370" w14:textId="77777777" w:rsidR="00085789" w:rsidRDefault="00000000">
            <w:pPr>
              <w:widowControl w:val="0"/>
              <w:autoSpaceDE w:val="0"/>
              <w:autoSpaceDN w:val="0"/>
              <w:adjustRightInd w:val="0"/>
              <w:spacing w:line="240" w:lineRule="auto"/>
              <w:jc w:val="center"/>
              <w:rPr>
                <w:sz w:val="24"/>
                <w:szCs w:val="24"/>
              </w:rPr>
            </w:pPr>
            <w:r>
              <w:rPr>
                <w:sz w:val="24"/>
                <w:szCs w:val="24"/>
              </w:rPr>
              <w:t>4.025</w:t>
            </w:r>
          </w:p>
        </w:tc>
        <w:tc>
          <w:tcPr>
            <w:tcW w:w="803" w:type="dxa"/>
            <w:vAlign w:val="center"/>
          </w:tcPr>
          <w:p w14:paraId="0D01EDD7" w14:textId="77777777" w:rsidR="00085789" w:rsidRDefault="00000000">
            <w:pPr>
              <w:widowControl w:val="0"/>
              <w:autoSpaceDE w:val="0"/>
              <w:autoSpaceDN w:val="0"/>
              <w:adjustRightInd w:val="0"/>
              <w:spacing w:line="240" w:lineRule="auto"/>
              <w:jc w:val="center"/>
              <w:rPr>
                <w:sz w:val="24"/>
                <w:szCs w:val="24"/>
              </w:rPr>
            </w:pPr>
            <w:r>
              <w:rPr>
                <w:sz w:val="24"/>
                <w:szCs w:val="24"/>
              </w:rPr>
              <w:t>-</w:t>
            </w:r>
          </w:p>
        </w:tc>
        <w:tc>
          <w:tcPr>
            <w:tcW w:w="723" w:type="dxa"/>
            <w:vAlign w:val="center"/>
          </w:tcPr>
          <w:p w14:paraId="1E0E15E4" w14:textId="77777777" w:rsidR="00085789" w:rsidRDefault="00000000">
            <w:pPr>
              <w:widowControl w:val="0"/>
              <w:autoSpaceDE w:val="0"/>
              <w:autoSpaceDN w:val="0"/>
              <w:adjustRightInd w:val="0"/>
              <w:spacing w:line="240" w:lineRule="auto"/>
              <w:jc w:val="center"/>
              <w:rPr>
                <w:sz w:val="24"/>
                <w:szCs w:val="24"/>
              </w:rPr>
            </w:pPr>
            <w:r>
              <w:rPr>
                <w:sz w:val="24"/>
                <w:szCs w:val="24"/>
              </w:rPr>
              <w:t>-</w:t>
            </w:r>
          </w:p>
        </w:tc>
        <w:tc>
          <w:tcPr>
            <w:tcW w:w="623" w:type="dxa"/>
            <w:vAlign w:val="center"/>
          </w:tcPr>
          <w:p w14:paraId="1D6A9BEE" w14:textId="77777777" w:rsidR="00085789" w:rsidRDefault="00000000">
            <w:pPr>
              <w:widowControl w:val="0"/>
              <w:autoSpaceDE w:val="0"/>
              <w:autoSpaceDN w:val="0"/>
              <w:adjustRightInd w:val="0"/>
              <w:spacing w:line="240" w:lineRule="auto"/>
              <w:ind w:left="-114" w:right="-108"/>
              <w:jc w:val="center"/>
              <w:rPr>
                <w:sz w:val="24"/>
                <w:szCs w:val="24"/>
              </w:rPr>
            </w:pPr>
            <w:r>
              <w:rPr>
                <w:sz w:val="24"/>
                <w:szCs w:val="24"/>
              </w:rPr>
              <w:t>-</w:t>
            </w:r>
          </w:p>
        </w:tc>
        <w:tc>
          <w:tcPr>
            <w:tcW w:w="1017" w:type="dxa"/>
            <w:vAlign w:val="center"/>
          </w:tcPr>
          <w:p w14:paraId="1DECB39C" w14:textId="77777777" w:rsidR="00085789" w:rsidRDefault="00000000">
            <w:pPr>
              <w:widowControl w:val="0"/>
              <w:autoSpaceDE w:val="0"/>
              <w:autoSpaceDN w:val="0"/>
              <w:adjustRightInd w:val="0"/>
              <w:spacing w:line="240" w:lineRule="auto"/>
              <w:jc w:val="center"/>
              <w:rPr>
                <w:sz w:val="24"/>
                <w:szCs w:val="24"/>
              </w:rPr>
            </w:pPr>
            <w:r>
              <w:rPr>
                <w:sz w:val="24"/>
                <w:szCs w:val="24"/>
              </w:rPr>
              <w:t>-</w:t>
            </w:r>
          </w:p>
        </w:tc>
        <w:tc>
          <w:tcPr>
            <w:tcW w:w="750" w:type="dxa"/>
            <w:vAlign w:val="center"/>
          </w:tcPr>
          <w:p w14:paraId="1CB3195A" w14:textId="77777777" w:rsidR="00085789" w:rsidRDefault="00000000">
            <w:pPr>
              <w:widowControl w:val="0"/>
              <w:autoSpaceDE w:val="0"/>
              <w:autoSpaceDN w:val="0"/>
              <w:adjustRightInd w:val="0"/>
              <w:spacing w:line="240" w:lineRule="auto"/>
              <w:jc w:val="center"/>
              <w:rPr>
                <w:sz w:val="24"/>
                <w:szCs w:val="24"/>
              </w:rPr>
            </w:pPr>
            <w:r>
              <w:rPr>
                <w:sz w:val="24"/>
                <w:szCs w:val="24"/>
              </w:rPr>
              <w:t>584</w:t>
            </w:r>
          </w:p>
        </w:tc>
        <w:tc>
          <w:tcPr>
            <w:tcW w:w="723" w:type="dxa"/>
            <w:vAlign w:val="center"/>
          </w:tcPr>
          <w:p w14:paraId="1DE05595" w14:textId="77777777" w:rsidR="00085789" w:rsidRDefault="00000000">
            <w:pPr>
              <w:widowControl w:val="0"/>
              <w:autoSpaceDE w:val="0"/>
              <w:autoSpaceDN w:val="0"/>
              <w:adjustRightInd w:val="0"/>
              <w:spacing w:line="240" w:lineRule="auto"/>
              <w:jc w:val="center"/>
              <w:rPr>
                <w:sz w:val="24"/>
                <w:szCs w:val="24"/>
              </w:rPr>
            </w:pPr>
            <w:r>
              <w:rPr>
                <w:sz w:val="24"/>
                <w:szCs w:val="24"/>
              </w:rPr>
              <w:t>-</w:t>
            </w:r>
          </w:p>
        </w:tc>
        <w:tc>
          <w:tcPr>
            <w:tcW w:w="1017" w:type="dxa"/>
            <w:vAlign w:val="center"/>
          </w:tcPr>
          <w:p w14:paraId="423FFE56" w14:textId="77777777" w:rsidR="00085789" w:rsidRDefault="00000000">
            <w:pPr>
              <w:widowControl w:val="0"/>
              <w:autoSpaceDE w:val="0"/>
              <w:autoSpaceDN w:val="0"/>
              <w:adjustRightInd w:val="0"/>
              <w:spacing w:line="240" w:lineRule="auto"/>
              <w:jc w:val="center"/>
              <w:rPr>
                <w:sz w:val="24"/>
                <w:szCs w:val="24"/>
              </w:rPr>
            </w:pPr>
            <w:r>
              <w:rPr>
                <w:sz w:val="24"/>
                <w:szCs w:val="24"/>
              </w:rPr>
              <w:t>-</w:t>
            </w:r>
          </w:p>
        </w:tc>
        <w:tc>
          <w:tcPr>
            <w:tcW w:w="897" w:type="dxa"/>
            <w:vAlign w:val="center"/>
          </w:tcPr>
          <w:p w14:paraId="2C0CEE7A" w14:textId="77777777" w:rsidR="00085789" w:rsidRDefault="00000000">
            <w:pPr>
              <w:widowControl w:val="0"/>
              <w:autoSpaceDE w:val="0"/>
              <w:autoSpaceDN w:val="0"/>
              <w:adjustRightInd w:val="0"/>
              <w:spacing w:line="240" w:lineRule="auto"/>
              <w:jc w:val="center"/>
              <w:rPr>
                <w:sz w:val="24"/>
                <w:szCs w:val="24"/>
              </w:rPr>
            </w:pPr>
            <w:r>
              <w:rPr>
                <w:sz w:val="24"/>
                <w:szCs w:val="24"/>
              </w:rPr>
              <w:t>-</w:t>
            </w:r>
          </w:p>
        </w:tc>
        <w:tc>
          <w:tcPr>
            <w:tcW w:w="638" w:type="dxa"/>
            <w:vAlign w:val="center"/>
          </w:tcPr>
          <w:p w14:paraId="072591DF" w14:textId="77777777" w:rsidR="00085789" w:rsidRDefault="00000000">
            <w:pPr>
              <w:widowControl w:val="0"/>
              <w:autoSpaceDE w:val="0"/>
              <w:autoSpaceDN w:val="0"/>
              <w:adjustRightInd w:val="0"/>
              <w:spacing w:line="240" w:lineRule="auto"/>
              <w:jc w:val="center"/>
              <w:rPr>
                <w:sz w:val="24"/>
                <w:szCs w:val="24"/>
              </w:rPr>
            </w:pPr>
            <w:r>
              <w:rPr>
                <w:sz w:val="24"/>
                <w:szCs w:val="24"/>
              </w:rPr>
              <w:t>4.609</w:t>
            </w:r>
          </w:p>
        </w:tc>
      </w:tr>
    </w:tbl>
    <w:p w14:paraId="582B8B40" w14:textId="77777777" w:rsidR="00085789" w:rsidRDefault="00000000">
      <w:pPr>
        <w:widowControl w:val="0"/>
        <w:autoSpaceDE w:val="0"/>
        <w:autoSpaceDN w:val="0"/>
        <w:adjustRightInd w:val="0"/>
        <w:spacing w:before="120" w:line="240" w:lineRule="auto"/>
        <w:ind w:firstLine="709"/>
        <w:jc w:val="both"/>
        <w:rPr>
          <w:rStyle w:val="fontstyle01"/>
          <w:rFonts w:ascii="Times New Roman" w:hAnsi="Times New Roman" w:cs="Times New Roman"/>
          <w:color w:val="auto"/>
        </w:rPr>
      </w:pPr>
      <w:r>
        <w:rPr>
          <w:rStyle w:val="fontstyle01"/>
          <w:rFonts w:ascii="Times New Roman" w:hAnsi="Times New Roman" w:cs="Times New Roman"/>
          <w:color w:val="auto"/>
        </w:rPr>
        <w:t>Từ năm 2020 đến</w:t>
      </w:r>
      <w:r>
        <w:rPr>
          <w:sz w:val="26"/>
          <w:szCs w:val="26"/>
        </w:rPr>
        <w:t xml:space="preserve"> </w:t>
      </w:r>
      <w:r>
        <w:rPr>
          <w:rStyle w:val="fontstyle01"/>
          <w:rFonts w:ascii="Times New Roman" w:hAnsi="Times New Roman" w:cs="Times New Roman"/>
          <w:color w:val="auto"/>
        </w:rPr>
        <w:t>năm 2022, dịch bệnh COVID-19 diễn biến phức tạp, khó lường, song với sự lãnh đạo, chỉ đạo sát sao,</w:t>
      </w:r>
      <w:r>
        <w:rPr>
          <w:sz w:val="26"/>
          <w:szCs w:val="26"/>
        </w:rPr>
        <w:t xml:space="preserve"> </w:t>
      </w:r>
      <w:r>
        <w:rPr>
          <w:rStyle w:val="fontstyle01"/>
          <w:rFonts w:ascii="Times New Roman" w:hAnsi="Times New Roman" w:cs="Times New Roman"/>
          <w:color w:val="auto"/>
        </w:rPr>
        <w:t>quyết liệt của Tỉnh ủy, HĐND, UBND tỉnh, Ban Chỉ đạo phòng, chống dịch tỉnh, các cơ sở y tế trên địa bàn tỉnh đã kịp thời triển khai các biện pháp phòng, chống dịch phù hợp với từng tình huống diễn biến của dịch</w:t>
      </w:r>
      <w:r>
        <w:rPr>
          <w:sz w:val="26"/>
          <w:szCs w:val="26"/>
        </w:rPr>
        <w:t xml:space="preserve"> </w:t>
      </w:r>
      <w:r>
        <w:rPr>
          <w:rStyle w:val="fontstyle01"/>
          <w:rFonts w:ascii="Times New Roman" w:hAnsi="Times New Roman" w:cs="Times New Roman"/>
          <w:color w:val="auto"/>
        </w:rPr>
        <w:t>bệnh. Từ năm 2023 đến nay, dịch bệnh COVID-19 trên địa bàn tỉnh đã được kiểm</w:t>
      </w:r>
      <w:r>
        <w:rPr>
          <w:sz w:val="26"/>
          <w:szCs w:val="26"/>
        </w:rPr>
        <w:t xml:space="preserve"> </w:t>
      </w:r>
      <w:r>
        <w:rPr>
          <w:rStyle w:val="fontstyle01"/>
          <w:rFonts w:ascii="Times New Roman" w:hAnsi="Times New Roman" w:cs="Times New Roman"/>
          <w:color w:val="auto"/>
        </w:rPr>
        <w:t>soát hoàn toàn, các hoạt động đã trở lại trạng thái bình thường.</w:t>
      </w:r>
    </w:p>
    <w:p w14:paraId="1989EB5F" w14:textId="77777777" w:rsidR="00085789" w:rsidRDefault="00000000">
      <w:pPr>
        <w:widowControl w:val="0"/>
        <w:pBdr>
          <w:top w:val="dotted" w:sz="4" w:space="1" w:color="FFFFFF"/>
          <w:left w:val="dotted" w:sz="4" w:space="0" w:color="FFFFFF"/>
          <w:bottom w:val="dotted" w:sz="4" w:space="6" w:color="FFFFFF"/>
          <w:right w:val="dotted" w:sz="4" w:space="0" w:color="FFFFFF"/>
        </w:pBdr>
        <w:shd w:val="clear" w:color="auto" w:fill="FFFFFF"/>
        <w:spacing w:before="120" w:line="240" w:lineRule="auto"/>
        <w:ind w:firstLine="720"/>
        <w:jc w:val="both"/>
        <w:outlineLvl w:val="0"/>
        <w:rPr>
          <w:sz w:val="26"/>
          <w:szCs w:val="26"/>
        </w:rPr>
      </w:pPr>
      <w:r>
        <w:rPr>
          <w:rStyle w:val="fontstyle01"/>
          <w:rFonts w:ascii="Times New Roman" w:hAnsi="Times New Roman" w:cs="Times New Roman"/>
          <w:color w:val="auto"/>
        </w:rPr>
        <w:t xml:space="preserve">Đến nay, mạng lưới dân số - kế hoạch hoá gia đình được kiện toàn từ tỉnh đến cơ sở gồm 01 Chi cục Dân số, 13 TTYT và 209 trạm y tế xã/phường có chuyên trách dân số hoạt động. Công tác chăm sóc và bảo vệ sức khỏe bà mẹ, trẻ em, dân số; chăm sóc và phát huy vai trò người cao tuổi; thực hiện bình đẳng giới, vì sự tiến bộ của phụ nữ được quan tâm thực hiện và đạt kết quả tích cực. </w:t>
      </w:r>
    </w:p>
    <w:p w14:paraId="5B175C2C" w14:textId="77777777" w:rsidR="00085789" w:rsidRDefault="00000000">
      <w:pPr>
        <w:pStyle w:val="bac2"/>
        <w:spacing w:before="120" w:after="0" w:line="240" w:lineRule="auto"/>
      </w:pPr>
      <w:bookmarkStart w:id="242" w:name="_Toc214311211"/>
      <w:r>
        <w:t>1.2.1.7.  Phát triển du lịch, dịch vụ, kinh doanh, thương mại và xuất nhập khẩu</w:t>
      </w:r>
      <w:bookmarkEnd w:id="242"/>
    </w:p>
    <w:p w14:paraId="2A37FAD3" w14:textId="77777777" w:rsidR="00085789" w:rsidRDefault="00000000">
      <w:pPr>
        <w:widowControl w:val="0"/>
        <w:autoSpaceDE w:val="0"/>
        <w:autoSpaceDN w:val="0"/>
        <w:adjustRightInd w:val="0"/>
        <w:spacing w:before="120" w:line="240" w:lineRule="auto"/>
        <w:ind w:firstLine="709"/>
        <w:jc w:val="both"/>
        <w:rPr>
          <w:b/>
          <w:bCs/>
          <w:i/>
          <w:iCs/>
          <w:sz w:val="26"/>
          <w:szCs w:val="26"/>
          <w:lang w:val="sv-SE"/>
        </w:rPr>
      </w:pPr>
      <w:r>
        <w:rPr>
          <w:b/>
          <w:bCs/>
          <w:i/>
          <w:iCs/>
          <w:sz w:val="26"/>
          <w:szCs w:val="26"/>
          <w:lang w:val="sv-SE"/>
        </w:rPr>
        <w:lastRenderedPageBreak/>
        <w:t>* Đối với hoạt động du lịch:</w:t>
      </w:r>
    </w:p>
    <w:p w14:paraId="409E2746" w14:textId="77777777" w:rsidR="00085789" w:rsidRDefault="00000000">
      <w:pPr>
        <w:widowControl w:val="0"/>
        <w:autoSpaceDE w:val="0"/>
        <w:autoSpaceDN w:val="0"/>
        <w:adjustRightInd w:val="0"/>
        <w:spacing w:before="120" w:line="240" w:lineRule="auto"/>
        <w:ind w:firstLine="709"/>
        <w:jc w:val="both"/>
        <w:rPr>
          <w:rFonts w:eastAsia="Calibri"/>
          <w:sz w:val="26"/>
          <w:szCs w:val="26"/>
          <w:lang w:val="sv-SE"/>
        </w:rPr>
      </w:pPr>
      <w:r>
        <w:rPr>
          <w:sz w:val="26"/>
          <w:szCs w:val="26"/>
          <w:lang w:val="sv-SE"/>
        </w:rPr>
        <w:t xml:space="preserve">Mạng lưới cơ sở kinh doanh dịch vụ du lịch và hệ thống cơ sở vật chất kỹ thuật ngành du lịch trên địa bàn tỉnh từng bước phát triển đáp ứng nhu cầu của khách du lịch. </w:t>
      </w:r>
      <w:r>
        <w:rPr>
          <w:rFonts w:eastAsia="Calibri"/>
          <w:sz w:val="26"/>
          <w:szCs w:val="26"/>
          <w:lang w:val="sv-SE"/>
        </w:rPr>
        <w:t xml:space="preserve">Trên địa bàn Hà Tĩnh, hiện có 313 cơ sở lưu trú du lịch, có 17 khu, điểm du lịch (được công nhận). Doanh thu từ dịch vụ lưu trú du lịch giai đoạn 2020-2024 có nhiều biến động đáng kể. Năm 2020, doanh thu đạt 11.557 triệu đồng. Tuy nhiên, sang năm 2021, do ảnh hưởng nghiêm trọng của đại dịch Covid-19 bùng phát trên địa bàn tỉnh, doanh thu giảm mạnh, chỉ còn 7.354 triệu đồng, tương đương mức giảm 47,89 % so với năm trước. Những năm tiếp theo, doanh thu dần phục hồi, phản ánh xu hướng phục hồi tích cực của ngành du lịch sau đại dịch. </w:t>
      </w:r>
    </w:p>
    <w:p w14:paraId="0E55923B" w14:textId="77777777" w:rsidR="00085789" w:rsidRDefault="00000000">
      <w:pPr>
        <w:pStyle w:val="-bac4"/>
        <w:spacing w:before="120" w:after="0" w:line="240" w:lineRule="auto"/>
        <w:rPr>
          <w:rFonts w:eastAsia="Calibri"/>
          <w:lang w:val="sv-SE"/>
        </w:rPr>
      </w:pPr>
      <w:bookmarkStart w:id="243" w:name="_Toc205915655"/>
      <w:bookmarkStart w:id="244" w:name="_Toc213597354"/>
      <w:bookmarkStart w:id="245" w:name="_Toc213600735"/>
      <w:r>
        <w:rPr>
          <w:rFonts w:eastAsia="Calibri"/>
          <w:lang w:val="sv-SE"/>
        </w:rPr>
        <w:t>Bảng 1.11. Thống kê số lượng khách du lịch trên địa bản tỉnh từ năm 2021 đến tháng 9/2025</w:t>
      </w:r>
      <w:bookmarkEnd w:id="243"/>
      <w:bookmarkEnd w:id="244"/>
      <w:bookmarkEnd w:id="245"/>
    </w:p>
    <w:p w14:paraId="03D7A732" w14:textId="77777777" w:rsidR="00085789" w:rsidRDefault="00085789">
      <w:pPr>
        <w:pStyle w:val="-bac4"/>
        <w:spacing w:before="120" w:after="0" w:line="240" w:lineRule="auto"/>
        <w:rPr>
          <w:rFonts w:eastAsia="Calibri"/>
          <w:sz w:val="2"/>
          <w:szCs w:val="2"/>
          <w:lang w:val="sv-SE"/>
        </w:rPr>
      </w:pPr>
    </w:p>
    <w:tbl>
      <w:tblPr>
        <w:tblW w:w="9067" w:type="dxa"/>
        <w:jc w:val="center"/>
        <w:tblLayout w:type="fixed"/>
        <w:tblLook w:val="04A0" w:firstRow="1" w:lastRow="0" w:firstColumn="1" w:lastColumn="0" w:noHBand="0" w:noVBand="1"/>
      </w:tblPr>
      <w:tblGrid>
        <w:gridCol w:w="537"/>
        <w:gridCol w:w="1301"/>
        <w:gridCol w:w="851"/>
        <w:gridCol w:w="1134"/>
        <w:gridCol w:w="1275"/>
        <w:gridCol w:w="1276"/>
        <w:gridCol w:w="1276"/>
        <w:gridCol w:w="1417"/>
      </w:tblGrid>
      <w:tr w:rsidR="00085789" w14:paraId="21942A2F" w14:textId="77777777">
        <w:trPr>
          <w:trHeight w:val="360"/>
          <w:jc w:val="center"/>
        </w:trPr>
        <w:tc>
          <w:tcPr>
            <w:tcW w:w="537" w:type="dxa"/>
            <w:vMerge w:val="restart"/>
            <w:tcBorders>
              <w:top w:val="single" w:sz="4" w:space="0" w:color="auto"/>
              <w:left w:val="single" w:sz="4" w:space="0" w:color="auto"/>
              <w:bottom w:val="single" w:sz="4" w:space="0" w:color="000000"/>
              <w:right w:val="single" w:sz="4" w:space="0" w:color="auto"/>
            </w:tcBorders>
            <w:noWrap/>
            <w:vAlign w:val="center"/>
            <w:hideMark/>
          </w:tcPr>
          <w:p w14:paraId="0335E0C4" w14:textId="77777777" w:rsidR="00085789" w:rsidRDefault="00000000">
            <w:pPr>
              <w:spacing w:line="240" w:lineRule="auto"/>
              <w:jc w:val="center"/>
              <w:rPr>
                <w:b/>
                <w:bCs/>
                <w:sz w:val="24"/>
                <w:szCs w:val="24"/>
              </w:rPr>
            </w:pPr>
            <w:r>
              <w:rPr>
                <w:b/>
                <w:bCs/>
                <w:sz w:val="24"/>
                <w:szCs w:val="24"/>
              </w:rPr>
              <w:t>TT</w:t>
            </w:r>
          </w:p>
        </w:tc>
        <w:tc>
          <w:tcPr>
            <w:tcW w:w="1301" w:type="dxa"/>
            <w:vMerge w:val="restart"/>
            <w:tcBorders>
              <w:top w:val="single" w:sz="4" w:space="0" w:color="auto"/>
              <w:left w:val="single" w:sz="4" w:space="0" w:color="auto"/>
              <w:bottom w:val="single" w:sz="4" w:space="0" w:color="auto"/>
              <w:right w:val="single" w:sz="4" w:space="0" w:color="auto"/>
            </w:tcBorders>
            <w:vAlign w:val="center"/>
            <w:hideMark/>
          </w:tcPr>
          <w:p w14:paraId="44FC6A23" w14:textId="77777777" w:rsidR="00085789" w:rsidRDefault="00000000">
            <w:pPr>
              <w:spacing w:line="240" w:lineRule="auto"/>
              <w:jc w:val="center"/>
              <w:rPr>
                <w:b/>
                <w:bCs/>
                <w:sz w:val="24"/>
                <w:szCs w:val="24"/>
              </w:rPr>
            </w:pPr>
            <w:r>
              <w:rPr>
                <w:b/>
                <w:bCs/>
                <w:sz w:val="24"/>
                <w:szCs w:val="24"/>
              </w:rPr>
              <w:t>Chỉ tiêu</w:t>
            </w:r>
          </w:p>
        </w:tc>
        <w:tc>
          <w:tcPr>
            <w:tcW w:w="851" w:type="dxa"/>
            <w:vMerge w:val="restart"/>
            <w:tcBorders>
              <w:top w:val="single" w:sz="4" w:space="0" w:color="auto"/>
              <w:left w:val="single" w:sz="4" w:space="0" w:color="auto"/>
              <w:right w:val="single" w:sz="4" w:space="0" w:color="auto"/>
            </w:tcBorders>
            <w:vAlign w:val="center"/>
            <w:hideMark/>
          </w:tcPr>
          <w:p w14:paraId="22809DA1" w14:textId="77777777" w:rsidR="00085789" w:rsidRDefault="00000000">
            <w:pPr>
              <w:spacing w:line="240" w:lineRule="auto"/>
              <w:jc w:val="center"/>
              <w:rPr>
                <w:b/>
                <w:bCs/>
                <w:sz w:val="24"/>
                <w:szCs w:val="24"/>
              </w:rPr>
            </w:pPr>
            <w:r>
              <w:rPr>
                <w:b/>
                <w:bCs/>
                <w:sz w:val="24"/>
                <w:szCs w:val="24"/>
              </w:rPr>
              <w:t>ĐVT</w:t>
            </w:r>
          </w:p>
        </w:tc>
        <w:tc>
          <w:tcPr>
            <w:tcW w:w="6378" w:type="dxa"/>
            <w:gridSpan w:val="5"/>
            <w:tcBorders>
              <w:top w:val="single" w:sz="4" w:space="0" w:color="auto"/>
              <w:left w:val="nil"/>
              <w:bottom w:val="single" w:sz="4" w:space="0" w:color="auto"/>
              <w:right w:val="single" w:sz="4" w:space="0" w:color="000000"/>
            </w:tcBorders>
            <w:noWrap/>
            <w:vAlign w:val="center"/>
            <w:hideMark/>
          </w:tcPr>
          <w:p w14:paraId="3B2BFCF6" w14:textId="77777777" w:rsidR="00085789" w:rsidRDefault="00000000">
            <w:pPr>
              <w:spacing w:line="240" w:lineRule="auto"/>
              <w:jc w:val="center"/>
              <w:rPr>
                <w:b/>
                <w:bCs/>
                <w:sz w:val="24"/>
                <w:szCs w:val="24"/>
              </w:rPr>
            </w:pPr>
            <w:r>
              <w:rPr>
                <w:b/>
                <w:bCs/>
                <w:sz w:val="24"/>
                <w:szCs w:val="24"/>
              </w:rPr>
              <w:t>Giai đoạn 2021-2024 và 9 tháng năm 2025</w:t>
            </w:r>
          </w:p>
        </w:tc>
      </w:tr>
      <w:tr w:rsidR="00085789" w14:paraId="7EEBD4E0" w14:textId="77777777">
        <w:trPr>
          <w:trHeight w:val="585"/>
          <w:jc w:val="center"/>
        </w:trPr>
        <w:tc>
          <w:tcPr>
            <w:tcW w:w="537" w:type="dxa"/>
            <w:vMerge/>
            <w:tcBorders>
              <w:top w:val="single" w:sz="4" w:space="0" w:color="auto"/>
              <w:left w:val="single" w:sz="4" w:space="0" w:color="auto"/>
              <w:bottom w:val="single" w:sz="4" w:space="0" w:color="000000"/>
              <w:right w:val="single" w:sz="4" w:space="0" w:color="auto"/>
            </w:tcBorders>
            <w:vAlign w:val="center"/>
            <w:hideMark/>
          </w:tcPr>
          <w:p w14:paraId="4C23051F" w14:textId="77777777" w:rsidR="00085789" w:rsidRDefault="00085789">
            <w:pPr>
              <w:spacing w:line="240" w:lineRule="auto"/>
              <w:rPr>
                <w:b/>
                <w:bCs/>
                <w:sz w:val="24"/>
                <w:szCs w:val="24"/>
              </w:rPr>
            </w:pPr>
          </w:p>
        </w:tc>
        <w:tc>
          <w:tcPr>
            <w:tcW w:w="1301" w:type="dxa"/>
            <w:vMerge/>
            <w:tcBorders>
              <w:top w:val="single" w:sz="4" w:space="0" w:color="auto"/>
              <w:left w:val="single" w:sz="4" w:space="0" w:color="auto"/>
              <w:bottom w:val="single" w:sz="4" w:space="0" w:color="auto"/>
              <w:right w:val="single" w:sz="4" w:space="0" w:color="auto"/>
            </w:tcBorders>
            <w:vAlign w:val="center"/>
            <w:hideMark/>
          </w:tcPr>
          <w:p w14:paraId="76884B01" w14:textId="77777777" w:rsidR="00085789" w:rsidRDefault="00085789">
            <w:pPr>
              <w:spacing w:line="240" w:lineRule="auto"/>
              <w:rPr>
                <w:b/>
                <w:bCs/>
                <w:sz w:val="24"/>
                <w:szCs w:val="24"/>
              </w:rPr>
            </w:pPr>
          </w:p>
        </w:tc>
        <w:tc>
          <w:tcPr>
            <w:tcW w:w="851" w:type="dxa"/>
            <w:vMerge/>
            <w:tcBorders>
              <w:left w:val="single" w:sz="4" w:space="0" w:color="auto"/>
              <w:bottom w:val="single" w:sz="4" w:space="0" w:color="auto"/>
              <w:right w:val="single" w:sz="4" w:space="0" w:color="auto"/>
            </w:tcBorders>
            <w:vAlign w:val="center"/>
            <w:hideMark/>
          </w:tcPr>
          <w:p w14:paraId="65B24FE9" w14:textId="77777777" w:rsidR="00085789" w:rsidRDefault="00085789">
            <w:pPr>
              <w:spacing w:line="240" w:lineRule="auto"/>
              <w:rPr>
                <w:b/>
                <w:bCs/>
                <w:sz w:val="24"/>
                <w:szCs w:val="24"/>
              </w:rPr>
            </w:pPr>
          </w:p>
        </w:tc>
        <w:tc>
          <w:tcPr>
            <w:tcW w:w="1134" w:type="dxa"/>
            <w:tcBorders>
              <w:top w:val="nil"/>
              <w:left w:val="nil"/>
              <w:bottom w:val="single" w:sz="4" w:space="0" w:color="auto"/>
              <w:right w:val="single" w:sz="4" w:space="0" w:color="auto"/>
            </w:tcBorders>
            <w:vAlign w:val="center"/>
            <w:hideMark/>
          </w:tcPr>
          <w:p w14:paraId="04B082E0" w14:textId="77777777" w:rsidR="00085789" w:rsidRDefault="00000000">
            <w:pPr>
              <w:spacing w:line="240" w:lineRule="auto"/>
              <w:jc w:val="center"/>
              <w:rPr>
                <w:b/>
                <w:bCs/>
                <w:sz w:val="24"/>
                <w:szCs w:val="24"/>
              </w:rPr>
            </w:pPr>
            <w:r>
              <w:rPr>
                <w:b/>
                <w:bCs/>
                <w:sz w:val="24"/>
                <w:szCs w:val="24"/>
              </w:rPr>
              <w:t xml:space="preserve">2021 </w:t>
            </w:r>
          </w:p>
        </w:tc>
        <w:tc>
          <w:tcPr>
            <w:tcW w:w="1275" w:type="dxa"/>
            <w:tcBorders>
              <w:top w:val="nil"/>
              <w:left w:val="nil"/>
              <w:bottom w:val="single" w:sz="4" w:space="0" w:color="auto"/>
              <w:right w:val="single" w:sz="4" w:space="0" w:color="auto"/>
            </w:tcBorders>
            <w:vAlign w:val="center"/>
            <w:hideMark/>
          </w:tcPr>
          <w:p w14:paraId="02998E11" w14:textId="77777777" w:rsidR="00085789" w:rsidRDefault="00000000">
            <w:pPr>
              <w:spacing w:line="240" w:lineRule="auto"/>
              <w:jc w:val="center"/>
              <w:rPr>
                <w:b/>
                <w:bCs/>
                <w:sz w:val="24"/>
                <w:szCs w:val="24"/>
              </w:rPr>
            </w:pPr>
            <w:r>
              <w:rPr>
                <w:b/>
                <w:bCs/>
                <w:sz w:val="24"/>
                <w:szCs w:val="24"/>
              </w:rPr>
              <w:t xml:space="preserve">2022 </w:t>
            </w:r>
          </w:p>
        </w:tc>
        <w:tc>
          <w:tcPr>
            <w:tcW w:w="1276" w:type="dxa"/>
            <w:tcBorders>
              <w:top w:val="nil"/>
              <w:left w:val="nil"/>
              <w:bottom w:val="single" w:sz="4" w:space="0" w:color="auto"/>
              <w:right w:val="single" w:sz="4" w:space="0" w:color="auto"/>
            </w:tcBorders>
            <w:vAlign w:val="center"/>
            <w:hideMark/>
          </w:tcPr>
          <w:p w14:paraId="57EBC89D" w14:textId="77777777" w:rsidR="00085789" w:rsidRDefault="00000000">
            <w:pPr>
              <w:spacing w:line="240" w:lineRule="auto"/>
              <w:jc w:val="center"/>
              <w:rPr>
                <w:b/>
                <w:bCs/>
                <w:sz w:val="24"/>
                <w:szCs w:val="24"/>
              </w:rPr>
            </w:pPr>
            <w:r>
              <w:rPr>
                <w:b/>
                <w:bCs/>
                <w:sz w:val="24"/>
                <w:szCs w:val="24"/>
              </w:rPr>
              <w:t xml:space="preserve">2023 </w:t>
            </w:r>
          </w:p>
        </w:tc>
        <w:tc>
          <w:tcPr>
            <w:tcW w:w="1276" w:type="dxa"/>
            <w:tcBorders>
              <w:top w:val="nil"/>
              <w:left w:val="nil"/>
              <w:bottom w:val="single" w:sz="4" w:space="0" w:color="auto"/>
              <w:right w:val="single" w:sz="4" w:space="0" w:color="auto"/>
            </w:tcBorders>
            <w:vAlign w:val="center"/>
            <w:hideMark/>
          </w:tcPr>
          <w:p w14:paraId="0B7C0FD9" w14:textId="77777777" w:rsidR="00085789" w:rsidRDefault="00000000">
            <w:pPr>
              <w:spacing w:line="240" w:lineRule="auto"/>
              <w:jc w:val="center"/>
              <w:rPr>
                <w:b/>
                <w:bCs/>
                <w:sz w:val="24"/>
                <w:szCs w:val="24"/>
              </w:rPr>
            </w:pPr>
            <w:r>
              <w:rPr>
                <w:b/>
                <w:bCs/>
                <w:sz w:val="24"/>
                <w:szCs w:val="24"/>
              </w:rPr>
              <w:t xml:space="preserve">2024 </w:t>
            </w:r>
          </w:p>
        </w:tc>
        <w:tc>
          <w:tcPr>
            <w:tcW w:w="1417" w:type="dxa"/>
            <w:tcBorders>
              <w:top w:val="nil"/>
              <w:left w:val="nil"/>
              <w:bottom w:val="single" w:sz="4" w:space="0" w:color="auto"/>
              <w:right w:val="single" w:sz="4" w:space="0" w:color="auto"/>
            </w:tcBorders>
            <w:vAlign w:val="center"/>
            <w:hideMark/>
          </w:tcPr>
          <w:p w14:paraId="3178B606" w14:textId="77777777" w:rsidR="00085789" w:rsidRDefault="00000000">
            <w:pPr>
              <w:spacing w:line="240" w:lineRule="auto"/>
              <w:jc w:val="center"/>
              <w:rPr>
                <w:b/>
                <w:bCs/>
                <w:sz w:val="24"/>
                <w:szCs w:val="24"/>
              </w:rPr>
            </w:pPr>
            <w:r>
              <w:rPr>
                <w:b/>
                <w:bCs/>
                <w:sz w:val="24"/>
                <w:szCs w:val="24"/>
              </w:rPr>
              <w:t>Tháng 9/2025</w:t>
            </w:r>
          </w:p>
        </w:tc>
      </w:tr>
      <w:tr w:rsidR="00085789" w14:paraId="4754431E" w14:textId="77777777">
        <w:trPr>
          <w:trHeight w:val="720"/>
          <w:jc w:val="center"/>
        </w:trPr>
        <w:tc>
          <w:tcPr>
            <w:tcW w:w="537" w:type="dxa"/>
            <w:tcBorders>
              <w:top w:val="nil"/>
              <w:left w:val="single" w:sz="4" w:space="0" w:color="auto"/>
              <w:bottom w:val="single" w:sz="4" w:space="0" w:color="auto"/>
              <w:right w:val="single" w:sz="4" w:space="0" w:color="auto"/>
            </w:tcBorders>
            <w:noWrap/>
            <w:vAlign w:val="center"/>
            <w:hideMark/>
          </w:tcPr>
          <w:p w14:paraId="38528744" w14:textId="77777777" w:rsidR="00085789" w:rsidRDefault="00000000">
            <w:pPr>
              <w:spacing w:line="240" w:lineRule="auto"/>
              <w:jc w:val="center"/>
              <w:rPr>
                <w:sz w:val="24"/>
                <w:szCs w:val="24"/>
              </w:rPr>
            </w:pPr>
            <w:r>
              <w:rPr>
                <w:sz w:val="24"/>
                <w:szCs w:val="24"/>
              </w:rPr>
              <w:t>1</w:t>
            </w:r>
          </w:p>
        </w:tc>
        <w:tc>
          <w:tcPr>
            <w:tcW w:w="1301" w:type="dxa"/>
            <w:tcBorders>
              <w:top w:val="nil"/>
              <w:left w:val="nil"/>
              <w:bottom w:val="single" w:sz="4" w:space="0" w:color="auto"/>
              <w:right w:val="single" w:sz="4" w:space="0" w:color="auto"/>
            </w:tcBorders>
            <w:vAlign w:val="center"/>
            <w:hideMark/>
          </w:tcPr>
          <w:p w14:paraId="511C1923" w14:textId="77777777" w:rsidR="00085789" w:rsidRDefault="00000000">
            <w:pPr>
              <w:spacing w:line="240" w:lineRule="auto"/>
              <w:jc w:val="both"/>
              <w:rPr>
                <w:sz w:val="24"/>
                <w:szCs w:val="24"/>
              </w:rPr>
            </w:pPr>
            <w:r>
              <w:rPr>
                <w:sz w:val="24"/>
                <w:szCs w:val="24"/>
              </w:rPr>
              <w:t>Tổng lượt khách tham quan du lịch</w:t>
            </w:r>
          </w:p>
        </w:tc>
        <w:tc>
          <w:tcPr>
            <w:tcW w:w="851" w:type="dxa"/>
            <w:tcBorders>
              <w:top w:val="nil"/>
              <w:left w:val="nil"/>
              <w:bottom w:val="single" w:sz="4" w:space="0" w:color="auto"/>
              <w:right w:val="single" w:sz="4" w:space="0" w:color="auto"/>
            </w:tcBorders>
            <w:vAlign w:val="center"/>
            <w:hideMark/>
          </w:tcPr>
          <w:p w14:paraId="3DFD40F6" w14:textId="77777777" w:rsidR="00085789" w:rsidRDefault="00000000">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vAlign w:val="center"/>
            <w:hideMark/>
          </w:tcPr>
          <w:p w14:paraId="37B1F0C3" w14:textId="77777777" w:rsidR="00085789" w:rsidRDefault="00000000">
            <w:pPr>
              <w:spacing w:line="240" w:lineRule="auto"/>
              <w:jc w:val="center"/>
              <w:rPr>
                <w:sz w:val="24"/>
                <w:szCs w:val="24"/>
              </w:rPr>
            </w:pPr>
            <w:r>
              <w:rPr>
                <w:sz w:val="24"/>
                <w:szCs w:val="24"/>
              </w:rPr>
              <w:t>515.000</w:t>
            </w:r>
          </w:p>
        </w:tc>
        <w:tc>
          <w:tcPr>
            <w:tcW w:w="1275" w:type="dxa"/>
            <w:tcBorders>
              <w:top w:val="nil"/>
              <w:left w:val="nil"/>
              <w:bottom w:val="single" w:sz="4" w:space="0" w:color="auto"/>
              <w:right w:val="single" w:sz="4" w:space="0" w:color="auto"/>
            </w:tcBorders>
            <w:vAlign w:val="center"/>
            <w:hideMark/>
          </w:tcPr>
          <w:p w14:paraId="406E490C" w14:textId="77777777" w:rsidR="00085789" w:rsidRDefault="00000000">
            <w:pPr>
              <w:spacing w:line="240" w:lineRule="auto"/>
              <w:jc w:val="center"/>
              <w:rPr>
                <w:sz w:val="24"/>
                <w:szCs w:val="24"/>
              </w:rPr>
            </w:pPr>
            <w:r>
              <w:rPr>
                <w:sz w:val="24"/>
                <w:szCs w:val="24"/>
              </w:rPr>
              <w:t>1.600.000</w:t>
            </w:r>
          </w:p>
        </w:tc>
        <w:tc>
          <w:tcPr>
            <w:tcW w:w="1276" w:type="dxa"/>
            <w:tcBorders>
              <w:top w:val="nil"/>
              <w:left w:val="nil"/>
              <w:bottom w:val="single" w:sz="4" w:space="0" w:color="auto"/>
              <w:right w:val="single" w:sz="4" w:space="0" w:color="auto"/>
            </w:tcBorders>
            <w:vAlign w:val="center"/>
            <w:hideMark/>
          </w:tcPr>
          <w:p w14:paraId="61F533E3" w14:textId="77777777" w:rsidR="00085789" w:rsidRDefault="00000000">
            <w:pPr>
              <w:spacing w:line="240" w:lineRule="auto"/>
              <w:jc w:val="center"/>
              <w:rPr>
                <w:sz w:val="24"/>
                <w:szCs w:val="24"/>
              </w:rPr>
            </w:pPr>
            <w:r>
              <w:rPr>
                <w:sz w:val="24"/>
                <w:szCs w:val="24"/>
              </w:rPr>
              <w:t>3.361.000</w:t>
            </w:r>
          </w:p>
        </w:tc>
        <w:tc>
          <w:tcPr>
            <w:tcW w:w="1276" w:type="dxa"/>
            <w:tcBorders>
              <w:top w:val="nil"/>
              <w:left w:val="nil"/>
              <w:bottom w:val="single" w:sz="4" w:space="0" w:color="auto"/>
              <w:right w:val="single" w:sz="4" w:space="0" w:color="auto"/>
            </w:tcBorders>
            <w:noWrap/>
            <w:vAlign w:val="center"/>
            <w:hideMark/>
          </w:tcPr>
          <w:p w14:paraId="16D48633" w14:textId="77777777" w:rsidR="00085789" w:rsidRDefault="00000000">
            <w:pPr>
              <w:spacing w:line="240" w:lineRule="auto"/>
              <w:jc w:val="center"/>
              <w:rPr>
                <w:sz w:val="24"/>
                <w:szCs w:val="24"/>
              </w:rPr>
            </w:pPr>
            <w:r>
              <w:rPr>
                <w:sz w:val="24"/>
                <w:szCs w:val="24"/>
              </w:rPr>
              <w:t>5.645.061</w:t>
            </w:r>
          </w:p>
        </w:tc>
        <w:tc>
          <w:tcPr>
            <w:tcW w:w="1417" w:type="dxa"/>
            <w:tcBorders>
              <w:top w:val="nil"/>
              <w:left w:val="nil"/>
              <w:bottom w:val="single" w:sz="4" w:space="0" w:color="auto"/>
              <w:right w:val="single" w:sz="4" w:space="0" w:color="auto"/>
            </w:tcBorders>
            <w:noWrap/>
            <w:vAlign w:val="center"/>
            <w:hideMark/>
          </w:tcPr>
          <w:p w14:paraId="722D1A3B" w14:textId="77777777" w:rsidR="00085789" w:rsidRDefault="00000000">
            <w:pPr>
              <w:spacing w:line="240" w:lineRule="auto"/>
              <w:jc w:val="center"/>
              <w:rPr>
                <w:sz w:val="24"/>
                <w:szCs w:val="24"/>
              </w:rPr>
            </w:pPr>
            <w:r>
              <w:rPr>
                <w:sz w:val="24"/>
                <w:szCs w:val="24"/>
              </w:rPr>
              <w:t>5.453.270</w:t>
            </w:r>
          </w:p>
        </w:tc>
      </w:tr>
      <w:tr w:rsidR="00085789" w14:paraId="0D9073C7" w14:textId="77777777">
        <w:trPr>
          <w:trHeight w:val="360"/>
          <w:jc w:val="center"/>
        </w:trPr>
        <w:tc>
          <w:tcPr>
            <w:tcW w:w="537" w:type="dxa"/>
            <w:tcBorders>
              <w:top w:val="nil"/>
              <w:left w:val="single" w:sz="4" w:space="0" w:color="auto"/>
              <w:bottom w:val="single" w:sz="4" w:space="0" w:color="auto"/>
              <w:right w:val="single" w:sz="4" w:space="0" w:color="auto"/>
            </w:tcBorders>
            <w:noWrap/>
            <w:vAlign w:val="center"/>
            <w:hideMark/>
          </w:tcPr>
          <w:p w14:paraId="069FAF24" w14:textId="77777777" w:rsidR="00085789" w:rsidRDefault="00000000">
            <w:pPr>
              <w:spacing w:line="240" w:lineRule="auto"/>
              <w:jc w:val="center"/>
              <w:rPr>
                <w:sz w:val="24"/>
                <w:szCs w:val="24"/>
              </w:rPr>
            </w:pPr>
            <w:r>
              <w:rPr>
                <w:sz w:val="24"/>
                <w:szCs w:val="24"/>
              </w:rPr>
              <w:t>2</w:t>
            </w:r>
          </w:p>
        </w:tc>
        <w:tc>
          <w:tcPr>
            <w:tcW w:w="1301" w:type="dxa"/>
            <w:tcBorders>
              <w:top w:val="nil"/>
              <w:left w:val="nil"/>
              <w:bottom w:val="single" w:sz="4" w:space="0" w:color="auto"/>
              <w:right w:val="single" w:sz="4" w:space="0" w:color="auto"/>
            </w:tcBorders>
            <w:vAlign w:val="center"/>
            <w:hideMark/>
          </w:tcPr>
          <w:p w14:paraId="370EB85E" w14:textId="77777777" w:rsidR="00085789" w:rsidRDefault="00000000">
            <w:pPr>
              <w:spacing w:line="240" w:lineRule="auto"/>
              <w:jc w:val="both"/>
              <w:rPr>
                <w:sz w:val="24"/>
                <w:szCs w:val="24"/>
              </w:rPr>
            </w:pPr>
            <w:r>
              <w:rPr>
                <w:sz w:val="24"/>
                <w:szCs w:val="24"/>
              </w:rPr>
              <w:t>Tổng lượt khách lưu trú du lịch</w:t>
            </w:r>
          </w:p>
        </w:tc>
        <w:tc>
          <w:tcPr>
            <w:tcW w:w="851" w:type="dxa"/>
            <w:tcBorders>
              <w:top w:val="nil"/>
              <w:left w:val="nil"/>
              <w:bottom w:val="single" w:sz="4" w:space="0" w:color="auto"/>
              <w:right w:val="single" w:sz="4" w:space="0" w:color="auto"/>
            </w:tcBorders>
            <w:vAlign w:val="center"/>
            <w:hideMark/>
          </w:tcPr>
          <w:p w14:paraId="4AC3C225" w14:textId="77777777" w:rsidR="00085789" w:rsidRDefault="00000000">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noWrap/>
            <w:vAlign w:val="center"/>
            <w:hideMark/>
          </w:tcPr>
          <w:p w14:paraId="52FBD0AB" w14:textId="77777777" w:rsidR="00085789" w:rsidRDefault="00000000">
            <w:pPr>
              <w:spacing w:line="240" w:lineRule="auto"/>
              <w:jc w:val="center"/>
              <w:rPr>
                <w:sz w:val="24"/>
                <w:szCs w:val="24"/>
              </w:rPr>
            </w:pPr>
            <w:r>
              <w:rPr>
                <w:sz w:val="24"/>
                <w:szCs w:val="24"/>
              </w:rPr>
              <w:t>375.027</w:t>
            </w:r>
          </w:p>
        </w:tc>
        <w:tc>
          <w:tcPr>
            <w:tcW w:w="1275" w:type="dxa"/>
            <w:tcBorders>
              <w:top w:val="nil"/>
              <w:left w:val="nil"/>
              <w:bottom w:val="single" w:sz="4" w:space="0" w:color="auto"/>
              <w:right w:val="single" w:sz="4" w:space="0" w:color="auto"/>
            </w:tcBorders>
            <w:noWrap/>
            <w:vAlign w:val="center"/>
            <w:hideMark/>
          </w:tcPr>
          <w:p w14:paraId="2181180C" w14:textId="77777777" w:rsidR="00085789" w:rsidRDefault="00000000">
            <w:pPr>
              <w:spacing w:line="240" w:lineRule="auto"/>
              <w:jc w:val="center"/>
              <w:rPr>
                <w:sz w:val="24"/>
                <w:szCs w:val="24"/>
              </w:rPr>
            </w:pPr>
            <w:r>
              <w:rPr>
                <w:sz w:val="24"/>
                <w:szCs w:val="24"/>
              </w:rPr>
              <w:t>329.601</w:t>
            </w:r>
          </w:p>
        </w:tc>
        <w:tc>
          <w:tcPr>
            <w:tcW w:w="1276" w:type="dxa"/>
            <w:tcBorders>
              <w:top w:val="nil"/>
              <w:left w:val="nil"/>
              <w:bottom w:val="single" w:sz="4" w:space="0" w:color="auto"/>
              <w:right w:val="single" w:sz="4" w:space="0" w:color="auto"/>
            </w:tcBorders>
            <w:noWrap/>
            <w:vAlign w:val="center"/>
            <w:hideMark/>
          </w:tcPr>
          <w:p w14:paraId="70845BB9" w14:textId="77777777" w:rsidR="00085789" w:rsidRDefault="00000000">
            <w:pPr>
              <w:spacing w:line="240" w:lineRule="auto"/>
              <w:jc w:val="center"/>
              <w:rPr>
                <w:sz w:val="24"/>
                <w:szCs w:val="24"/>
              </w:rPr>
            </w:pPr>
            <w:r>
              <w:rPr>
                <w:sz w:val="24"/>
                <w:szCs w:val="24"/>
              </w:rPr>
              <w:t>912.312</w:t>
            </w:r>
          </w:p>
        </w:tc>
        <w:tc>
          <w:tcPr>
            <w:tcW w:w="1276" w:type="dxa"/>
            <w:tcBorders>
              <w:top w:val="nil"/>
              <w:left w:val="nil"/>
              <w:bottom w:val="single" w:sz="4" w:space="0" w:color="auto"/>
              <w:right w:val="single" w:sz="4" w:space="0" w:color="auto"/>
            </w:tcBorders>
            <w:noWrap/>
            <w:vAlign w:val="center"/>
            <w:hideMark/>
          </w:tcPr>
          <w:p w14:paraId="20BFC078" w14:textId="77777777" w:rsidR="00085789" w:rsidRDefault="00000000">
            <w:pPr>
              <w:spacing w:line="240" w:lineRule="auto"/>
              <w:jc w:val="center"/>
              <w:rPr>
                <w:sz w:val="24"/>
                <w:szCs w:val="24"/>
              </w:rPr>
            </w:pPr>
            <w:r>
              <w:rPr>
                <w:sz w:val="24"/>
                <w:szCs w:val="24"/>
              </w:rPr>
              <w:t>907.540</w:t>
            </w:r>
          </w:p>
        </w:tc>
        <w:tc>
          <w:tcPr>
            <w:tcW w:w="1417" w:type="dxa"/>
            <w:tcBorders>
              <w:top w:val="nil"/>
              <w:left w:val="nil"/>
              <w:bottom w:val="single" w:sz="4" w:space="0" w:color="auto"/>
              <w:right w:val="single" w:sz="4" w:space="0" w:color="auto"/>
            </w:tcBorders>
            <w:noWrap/>
            <w:vAlign w:val="center"/>
            <w:hideMark/>
          </w:tcPr>
          <w:p w14:paraId="77478399" w14:textId="77777777" w:rsidR="00085789" w:rsidRDefault="00000000">
            <w:pPr>
              <w:spacing w:line="240" w:lineRule="auto"/>
              <w:jc w:val="center"/>
              <w:rPr>
                <w:sz w:val="24"/>
                <w:szCs w:val="24"/>
              </w:rPr>
            </w:pPr>
            <w:r>
              <w:rPr>
                <w:sz w:val="24"/>
                <w:szCs w:val="24"/>
              </w:rPr>
              <w:t>867.465</w:t>
            </w:r>
          </w:p>
        </w:tc>
      </w:tr>
      <w:tr w:rsidR="00085789" w14:paraId="622BEDE7" w14:textId="77777777">
        <w:trPr>
          <w:trHeight w:val="360"/>
          <w:jc w:val="center"/>
        </w:trPr>
        <w:tc>
          <w:tcPr>
            <w:tcW w:w="537" w:type="dxa"/>
            <w:tcBorders>
              <w:top w:val="nil"/>
              <w:left w:val="single" w:sz="4" w:space="0" w:color="auto"/>
              <w:bottom w:val="single" w:sz="4" w:space="0" w:color="auto"/>
              <w:right w:val="single" w:sz="4" w:space="0" w:color="auto"/>
            </w:tcBorders>
            <w:noWrap/>
            <w:vAlign w:val="center"/>
            <w:hideMark/>
          </w:tcPr>
          <w:p w14:paraId="79B6620C" w14:textId="77777777" w:rsidR="00085789" w:rsidRDefault="00000000">
            <w:pPr>
              <w:spacing w:line="240" w:lineRule="auto"/>
              <w:jc w:val="center"/>
              <w:rPr>
                <w:b/>
                <w:bCs/>
                <w:sz w:val="24"/>
                <w:szCs w:val="24"/>
              </w:rPr>
            </w:pPr>
            <w:r>
              <w:rPr>
                <w:b/>
                <w:bCs/>
                <w:sz w:val="24"/>
                <w:szCs w:val="24"/>
              </w:rPr>
              <w:t> </w:t>
            </w:r>
          </w:p>
        </w:tc>
        <w:tc>
          <w:tcPr>
            <w:tcW w:w="1301" w:type="dxa"/>
            <w:tcBorders>
              <w:top w:val="nil"/>
              <w:left w:val="nil"/>
              <w:bottom w:val="single" w:sz="4" w:space="0" w:color="auto"/>
              <w:right w:val="single" w:sz="4" w:space="0" w:color="auto"/>
            </w:tcBorders>
            <w:vAlign w:val="center"/>
            <w:hideMark/>
          </w:tcPr>
          <w:p w14:paraId="64DC4E82" w14:textId="77777777" w:rsidR="00085789" w:rsidRDefault="00000000">
            <w:pPr>
              <w:spacing w:line="240" w:lineRule="auto"/>
              <w:jc w:val="both"/>
              <w:rPr>
                <w:sz w:val="24"/>
                <w:szCs w:val="24"/>
              </w:rPr>
            </w:pPr>
            <w:r>
              <w:rPr>
                <w:sz w:val="24"/>
                <w:szCs w:val="24"/>
              </w:rPr>
              <w:t>+ Khách nội địa</w:t>
            </w:r>
          </w:p>
        </w:tc>
        <w:tc>
          <w:tcPr>
            <w:tcW w:w="851" w:type="dxa"/>
            <w:tcBorders>
              <w:top w:val="nil"/>
              <w:left w:val="nil"/>
              <w:bottom w:val="single" w:sz="4" w:space="0" w:color="auto"/>
              <w:right w:val="single" w:sz="4" w:space="0" w:color="auto"/>
            </w:tcBorders>
            <w:vAlign w:val="center"/>
            <w:hideMark/>
          </w:tcPr>
          <w:p w14:paraId="72BCBDA5" w14:textId="77777777" w:rsidR="00085789" w:rsidRDefault="00000000">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noWrap/>
            <w:vAlign w:val="center"/>
            <w:hideMark/>
          </w:tcPr>
          <w:p w14:paraId="4DC45CC6" w14:textId="77777777" w:rsidR="00085789" w:rsidRDefault="00000000">
            <w:pPr>
              <w:spacing w:line="240" w:lineRule="auto"/>
              <w:jc w:val="center"/>
              <w:rPr>
                <w:sz w:val="24"/>
                <w:szCs w:val="24"/>
              </w:rPr>
            </w:pPr>
            <w:r>
              <w:rPr>
                <w:sz w:val="24"/>
                <w:szCs w:val="24"/>
              </w:rPr>
              <w:t>366.000</w:t>
            </w:r>
          </w:p>
        </w:tc>
        <w:tc>
          <w:tcPr>
            <w:tcW w:w="1275" w:type="dxa"/>
            <w:tcBorders>
              <w:top w:val="nil"/>
              <w:left w:val="nil"/>
              <w:bottom w:val="single" w:sz="4" w:space="0" w:color="auto"/>
              <w:right w:val="single" w:sz="4" w:space="0" w:color="auto"/>
            </w:tcBorders>
            <w:noWrap/>
            <w:vAlign w:val="center"/>
            <w:hideMark/>
          </w:tcPr>
          <w:p w14:paraId="0127FF43" w14:textId="77777777" w:rsidR="00085789" w:rsidRDefault="00000000">
            <w:pPr>
              <w:spacing w:line="240" w:lineRule="auto"/>
              <w:jc w:val="center"/>
              <w:rPr>
                <w:sz w:val="24"/>
                <w:szCs w:val="24"/>
              </w:rPr>
            </w:pPr>
            <w:r>
              <w:rPr>
                <w:sz w:val="24"/>
                <w:szCs w:val="24"/>
              </w:rPr>
              <w:t>319.225</w:t>
            </w:r>
          </w:p>
        </w:tc>
        <w:tc>
          <w:tcPr>
            <w:tcW w:w="1276" w:type="dxa"/>
            <w:tcBorders>
              <w:top w:val="nil"/>
              <w:left w:val="nil"/>
              <w:bottom w:val="single" w:sz="4" w:space="0" w:color="auto"/>
              <w:right w:val="single" w:sz="4" w:space="0" w:color="auto"/>
            </w:tcBorders>
            <w:noWrap/>
            <w:vAlign w:val="center"/>
            <w:hideMark/>
          </w:tcPr>
          <w:p w14:paraId="76784CF5" w14:textId="77777777" w:rsidR="00085789" w:rsidRDefault="00000000">
            <w:pPr>
              <w:spacing w:line="240" w:lineRule="auto"/>
              <w:jc w:val="center"/>
              <w:rPr>
                <w:sz w:val="24"/>
                <w:szCs w:val="24"/>
              </w:rPr>
            </w:pPr>
            <w:r>
              <w:rPr>
                <w:sz w:val="24"/>
                <w:szCs w:val="24"/>
              </w:rPr>
              <w:t>897.651</w:t>
            </w:r>
          </w:p>
        </w:tc>
        <w:tc>
          <w:tcPr>
            <w:tcW w:w="1276" w:type="dxa"/>
            <w:tcBorders>
              <w:top w:val="nil"/>
              <w:left w:val="nil"/>
              <w:bottom w:val="single" w:sz="4" w:space="0" w:color="auto"/>
              <w:right w:val="single" w:sz="4" w:space="0" w:color="auto"/>
            </w:tcBorders>
            <w:noWrap/>
            <w:vAlign w:val="center"/>
            <w:hideMark/>
          </w:tcPr>
          <w:p w14:paraId="002D45E0" w14:textId="77777777" w:rsidR="00085789" w:rsidRDefault="00000000">
            <w:pPr>
              <w:spacing w:line="240" w:lineRule="auto"/>
              <w:jc w:val="center"/>
              <w:rPr>
                <w:sz w:val="24"/>
                <w:szCs w:val="24"/>
              </w:rPr>
            </w:pPr>
            <w:r>
              <w:rPr>
                <w:sz w:val="24"/>
                <w:szCs w:val="24"/>
              </w:rPr>
              <w:t>891.822</w:t>
            </w:r>
          </w:p>
        </w:tc>
        <w:tc>
          <w:tcPr>
            <w:tcW w:w="1417" w:type="dxa"/>
            <w:tcBorders>
              <w:top w:val="nil"/>
              <w:left w:val="nil"/>
              <w:bottom w:val="single" w:sz="4" w:space="0" w:color="auto"/>
              <w:right w:val="single" w:sz="4" w:space="0" w:color="auto"/>
            </w:tcBorders>
            <w:noWrap/>
            <w:vAlign w:val="center"/>
            <w:hideMark/>
          </w:tcPr>
          <w:p w14:paraId="63DE4C8F" w14:textId="77777777" w:rsidR="00085789" w:rsidRDefault="00000000">
            <w:pPr>
              <w:spacing w:line="240" w:lineRule="auto"/>
              <w:jc w:val="center"/>
              <w:rPr>
                <w:sz w:val="24"/>
                <w:szCs w:val="24"/>
              </w:rPr>
            </w:pPr>
            <w:r>
              <w:rPr>
                <w:sz w:val="24"/>
                <w:szCs w:val="24"/>
              </w:rPr>
              <w:t>851.550</w:t>
            </w:r>
          </w:p>
        </w:tc>
      </w:tr>
      <w:tr w:rsidR="00085789" w14:paraId="76928B8A" w14:textId="77777777">
        <w:trPr>
          <w:trHeight w:val="360"/>
          <w:jc w:val="center"/>
        </w:trPr>
        <w:tc>
          <w:tcPr>
            <w:tcW w:w="537" w:type="dxa"/>
            <w:tcBorders>
              <w:top w:val="nil"/>
              <w:left w:val="single" w:sz="4" w:space="0" w:color="auto"/>
              <w:bottom w:val="single" w:sz="4" w:space="0" w:color="auto"/>
              <w:right w:val="single" w:sz="4" w:space="0" w:color="auto"/>
            </w:tcBorders>
            <w:noWrap/>
            <w:vAlign w:val="center"/>
            <w:hideMark/>
          </w:tcPr>
          <w:p w14:paraId="4A52AAFB" w14:textId="77777777" w:rsidR="00085789" w:rsidRDefault="00000000">
            <w:pPr>
              <w:spacing w:line="240" w:lineRule="auto"/>
              <w:jc w:val="center"/>
              <w:rPr>
                <w:b/>
                <w:bCs/>
                <w:sz w:val="24"/>
                <w:szCs w:val="24"/>
              </w:rPr>
            </w:pPr>
            <w:r>
              <w:rPr>
                <w:b/>
                <w:bCs/>
                <w:sz w:val="24"/>
                <w:szCs w:val="24"/>
              </w:rPr>
              <w:t> </w:t>
            </w:r>
          </w:p>
        </w:tc>
        <w:tc>
          <w:tcPr>
            <w:tcW w:w="1301" w:type="dxa"/>
            <w:tcBorders>
              <w:top w:val="nil"/>
              <w:left w:val="nil"/>
              <w:bottom w:val="single" w:sz="4" w:space="0" w:color="auto"/>
              <w:right w:val="single" w:sz="4" w:space="0" w:color="auto"/>
            </w:tcBorders>
            <w:vAlign w:val="center"/>
            <w:hideMark/>
          </w:tcPr>
          <w:p w14:paraId="607646E2" w14:textId="77777777" w:rsidR="00085789" w:rsidRDefault="00000000">
            <w:pPr>
              <w:spacing w:line="240" w:lineRule="auto"/>
              <w:jc w:val="both"/>
              <w:rPr>
                <w:sz w:val="24"/>
                <w:szCs w:val="24"/>
              </w:rPr>
            </w:pPr>
            <w:r>
              <w:rPr>
                <w:sz w:val="24"/>
                <w:szCs w:val="24"/>
              </w:rPr>
              <w:t>+ Khách quốc tế</w:t>
            </w:r>
          </w:p>
        </w:tc>
        <w:tc>
          <w:tcPr>
            <w:tcW w:w="851" w:type="dxa"/>
            <w:tcBorders>
              <w:top w:val="nil"/>
              <w:left w:val="nil"/>
              <w:bottom w:val="single" w:sz="4" w:space="0" w:color="auto"/>
              <w:right w:val="single" w:sz="4" w:space="0" w:color="auto"/>
            </w:tcBorders>
            <w:vAlign w:val="center"/>
            <w:hideMark/>
          </w:tcPr>
          <w:p w14:paraId="348A34ED" w14:textId="77777777" w:rsidR="00085789" w:rsidRDefault="00000000">
            <w:pPr>
              <w:spacing w:line="240" w:lineRule="auto"/>
              <w:jc w:val="center"/>
              <w:rPr>
                <w:sz w:val="24"/>
                <w:szCs w:val="24"/>
              </w:rPr>
            </w:pPr>
            <w:r>
              <w:rPr>
                <w:sz w:val="24"/>
                <w:szCs w:val="24"/>
              </w:rPr>
              <w:t>Lượt</w:t>
            </w:r>
          </w:p>
        </w:tc>
        <w:tc>
          <w:tcPr>
            <w:tcW w:w="1134" w:type="dxa"/>
            <w:tcBorders>
              <w:top w:val="nil"/>
              <w:left w:val="nil"/>
              <w:bottom w:val="single" w:sz="4" w:space="0" w:color="auto"/>
              <w:right w:val="single" w:sz="4" w:space="0" w:color="auto"/>
            </w:tcBorders>
            <w:noWrap/>
            <w:vAlign w:val="center"/>
            <w:hideMark/>
          </w:tcPr>
          <w:p w14:paraId="351D465C" w14:textId="77777777" w:rsidR="00085789" w:rsidRDefault="00000000">
            <w:pPr>
              <w:spacing w:line="240" w:lineRule="auto"/>
              <w:jc w:val="center"/>
              <w:rPr>
                <w:sz w:val="24"/>
                <w:szCs w:val="24"/>
              </w:rPr>
            </w:pPr>
            <w:r>
              <w:rPr>
                <w:sz w:val="24"/>
                <w:szCs w:val="24"/>
              </w:rPr>
              <w:t>9.027</w:t>
            </w:r>
          </w:p>
        </w:tc>
        <w:tc>
          <w:tcPr>
            <w:tcW w:w="1275" w:type="dxa"/>
            <w:tcBorders>
              <w:top w:val="nil"/>
              <w:left w:val="nil"/>
              <w:bottom w:val="single" w:sz="4" w:space="0" w:color="auto"/>
              <w:right w:val="single" w:sz="4" w:space="0" w:color="auto"/>
            </w:tcBorders>
            <w:noWrap/>
            <w:vAlign w:val="center"/>
            <w:hideMark/>
          </w:tcPr>
          <w:p w14:paraId="3F20FE3B" w14:textId="77777777" w:rsidR="00085789" w:rsidRDefault="00000000">
            <w:pPr>
              <w:spacing w:line="240" w:lineRule="auto"/>
              <w:jc w:val="center"/>
              <w:rPr>
                <w:sz w:val="24"/>
                <w:szCs w:val="24"/>
              </w:rPr>
            </w:pPr>
            <w:r>
              <w:rPr>
                <w:sz w:val="24"/>
                <w:szCs w:val="24"/>
              </w:rPr>
              <w:t>10.376</w:t>
            </w:r>
          </w:p>
        </w:tc>
        <w:tc>
          <w:tcPr>
            <w:tcW w:w="1276" w:type="dxa"/>
            <w:tcBorders>
              <w:top w:val="nil"/>
              <w:left w:val="nil"/>
              <w:bottom w:val="single" w:sz="4" w:space="0" w:color="auto"/>
              <w:right w:val="single" w:sz="4" w:space="0" w:color="auto"/>
            </w:tcBorders>
            <w:noWrap/>
            <w:vAlign w:val="center"/>
            <w:hideMark/>
          </w:tcPr>
          <w:p w14:paraId="6FC5E9DC" w14:textId="77777777" w:rsidR="00085789" w:rsidRDefault="00000000">
            <w:pPr>
              <w:spacing w:line="240" w:lineRule="auto"/>
              <w:jc w:val="center"/>
              <w:rPr>
                <w:sz w:val="24"/>
                <w:szCs w:val="24"/>
              </w:rPr>
            </w:pPr>
            <w:r>
              <w:rPr>
                <w:sz w:val="24"/>
                <w:szCs w:val="24"/>
              </w:rPr>
              <w:t>14.661</w:t>
            </w:r>
          </w:p>
        </w:tc>
        <w:tc>
          <w:tcPr>
            <w:tcW w:w="1276" w:type="dxa"/>
            <w:tcBorders>
              <w:top w:val="nil"/>
              <w:left w:val="nil"/>
              <w:bottom w:val="single" w:sz="4" w:space="0" w:color="auto"/>
              <w:right w:val="single" w:sz="4" w:space="0" w:color="auto"/>
            </w:tcBorders>
            <w:noWrap/>
            <w:vAlign w:val="center"/>
            <w:hideMark/>
          </w:tcPr>
          <w:p w14:paraId="16A98141" w14:textId="77777777" w:rsidR="00085789" w:rsidRDefault="00000000">
            <w:pPr>
              <w:spacing w:line="240" w:lineRule="auto"/>
              <w:jc w:val="center"/>
              <w:rPr>
                <w:sz w:val="24"/>
                <w:szCs w:val="24"/>
              </w:rPr>
            </w:pPr>
            <w:r>
              <w:rPr>
                <w:sz w:val="24"/>
                <w:szCs w:val="24"/>
              </w:rPr>
              <w:t>15.718</w:t>
            </w:r>
          </w:p>
        </w:tc>
        <w:tc>
          <w:tcPr>
            <w:tcW w:w="1417" w:type="dxa"/>
            <w:tcBorders>
              <w:top w:val="nil"/>
              <w:left w:val="nil"/>
              <w:bottom w:val="single" w:sz="4" w:space="0" w:color="auto"/>
              <w:right w:val="single" w:sz="4" w:space="0" w:color="auto"/>
            </w:tcBorders>
            <w:noWrap/>
            <w:vAlign w:val="center"/>
            <w:hideMark/>
          </w:tcPr>
          <w:p w14:paraId="7FD0567A" w14:textId="77777777" w:rsidR="00085789" w:rsidRDefault="00000000">
            <w:pPr>
              <w:spacing w:line="240" w:lineRule="auto"/>
              <w:jc w:val="center"/>
              <w:rPr>
                <w:sz w:val="24"/>
                <w:szCs w:val="24"/>
              </w:rPr>
            </w:pPr>
            <w:r>
              <w:rPr>
                <w:sz w:val="24"/>
                <w:szCs w:val="24"/>
              </w:rPr>
              <w:t>15.915</w:t>
            </w:r>
          </w:p>
        </w:tc>
      </w:tr>
    </w:tbl>
    <w:p w14:paraId="6F002BD6" w14:textId="77777777" w:rsidR="00085789" w:rsidRDefault="00000000">
      <w:pPr>
        <w:spacing w:before="120" w:line="240" w:lineRule="auto"/>
        <w:ind w:firstLine="709"/>
        <w:jc w:val="both"/>
        <w:rPr>
          <w:b/>
          <w:bCs/>
          <w:i/>
          <w:iCs/>
          <w:sz w:val="26"/>
          <w:szCs w:val="26"/>
        </w:rPr>
      </w:pPr>
      <w:r>
        <w:rPr>
          <w:b/>
          <w:bCs/>
          <w:i/>
          <w:iCs/>
          <w:sz w:val="26"/>
          <w:szCs w:val="26"/>
        </w:rPr>
        <w:t>* Đối với hoạt động thương mại, dịch vụ:</w:t>
      </w:r>
    </w:p>
    <w:p w14:paraId="749E9093" w14:textId="77777777" w:rsidR="00085789" w:rsidRDefault="00000000">
      <w:pPr>
        <w:spacing w:before="140" w:line="240" w:lineRule="auto"/>
        <w:ind w:firstLine="709"/>
        <w:jc w:val="both"/>
        <w:rPr>
          <w:sz w:val="26"/>
          <w:szCs w:val="26"/>
        </w:rPr>
      </w:pPr>
      <w:r>
        <w:rPr>
          <w:sz w:val="26"/>
          <w:szCs w:val="26"/>
        </w:rPr>
        <w:t>Hoạt động thương mại, dịch vụ phát triển, đáp ứng ngày càng tốt hơn nhu cầu sản xuất, tiêu dùng cho người dân và đóng góp tích cực vào phát triển KT-XH của tỉnh. Tổng mức bán lẻ hàng hóa và doanh thu dịch vụ tiêu dùng từ năm 2020-2024 tăng cao, năm 2020 là 46.974 tỷ đồng tăng lên 82.941 tỷ đồng vào năm 2024.</w:t>
      </w:r>
    </w:p>
    <w:p w14:paraId="021D3D89" w14:textId="77777777" w:rsidR="00085789" w:rsidRDefault="00000000">
      <w:pPr>
        <w:spacing w:before="140" w:line="240" w:lineRule="auto"/>
        <w:ind w:firstLine="709"/>
        <w:jc w:val="both"/>
        <w:rPr>
          <w:spacing w:val="-4"/>
          <w:sz w:val="26"/>
          <w:szCs w:val="26"/>
        </w:rPr>
      </w:pPr>
      <w:r>
        <w:rPr>
          <w:spacing w:val="-4"/>
          <w:sz w:val="26"/>
          <w:szCs w:val="26"/>
        </w:rPr>
        <w:t>Giai đoạn 2021-2024 thành lập mới hơn 5.036 doanh nghiệp và đơn vị trực thuộc, riêng năm 2022 đạt kỷ lục hơn 1.400 doanh nghiệp và đơn vị trực thuộc. Nâng tổng số doanh nghiệp lên gần 12.500 doanh nghiệp và đơn vị trực thuộc trên toàn tỉnh. Trong năm 2024 có 409 doanh nghiệp, đơn vị trực thuộc hoạt động trở lại, tăng 7,35 % so với năm 2023.</w:t>
      </w:r>
    </w:p>
    <w:p w14:paraId="36CE5410" w14:textId="77777777" w:rsidR="00085789" w:rsidRDefault="00000000">
      <w:pPr>
        <w:spacing w:before="140" w:line="240" w:lineRule="auto"/>
        <w:ind w:firstLine="709"/>
        <w:jc w:val="both"/>
        <w:rPr>
          <w:rFonts w:asciiTheme="majorHAnsi" w:hAnsiTheme="majorHAnsi" w:cstheme="majorHAnsi"/>
          <w:bCs/>
          <w:sz w:val="26"/>
          <w:szCs w:val="26"/>
        </w:rPr>
      </w:pPr>
      <w:r>
        <w:rPr>
          <w:sz w:val="26"/>
          <w:szCs w:val="26"/>
        </w:rPr>
        <w:t>Hiện nay có 169 dự án chợ, trong đó 151 chợ đã được xây dựng và hoạt động (</w:t>
      </w:r>
      <w:r>
        <w:rPr>
          <w:rFonts w:asciiTheme="majorHAnsi" w:hAnsiTheme="majorHAnsi" w:cstheme="majorHAnsi"/>
          <w:bCs/>
          <w:sz w:val="26"/>
          <w:szCs w:val="26"/>
        </w:rPr>
        <w:t>gồm: 05 chợ hạng I, 7 chợ hạng II, 134 chợ hạng III và 05 chợ tạm)</w:t>
      </w:r>
      <w:r>
        <w:rPr>
          <w:sz w:val="26"/>
          <w:szCs w:val="26"/>
        </w:rPr>
        <w:t>, 18 dự án chợ quy hoạch nhưng chư đầu tư xây dựng.</w:t>
      </w:r>
    </w:p>
    <w:p w14:paraId="247BB27F" w14:textId="77777777" w:rsidR="00085789" w:rsidRDefault="00000000">
      <w:pPr>
        <w:spacing w:before="140" w:line="240" w:lineRule="auto"/>
        <w:ind w:firstLine="709"/>
        <w:jc w:val="both"/>
        <w:rPr>
          <w:sz w:val="26"/>
          <w:szCs w:val="26"/>
        </w:rPr>
      </w:pPr>
      <w:r>
        <w:rPr>
          <w:sz w:val="26"/>
          <w:szCs w:val="26"/>
        </w:rPr>
        <w:t>Hoạt động kinh doanh xăng dầu gồm 02 kho xăng dầu với quy mô trên 69.000 m</w:t>
      </w:r>
      <w:r>
        <w:rPr>
          <w:sz w:val="26"/>
          <w:szCs w:val="26"/>
          <w:vertAlign w:val="superscript"/>
        </w:rPr>
        <w:t>3</w:t>
      </w:r>
      <w:r>
        <w:rPr>
          <w:sz w:val="26"/>
          <w:szCs w:val="26"/>
        </w:rPr>
        <w:t xml:space="preserve"> và 02 bến nhập khẩu xăng dầu; 04 thương nhân đầu mối, phân phối xăng dầu, có trụ sở chính đóng trên địa bàn tỉnh; 14 thương nhân đầu mối, phân phối có trụ sở ngoài tỉnh cung cấp xăng dầu; 235 cửa hàng bán lẻ xăng dầu của 84 doanh nghiệp (thương nhân) hoạt động kinh doanh bán lẻ xăng dầu trên địa bàn tỉnh.</w:t>
      </w:r>
    </w:p>
    <w:p w14:paraId="387B83F6" w14:textId="77777777" w:rsidR="00085789" w:rsidRDefault="00000000">
      <w:pPr>
        <w:spacing w:before="120" w:line="240" w:lineRule="auto"/>
        <w:ind w:firstLine="709"/>
        <w:jc w:val="both"/>
        <w:rPr>
          <w:b/>
          <w:bCs/>
          <w:i/>
          <w:iCs/>
          <w:sz w:val="26"/>
          <w:szCs w:val="26"/>
        </w:rPr>
      </w:pPr>
      <w:r>
        <w:rPr>
          <w:b/>
          <w:bCs/>
          <w:i/>
          <w:iCs/>
          <w:sz w:val="26"/>
          <w:szCs w:val="26"/>
        </w:rPr>
        <w:t>* Đối với hoạt động xuất, nhập khẩu:</w:t>
      </w:r>
    </w:p>
    <w:p w14:paraId="75823554" w14:textId="77777777" w:rsidR="00085789" w:rsidRDefault="00000000">
      <w:pPr>
        <w:spacing w:before="120" w:line="240" w:lineRule="auto"/>
        <w:ind w:firstLine="709"/>
        <w:jc w:val="both"/>
        <w:rPr>
          <w:sz w:val="26"/>
          <w:szCs w:val="26"/>
        </w:rPr>
      </w:pPr>
      <w:r>
        <w:rPr>
          <w:sz w:val="26"/>
          <w:szCs w:val="26"/>
        </w:rPr>
        <w:lastRenderedPageBreak/>
        <w:t xml:space="preserve">- </w:t>
      </w:r>
      <w:r>
        <w:rPr>
          <w:i/>
          <w:iCs/>
          <w:sz w:val="26"/>
          <w:szCs w:val="26"/>
        </w:rPr>
        <w:t xml:space="preserve">Về xuất khẩu: </w:t>
      </w:r>
      <w:r>
        <w:rPr>
          <w:sz w:val="26"/>
          <w:szCs w:val="26"/>
        </w:rPr>
        <w:t xml:space="preserve">Các sản phẩm xuất khẩu chủ yếu của tỉnh Hà Tĩnh giai đoạn 2020 - 2025, về cơ bản đã được xác định là các sản phẩm thép, phôi thép, chè, dăm gỗ, hàng dệt may mặc, xơ, sợi dệt các loại. Từ năm 2020-2025, kim ngạch xuất khẩu tăng giảm thất thường, năm 2021 giá trị kim ngạch xuất khẩu tăng 66,67 % so với năm 2020, nhưng đến năm 2022, giá trị kim ngạch xuất khẩu giảm 10 % so với năm 2021. Năm 2023 tăng 35,81 % so với năm 2022. Tuy nhiên đến năm 2024, trị giá xuất khẩu giảm 2,20 % so với năm trước. Nguyên nhân chủ yếu do tình hình kinh tế toàn cầu chịu tác động tiêu cực từ lạm phát, tăng lãi suất dẫn đến nhu cầu tiêu thụ sản phẩm thép trên thế giới giảm sút, ngoài ra, trị giá xuất khẩu mặt hàng xơ, sợi dệt các loại cũng giảm. Mặc dù trị giá xuất khẩu các mặt hàng khác như chè, dệt và may mặc tăng trưởng khá tuy nhiên do tỷ trọng không lớn nên không tác động nhiều đến kết quả chung toàn tỉnh. </w:t>
      </w:r>
    </w:p>
    <w:p w14:paraId="1F44C3DD" w14:textId="77777777" w:rsidR="00085789" w:rsidRDefault="00000000">
      <w:pPr>
        <w:spacing w:before="120" w:line="240" w:lineRule="auto"/>
        <w:ind w:firstLine="709"/>
        <w:jc w:val="both"/>
        <w:rPr>
          <w:sz w:val="26"/>
          <w:szCs w:val="26"/>
        </w:rPr>
      </w:pPr>
      <w:r>
        <w:rPr>
          <w:i/>
          <w:iCs/>
          <w:sz w:val="26"/>
          <w:szCs w:val="26"/>
        </w:rPr>
        <w:t>- Về nhập khẩu: </w:t>
      </w:r>
      <w:r>
        <w:rPr>
          <w:sz w:val="26"/>
          <w:szCs w:val="26"/>
        </w:rPr>
        <w:t>Trong giai đoạn 2020-2024, kim ngạch nhập khẩu của tỉnh Hà Tĩnh tăng trưởng mạnh mẽ, phản ánh sự phục hồi kinh tế sau đại dịch, sự phát triển của ngành công nghiệp, đặc biệt là thép và nhu cầu nhập khẩu nguyên vật liệu phục vụ sản xuất của các doanh nghiệp lớn như Formosa Hà Tĩnh.</w:t>
      </w:r>
    </w:p>
    <w:p w14:paraId="2C1AC1F0" w14:textId="77777777" w:rsidR="00085789" w:rsidRDefault="00000000">
      <w:pPr>
        <w:spacing w:before="120" w:line="240" w:lineRule="auto"/>
        <w:ind w:firstLine="709"/>
        <w:jc w:val="both"/>
        <w:rPr>
          <w:sz w:val="26"/>
          <w:szCs w:val="26"/>
        </w:rPr>
      </w:pPr>
      <w:r>
        <w:rPr>
          <w:sz w:val="26"/>
          <w:szCs w:val="26"/>
        </w:rPr>
        <w:t xml:space="preserve">Trị giá nhập khẩu năm 2024 ước đạt 3.740 triệu USD tăng 3,89 %. Việc nhập khẩu hàng hoá tăng cũng mang tín hiệu tích cực cho thấy yêu cầu tiêu dùng ngày càng </w:t>
      </w:r>
      <w:r>
        <w:rPr>
          <w:spacing w:val="-4"/>
          <w:sz w:val="26"/>
          <w:szCs w:val="26"/>
        </w:rPr>
        <w:t>cao, tăng sức cạnh tranh đối với hàng hoá trong nước thúc đẩy doanh nghiệp đẩy mạnh nâng cao chất lượng và hình thức vươn tầm quốc tế thay vì chỉ chú trọng vào yếu tố giá thành.</w:t>
      </w:r>
    </w:p>
    <w:p w14:paraId="198EE710" w14:textId="77777777" w:rsidR="00085789" w:rsidRDefault="00000000">
      <w:pPr>
        <w:spacing w:before="120" w:line="240" w:lineRule="auto"/>
        <w:ind w:firstLine="709"/>
        <w:jc w:val="both"/>
        <w:rPr>
          <w:sz w:val="26"/>
          <w:szCs w:val="26"/>
        </w:rPr>
      </w:pPr>
      <w:r>
        <w:rPr>
          <w:sz w:val="26"/>
          <w:szCs w:val="26"/>
        </w:rPr>
        <w:t xml:space="preserve">Tính chung 10 tháng đầu năm 2025, tổng trị giá xuất nhập khẩu ước đạt 3.671,62 triệu USD, giảm 26,24 % so với cùng kỳ, trong đó, trị giá xuất khẩu ước đạt 1.384,69 triệu USD, giảm 26,53 % so với cùng kỳ. </w:t>
      </w:r>
    </w:p>
    <w:p w14:paraId="1A43003F" w14:textId="77777777" w:rsidR="00085789" w:rsidRDefault="00000000">
      <w:pPr>
        <w:spacing w:before="60" w:line="240" w:lineRule="auto"/>
        <w:ind w:firstLine="709"/>
        <w:jc w:val="both"/>
        <w:rPr>
          <w:sz w:val="26"/>
          <w:szCs w:val="26"/>
        </w:rPr>
      </w:pPr>
      <w:r>
        <w:rPr>
          <w:noProof/>
          <w:sz w:val="26"/>
          <w:szCs w:val="26"/>
        </w:rPr>
        <mc:AlternateContent>
          <mc:Choice Requires="wps">
            <w:drawing>
              <wp:anchor distT="0" distB="0" distL="114300" distR="114300" simplePos="0" relativeHeight="251855360" behindDoc="1" locked="0" layoutInCell="1" allowOverlap="1" wp14:anchorId="1DC8F9B2" wp14:editId="421FD6DD">
                <wp:simplePos x="0" y="0"/>
                <wp:positionH relativeFrom="margin">
                  <wp:align>right</wp:align>
                </wp:positionH>
                <wp:positionV relativeFrom="paragraph">
                  <wp:posOffset>2696210</wp:posOffset>
                </wp:positionV>
                <wp:extent cx="3502660" cy="589280"/>
                <wp:effectExtent l="0" t="0" r="0" b="1270"/>
                <wp:wrapTight wrapText="bothSides">
                  <wp:wrapPolygon edited="0">
                    <wp:start x="352" y="0"/>
                    <wp:lineTo x="352" y="20948"/>
                    <wp:lineTo x="21146" y="20948"/>
                    <wp:lineTo x="21146" y="0"/>
                    <wp:lineTo x="352" y="0"/>
                  </wp:wrapPolygon>
                </wp:wrapTight>
                <wp:docPr id="1397697989" name="Text Box 8"/>
                <wp:cNvGraphicFramePr/>
                <a:graphic xmlns:a="http://schemas.openxmlformats.org/drawingml/2006/main">
                  <a:graphicData uri="http://schemas.microsoft.com/office/word/2010/wordprocessingShape">
                    <wps:wsp>
                      <wps:cNvSpPr txBox="1"/>
                      <wps:spPr>
                        <a:xfrm>
                          <a:off x="0" y="0"/>
                          <a:ext cx="3502660" cy="589280"/>
                        </a:xfrm>
                        <a:prstGeom prst="rect">
                          <a:avLst/>
                        </a:prstGeom>
                        <a:noFill/>
                        <a:ln w="6350">
                          <a:noFill/>
                        </a:ln>
                      </wps:spPr>
                      <wps:txbx>
                        <w:txbxContent>
                          <w:p w14:paraId="3D00AB32" w14:textId="77777777" w:rsidR="00085789" w:rsidRDefault="00000000">
                            <w:pPr>
                              <w:pStyle w:val="-bac4"/>
                              <w:spacing w:before="0" w:after="0" w:line="240" w:lineRule="auto"/>
                            </w:pPr>
                            <w:bookmarkStart w:id="246" w:name="_Toc205915656"/>
                            <w:bookmarkStart w:id="247" w:name="_Toc213597355"/>
                            <w:bookmarkStart w:id="248" w:name="_Toc213600736"/>
                            <w:r>
                              <w:t>Hình 1.6. Giá trị kim ngạch xuất, nhập khẩu</w:t>
                            </w:r>
                            <w:bookmarkEnd w:id="246"/>
                            <w:r>
                              <w:t xml:space="preserve"> từ năm 2020-2024</w:t>
                            </w:r>
                            <w:bookmarkEnd w:id="247"/>
                            <w:bookmarkEnd w:id="248"/>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91431" id="Text Box 8" o:spid="_x0000_s1031" type="#_x0000_t202" style="position:absolute;left:0;text-align:left;margin-left:224.6pt;margin-top:212.3pt;width:275.8pt;height:46.4pt;z-index:-2514611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" filled="f" stroked="f" strokeweight=".5pt">
                <v:textbox>
                  <w:txbxContent>
                    <w:p w14:paraId="1C1A3879" w14:textId="7ED7F65D" w:rsidR="000E0CEF" w:rsidRDefault="000E0CEF">
                      <w:pPr>
                        <w:pStyle w:val="-bac4"/>
                        <w:spacing w:before="0" w:after="0" w:line="240" w:lineRule="auto"/>
                      </w:pPr>
                      <w:bookmarkStart w:id="268" w:name="_Toc205915656"/>
                      <w:bookmarkStart w:id="269" w:name="_Toc213597355"/>
                      <w:bookmarkStart w:id="270" w:name="_Toc213600736"/>
                      <w:r>
                        <w:t>Hình 1.</w:t>
                      </w:r>
                      <w:r w:rsidR="00A70322">
                        <w:t>6</w:t>
                      </w:r>
                      <w:r>
                        <w:t>. Giá trị kim ngạch xuất, nhập khẩu</w:t>
                      </w:r>
                      <w:bookmarkEnd w:id="268"/>
                      <w:r>
                        <w:t xml:space="preserve"> từ năm 2020-2024</w:t>
                      </w:r>
                      <w:bookmarkEnd w:id="269"/>
                      <w:bookmarkEnd w:id="270"/>
                    </w:p>
                  </w:txbxContent>
                </v:textbox>
                <w10:wrap type="tight" anchorx="margin"/>
              </v:shape>
            </w:pict>
          </mc:Fallback>
        </mc:AlternateContent>
      </w:r>
      <w:r>
        <w:rPr>
          <w:noProof/>
        </w:rPr>
        <w:drawing>
          <wp:anchor distT="0" distB="0" distL="114300" distR="114300" simplePos="0" relativeHeight="251827712" behindDoc="1" locked="0" layoutInCell="1" allowOverlap="1" wp14:anchorId="5A82B4C6" wp14:editId="635DFD9F">
            <wp:simplePos x="0" y="0"/>
            <wp:positionH relativeFrom="margin">
              <wp:posOffset>2437765</wp:posOffset>
            </wp:positionH>
            <wp:positionV relativeFrom="paragraph">
              <wp:posOffset>93980</wp:posOffset>
            </wp:positionV>
            <wp:extent cx="3422015" cy="2604770"/>
            <wp:effectExtent l="0" t="0" r="6985" b="5080"/>
            <wp:wrapTight wrapText="bothSides">
              <wp:wrapPolygon edited="0">
                <wp:start x="0" y="0"/>
                <wp:lineTo x="0" y="21484"/>
                <wp:lineTo x="21524" y="21484"/>
                <wp:lineTo x="21524" y="0"/>
                <wp:lineTo x="0" y="0"/>
              </wp:wrapPolygon>
            </wp:wrapTight>
            <wp:docPr id="1730797285" name="Chart 1">
              <a:extLst xmlns:a="http://schemas.openxmlformats.org/drawingml/2006/main">
                <a:ext uri="{FF2B5EF4-FFF2-40B4-BE49-F238E27FC236}">
                  <a16:creationId xmlns:a16="http://schemas.microsoft.com/office/drawing/2014/main" id="{EFF6A4E6-F64D-278C-8916-3EA8A47DCE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Pr>
          <w:sz w:val="26"/>
          <w:szCs w:val="26"/>
        </w:rPr>
        <w:t>Có thể thấy rõ kim ngạch xuất nhập khẩu của tỉnh chịu tác động trực tiếp từ hoạt động xuất, nhập khẩu từ doanh nghiệp Formosa Hà Tĩnh. Mặc dù đã có các chính sách đa dạng hoá các mặt hàng và có sự tăng trưởng khá ở các nhóm hàng xơ, sợi, hàng dệt may và may mặc,…. Tuy nhiên thị trường còn nhiều khó khăn khiến trị giá xuất nhập khẩu chưa có biến động nhiều. Dự báo hoạt động xuất nhập khẩu thời gian tới sẽ tiếp tục khó khăn khi thị trường tiêu thụ thép vẫn còn thiếu ổn định. Hà Tĩnh sẽ tiếp tục triển khai đồng bộ các giải pháp về hoạt động xuất nhập khẩu, đồng hành cùng doanh nghiệp trong hoạt động xúc tiến thương mại, mở rộng thị trường, ứng dụng công nghệ vào sản xuất, khai thác hiệu quả các ưu đãi từ các hiệp định thương mại tự do mà Việt Nam tham gia.</w:t>
      </w:r>
    </w:p>
    <w:p w14:paraId="176D238B" w14:textId="77777777" w:rsidR="00085789" w:rsidRDefault="00000000">
      <w:pPr>
        <w:pStyle w:val="bac2"/>
        <w:spacing w:after="0" w:line="240" w:lineRule="auto"/>
      </w:pPr>
      <w:bookmarkStart w:id="249" w:name="_Toc214311212"/>
      <w:bookmarkStart w:id="250" w:name="_Toc138943334"/>
      <w:bookmarkStart w:id="251" w:name="_Toc138977238"/>
      <w:bookmarkStart w:id="252" w:name="_Toc142915264"/>
      <w:bookmarkStart w:id="253" w:name="_Toc142919494"/>
      <w:bookmarkStart w:id="254" w:name="_Toc90026989"/>
      <w:bookmarkEnd w:id="92"/>
      <w:bookmarkEnd w:id="93"/>
      <w:bookmarkEnd w:id="94"/>
      <w:bookmarkEnd w:id="95"/>
      <w:bookmarkEnd w:id="96"/>
      <w:bookmarkEnd w:id="97"/>
      <w:bookmarkEnd w:id="98"/>
      <w:bookmarkEnd w:id="99"/>
      <w:bookmarkEnd w:id="100"/>
      <w:r>
        <w:t>1.2.2. Tình hình xã hội</w:t>
      </w:r>
      <w:bookmarkEnd w:id="249"/>
    </w:p>
    <w:p w14:paraId="50F936E1" w14:textId="77777777" w:rsidR="00085789" w:rsidRDefault="00000000">
      <w:pPr>
        <w:pStyle w:val="bac2"/>
        <w:spacing w:after="0" w:line="240" w:lineRule="auto"/>
      </w:pPr>
      <w:bookmarkStart w:id="255" w:name="_Toc214311213"/>
      <w:r>
        <w:t>1.2.2.1. Tăng trưởng dân số cơ học và sự chuyển dịch thành phần dân cư các khu vực đô thị, nông thôn</w:t>
      </w:r>
      <w:bookmarkEnd w:id="255"/>
    </w:p>
    <w:p w14:paraId="03BB361A" w14:textId="77777777" w:rsidR="00085789" w:rsidRDefault="00000000">
      <w:pPr>
        <w:widowControl w:val="0"/>
        <w:autoSpaceDE w:val="0"/>
        <w:autoSpaceDN w:val="0"/>
        <w:adjustRightInd w:val="0"/>
        <w:spacing w:before="60" w:line="240" w:lineRule="auto"/>
        <w:ind w:firstLine="709"/>
        <w:jc w:val="both"/>
        <w:rPr>
          <w:rFonts w:asciiTheme="majorHAnsi" w:hAnsiTheme="majorHAnsi" w:cstheme="majorHAnsi"/>
          <w:b/>
          <w:sz w:val="26"/>
          <w:szCs w:val="26"/>
        </w:rPr>
      </w:pPr>
      <w:r>
        <w:rPr>
          <w:rFonts w:asciiTheme="majorHAnsi" w:hAnsiTheme="majorHAnsi" w:cstheme="majorHAnsi"/>
          <w:b/>
          <w:sz w:val="26"/>
          <w:szCs w:val="26"/>
        </w:rPr>
        <w:t xml:space="preserve"> a) Sự tăng trưởng dân số cơ học</w:t>
      </w:r>
    </w:p>
    <w:p w14:paraId="40172730" w14:textId="77777777" w:rsidR="00085789" w:rsidRDefault="00000000">
      <w:pPr>
        <w:widowControl w:val="0"/>
        <w:autoSpaceDE w:val="0"/>
        <w:autoSpaceDN w:val="0"/>
        <w:adjustRightInd w:val="0"/>
        <w:spacing w:before="60" w:line="240" w:lineRule="auto"/>
        <w:ind w:firstLine="709"/>
        <w:jc w:val="both"/>
        <w:rPr>
          <w:rFonts w:asciiTheme="majorHAnsi" w:hAnsiTheme="majorHAnsi" w:cstheme="majorHAnsi"/>
          <w:sz w:val="26"/>
          <w:szCs w:val="26"/>
        </w:rPr>
      </w:pPr>
      <w:r>
        <w:rPr>
          <w:rFonts w:asciiTheme="majorHAnsi" w:hAnsiTheme="majorHAnsi" w:cstheme="majorHAnsi"/>
          <w:sz w:val="26"/>
          <w:szCs w:val="26"/>
        </w:rPr>
        <w:lastRenderedPageBreak/>
        <w:t xml:space="preserve">Tính đến ngày 01/3/2025, quy mô dân số tỉnh Hà Tĩnh là 1.632.784 người, trong đó: dân số thường trú 1.602.478 người, dân số tạm trú 30.306 người. </w:t>
      </w:r>
    </w:p>
    <w:p w14:paraId="53472890" w14:textId="77777777" w:rsidR="00085789" w:rsidRDefault="00000000">
      <w:pPr>
        <w:spacing w:before="80" w:line="240" w:lineRule="auto"/>
        <w:ind w:firstLine="709"/>
        <w:jc w:val="both"/>
        <w:rPr>
          <w:rFonts w:asciiTheme="majorHAnsi" w:hAnsiTheme="majorHAnsi" w:cstheme="majorHAnsi"/>
          <w:color w:val="000000" w:themeColor="text1"/>
          <w:spacing w:val="-4"/>
          <w:sz w:val="26"/>
          <w:szCs w:val="26"/>
        </w:rPr>
      </w:pPr>
      <w:r>
        <w:rPr>
          <w:rFonts w:asciiTheme="majorHAnsi" w:hAnsiTheme="majorHAnsi" w:cstheme="majorHAnsi"/>
          <w:color w:val="000000" w:themeColor="text1"/>
          <w:spacing w:val="-4"/>
          <w:sz w:val="26"/>
          <w:szCs w:val="26"/>
        </w:rPr>
        <w:t>Trong giai đoạn 2020-2025, dân số tỉnh Hà Tĩnh duy trì xu hướng phát triển ổn định, quy mô dân số không biến động lớn, phản ánh quá trình tăng dân số chậm và có kiểm soát. Tỷ suất sinh thô có xu hướng giảm dần sau giai đoạn tăng nhẹ ban đầu, cho thấy hiệu quả tích cực của công tác dân số - kế hoạch hóa gia đình, đặc biệt trong việc hạn chế sinh con thứ ba trở lên, nhất là ở khu vực nông thôn. Tỷ suất chết thô nhìn chung được kiểm soát ở mức ổn định và có chiều hướng giảm, góp phần cải thiện chất lượng dân số. Mặc dù tốc độ tăng dân số tự nhiên có thời điểm giảm xuống mức rất thấp, song đã có dấu hiệu phục hồi nhẹ vào giai đoạn sau, phản ánh sự ổn định trở lại của quy mô và cơ cấu dân số. Tổng tỷ suất sinh của toàn tỉnh đạt mức tiệm cận mức sinh thay thế, phù hợp với mục tiêu duy trì quy mô dân số hợp lý và bảo đảm phát triển bền vững trong thời gian tới.</w:t>
      </w:r>
    </w:p>
    <w:p w14:paraId="6BEC0B21" w14:textId="77777777" w:rsidR="00085789" w:rsidRDefault="00000000">
      <w:pPr>
        <w:spacing w:before="80" w:line="240" w:lineRule="auto"/>
        <w:ind w:firstLine="709"/>
        <w:jc w:val="both"/>
        <w:rPr>
          <w:b/>
          <w:bCs/>
          <w:sz w:val="26"/>
          <w:szCs w:val="26"/>
        </w:rPr>
      </w:pPr>
      <w:r>
        <w:rPr>
          <w:b/>
          <w:bCs/>
          <w:sz w:val="26"/>
          <w:szCs w:val="26"/>
        </w:rPr>
        <w:t>b) Sự chuyển dịch thành phần dân cư các khu vực đô thị, nông thôn:</w:t>
      </w:r>
    </w:p>
    <w:p w14:paraId="5973E3A1" w14:textId="77777777" w:rsidR="00085789" w:rsidRDefault="00000000">
      <w:pPr>
        <w:widowControl w:val="0"/>
        <w:pBdr>
          <w:top w:val="dotted" w:sz="4" w:space="1" w:color="FFFFFF"/>
          <w:left w:val="dotted" w:sz="4" w:space="0" w:color="FFFFFF"/>
          <w:bottom w:val="dotted" w:sz="4" w:space="4" w:color="FFFFFF"/>
          <w:right w:val="dotted" w:sz="4" w:space="0" w:color="FFFFFF"/>
        </w:pBdr>
        <w:shd w:val="clear" w:color="auto" w:fill="FFFFFF"/>
        <w:spacing w:before="120" w:line="240" w:lineRule="auto"/>
        <w:ind w:firstLine="709"/>
        <w:jc w:val="both"/>
        <w:outlineLvl w:val="0"/>
        <w:rPr>
          <w:rFonts w:asciiTheme="majorHAnsi" w:hAnsiTheme="majorHAnsi" w:cstheme="majorHAnsi"/>
          <w:b/>
          <w:bCs/>
          <w:sz w:val="26"/>
          <w:szCs w:val="26"/>
        </w:rPr>
      </w:pPr>
      <w:r>
        <w:rPr>
          <w:rFonts w:asciiTheme="majorHAnsi" w:hAnsiTheme="majorHAnsi" w:cstheme="majorHAnsi"/>
          <w:sz w:val="26"/>
          <w:szCs w:val="26"/>
        </w:rPr>
        <w:t xml:space="preserve">Sự phân bố dân cư là yếu tố quan trọng của phát triển KT-XH. Sự phân bố dân cư trong tỉnh không đồng đều giữa khu vực thành thị với nông thôn. Trong thời gian từ năm 2020-2025, Hà Tĩnh có sự gia tăng dân số cả vùng nông thôn và thành thị, trong đó dân số vùng nông thôn chiếm khoảng hơn 77 %. </w:t>
      </w:r>
      <w:r>
        <w:rPr>
          <w:rFonts w:asciiTheme="majorHAnsi" w:hAnsiTheme="majorHAnsi"/>
          <w:sz w:val="26"/>
          <w:szCs w:val="26"/>
        </w:rPr>
        <w:t xml:space="preserve">Tuy nhiên dân số sinh sống tập trung tại trung tâm tỉnh Hà Tĩnh luôn ở mức cao hơn so với các khu vực khác trong tỉnh, </w:t>
      </w:r>
      <w:r>
        <w:rPr>
          <w:rFonts w:asciiTheme="majorHAnsi" w:hAnsiTheme="majorHAnsi" w:cstheme="majorHAnsi"/>
          <w:sz w:val="26"/>
          <w:szCs w:val="26"/>
        </w:rPr>
        <w:t xml:space="preserve">điển hình như mật độ dân số năm 2024 của </w:t>
      </w:r>
      <w:r>
        <w:rPr>
          <w:rFonts w:asciiTheme="majorHAnsi" w:hAnsiTheme="majorHAnsi"/>
          <w:sz w:val="26"/>
          <w:szCs w:val="26"/>
        </w:rPr>
        <w:t>khu vực đô thị trung tâm của Hà Tĩnh (trước đây là thành phố Hà Tĩnh) có mật độ dân số cao nhất là 1.936 người/km</w:t>
      </w:r>
      <w:r>
        <w:rPr>
          <w:rFonts w:asciiTheme="majorHAnsi" w:hAnsiTheme="majorHAnsi"/>
          <w:sz w:val="26"/>
          <w:szCs w:val="26"/>
          <w:vertAlign w:val="superscript"/>
        </w:rPr>
        <w:t>2</w:t>
      </w:r>
      <w:r>
        <w:rPr>
          <w:rFonts w:asciiTheme="majorHAnsi" w:hAnsiTheme="majorHAnsi"/>
          <w:sz w:val="26"/>
          <w:szCs w:val="26"/>
        </w:rPr>
        <w:t xml:space="preserve">, trong khi đó </w:t>
      </w:r>
      <w:r>
        <w:rPr>
          <w:rFonts w:asciiTheme="majorHAnsi" w:hAnsiTheme="majorHAnsi"/>
          <w:sz w:val="26"/>
          <w:szCs w:val="26"/>
          <w:lang w:val="nl-NL"/>
        </w:rPr>
        <w:t>khu vực miền núi dân cư thưa thớt như</w:t>
      </w:r>
      <w:r>
        <w:rPr>
          <w:rFonts w:asciiTheme="majorHAnsi" w:hAnsiTheme="majorHAnsi"/>
          <w:sz w:val="26"/>
          <w:szCs w:val="26"/>
        </w:rPr>
        <w:t xml:space="preserve"> huyện Vũ Quang trước sát nhập có mật độ dân số thấp nhất 98,2 người/km</w:t>
      </w:r>
      <w:r>
        <w:rPr>
          <w:rFonts w:asciiTheme="majorHAnsi" w:hAnsiTheme="majorHAnsi"/>
          <w:sz w:val="26"/>
          <w:szCs w:val="26"/>
          <w:vertAlign w:val="superscript"/>
        </w:rPr>
        <w:t>2</w:t>
      </w:r>
      <w:r>
        <w:rPr>
          <w:rFonts w:asciiTheme="majorHAnsi" w:hAnsiTheme="majorHAnsi"/>
          <w:sz w:val="26"/>
          <w:szCs w:val="26"/>
        </w:rPr>
        <w:t>.</w:t>
      </w:r>
      <w:r>
        <w:rPr>
          <w:rFonts w:asciiTheme="majorHAnsi" w:hAnsiTheme="majorHAnsi" w:cstheme="majorHAnsi"/>
          <w:b/>
          <w:bCs/>
          <w:sz w:val="26"/>
          <w:szCs w:val="26"/>
        </w:rPr>
        <w:t xml:space="preserve"> </w:t>
      </w:r>
      <w:r>
        <w:rPr>
          <w:rFonts w:asciiTheme="majorHAnsi" w:hAnsiTheme="majorHAnsi" w:cstheme="majorHAnsi"/>
          <w:sz w:val="26"/>
          <w:szCs w:val="26"/>
        </w:rPr>
        <w:t>Với mật độ dân số cao tại thành thị sẽ gây sức ép lên quỹ đất, tài nguyên và môi trường.</w:t>
      </w:r>
    </w:p>
    <w:p w14:paraId="4DF06E08" w14:textId="77777777" w:rsidR="00085789" w:rsidRDefault="00000000">
      <w:pPr>
        <w:pStyle w:val="bac2"/>
        <w:spacing w:before="120" w:after="0" w:line="240" w:lineRule="auto"/>
      </w:pPr>
      <w:bookmarkStart w:id="256" w:name="_Toc214311214"/>
      <w:r>
        <w:t>1.2.2.2. Dự báo sự gia tăng dân số, vấn đề di cư vào các vùng đô thị</w:t>
      </w:r>
      <w:bookmarkEnd w:id="256"/>
    </w:p>
    <w:p w14:paraId="1BB9FAE1" w14:textId="77777777" w:rsidR="00085789" w:rsidRDefault="00000000">
      <w:pPr>
        <w:widowControl w:val="0"/>
        <w:pBdr>
          <w:top w:val="dotted" w:sz="4" w:space="1" w:color="FFFFFF"/>
          <w:left w:val="dotted" w:sz="4" w:space="0" w:color="FFFFFF"/>
          <w:bottom w:val="dotted" w:sz="4" w:space="4" w:color="FFFFFF"/>
          <w:right w:val="dotted" w:sz="4" w:space="0" w:color="FFFFFF"/>
        </w:pBdr>
        <w:shd w:val="clear" w:color="auto" w:fill="FFFFFF"/>
        <w:spacing w:before="120" w:line="240" w:lineRule="auto"/>
        <w:ind w:firstLine="709"/>
        <w:jc w:val="both"/>
        <w:outlineLvl w:val="0"/>
        <w:rPr>
          <w:rFonts w:asciiTheme="majorHAnsi" w:hAnsiTheme="majorHAnsi" w:cstheme="majorHAnsi"/>
          <w:sz w:val="26"/>
          <w:szCs w:val="26"/>
        </w:rPr>
      </w:pPr>
      <w:r>
        <w:rPr>
          <w:rStyle w:val="fontstyle01"/>
          <w:rFonts w:asciiTheme="majorHAnsi" w:hAnsiTheme="majorHAnsi" w:cs="Times New Roman"/>
          <w:color w:val="auto"/>
        </w:rPr>
        <w:t xml:space="preserve">Đến năm 2025 tỷ lệ tăng dân số tự nhiên đạt 0,86%, tỷ suất </w:t>
      </w:r>
      <w:r>
        <w:rPr>
          <w:rStyle w:val="fontstyle01"/>
          <w:rFonts w:asciiTheme="majorHAnsi" w:hAnsiTheme="majorHAnsi" w:cs="Times New Roman"/>
          <w:color w:val="auto"/>
          <w:spacing w:val="-4"/>
        </w:rPr>
        <w:t xml:space="preserve">sinh đạt 2,54 </w:t>
      </w:r>
      <w:r>
        <w:rPr>
          <w:rFonts w:asciiTheme="majorHAnsi" w:hAnsiTheme="majorHAnsi" w:cstheme="majorHAnsi"/>
          <w:spacing w:val="-4"/>
          <w:sz w:val="26"/>
          <w:szCs w:val="26"/>
        </w:rPr>
        <w:t>con/phụ nữ. Đồng thời trong thời gian tới trên địa bàn tỉnh hình thành các KCN, CCN, khu đô thị tập trung. Do vậy sẽ thu hút người dân từ các vùng miền đến làm việc và sinh sống làm tăng dân số và vấn đề di cư vào các KCN, CCN, khu đô thị tập trung.</w:t>
      </w:r>
    </w:p>
    <w:p w14:paraId="48DA58A3" w14:textId="77777777" w:rsidR="00085789" w:rsidRDefault="00000000">
      <w:pPr>
        <w:pStyle w:val="bac2"/>
        <w:spacing w:before="120" w:after="0" w:line="240" w:lineRule="auto"/>
      </w:pPr>
      <w:bookmarkStart w:id="257" w:name="_Toc214311215"/>
      <w:r>
        <w:t>1.2.2.3. Khái quát tác động của gia tăng dân số và di dân đối với môi trường</w:t>
      </w:r>
      <w:bookmarkEnd w:id="257"/>
    </w:p>
    <w:p w14:paraId="7B874951" w14:textId="77777777" w:rsidR="00085789" w:rsidRDefault="00000000">
      <w:pPr>
        <w:widowControl w:val="0"/>
        <w:pBdr>
          <w:top w:val="dotted" w:sz="4" w:space="1" w:color="FFFFFF"/>
          <w:left w:val="dotted" w:sz="4" w:space="0" w:color="FFFFFF"/>
          <w:bottom w:val="dotted" w:sz="4" w:space="4" w:color="FFFFFF"/>
          <w:right w:val="dotted" w:sz="4" w:space="0" w:color="FFFFFF"/>
        </w:pBdr>
        <w:shd w:val="clear" w:color="auto" w:fill="FFFFFF"/>
        <w:spacing w:before="120" w:line="240" w:lineRule="auto"/>
        <w:ind w:firstLine="709"/>
        <w:jc w:val="both"/>
        <w:outlineLvl w:val="0"/>
        <w:rPr>
          <w:rFonts w:asciiTheme="majorHAnsi" w:hAnsiTheme="majorHAnsi" w:cstheme="majorHAnsi"/>
          <w:sz w:val="26"/>
          <w:szCs w:val="26"/>
        </w:rPr>
      </w:pPr>
      <w:r>
        <w:rPr>
          <w:rFonts w:asciiTheme="majorHAnsi" w:hAnsiTheme="majorHAnsi" w:cstheme="majorHAnsi"/>
          <w:sz w:val="26"/>
          <w:szCs w:val="26"/>
        </w:rPr>
        <w:t>Dân số và môi trường là hai yếu tố có quan hệ chặt chẽ với nhau. Thực tế cho thấy, sự gia tăng dân số có tác động tiêu cực đến sự phát triển bền vững của môi trường. Đặc biệt, sự gia tăng dân số đã gây sức ép lớn tới tài nguyên thiên nhiên và môi trường do khai thác quá mức các nguồn tài nguyên phục vụ cho các nhu cầu nhà ở, sản xuất lương thực, thực phẩm, sản xuất công nghiệp, đồng thời tạo ra các nguồn rác thải khiến môi trường không khí, môi trường nước bị tác động, nhất là tại khu vực đô thị và các làng nghề.</w:t>
      </w:r>
    </w:p>
    <w:p w14:paraId="10149C0B" w14:textId="77777777" w:rsidR="00085789" w:rsidRDefault="00000000">
      <w:pPr>
        <w:pStyle w:val="hd1"/>
        <w:spacing w:before="120" w:after="0" w:line="240" w:lineRule="auto"/>
        <w:ind w:firstLine="567"/>
        <w:rPr>
          <w:rFonts w:ascii="Times New Roman" w:hAnsi="Times New Roman" w:cs="Times New Roman"/>
          <w:b w:val="0"/>
          <w:bCs/>
          <w:color w:val="auto"/>
          <w:sz w:val="26"/>
          <w:szCs w:val="24"/>
        </w:rPr>
      </w:pPr>
      <w:r>
        <w:rPr>
          <w:rFonts w:ascii="Times New Roman" w:hAnsi="Times New Roman" w:cs="Times New Roman"/>
          <w:b w:val="0"/>
          <w:bCs/>
          <w:color w:val="auto"/>
          <w:sz w:val="26"/>
          <w:szCs w:val="26"/>
        </w:rPr>
        <w:t>Khu vực đô thị là nơi dân cư tập trung các hoạt động phát triển KT-XH diễn ra mạnh mẽ.</w:t>
      </w:r>
      <w:r>
        <w:rPr>
          <w:rFonts w:ascii="Times New Roman" w:hAnsi="Times New Roman" w:cs="Times New Roman"/>
          <w:b w:val="0"/>
          <w:bCs/>
          <w:color w:val="auto"/>
          <w:sz w:val="26"/>
        </w:rPr>
        <w:t xml:space="preserve"> </w:t>
      </w:r>
      <w:r>
        <w:rPr>
          <w:rFonts w:ascii="Times New Roman" w:hAnsi="Times New Roman" w:cs="Times New Roman"/>
          <w:b w:val="0"/>
          <w:bCs/>
          <w:color w:val="auto"/>
          <w:sz w:val="26"/>
          <w:szCs w:val="26"/>
        </w:rPr>
        <w:t>Tính đến ngày 30/6/2025, trên địa bàn tỉnh Hà Tĩnh có 17 đô thị các loại (1 đô thị loại II, 1 đô thị loại III, 1 đô thị loại IV và 14 đô thị loại V); tỷ lệ đô thị hóa đạt 40%. Sau ngày 01/7/2025, thực hiện giải thể cấp huyện và sắp xếp lại đơn vị hành chính theo quy định, tỷ lệ đô thị hóa đạt 20,58%</w:t>
      </w:r>
      <w:r>
        <w:rPr>
          <w:rFonts w:ascii="Times New Roman" w:hAnsi="Times New Roman" w:cs="Times New Roman"/>
          <w:b w:val="0"/>
          <w:bCs/>
          <w:color w:val="auto"/>
          <w:sz w:val="26"/>
          <w:szCs w:val="24"/>
        </w:rPr>
        <w:t>.</w:t>
      </w:r>
    </w:p>
    <w:p w14:paraId="01B30FF7" w14:textId="77777777" w:rsidR="00085789" w:rsidRDefault="00000000">
      <w:pPr>
        <w:pBdr>
          <w:top w:val="dotted" w:sz="4" w:space="0" w:color="FFFFFF"/>
          <w:left w:val="dotted" w:sz="4" w:space="0" w:color="FFFFFF"/>
          <w:bottom w:val="dotted" w:sz="4" w:space="0" w:color="FFFFFF"/>
          <w:right w:val="dotted" w:sz="4" w:space="29" w:color="FFFFFF"/>
        </w:pBdr>
        <w:shd w:val="clear" w:color="auto" w:fill="FFFFFF"/>
        <w:tabs>
          <w:tab w:val="left" w:pos="709"/>
        </w:tabs>
        <w:spacing w:before="100" w:line="240" w:lineRule="auto"/>
        <w:ind w:firstLine="567"/>
        <w:jc w:val="both"/>
        <w:rPr>
          <w:sz w:val="26"/>
          <w:szCs w:val="26"/>
        </w:rPr>
      </w:pPr>
      <w:r>
        <w:rPr>
          <w:rFonts w:asciiTheme="majorHAnsi" w:hAnsiTheme="majorHAnsi" w:cstheme="majorHAnsi"/>
          <w:sz w:val="26"/>
          <w:szCs w:val="26"/>
        </w:rPr>
        <w:t>Một số khu đô thị ở Hà Tĩnh đã đi vào hoạt động như khu đô thị Bắc Hà Tĩnh, khu đô thị Sông Đà,....</w:t>
      </w:r>
      <w:r>
        <w:rPr>
          <w:sz w:val="26"/>
          <w:szCs w:val="26"/>
        </w:rPr>
        <w:t xml:space="preserve"> </w:t>
      </w:r>
      <w:r>
        <w:rPr>
          <w:rFonts w:asciiTheme="majorHAnsi" w:hAnsiTheme="majorHAnsi" w:cstheme="majorHAnsi"/>
          <w:sz w:val="26"/>
          <w:szCs w:val="26"/>
        </w:rPr>
        <w:t>Một số dự án khu đô thị mới đã và đang trong quá trình triển khai thực hiện như:  khu đô thị Hà Mỹ Hưng, khu đô thị</w:t>
      </w:r>
      <w:r>
        <w:rPr>
          <w:rFonts w:eastAsia="Calibri"/>
          <w:sz w:val="26"/>
          <w:szCs w:val="26"/>
          <w:lang w:val="pt-BR"/>
        </w:rPr>
        <w:t xml:space="preserve"> Nam Cầu Phủ, </w:t>
      </w:r>
      <w:r>
        <w:rPr>
          <w:rFonts w:asciiTheme="majorHAnsi" w:hAnsiTheme="majorHAnsi" w:cstheme="majorHAnsi"/>
          <w:sz w:val="26"/>
          <w:szCs w:val="26"/>
        </w:rPr>
        <w:t xml:space="preserve">khu đô thị tại xã Thạch Trung và thị trấn Thạch Hà, khu đô thị Ngô Quyền, khu đô thị Thạch Quý, khu đô thị Cánh </w:t>
      </w:r>
      <w:r>
        <w:rPr>
          <w:rFonts w:asciiTheme="majorHAnsi" w:hAnsiTheme="majorHAnsi" w:cstheme="majorHAnsi"/>
          <w:sz w:val="26"/>
          <w:szCs w:val="26"/>
        </w:rPr>
        <w:lastRenderedPageBreak/>
        <w:t>Buồm,.…</w:t>
      </w:r>
      <w:r>
        <w:rPr>
          <w:sz w:val="26"/>
          <w:szCs w:val="26"/>
        </w:rPr>
        <w:t xml:space="preserve"> </w:t>
      </w:r>
      <w:r>
        <w:rPr>
          <w:sz w:val="26"/>
          <w:szCs w:val="26"/>
          <w:lang w:val="vi-VN"/>
        </w:rPr>
        <w:t>Các dự án này khi đi vào hoạt động không chỉ giải quyết nhu cầu hỗ trợ nhà ở cho người dân mà còn góp phần tạo điểm nhấn về kiến trúc nhà ở tại các đô thị trên địa bàn tỉnh khang trang và hiện đại hơn.</w:t>
      </w:r>
    </w:p>
    <w:p w14:paraId="4D783286" w14:textId="77777777" w:rsidR="00085789" w:rsidRDefault="00000000">
      <w:pPr>
        <w:pStyle w:val="bac2"/>
        <w:spacing w:before="100" w:after="0" w:line="240" w:lineRule="auto"/>
      </w:pPr>
      <w:bookmarkStart w:id="258" w:name="_Toc214311216"/>
      <w:r>
        <w:t>1.2.3. Vấn đề hội nhập quốc tế</w:t>
      </w:r>
      <w:bookmarkEnd w:id="258"/>
    </w:p>
    <w:p w14:paraId="17371693" w14:textId="77777777" w:rsidR="00085789" w:rsidRDefault="00000000">
      <w:pPr>
        <w:widowControl w:val="0"/>
        <w:autoSpaceDE w:val="0"/>
        <w:autoSpaceDN w:val="0"/>
        <w:adjustRightInd w:val="0"/>
        <w:spacing w:before="100" w:line="240" w:lineRule="auto"/>
        <w:ind w:firstLine="709"/>
        <w:jc w:val="both"/>
        <w:rPr>
          <w:b/>
          <w:bCs/>
          <w:sz w:val="26"/>
          <w:szCs w:val="26"/>
        </w:rPr>
      </w:pPr>
      <w:r>
        <w:rPr>
          <w:b/>
          <w:bCs/>
          <w:sz w:val="26"/>
          <w:szCs w:val="26"/>
        </w:rPr>
        <w:t>a) Xu thế hội nhập quốc tế:</w:t>
      </w:r>
    </w:p>
    <w:p w14:paraId="3769D25B" w14:textId="77777777" w:rsidR="00085789" w:rsidRDefault="00000000">
      <w:pPr>
        <w:widowControl w:val="0"/>
        <w:autoSpaceDE w:val="0"/>
        <w:autoSpaceDN w:val="0"/>
        <w:adjustRightInd w:val="0"/>
        <w:spacing w:before="100" w:line="240" w:lineRule="auto"/>
        <w:ind w:firstLine="709"/>
        <w:jc w:val="both"/>
        <w:rPr>
          <w:sz w:val="26"/>
          <w:szCs w:val="26"/>
          <w:lang w:val="nl-NL"/>
        </w:rPr>
      </w:pPr>
      <w:r>
        <w:rPr>
          <w:sz w:val="26"/>
          <w:szCs w:val="26"/>
        </w:rPr>
        <w:t xml:space="preserve">Định hướng đổi mới công tác đối ngoại, trọng tâm là ngoại giao kinh tế; quảng bá tiềm năng, tạo môi trường thuận lợi để doanh nghiệp tiếp cận nguồn vốn, công nghệ, khoa học và nguồn nhân lực từ nước ngoài và cộng đồng kiều bào. </w:t>
      </w:r>
      <w:r>
        <w:rPr>
          <w:sz w:val="26"/>
          <w:szCs w:val="26"/>
          <w:lang w:val="nl-NL" w:eastAsia="ar-SA"/>
        </w:rPr>
        <w:t xml:space="preserve">Quan hệ đối ngoại được phát triển cả chiều rộng và chiều sâu với nhiều nước trong khu vực và trên thế giới. </w:t>
      </w:r>
      <w:r>
        <w:rPr>
          <w:spacing w:val="-6"/>
          <w:sz w:val="26"/>
          <w:szCs w:val="26"/>
          <w:lang w:val="nl-NL"/>
        </w:rPr>
        <w:t>Giai đoạn</w:t>
      </w:r>
      <w:r>
        <w:rPr>
          <w:sz w:val="26"/>
          <w:szCs w:val="26"/>
          <w:lang w:val="nl-NL"/>
        </w:rPr>
        <w:t xml:space="preserve"> 2020 - 2025 đã vận động được 21 dự án, khoản viện trợ phi chính phủ (NGO), giá trị viện trợ hơn 48 tỷ VNĐ. </w:t>
      </w:r>
      <w:r>
        <w:rPr>
          <w:noProof/>
          <w:sz w:val="26"/>
          <w:szCs w:val="26"/>
          <w:lang w:val="nl-NL"/>
        </w:rPr>
        <w:t>Các dự án đã góp phần phát triển kết cấu hạ tầng nông thôn, xoá đói, giảm nghèo, giải quyết việc làm</w:t>
      </w:r>
      <w:r>
        <w:rPr>
          <w:sz w:val="26"/>
          <w:szCs w:val="26"/>
          <w:lang w:val="nl-NL"/>
        </w:rPr>
        <w:t>, cứu trợ khẩn cấp</w:t>
      </w:r>
      <w:r>
        <w:rPr>
          <w:sz w:val="26"/>
          <w:szCs w:val="26"/>
          <w:lang w:val="vi-VN"/>
        </w:rPr>
        <w:t>,</w:t>
      </w:r>
      <w:r>
        <w:rPr>
          <w:sz w:val="26"/>
          <w:szCs w:val="26"/>
          <w:lang w:val="nl-NL"/>
        </w:rPr>
        <w:t xml:space="preserve"> khắc phục hậu quả thiên tai và </w:t>
      </w:r>
      <w:r>
        <w:rPr>
          <w:sz w:val="26"/>
          <w:szCs w:val="26"/>
          <w:lang w:val="vi-VN"/>
        </w:rPr>
        <w:t>cải thiện môi trường</w:t>
      </w:r>
      <w:r>
        <w:rPr>
          <w:sz w:val="26"/>
          <w:szCs w:val="26"/>
          <w:lang w:val="nl-NL"/>
        </w:rPr>
        <w:t>.</w:t>
      </w:r>
    </w:p>
    <w:p w14:paraId="71B7B570" w14:textId="77777777" w:rsidR="00085789" w:rsidRDefault="00000000">
      <w:pPr>
        <w:widowControl w:val="0"/>
        <w:autoSpaceDE w:val="0"/>
        <w:autoSpaceDN w:val="0"/>
        <w:adjustRightInd w:val="0"/>
        <w:spacing w:before="100" w:line="240" w:lineRule="auto"/>
        <w:ind w:firstLine="709"/>
        <w:jc w:val="both"/>
        <w:rPr>
          <w:sz w:val="26"/>
          <w:szCs w:val="26"/>
          <w:lang w:val="nl-NL"/>
        </w:rPr>
      </w:pPr>
      <w:r>
        <w:rPr>
          <w:sz w:val="26"/>
          <w:szCs w:val="26"/>
          <w:lang w:val="nl-NL"/>
        </w:rPr>
        <w:t>Giai đoạn 2021-2024, thu hút mới khoảng 30 dự án đầu tư với tổng vốn gần 3,77 tỷ USD, trong đó vốn FDI khoảng 2,5 tỷ USD, hiện nằm trong nhóm 10 tỉnh thu hút FDI lớn nhất cả nước. Năm 2025 triển khai thực hiện Quy hoạch tỉnh thời kỳ 2021 - 2030, tầm nhìn đến năm 2050 và Chương trình xúc tiến đầu tư năm 2025, tỉnh đã chủ động triển khai các hoạt động xúc tiến đầu tư nhằm quảng bá, kêu gọi các nhà đầu tư trong và ngoài nước đầu tư vào Hà Tĩnh, cụ thể: Đẩy mạnh các hoạt động xúc tiến đầu tư thông qua việc tham gia các hội thảo, hội nghị xúc tiến đầu tư của khu vực, trung ương như: “Diễn đàn kinh doanh Việt Nam - Canada; tăng cường quan hệ kinh tế Việt Nam - Canada trong khuôn khổ CPTPP”; hội chợ VNEXPO 2025; hướng dẫn, hỗ trợ các nhà đầu tư chiến lược nghiên cứu, khảo sát, lập dự án đầu tư như: Công ty TNHH Quản lý Tài sản Singvin (Singapore) và Công ty CP Đầu tư KCN Sơn Hà Đồng Nai đề xuất dự án Nhà máy sản xuất thép không gỉ tại Khu kinh tế Vũng Áng; Tổng công ty Điện lực Dầu khí Việt Nam - CTCP đề xuất dự án Nhà máy nhiệt điện khí LNG Vũng Áng 3 và Tổng Công ty dầu khí Việt Nam đề xuất Dự án Kho LNG Bắc Trung Bộ tại Khu kinh tế Vũng Áng,….</w:t>
      </w:r>
    </w:p>
    <w:p w14:paraId="2FB8755C" w14:textId="77777777" w:rsidR="00085789" w:rsidRDefault="00000000">
      <w:pPr>
        <w:spacing w:before="100" w:line="240" w:lineRule="auto"/>
        <w:ind w:firstLine="567"/>
        <w:jc w:val="both"/>
        <w:rPr>
          <w:sz w:val="26"/>
          <w:szCs w:val="26"/>
          <w:lang w:val="nl-NL"/>
        </w:rPr>
      </w:pPr>
      <w:r>
        <w:rPr>
          <w:sz w:val="26"/>
          <w:szCs w:val="26"/>
          <w:lang w:val="nl-NL"/>
        </w:rPr>
        <w:t>Đến nay, toàn tỉnh có trên 1.550 dự án quy mô khoảng 530.000 tỷ đồng; trong đó có hơn 1.480 dự án trong nước với tổng mức đầu tư hơn 150.000 tỷ đồng; 73 dự án nước ngoài (FDI) với tổng mức đầu tư hơn 16,1 tỷ USD (tương đương 421.176 tỷ đồng). Hiện đã có 13 quốc gia và vùng lãnh thổ đầu tư vào Hà Tĩnh, bao gồm: Đài Loan, Nhật Bản, Hàn Quốc, Singapore, Brunei, Australia, Mỹ, Seychelles, Thái Lan, Lào, Philippines, Trung Quốc, Hồng Kong với nhiều tập đoàn, doanh nghiệp lớn như: Formosa, Mishubishi, Samsung, Kobel,.... Các dự án tập trung vào các ngành nghề: công nghiệp chế biến chế tạo, sản xuất và phân phối điện, khí đốt, nước nóng, hơi nước và điều hòa không khí, xây dựng, bán buôn và bán lẻ, sửa chữa ô tô, mô tô, xe máy và xe có động cơ khác, vận tải, kho bãi, dịch vụ lưu trú và ăn uống, hoạt động kinh doanh bất động sản và hoạt động chuyên môn, khoa học và công nghệ. Nhiều lĩnh vực thu hút được vốn đầu tư trực tiếp nước ngoài nhưng chưa hiệu quả như: nông nghiệp, lâm sản, thủy sản; giáo dục và đào tạo; y tế và hoạt động giúp đỡ xã hội,….</w:t>
      </w:r>
    </w:p>
    <w:p w14:paraId="527B2502" w14:textId="77777777" w:rsidR="00085789" w:rsidRDefault="00000000">
      <w:pPr>
        <w:spacing w:before="120" w:line="240" w:lineRule="auto"/>
        <w:ind w:firstLine="567"/>
        <w:jc w:val="both"/>
        <w:rPr>
          <w:sz w:val="26"/>
          <w:szCs w:val="26"/>
          <w:lang w:val="nl-NL"/>
        </w:rPr>
      </w:pPr>
      <w:r>
        <w:rPr>
          <w:sz w:val="26"/>
          <w:szCs w:val="26"/>
          <w:lang w:val="nl-NL"/>
        </w:rPr>
        <w:t>Mục tiêu đến cuối năm 2025, Hà Tĩnh phấn đấu thu hút trên 30 dự án với tổng mức đầu tư trong nước khoảng 30.000 tỷ đồng và thu hút FDI khoảng 150 triệu USD, trên cơ sở những dự án đang xúc tiến như: Khu công nghiệp phía Tây thành phố Hà Tĩnh; Khu công nghiệp Hạ Vàng; Khu công nghiệp Kỳ Trinh, Kỳ Thịnh; Khu công nghiệp Bắc Hồng Lĩnh; Nhà ở xã hội tại phường Thạch Trung, thành phố Hà Tĩnh; Trung tâm kho cảng LNG tại Khu kinh tế Vũng Áng; hạ tầng kỹ thuật các cụm công nghiệp....</w:t>
      </w:r>
    </w:p>
    <w:p w14:paraId="5947AEB8" w14:textId="77777777" w:rsidR="00085789" w:rsidRDefault="00000000">
      <w:pPr>
        <w:widowControl w:val="0"/>
        <w:autoSpaceDE w:val="0"/>
        <w:autoSpaceDN w:val="0"/>
        <w:adjustRightInd w:val="0"/>
        <w:spacing w:before="120" w:line="240" w:lineRule="auto"/>
        <w:ind w:firstLine="567"/>
        <w:jc w:val="both"/>
        <w:rPr>
          <w:b/>
          <w:bCs/>
          <w:sz w:val="26"/>
          <w:szCs w:val="26"/>
          <w:lang w:val="nl-NL"/>
        </w:rPr>
      </w:pPr>
      <w:r>
        <w:rPr>
          <w:b/>
          <w:bCs/>
          <w:sz w:val="26"/>
          <w:szCs w:val="26"/>
          <w:lang w:val="nl-NL"/>
        </w:rPr>
        <w:lastRenderedPageBreak/>
        <w:t>b) Những vấn đề về thách thức khi hội nhập:</w:t>
      </w:r>
    </w:p>
    <w:p w14:paraId="2E069F63" w14:textId="77777777" w:rsidR="00085789" w:rsidRDefault="00000000">
      <w:pPr>
        <w:widowControl w:val="0"/>
        <w:autoSpaceDE w:val="0"/>
        <w:autoSpaceDN w:val="0"/>
        <w:adjustRightInd w:val="0"/>
        <w:spacing w:before="120" w:line="240" w:lineRule="auto"/>
        <w:ind w:firstLine="567"/>
        <w:jc w:val="both"/>
        <w:rPr>
          <w:sz w:val="26"/>
          <w:szCs w:val="26"/>
          <w:lang w:val="nl-NL"/>
        </w:rPr>
      </w:pPr>
      <w:r>
        <w:rPr>
          <w:sz w:val="26"/>
          <w:szCs w:val="26"/>
          <w:lang w:val="nl-NL"/>
        </w:rPr>
        <w:t>Việc mở cửa và tham gia hội nhập quốc tế là một quá trình tất yếu, lâu dài và đa chiều, mang lại nhiều cơ hội phát triển KT-XH. Tuy nhiên, song song với những lợi ích đó, tỉnh Hà Tĩnh cũng đang phải đối mặt với không ít thách thức. Một số khó khăn có thể kể đến như: áp lực cạnh tranh ngày càng gay gắt giữa doanh nghiệp trong tỉnh với các doanh nghiệp trong và ngoài nước; nguy cơ tụt hậu về trình độ khoa học - công nghệ, năng lực quản trị và chất lượng nguồn nhân lực; thách thức trong việc bảo đảm an ninh kinh tế, giữ gìn bản sắc văn hóa, đồng thời ứng phó với các vấn đề môi trường và BĐKH.</w:t>
      </w:r>
    </w:p>
    <w:p w14:paraId="4F1D6AF0" w14:textId="77777777" w:rsidR="00085789" w:rsidRDefault="00000000">
      <w:pPr>
        <w:widowControl w:val="0"/>
        <w:autoSpaceDE w:val="0"/>
        <w:autoSpaceDN w:val="0"/>
        <w:adjustRightInd w:val="0"/>
        <w:spacing w:before="120" w:line="240" w:lineRule="auto"/>
        <w:ind w:firstLine="567"/>
        <w:jc w:val="both"/>
        <w:rPr>
          <w:spacing w:val="-4"/>
          <w:sz w:val="26"/>
          <w:szCs w:val="26"/>
          <w:lang w:val="nl-NL"/>
        </w:rPr>
      </w:pPr>
      <w:r>
        <w:rPr>
          <w:sz w:val="26"/>
          <w:szCs w:val="26"/>
          <w:lang w:val="nl-NL"/>
        </w:rPr>
        <w:t xml:space="preserve">Bên cạnh đó, việc mở cửa thị trường cũng có thể dẫn đến sự chuyển dịch lao động, </w:t>
      </w:r>
      <w:r>
        <w:rPr>
          <w:spacing w:val="-4"/>
          <w:sz w:val="26"/>
          <w:szCs w:val="26"/>
          <w:lang w:val="nl-NL"/>
        </w:rPr>
        <w:t>ảnh hưởng đến việc làm và thu nhập của một bộ phận người dân, đặc biệt là trong các ngành nghề truyền thống. Do đó, để đảm bảo bền vững và phát triển lâu dài cần phải cân nhắc lợi ích và rủi ro, xây dựng chính sách hỗ trợ kịp thời cho các ngành, các thành phần kinh tế và người lao động.</w:t>
      </w:r>
    </w:p>
    <w:p w14:paraId="369C4817" w14:textId="77777777" w:rsidR="00085789" w:rsidRDefault="00085789">
      <w:pPr>
        <w:pStyle w:val="H1"/>
        <w:rPr>
          <w:lang w:val="nl-NL"/>
        </w:rPr>
      </w:pPr>
    </w:p>
    <w:p w14:paraId="24865819" w14:textId="77777777" w:rsidR="00085789" w:rsidRDefault="00085789">
      <w:pPr>
        <w:pStyle w:val="H1"/>
        <w:rPr>
          <w:lang w:val="nl-NL"/>
        </w:rPr>
      </w:pPr>
    </w:p>
    <w:p w14:paraId="50EE8455" w14:textId="77777777" w:rsidR="00085789" w:rsidRDefault="00085789">
      <w:pPr>
        <w:pStyle w:val="H1"/>
        <w:rPr>
          <w:lang w:val="nl-NL"/>
        </w:rPr>
      </w:pPr>
    </w:p>
    <w:p w14:paraId="69579521" w14:textId="77777777" w:rsidR="00085789" w:rsidRDefault="00085789">
      <w:pPr>
        <w:pStyle w:val="H1"/>
        <w:rPr>
          <w:lang w:val="nl-NL"/>
        </w:rPr>
      </w:pPr>
    </w:p>
    <w:p w14:paraId="6001148A" w14:textId="77777777" w:rsidR="00085789" w:rsidRDefault="00085789">
      <w:pPr>
        <w:pStyle w:val="H1"/>
        <w:rPr>
          <w:lang w:val="nl-NL"/>
        </w:rPr>
      </w:pPr>
    </w:p>
    <w:p w14:paraId="247DCE26" w14:textId="77777777" w:rsidR="00085789" w:rsidRDefault="00085789">
      <w:pPr>
        <w:pStyle w:val="H1"/>
        <w:rPr>
          <w:lang w:val="nl-NL"/>
        </w:rPr>
      </w:pPr>
    </w:p>
    <w:p w14:paraId="095A3D62" w14:textId="77777777" w:rsidR="00085789" w:rsidRDefault="00085789">
      <w:pPr>
        <w:pStyle w:val="H1"/>
        <w:rPr>
          <w:lang w:val="nl-NL"/>
        </w:rPr>
      </w:pPr>
    </w:p>
    <w:p w14:paraId="65F18734" w14:textId="77777777" w:rsidR="00085789" w:rsidRDefault="00085789">
      <w:pPr>
        <w:pStyle w:val="H1"/>
        <w:rPr>
          <w:lang w:val="nl-NL"/>
        </w:rPr>
      </w:pPr>
    </w:p>
    <w:p w14:paraId="7DDCD557" w14:textId="77777777" w:rsidR="00085789" w:rsidRDefault="00085789">
      <w:pPr>
        <w:pStyle w:val="H1"/>
        <w:rPr>
          <w:lang w:val="nl-NL"/>
        </w:rPr>
      </w:pPr>
    </w:p>
    <w:p w14:paraId="1BF169B0" w14:textId="77777777" w:rsidR="00085789" w:rsidRDefault="00085789">
      <w:pPr>
        <w:pStyle w:val="H1"/>
        <w:rPr>
          <w:lang w:val="nl-NL"/>
        </w:rPr>
      </w:pPr>
    </w:p>
    <w:p w14:paraId="17703AD0" w14:textId="77777777" w:rsidR="00085789" w:rsidRDefault="00085789">
      <w:pPr>
        <w:pStyle w:val="H1"/>
        <w:rPr>
          <w:lang w:val="nl-NL"/>
        </w:rPr>
      </w:pPr>
    </w:p>
    <w:p w14:paraId="478D080B" w14:textId="77777777" w:rsidR="00085789" w:rsidRDefault="00085789">
      <w:pPr>
        <w:pStyle w:val="H1"/>
        <w:rPr>
          <w:lang w:val="nl-NL"/>
        </w:rPr>
      </w:pPr>
    </w:p>
    <w:p w14:paraId="087A569B" w14:textId="77777777" w:rsidR="00085789" w:rsidRDefault="00085789">
      <w:pPr>
        <w:pStyle w:val="H1"/>
        <w:rPr>
          <w:lang w:val="nl-NL"/>
        </w:rPr>
      </w:pPr>
    </w:p>
    <w:p w14:paraId="58592C28" w14:textId="77777777" w:rsidR="00085789" w:rsidRDefault="00085789">
      <w:pPr>
        <w:pStyle w:val="H1"/>
        <w:rPr>
          <w:lang w:val="nl-NL"/>
        </w:rPr>
      </w:pPr>
    </w:p>
    <w:p w14:paraId="6FFFEF0B" w14:textId="77777777" w:rsidR="00085789" w:rsidRDefault="00085789">
      <w:pPr>
        <w:pStyle w:val="H1"/>
        <w:rPr>
          <w:lang w:val="nl-NL"/>
        </w:rPr>
      </w:pPr>
    </w:p>
    <w:p w14:paraId="48826425" w14:textId="77777777" w:rsidR="00085789" w:rsidRDefault="00085789">
      <w:pPr>
        <w:pStyle w:val="H1"/>
        <w:rPr>
          <w:lang w:val="nl-NL"/>
        </w:rPr>
      </w:pPr>
    </w:p>
    <w:p w14:paraId="4D48AFB0" w14:textId="77777777" w:rsidR="00085789" w:rsidRDefault="00085789">
      <w:pPr>
        <w:pStyle w:val="H1"/>
        <w:rPr>
          <w:lang w:val="nl-NL"/>
        </w:rPr>
      </w:pPr>
    </w:p>
    <w:p w14:paraId="7888E161" w14:textId="77777777" w:rsidR="00085789" w:rsidRDefault="00085789">
      <w:pPr>
        <w:pStyle w:val="H1"/>
        <w:rPr>
          <w:lang w:val="nl-NL"/>
        </w:rPr>
      </w:pPr>
    </w:p>
    <w:p w14:paraId="363B3C67" w14:textId="77777777" w:rsidR="00085789" w:rsidRDefault="00085789">
      <w:pPr>
        <w:pStyle w:val="H1"/>
        <w:rPr>
          <w:lang w:val="nl-NL"/>
        </w:rPr>
      </w:pPr>
    </w:p>
    <w:p w14:paraId="19890021" w14:textId="77777777" w:rsidR="00085789" w:rsidRDefault="00085789">
      <w:pPr>
        <w:pStyle w:val="H1"/>
        <w:rPr>
          <w:lang w:val="nl-NL"/>
        </w:rPr>
      </w:pPr>
    </w:p>
    <w:p w14:paraId="37D6BB1E" w14:textId="77777777" w:rsidR="00085789" w:rsidRDefault="00000000">
      <w:pPr>
        <w:jc w:val="center"/>
        <w:rPr>
          <w:lang w:val="vi-VN"/>
        </w:rPr>
      </w:pPr>
      <w:r>
        <w:rPr>
          <w:lang w:val="vi-VN"/>
        </w:rPr>
        <w:br w:type="column"/>
      </w:r>
      <w:r>
        <w:rPr>
          <w:b/>
          <w:lang w:val="vi-VN"/>
        </w:rPr>
        <w:lastRenderedPageBreak/>
        <w:t>CHƯƠNG II</w:t>
      </w:r>
      <w:bookmarkEnd w:id="250"/>
      <w:bookmarkEnd w:id="251"/>
      <w:bookmarkEnd w:id="252"/>
      <w:bookmarkEnd w:id="253"/>
    </w:p>
    <w:p w14:paraId="43D55287" w14:textId="77777777" w:rsidR="00085789" w:rsidRDefault="00000000">
      <w:pPr>
        <w:pStyle w:val="H1"/>
        <w:spacing w:after="0" w:line="240" w:lineRule="auto"/>
        <w:rPr>
          <w:lang w:val="vi-VN"/>
        </w:rPr>
      </w:pPr>
      <w:bookmarkStart w:id="259" w:name="_Toc138943335"/>
      <w:bookmarkStart w:id="260" w:name="_Toc138977239"/>
      <w:bookmarkStart w:id="261" w:name="_Toc142915265"/>
      <w:bookmarkStart w:id="262" w:name="_Toc142919495"/>
      <w:r>
        <w:rPr>
          <w:lang w:val="vi-VN"/>
        </w:rPr>
        <w:t xml:space="preserve">SỨC ÉP </w:t>
      </w:r>
      <w:bookmarkStart w:id="263" w:name="_Toc138943336"/>
      <w:bookmarkStart w:id="264" w:name="_Toc138977240"/>
      <w:bookmarkStart w:id="265" w:name="_Toc142915266"/>
      <w:bookmarkStart w:id="266" w:name="_Toc142919496"/>
      <w:bookmarkEnd w:id="254"/>
      <w:bookmarkEnd w:id="259"/>
      <w:bookmarkEnd w:id="260"/>
      <w:bookmarkEnd w:id="261"/>
      <w:bookmarkEnd w:id="262"/>
      <w:r>
        <w:rPr>
          <w:lang w:val="vi-VN"/>
        </w:rPr>
        <w:t>CỦA PHÁT TRIỂN KINH TẾ - XÃ HỘI ĐỐI VỚI MÔI TRƯỜNG</w:t>
      </w:r>
    </w:p>
    <w:p w14:paraId="69CBDCB5" w14:textId="77777777" w:rsidR="00085789" w:rsidRDefault="00085789">
      <w:pPr>
        <w:pStyle w:val="H1"/>
        <w:spacing w:after="0" w:line="240" w:lineRule="auto"/>
        <w:rPr>
          <w:lang w:val="vi-VN"/>
        </w:rPr>
      </w:pPr>
    </w:p>
    <w:p w14:paraId="4CDEF986" w14:textId="77777777" w:rsidR="00085789" w:rsidRDefault="00000000">
      <w:pPr>
        <w:pStyle w:val="bac2"/>
        <w:spacing w:after="0" w:line="240" w:lineRule="auto"/>
        <w:rPr>
          <w:smallCaps/>
          <w:lang w:val="vi-VN"/>
        </w:rPr>
      </w:pPr>
      <w:bookmarkStart w:id="267" w:name="_Toc181861341"/>
      <w:bookmarkStart w:id="268" w:name="_Toc181861940"/>
      <w:bookmarkStart w:id="269" w:name="_Toc193957584"/>
      <w:bookmarkStart w:id="270" w:name="_Toc214311217"/>
      <w:r>
        <w:rPr>
          <w:lang w:val="vi-VN"/>
        </w:rPr>
        <w:t>2.1</w:t>
      </w:r>
      <w:bookmarkEnd w:id="263"/>
      <w:bookmarkEnd w:id="264"/>
      <w:bookmarkEnd w:id="265"/>
      <w:bookmarkEnd w:id="266"/>
      <w:bookmarkEnd w:id="267"/>
      <w:bookmarkEnd w:id="268"/>
      <w:bookmarkEnd w:id="269"/>
      <w:r>
        <w:rPr>
          <w:lang w:val="vi-VN"/>
        </w:rPr>
        <w:t>. Sức ép dân số, vấn đề di cư và quá trình đô thị hóa</w:t>
      </w:r>
      <w:bookmarkEnd w:id="270"/>
    </w:p>
    <w:p w14:paraId="2117677E" w14:textId="77777777" w:rsidR="00085789" w:rsidRDefault="00000000">
      <w:pPr>
        <w:pStyle w:val="hd1"/>
        <w:spacing w:after="0" w:line="240" w:lineRule="auto"/>
        <w:ind w:firstLine="567"/>
        <w:rPr>
          <w:rFonts w:ascii="Times New Roman" w:hAnsi="Times New Roman"/>
          <w:b w:val="0"/>
          <w:bCs/>
          <w:smallCaps/>
          <w:color w:val="auto"/>
          <w:sz w:val="26"/>
          <w:szCs w:val="24"/>
          <w:lang w:val="vi-VN"/>
        </w:rPr>
      </w:pPr>
      <w:r>
        <w:rPr>
          <w:rFonts w:ascii="Times New Roman" w:hAnsi="Times New Roman"/>
          <w:b w:val="0"/>
          <w:bCs/>
          <w:color w:val="auto"/>
          <w:sz w:val="26"/>
          <w:szCs w:val="24"/>
          <w:lang w:val="vi-VN"/>
        </w:rPr>
        <w:t xml:space="preserve">Trong thời gian vừa qua trên địa bàn tỉnh hình thành các khu đô thị, khu dân cư tập trung </w:t>
      </w:r>
      <w:r>
        <w:rPr>
          <w:rFonts w:ascii="Times New Roman" w:hAnsi="Times New Roman"/>
          <w:b w:val="0"/>
          <w:bCs/>
          <w:color w:val="auto"/>
          <w:sz w:val="26"/>
          <w:szCs w:val="24"/>
        </w:rPr>
        <w:t xml:space="preserve">vì vậy </w:t>
      </w:r>
      <w:r>
        <w:rPr>
          <w:rFonts w:ascii="Times New Roman" w:hAnsi="Times New Roman"/>
          <w:b w:val="0"/>
          <w:bCs/>
          <w:color w:val="auto"/>
          <w:sz w:val="26"/>
          <w:szCs w:val="24"/>
          <w:lang w:val="vi-VN"/>
        </w:rPr>
        <w:t>sẽ tạo vấn đề di cư giữa các khu vực. Sự phát triển dân số và quá trình đô thị hóa tại các đô thị sẽ gây sức ép đến việc làm, thu nhập của con người. Tỷ lệ thất nghiệp giữa thành thị và nông thôn ngày càng có khoảng cách khá lớn, trong năm 2020 tỷ lệ thất nghiệp tại thành thị là 5,37</w:t>
      </w:r>
      <w:r>
        <w:rPr>
          <w:rFonts w:ascii="Times New Roman" w:hAnsi="Times New Roman"/>
          <w:b w:val="0"/>
          <w:bCs/>
          <w:color w:val="auto"/>
          <w:sz w:val="26"/>
          <w:szCs w:val="24"/>
        </w:rPr>
        <w:t xml:space="preserve"> </w:t>
      </w:r>
      <w:r>
        <w:rPr>
          <w:rFonts w:ascii="Times New Roman" w:hAnsi="Times New Roman"/>
          <w:b w:val="0"/>
          <w:bCs/>
          <w:color w:val="auto"/>
          <w:sz w:val="26"/>
          <w:szCs w:val="24"/>
          <w:lang w:val="vi-VN"/>
        </w:rPr>
        <w:t>%, tại nông thôn là 4,40</w:t>
      </w:r>
      <w:r>
        <w:rPr>
          <w:rFonts w:ascii="Times New Roman" w:hAnsi="Times New Roman"/>
          <w:b w:val="0"/>
          <w:bCs/>
          <w:color w:val="auto"/>
          <w:sz w:val="26"/>
          <w:szCs w:val="24"/>
        </w:rPr>
        <w:t xml:space="preserve"> </w:t>
      </w:r>
      <w:r>
        <w:rPr>
          <w:rFonts w:ascii="Times New Roman" w:hAnsi="Times New Roman"/>
          <w:b w:val="0"/>
          <w:bCs/>
          <w:color w:val="auto"/>
          <w:sz w:val="26"/>
          <w:szCs w:val="24"/>
          <w:lang w:val="vi-VN"/>
        </w:rPr>
        <w:t>%</w:t>
      </w:r>
      <w:r>
        <w:rPr>
          <w:rFonts w:ascii="Times New Roman" w:hAnsi="Times New Roman"/>
          <w:b w:val="0"/>
          <w:bCs/>
          <w:color w:val="auto"/>
          <w:sz w:val="26"/>
          <w:szCs w:val="24"/>
        </w:rPr>
        <w:t>; t</w:t>
      </w:r>
      <w:r>
        <w:rPr>
          <w:rFonts w:ascii="Times New Roman" w:hAnsi="Times New Roman"/>
          <w:b w:val="0"/>
          <w:bCs/>
          <w:color w:val="auto"/>
          <w:sz w:val="26"/>
          <w:szCs w:val="24"/>
          <w:lang w:val="vi-VN"/>
        </w:rPr>
        <w:t>ừ năm 2021-2024, tỷ lệ thất nghiệp của thành thị thấp hơn tỷ lệ thất nghiệp của khu vực nông thôn. Vấn đề di cư làm mất cân đối cơ cấu lao động giữa thành thị và nông thôn, ở nông thôn số người trong độ tuổi lao động thường di cư vào các thành phố lớn, chỉ còn phụ nữ, trẻ em, người già ở nhà tham gia sản xuất.</w:t>
      </w:r>
    </w:p>
    <w:p w14:paraId="19EA1023" w14:textId="77777777" w:rsidR="00085789" w:rsidRDefault="00000000">
      <w:pPr>
        <w:pStyle w:val="hd1"/>
        <w:spacing w:after="0" w:line="240" w:lineRule="auto"/>
        <w:ind w:firstLine="567"/>
        <w:rPr>
          <w:rFonts w:ascii="Times New Roman" w:hAnsi="Times New Roman"/>
          <w:b w:val="0"/>
          <w:bCs/>
          <w:smallCaps/>
          <w:color w:val="auto"/>
          <w:sz w:val="26"/>
          <w:szCs w:val="24"/>
          <w:lang w:val="vi-VN"/>
        </w:rPr>
      </w:pPr>
      <w:r>
        <w:rPr>
          <w:rFonts w:ascii="Times New Roman" w:hAnsi="Times New Roman"/>
          <w:b w:val="0"/>
          <w:bCs/>
          <w:color w:val="auto"/>
          <w:sz w:val="26"/>
          <w:szCs w:val="24"/>
          <w:lang w:val="vi-VN"/>
        </w:rPr>
        <w:t>Quá trình đô thị hoá đồng nghĩa với tập trung dân cư và phát triển công nghiệp, góp phần tăng trưởng kinh tế. Bên cạnh những mặt tích cực, quá trình đô thị hoá cũng tạo ra nhiều vấn đề thách thức về kết cấu hạ tầng, sử dụng nguồn tài nguyên đất, nước kéo theo gia tăng lượng chất thải ra môi trường (</w:t>
      </w:r>
      <w:r>
        <w:rPr>
          <w:rFonts w:ascii="Times New Roman" w:hAnsi="Times New Roman"/>
          <w:b w:val="0"/>
          <w:bCs/>
          <w:color w:val="auto"/>
          <w:sz w:val="26"/>
          <w:szCs w:val="24"/>
        </w:rPr>
        <w:t xml:space="preserve">CTR, </w:t>
      </w:r>
      <w:r>
        <w:rPr>
          <w:rFonts w:ascii="Times New Roman" w:hAnsi="Times New Roman"/>
          <w:b w:val="0"/>
          <w:bCs/>
          <w:color w:val="auto"/>
          <w:sz w:val="26"/>
          <w:szCs w:val="24"/>
          <w:lang w:val="vi-VN"/>
        </w:rPr>
        <w:t xml:space="preserve">nước thải, khí thải). </w:t>
      </w:r>
    </w:p>
    <w:p w14:paraId="4379CD81" w14:textId="77777777" w:rsidR="00085789" w:rsidRDefault="00000000">
      <w:pPr>
        <w:pStyle w:val="hd1"/>
        <w:spacing w:after="0" w:line="240" w:lineRule="auto"/>
        <w:ind w:firstLine="567"/>
        <w:rPr>
          <w:rFonts w:ascii="Times New Roman" w:hAnsi="Times New Roman"/>
          <w:b w:val="0"/>
          <w:bCs/>
          <w:smallCaps/>
          <w:color w:val="auto"/>
          <w:sz w:val="26"/>
          <w:szCs w:val="24"/>
          <w:lang w:val="vi-VN"/>
        </w:rPr>
      </w:pPr>
      <w:r>
        <w:rPr>
          <w:rFonts w:ascii="Times New Roman" w:hAnsi="Times New Roman"/>
          <w:color w:val="auto"/>
          <w:sz w:val="26"/>
          <w:szCs w:val="24"/>
          <w:lang w:val="vi-VN"/>
        </w:rPr>
        <w:t xml:space="preserve">* Đối với </w:t>
      </w:r>
      <w:r>
        <w:rPr>
          <w:rFonts w:ascii="Times New Roman" w:hAnsi="Times New Roman"/>
          <w:color w:val="auto"/>
          <w:sz w:val="26"/>
          <w:szCs w:val="24"/>
        </w:rPr>
        <w:t>CTRSH</w:t>
      </w:r>
      <w:r>
        <w:rPr>
          <w:rFonts w:ascii="Times New Roman" w:hAnsi="Times New Roman"/>
          <w:b w:val="0"/>
          <w:bCs/>
          <w:color w:val="auto"/>
          <w:sz w:val="26"/>
          <w:szCs w:val="24"/>
          <w:lang w:val="vi-VN"/>
        </w:rPr>
        <w:t>:</w:t>
      </w:r>
    </w:p>
    <w:p w14:paraId="32CDAFF2" w14:textId="77777777" w:rsidR="00085789" w:rsidRDefault="00000000">
      <w:pPr>
        <w:pStyle w:val="hd1"/>
        <w:spacing w:after="0" w:line="240" w:lineRule="auto"/>
        <w:ind w:firstLine="709"/>
        <w:rPr>
          <w:rFonts w:asciiTheme="majorHAnsi" w:hAnsiTheme="majorHAnsi"/>
          <w:b w:val="0"/>
          <w:bCs/>
          <w:color w:val="auto"/>
          <w:spacing w:val="0"/>
          <w:sz w:val="26"/>
          <w:lang w:val="vi-VN"/>
        </w:rPr>
      </w:pPr>
      <w:r>
        <w:rPr>
          <w:rFonts w:asciiTheme="majorHAnsi" w:hAnsiTheme="majorHAnsi"/>
          <w:b w:val="0"/>
          <w:bCs/>
          <w:color w:val="auto"/>
          <w:spacing w:val="0"/>
          <w:sz w:val="26"/>
          <w:lang w:val="vi-VN"/>
        </w:rPr>
        <w:t>CTRSH phát sinh chủ yếu từ các hộ gia đình, các khu vực công cộng (đường phố, chợ, các trung tâm thương mại, văn phòng, trường học</w:t>
      </w:r>
      <w:r>
        <w:rPr>
          <w:rFonts w:asciiTheme="majorHAnsi" w:hAnsiTheme="majorHAnsi"/>
          <w:b w:val="0"/>
          <w:bCs/>
          <w:color w:val="auto"/>
          <w:spacing w:val="0"/>
          <w:sz w:val="26"/>
        </w:rPr>
        <w:t>,</w:t>
      </w:r>
      <w:r>
        <w:rPr>
          <w:rFonts w:asciiTheme="majorHAnsi" w:hAnsiTheme="majorHAnsi"/>
          <w:b w:val="0"/>
          <w:bCs/>
          <w:color w:val="auto"/>
          <w:spacing w:val="0"/>
          <w:sz w:val="26"/>
          <w:lang w:val="vi-VN"/>
        </w:rPr>
        <w:t>...). Về thành phần CTRSH phát sinh</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gồm: chất thải hữu cơ chiếm khoảng 50,2-68,9</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 chất thải nhựa 3,4-10,6</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 giấy, bìa 3,3-6,6</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 kim loại, thủy tinh, sành sứ, chất trơ khoảng 16,8-28,2</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 cao su và da: 0-2,5</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 xác động thực vật: 1,5-2,5</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 chất thải nguy hại: 0-1</w:t>
      </w:r>
      <w:r>
        <w:rPr>
          <w:rFonts w:asciiTheme="majorHAnsi" w:hAnsiTheme="majorHAnsi"/>
          <w:b w:val="0"/>
          <w:bCs/>
          <w:color w:val="auto"/>
          <w:spacing w:val="0"/>
          <w:sz w:val="26"/>
        </w:rPr>
        <w:t xml:space="preserve"> </w:t>
      </w:r>
      <w:r>
        <w:rPr>
          <w:rFonts w:asciiTheme="majorHAnsi" w:hAnsiTheme="majorHAnsi"/>
          <w:b w:val="0"/>
          <w:bCs/>
          <w:color w:val="auto"/>
          <w:spacing w:val="0"/>
          <w:sz w:val="26"/>
          <w:lang w:val="vi-VN"/>
        </w:rPr>
        <w:t>%.</w:t>
      </w:r>
    </w:p>
    <w:p w14:paraId="17E3A7D7" w14:textId="77777777" w:rsidR="00085789" w:rsidRDefault="00000000">
      <w:pPr>
        <w:pBdr>
          <w:top w:val="dotted" w:sz="4" w:space="0" w:color="FFFFFF"/>
          <w:left w:val="dotted" w:sz="4" w:space="0" w:color="FFFFFF"/>
          <w:bottom w:val="dotted" w:sz="4" w:space="0" w:color="FFFFFF"/>
          <w:right w:val="dotted" w:sz="4" w:space="0" w:color="FFFFFF"/>
        </w:pBdr>
        <w:shd w:val="clear" w:color="auto" w:fill="FFFFFF"/>
        <w:spacing w:before="60" w:line="240" w:lineRule="auto"/>
        <w:ind w:firstLine="720"/>
        <w:jc w:val="both"/>
        <w:rPr>
          <w:rFonts w:asciiTheme="majorHAnsi" w:hAnsiTheme="majorHAnsi" w:cstheme="majorHAnsi"/>
          <w:bCs/>
          <w:sz w:val="26"/>
          <w:szCs w:val="26"/>
          <w:lang w:val="vi-VN"/>
        </w:rPr>
      </w:pPr>
      <w:r>
        <w:rPr>
          <w:rFonts w:asciiTheme="majorHAnsi" w:hAnsiTheme="majorHAnsi" w:cstheme="majorHAnsi"/>
          <w:bCs/>
          <w:sz w:val="26"/>
          <w:szCs w:val="26"/>
          <w:lang w:val="vi-VN"/>
        </w:rPr>
        <w:t>Từ năm 2020 đến tháng 10/2025, tổng khối lượng CTR</w:t>
      </w:r>
      <w:r>
        <w:rPr>
          <w:rFonts w:asciiTheme="majorHAnsi" w:hAnsiTheme="majorHAnsi" w:cstheme="majorHAnsi"/>
          <w:bCs/>
          <w:sz w:val="26"/>
          <w:szCs w:val="26"/>
        </w:rPr>
        <w:t>SH</w:t>
      </w:r>
      <w:r>
        <w:rPr>
          <w:rFonts w:asciiTheme="majorHAnsi" w:hAnsiTheme="majorHAnsi" w:cstheme="majorHAnsi"/>
          <w:bCs/>
          <w:sz w:val="26"/>
          <w:szCs w:val="26"/>
          <w:lang w:val="vi-VN"/>
        </w:rPr>
        <w:t xml:space="preserve"> phát sinh khoảng 4.439,2 tấn/ngày tương đương khoảng 1.620.308 tấn/năm. Nhìn chung khối lượng CTR</w:t>
      </w:r>
      <w:r>
        <w:rPr>
          <w:rFonts w:asciiTheme="majorHAnsi" w:hAnsiTheme="majorHAnsi" w:cstheme="majorHAnsi"/>
          <w:bCs/>
          <w:sz w:val="26"/>
          <w:szCs w:val="26"/>
        </w:rPr>
        <w:t>SH</w:t>
      </w:r>
      <w:r>
        <w:rPr>
          <w:rFonts w:asciiTheme="majorHAnsi" w:hAnsiTheme="majorHAnsi" w:cstheme="majorHAnsi"/>
          <w:bCs/>
          <w:sz w:val="26"/>
          <w:szCs w:val="26"/>
          <w:lang w:val="vi-VN"/>
        </w:rPr>
        <w:t xml:space="preserve"> tăng lên theo từng năm, tuy nhiên trong năm 2024, khối lượng CTR</w:t>
      </w:r>
      <w:r>
        <w:rPr>
          <w:rFonts w:asciiTheme="majorHAnsi" w:hAnsiTheme="majorHAnsi" w:cstheme="majorHAnsi"/>
          <w:bCs/>
          <w:sz w:val="26"/>
          <w:szCs w:val="26"/>
        </w:rPr>
        <w:t>SH</w:t>
      </w:r>
      <w:r>
        <w:rPr>
          <w:rFonts w:asciiTheme="majorHAnsi" w:hAnsiTheme="majorHAnsi" w:cstheme="majorHAnsi"/>
          <w:bCs/>
          <w:sz w:val="26"/>
          <w:szCs w:val="26"/>
          <w:lang w:val="vi-VN"/>
        </w:rPr>
        <w:t xml:space="preserve"> giảm từ 829,8 tấn/ngày (2023) xuống còn 744,1 tấn/ngày (2024) cho thấy các giải pháp thực hiện phân loại rác tại nguồn đã đạt được kết quả tốt. Tỷ lệ thu gom được cải thiện rõ rệt, từ mức 72,13</w:t>
      </w:r>
      <w:r>
        <w:rPr>
          <w:rFonts w:asciiTheme="majorHAnsi" w:hAnsiTheme="majorHAnsi" w:cstheme="majorHAnsi"/>
          <w:bCs/>
          <w:sz w:val="26"/>
          <w:szCs w:val="26"/>
        </w:rPr>
        <w:t xml:space="preserve"> </w:t>
      </w:r>
      <w:r>
        <w:rPr>
          <w:rFonts w:asciiTheme="majorHAnsi" w:hAnsiTheme="majorHAnsi" w:cstheme="majorHAnsi"/>
          <w:bCs/>
          <w:sz w:val="26"/>
          <w:szCs w:val="26"/>
          <w:lang w:val="vi-VN"/>
        </w:rPr>
        <w:t>% năm 2020, đến năm 2025 đã đạt 9</w:t>
      </w:r>
      <w:r>
        <w:rPr>
          <w:rFonts w:asciiTheme="majorHAnsi" w:hAnsiTheme="majorHAnsi" w:cstheme="majorHAnsi"/>
          <w:bCs/>
          <w:sz w:val="26"/>
          <w:szCs w:val="26"/>
        </w:rPr>
        <w:t xml:space="preserve">6,5 </w:t>
      </w:r>
      <w:r>
        <w:rPr>
          <w:rFonts w:asciiTheme="majorHAnsi" w:hAnsiTheme="majorHAnsi" w:cstheme="majorHAnsi"/>
          <w:bCs/>
          <w:sz w:val="26"/>
          <w:szCs w:val="26"/>
          <w:lang w:val="vi-VN"/>
        </w:rPr>
        <w:t>%.</w:t>
      </w:r>
    </w:p>
    <w:p w14:paraId="13AA9D2E" w14:textId="77777777" w:rsidR="00085789" w:rsidRDefault="00000000">
      <w:pPr>
        <w:pStyle w:val="-bac4"/>
        <w:rPr>
          <w:smallCaps/>
          <w:lang w:val="vi-VN"/>
        </w:rPr>
      </w:pPr>
      <w:bookmarkStart w:id="271" w:name="_Toc205915666"/>
      <w:bookmarkStart w:id="272" w:name="_Toc213597363"/>
      <w:bookmarkStart w:id="273" w:name="_Toc213600737"/>
      <w:r>
        <w:rPr>
          <w:lang w:val="vi-VN"/>
        </w:rPr>
        <w:t>Bảng 2.1. Khối lượng chất thải rắn sinh hoạt phát sinh từ năm 2020-2025</w:t>
      </w:r>
      <w:bookmarkEnd w:id="271"/>
      <w:bookmarkEnd w:id="272"/>
      <w:bookmarkEnd w:id="273"/>
    </w:p>
    <w:tbl>
      <w:tblPr>
        <w:tblStyle w:val="TableGrid"/>
        <w:tblW w:w="9493" w:type="dxa"/>
        <w:tblLook w:val="04A0" w:firstRow="1" w:lastRow="0" w:firstColumn="1" w:lastColumn="0" w:noHBand="0" w:noVBand="1"/>
      </w:tblPr>
      <w:tblGrid>
        <w:gridCol w:w="747"/>
        <w:gridCol w:w="1865"/>
        <w:gridCol w:w="2853"/>
        <w:gridCol w:w="1524"/>
        <w:gridCol w:w="2504"/>
      </w:tblGrid>
      <w:tr w:rsidR="00085789" w14:paraId="785FDA63" w14:textId="77777777">
        <w:trPr>
          <w:tblHeader/>
        </w:trPr>
        <w:tc>
          <w:tcPr>
            <w:tcW w:w="747" w:type="dxa"/>
            <w:vAlign w:val="center"/>
          </w:tcPr>
          <w:p w14:paraId="135C986C" w14:textId="77777777" w:rsidR="00085789" w:rsidRDefault="00000000">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STT</w:t>
            </w:r>
          </w:p>
        </w:tc>
        <w:tc>
          <w:tcPr>
            <w:tcW w:w="1865" w:type="dxa"/>
            <w:vAlign w:val="center"/>
          </w:tcPr>
          <w:p w14:paraId="62502F3D" w14:textId="77777777" w:rsidR="00085789" w:rsidRDefault="00000000">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Năm</w:t>
            </w:r>
          </w:p>
        </w:tc>
        <w:tc>
          <w:tcPr>
            <w:tcW w:w="2853" w:type="dxa"/>
            <w:vAlign w:val="center"/>
          </w:tcPr>
          <w:p w14:paraId="3931265B" w14:textId="77777777" w:rsidR="00085789" w:rsidRDefault="00000000">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Khối lượng CTRSH phát sinh (tấn/ngày)</w:t>
            </w:r>
          </w:p>
        </w:tc>
        <w:tc>
          <w:tcPr>
            <w:tcW w:w="1524" w:type="dxa"/>
            <w:vAlign w:val="center"/>
          </w:tcPr>
          <w:p w14:paraId="2D9939D1" w14:textId="77777777" w:rsidR="00085789" w:rsidRDefault="00000000">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Tỷ lệ  thu gom (%)</w:t>
            </w:r>
          </w:p>
        </w:tc>
        <w:tc>
          <w:tcPr>
            <w:tcW w:w="2504" w:type="dxa"/>
            <w:vAlign w:val="center"/>
          </w:tcPr>
          <w:p w14:paraId="6A4BC8B6" w14:textId="77777777" w:rsidR="00085789" w:rsidRDefault="00000000">
            <w:pPr>
              <w:pStyle w:val="hd1"/>
              <w:spacing w:before="40" w:after="40" w:line="240" w:lineRule="auto"/>
              <w:jc w:val="center"/>
              <w:rPr>
                <w:rFonts w:ascii="Times New Roman" w:hAnsi="Times New Roman"/>
                <w:smallCaps/>
                <w:color w:val="auto"/>
                <w:sz w:val="24"/>
                <w:szCs w:val="24"/>
              </w:rPr>
            </w:pPr>
            <w:r>
              <w:rPr>
                <w:rFonts w:ascii="Times New Roman" w:hAnsi="Times New Roman"/>
                <w:color w:val="auto"/>
                <w:sz w:val="24"/>
                <w:szCs w:val="24"/>
              </w:rPr>
              <w:t>Tỷ lệ CTRSH  được xử lý đúng quy định (%)</w:t>
            </w:r>
          </w:p>
        </w:tc>
      </w:tr>
      <w:tr w:rsidR="00085789" w14:paraId="26090C36" w14:textId="77777777">
        <w:tc>
          <w:tcPr>
            <w:tcW w:w="747" w:type="dxa"/>
          </w:tcPr>
          <w:p w14:paraId="1049F3DD"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1</w:t>
            </w:r>
          </w:p>
        </w:tc>
        <w:tc>
          <w:tcPr>
            <w:tcW w:w="1865" w:type="dxa"/>
          </w:tcPr>
          <w:p w14:paraId="001D2E58"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2020</w:t>
            </w:r>
          </w:p>
        </w:tc>
        <w:tc>
          <w:tcPr>
            <w:tcW w:w="2853" w:type="dxa"/>
          </w:tcPr>
          <w:p w14:paraId="7A879D43"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663,6</w:t>
            </w:r>
          </w:p>
        </w:tc>
        <w:tc>
          <w:tcPr>
            <w:tcW w:w="1524" w:type="dxa"/>
          </w:tcPr>
          <w:p w14:paraId="3FA9157E"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72,13</w:t>
            </w:r>
          </w:p>
        </w:tc>
        <w:tc>
          <w:tcPr>
            <w:tcW w:w="2504" w:type="dxa"/>
          </w:tcPr>
          <w:p w14:paraId="54AA5844"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w:t>
            </w:r>
          </w:p>
        </w:tc>
      </w:tr>
      <w:tr w:rsidR="00085789" w14:paraId="50710BBE" w14:textId="77777777">
        <w:tc>
          <w:tcPr>
            <w:tcW w:w="747" w:type="dxa"/>
          </w:tcPr>
          <w:p w14:paraId="44262F7C"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w:t>
            </w:r>
          </w:p>
        </w:tc>
        <w:tc>
          <w:tcPr>
            <w:tcW w:w="1865" w:type="dxa"/>
          </w:tcPr>
          <w:p w14:paraId="07F886E9"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2021</w:t>
            </w:r>
          </w:p>
        </w:tc>
        <w:tc>
          <w:tcPr>
            <w:tcW w:w="2853" w:type="dxa"/>
          </w:tcPr>
          <w:p w14:paraId="645C4A78"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690,9</w:t>
            </w:r>
          </w:p>
        </w:tc>
        <w:tc>
          <w:tcPr>
            <w:tcW w:w="1524" w:type="dxa"/>
          </w:tcPr>
          <w:p w14:paraId="43A1D5C7"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93,7</w:t>
            </w:r>
          </w:p>
        </w:tc>
        <w:tc>
          <w:tcPr>
            <w:tcW w:w="2504" w:type="dxa"/>
          </w:tcPr>
          <w:p w14:paraId="32931A9F"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86,5</w:t>
            </w:r>
          </w:p>
        </w:tc>
      </w:tr>
      <w:tr w:rsidR="00085789" w14:paraId="1959BF3F" w14:textId="77777777">
        <w:tc>
          <w:tcPr>
            <w:tcW w:w="747" w:type="dxa"/>
          </w:tcPr>
          <w:p w14:paraId="1BDC6AE4"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3</w:t>
            </w:r>
          </w:p>
        </w:tc>
        <w:tc>
          <w:tcPr>
            <w:tcW w:w="1865" w:type="dxa"/>
          </w:tcPr>
          <w:p w14:paraId="71FD71C2"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2022</w:t>
            </w:r>
          </w:p>
        </w:tc>
        <w:tc>
          <w:tcPr>
            <w:tcW w:w="2853" w:type="dxa"/>
          </w:tcPr>
          <w:p w14:paraId="230223E0"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718,1</w:t>
            </w:r>
          </w:p>
        </w:tc>
        <w:tc>
          <w:tcPr>
            <w:tcW w:w="1524" w:type="dxa"/>
          </w:tcPr>
          <w:p w14:paraId="242720B8"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93,3</w:t>
            </w:r>
          </w:p>
        </w:tc>
        <w:tc>
          <w:tcPr>
            <w:tcW w:w="2504" w:type="dxa"/>
          </w:tcPr>
          <w:p w14:paraId="0C1EEC3E"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87</w:t>
            </w:r>
          </w:p>
        </w:tc>
      </w:tr>
      <w:tr w:rsidR="00085789" w14:paraId="5662BD0E" w14:textId="77777777">
        <w:tc>
          <w:tcPr>
            <w:tcW w:w="747" w:type="dxa"/>
          </w:tcPr>
          <w:p w14:paraId="230A9A9F"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4</w:t>
            </w:r>
          </w:p>
        </w:tc>
        <w:tc>
          <w:tcPr>
            <w:tcW w:w="1865" w:type="dxa"/>
          </w:tcPr>
          <w:p w14:paraId="68DA8B38"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2023</w:t>
            </w:r>
          </w:p>
        </w:tc>
        <w:tc>
          <w:tcPr>
            <w:tcW w:w="2853" w:type="dxa"/>
          </w:tcPr>
          <w:p w14:paraId="231BCBCC"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829,8</w:t>
            </w:r>
          </w:p>
        </w:tc>
        <w:tc>
          <w:tcPr>
            <w:tcW w:w="1524" w:type="dxa"/>
          </w:tcPr>
          <w:p w14:paraId="7C660C86"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93,9</w:t>
            </w:r>
          </w:p>
        </w:tc>
        <w:tc>
          <w:tcPr>
            <w:tcW w:w="2504" w:type="dxa"/>
          </w:tcPr>
          <w:p w14:paraId="71FB7274"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88</w:t>
            </w:r>
          </w:p>
        </w:tc>
      </w:tr>
      <w:tr w:rsidR="00085789" w14:paraId="5F15A03C" w14:textId="77777777">
        <w:tc>
          <w:tcPr>
            <w:tcW w:w="747" w:type="dxa"/>
          </w:tcPr>
          <w:p w14:paraId="24FBB81A"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5</w:t>
            </w:r>
          </w:p>
        </w:tc>
        <w:tc>
          <w:tcPr>
            <w:tcW w:w="1865" w:type="dxa"/>
          </w:tcPr>
          <w:p w14:paraId="67D27424"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2024</w:t>
            </w:r>
          </w:p>
        </w:tc>
        <w:tc>
          <w:tcPr>
            <w:tcW w:w="2853" w:type="dxa"/>
          </w:tcPr>
          <w:p w14:paraId="0FBE79D9"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744,1</w:t>
            </w:r>
          </w:p>
        </w:tc>
        <w:tc>
          <w:tcPr>
            <w:tcW w:w="1524" w:type="dxa"/>
          </w:tcPr>
          <w:p w14:paraId="19553B79"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95,2</w:t>
            </w:r>
          </w:p>
        </w:tc>
        <w:tc>
          <w:tcPr>
            <w:tcW w:w="2504" w:type="dxa"/>
          </w:tcPr>
          <w:p w14:paraId="75D748ED" w14:textId="77777777" w:rsidR="00085789" w:rsidRDefault="00000000">
            <w:pPr>
              <w:pStyle w:val="hd1"/>
              <w:spacing w:before="40" w:after="4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94,9</w:t>
            </w:r>
          </w:p>
        </w:tc>
      </w:tr>
      <w:tr w:rsidR="00085789" w14:paraId="19B018B7" w14:textId="77777777">
        <w:tc>
          <w:tcPr>
            <w:tcW w:w="747" w:type="dxa"/>
          </w:tcPr>
          <w:p w14:paraId="5BB10C9D" w14:textId="77777777" w:rsidR="00085789" w:rsidRDefault="00000000">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6</w:t>
            </w:r>
          </w:p>
        </w:tc>
        <w:tc>
          <w:tcPr>
            <w:tcW w:w="1865" w:type="dxa"/>
          </w:tcPr>
          <w:p w14:paraId="323DD5AD" w14:textId="77777777" w:rsidR="00085789" w:rsidRDefault="00000000">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10/2025</w:t>
            </w:r>
          </w:p>
        </w:tc>
        <w:tc>
          <w:tcPr>
            <w:tcW w:w="2853" w:type="dxa"/>
          </w:tcPr>
          <w:p w14:paraId="093B243E" w14:textId="77777777" w:rsidR="00085789" w:rsidRDefault="00000000">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792,7</w:t>
            </w:r>
          </w:p>
        </w:tc>
        <w:tc>
          <w:tcPr>
            <w:tcW w:w="1524" w:type="dxa"/>
          </w:tcPr>
          <w:p w14:paraId="3CEA228F" w14:textId="77777777" w:rsidR="00085789" w:rsidRDefault="00000000">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96,5</w:t>
            </w:r>
          </w:p>
        </w:tc>
        <w:tc>
          <w:tcPr>
            <w:tcW w:w="2504" w:type="dxa"/>
          </w:tcPr>
          <w:p w14:paraId="7D3C9F16" w14:textId="77777777" w:rsidR="00085789" w:rsidRDefault="00000000">
            <w:pPr>
              <w:pStyle w:val="hd1"/>
              <w:spacing w:before="40" w:after="40" w:line="240" w:lineRule="auto"/>
              <w:jc w:val="center"/>
              <w:rPr>
                <w:rFonts w:ascii="Times New Roman" w:hAnsi="Times New Roman"/>
                <w:b w:val="0"/>
                <w:bCs/>
                <w:color w:val="auto"/>
                <w:sz w:val="24"/>
                <w:szCs w:val="24"/>
              </w:rPr>
            </w:pPr>
            <w:r>
              <w:rPr>
                <w:rFonts w:ascii="Times New Roman" w:hAnsi="Times New Roman"/>
                <w:b w:val="0"/>
                <w:bCs/>
                <w:color w:val="auto"/>
                <w:sz w:val="24"/>
                <w:szCs w:val="24"/>
              </w:rPr>
              <w:t>95</w:t>
            </w:r>
          </w:p>
        </w:tc>
      </w:tr>
    </w:tbl>
    <w:p w14:paraId="13B0D290" w14:textId="77777777" w:rsidR="00085789" w:rsidRDefault="00000000">
      <w:pPr>
        <w:pBdr>
          <w:top w:val="dotted" w:sz="4" w:space="0" w:color="FFFFFF"/>
          <w:left w:val="dotted" w:sz="4" w:space="0" w:color="FFFFFF"/>
          <w:bottom w:val="dotted" w:sz="4" w:space="0" w:color="FFFFFF"/>
          <w:right w:val="dotted" w:sz="4" w:space="0" w:color="FFFFFF"/>
        </w:pBdr>
        <w:shd w:val="clear" w:color="auto" w:fill="FFFFFF"/>
        <w:spacing w:before="60" w:line="240" w:lineRule="auto"/>
        <w:ind w:firstLine="720"/>
        <w:jc w:val="both"/>
        <w:rPr>
          <w:rFonts w:asciiTheme="majorHAnsi" w:hAnsiTheme="majorHAnsi" w:cstheme="majorHAnsi"/>
          <w:bCs/>
          <w:sz w:val="26"/>
          <w:szCs w:val="26"/>
        </w:rPr>
      </w:pPr>
      <w:r>
        <w:rPr>
          <w:rFonts w:asciiTheme="majorHAnsi" w:hAnsiTheme="majorHAnsi" w:cstheme="majorHAnsi"/>
          <w:bCs/>
          <w:sz w:val="26"/>
          <w:szCs w:val="26"/>
        </w:rPr>
        <w:t xml:space="preserve">Tỷ lệ CTR được xử lý đúng quy định có xu hướng tăng, năm 2021 đạt 86,5 %, tăng dần qua các năm và đến tháng 10/2025 đạt 95 %. Đây là kết quả của việc đầu tư, nâng cấp các cơ sở xử lý CTR, khuyến khích áp dụng công nghệ xử lý tiên tiến, đồng thời tăng cường công tác quản lý, giám sát. Theo Đề án thu gom, vận chuyển, xử lý CTRSH trên địa bàn tỉnh đến năm 2025 và những năm tiếp theo, dự báo khối lượng CTRSH phát sinh đến năm 2032 khoảng 1.153 tấn/ngày (khu vực đô thị là 447 tấn/ngày, khu vực nông thôn là 706 tấn/ngày) và đến năm 2035 khoảng 1.304 tấn/ngày (khu vực đô thị là 506 tấn/ngày, khu </w:t>
      </w:r>
      <w:r>
        <w:rPr>
          <w:rFonts w:asciiTheme="majorHAnsi" w:hAnsiTheme="majorHAnsi" w:cstheme="majorHAnsi"/>
          <w:bCs/>
          <w:sz w:val="26"/>
          <w:szCs w:val="26"/>
        </w:rPr>
        <w:lastRenderedPageBreak/>
        <w:t>vực nông thôn là 798 tấn/ngày). Sự gia tăng nhanh chóng khối lượng rác thải ở đô thị sẽ tạo áp lực lớn lên hệ thống thu gom, vận chuyển và xử lý, đòi hỏi phải đầu tư hạ tầng, công nghệ xử lý tiên tiến và nâng cao năng lực quản lý CTR.</w:t>
      </w:r>
    </w:p>
    <w:p w14:paraId="018AACFE" w14:textId="77777777" w:rsidR="00085789" w:rsidRDefault="00000000">
      <w:pPr>
        <w:spacing w:before="60" w:line="240" w:lineRule="auto"/>
        <w:ind w:firstLine="720"/>
        <w:jc w:val="both"/>
        <w:rPr>
          <w:rFonts w:asciiTheme="majorHAnsi" w:hAnsiTheme="majorHAnsi" w:cstheme="majorHAnsi"/>
          <w:b/>
          <w:bCs/>
          <w:sz w:val="26"/>
          <w:szCs w:val="26"/>
        </w:rPr>
      </w:pPr>
      <w:r>
        <w:rPr>
          <w:rFonts w:asciiTheme="majorHAnsi" w:hAnsiTheme="majorHAnsi" w:cstheme="majorHAnsi"/>
          <w:b/>
          <w:bCs/>
          <w:sz w:val="26"/>
          <w:szCs w:val="26"/>
        </w:rPr>
        <w:t>* Đối với nước thải:</w:t>
      </w:r>
    </w:p>
    <w:p w14:paraId="401B351C" w14:textId="77777777" w:rsidR="00085789" w:rsidRDefault="00000000">
      <w:pPr>
        <w:spacing w:before="60" w:line="240" w:lineRule="auto"/>
        <w:ind w:firstLine="720"/>
        <w:jc w:val="both"/>
        <w:rPr>
          <w:spacing w:val="-6"/>
          <w:sz w:val="26"/>
          <w:szCs w:val="26"/>
        </w:rPr>
      </w:pPr>
      <w:r>
        <w:rPr>
          <w:rFonts w:asciiTheme="majorHAnsi" w:hAnsiTheme="majorHAnsi" w:cstheme="majorHAnsi"/>
          <w:sz w:val="26"/>
          <w:szCs w:val="26"/>
        </w:rPr>
        <w:t>Hiện nay, nhu cầu nước cấp cho sinh hoạt trên địa bản tỉnh Hà Tĩnh chủ yếu lấy từ nguồn nước mặt (sông, hồ). Từ năm 2020 đến năm 2024, ước tính tổng nhu cầu cấp nước sinh hoạt trên địa bàn tỉnh Hà Tĩnh khoảng 278,95 triệu</w:t>
      </w:r>
      <w:r>
        <w:rPr>
          <w:spacing w:val="-6"/>
          <w:sz w:val="26"/>
          <w:szCs w:val="26"/>
        </w:rPr>
        <w:t xml:space="preserve"> m</w:t>
      </w:r>
      <w:r>
        <w:rPr>
          <w:spacing w:val="-6"/>
          <w:sz w:val="26"/>
          <w:szCs w:val="26"/>
          <w:vertAlign w:val="superscript"/>
        </w:rPr>
        <w:t>3</w:t>
      </w:r>
      <w:r>
        <w:rPr>
          <w:spacing w:val="-6"/>
          <w:sz w:val="26"/>
          <w:szCs w:val="26"/>
        </w:rPr>
        <w:t xml:space="preserve">/năm, lượng nước thải khoảng 109,37 </w:t>
      </w:r>
      <w:r>
        <w:rPr>
          <w:rFonts w:asciiTheme="majorHAnsi" w:hAnsiTheme="majorHAnsi" w:cstheme="majorHAnsi"/>
          <w:sz w:val="26"/>
          <w:szCs w:val="26"/>
        </w:rPr>
        <w:t>triệu</w:t>
      </w:r>
      <w:r>
        <w:rPr>
          <w:spacing w:val="-6"/>
          <w:sz w:val="26"/>
          <w:szCs w:val="26"/>
        </w:rPr>
        <w:t xml:space="preserve"> m</w:t>
      </w:r>
      <w:r>
        <w:rPr>
          <w:spacing w:val="-6"/>
          <w:sz w:val="26"/>
          <w:szCs w:val="26"/>
          <w:vertAlign w:val="superscript"/>
        </w:rPr>
        <w:t>3</w:t>
      </w:r>
      <w:r>
        <w:rPr>
          <w:spacing w:val="-6"/>
          <w:sz w:val="26"/>
          <w:szCs w:val="26"/>
        </w:rPr>
        <w:t xml:space="preserve">/năm. </w:t>
      </w:r>
      <w:r>
        <w:rPr>
          <w:rFonts w:asciiTheme="majorHAnsi" w:hAnsiTheme="majorHAnsi" w:cstheme="majorHAnsi"/>
          <w:sz w:val="26"/>
          <w:szCs w:val="26"/>
        </w:rPr>
        <w:t>Khối lượng nước thải sinh hoạt phát sinh khá lớn, từ năm 2020-2024, tổng khối lượng nước thải trên địa bàn toàn tỉnh tăng từ 43,96 triệu m</w:t>
      </w:r>
      <w:r>
        <w:rPr>
          <w:rFonts w:asciiTheme="majorHAnsi" w:hAnsiTheme="majorHAnsi" w:cstheme="majorHAnsi"/>
          <w:sz w:val="26"/>
          <w:szCs w:val="26"/>
          <w:vertAlign w:val="superscript"/>
        </w:rPr>
        <w:t>3</w:t>
      </w:r>
      <w:r>
        <w:rPr>
          <w:rFonts w:asciiTheme="majorHAnsi" w:hAnsiTheme="majorHAnsi" w:cstheme="majorHAnsi"/>
          <w:sz w:val="26"/>
          <w:szCs w:val="26"/>
        </w:rPr>
        <w:t>/năm lên 45,09 triệu m</w:t>
      </w:r>
      <w:r>
        <w:rPr>
          <w:rFonts w:asciiTheme="majorHAnsi" w:hAnsiTheme="majorHAnsi" w:cstheme="majorHAnsi"/>
          <w:sz w:val="26"/>
          <w:szCs w:val="26"/>
          <w:vertAlign w:val="superscript"/>
        </w:rPr>
        <w:t>3</w:t>
      </w:r>
      <w:r>
        <w:rPr>
          <w:rFonts w:asciiTheme="majorHAnsi" w:hAnsiTheme="majorHAnsi" w:cstheme="majorHAnsi"/>
          <w:sz w:val="26"/>
          <w:szCs w:val="26"/>
        </w:rPr>
        <w:t>/năm trong đó nước thải thành thị tăng từ 10,08 triệu m</w:t>
      </w:r>
      <w:r>
        <w:rPr>
          <w:rFonts w:asciiTheme="majorHAnsi" w:hAnsiTheme="majorHAnsi" w:cstheme="majorHAnsi"/>
          <w:sz w:val="26"/>
          <w:szCs w:val="26"/>
          <w:vertAlign w:val="superscript"/>
        </w:rPr>
        <w:t>3</w:t>
      </w:r>
      <w:r>
        <w:rPr>
          <w:rFonts w:asciiTheme="majorHAnsi" w:hAnsiTheme="majorHAnsi" w:cstheme="majorHAnsi"/>
          <w:sz w:val="26"/>
          <w:szCs w:val="26"/>
        </w:rPr>
        <w:t>/năm lên 10,53 triệu m</w:t>
      </w:r>
      <w:r>
        <w:rPr>
          <w:rFonts w:asciiTheme="majorHAnsi" w:hAnsiTheme="majorHAnsi" w:cstheme="majorHAnsi"/>
          <w:sz w:val="26"/>
          <w:szCs w:val="26"/>
          <w:vertAlign w:val="superscript"/>
        </w:rPr>
        <w:t>3</w:t>
      </w:r>
      <w:r>
        <w:rPr>
          <w:rFonts w:asciiTheme="majorHAnsi" w:hAnsiTheme="majorHAnsi" w:cstheme="majorHAnsi"/>
          <w:sz w:val="26"/>
          <w:szCs w:val="26"/>
        </w:rPr>
        <w:t>/năm), nước thải nông thôn tăng từ 33,88 triệu m</w:t>
      </w:r>
      <w:r>
        <w:rPr>
          <w:rFonts w:asciiTheme="majorHAnsi" w:hAnsiTheme="majorHAnsi" w:cstheme="majorHAnsi"/>
          <w:sz w:val="26"/>
          <w:szCs w:val="26"/>
          <w:vertAlign w:val="superscript"/>
        </w:rPr>
        <w:t>3</w:t>
      </w:r>
      <w:r>
        <w:rPr>
          <w:rFonts w:asciiTheme="majorHAnsi" w:hAnsiTheme="majorHAnsi" w:cstheme="majorHAnsi"/>
          <w:sz w:val="26"/>
          <w:szCs w:val="26"/>
        </w:rPr>
        <w:t>/năm lên 34,57 triệu m</w:t>
      </w:r>
      <w:r>
        <w:rPr>
          <w:rFonts w:asciiTheme="majorHAnsi" w:hAnsiTheme="majorHAnsi" w:cstheme="majorHAnsi"/>
          <w:sz w:val="26"/>
          <w:szCs w:val="26"/>
          <w:vertAlign w:val="superscript"/>
        </w:rPr>
        <w:t>3</w:t>
      </w:r>
      <w:r>
        <w:rPr>
          <w:rFonts w:asciiTheme="majorHAnsi" w:hAnsiTheme="majorHAnsi" w:cstheme="majorHAnsi"/>
          <w:sz w:val="26"/>
          <w:szCs w:val="26"/>
        </w:rPr>
        <w:t xml:space="preserve">/năm. </w:t>
      </w:r>
    </w:p>
    <w:p w14:paraId="6ED14CC9" w14:textId="77777777" w:rsidR="00085789" w:rsidRDefault="00000000">
      <w:pPr>
        <w:spacing w:before="60" w:line="240" w:lineRule="auto"/>
        <w:ind w:firstLine="720"/>
        <w:jc w:val="both"/>
        <w:rPr>
          <w:rFonts w:asciiTheme="majorHAnsi" w:hAnsiTheme="majorHAnsi" w:cstheme="majorHAnsi"/>
          <w:sz w:val="26"/>
          <w:szCs w:val="26"/>
        </w:rPr>
      </w:pPr>
      <w:r>
        <w:rPr>
          <w:rFonts w:asciiTheme="majorHAnsi" w:hAnsiTheme="majorHAnsi" w:cstheme="majorHAnsi"/>
          <w:sz w:val="26"/>
          <w:szCs w:val="26"/>
        </w:rPr>
        <w:t xml:space="preserve">Khu vực nông thôn có dân số lớn hơn nhiều so với thành thị, nên tổng lượng nước sử dụng và xả thải chiếm tỷ trọng cao hơn, mặc dù định mức sử dụng nước trên đầu người thấp hơn. Tuy nhiên, tốc độ tăng nhu cầu nước và lượng nước thải ở thành thị cao hơn so với nông thôn, thể hiện xu hướng đô thị hóa và mở rộng các hoạt động dịch vụ - công nghiệp. </w:t>
      </w:r>
    </w:p>
    <w:p w14:paraId="6E7BA99C" w14:textId="77777777" w:rsidR="00085789" w:rsidRDefault="00000000">
      <w:pPr>
        <w:spacing w:before="60" w:line="240" w:lineRule="auto"/>
        <w:ind w:firstLine="709"/>
        <w:jc w:val="both"/>
        <w:rPr>
          <w:sz w:val="26"/>
          <w:szCs w:val="26"/>
          <w:lang w:val="hsb-DE"/>
        </w:rPr>
      </w:pPr>
      <w:bookmarkStart w:id="274" w:name="_Toc90026990"/>
      <w:bookmarkStart w:id="275" w:name="_Toc138943337"/>
      <w:bookmarkStart w:id="276" w:name="_Toc138977241"/>
      <w:bookmarkStart w:id="277" w:name="_Toc142915267"/>
      <w:bookmarkStart w:id="278" w:name="_Toc142919497"/>
      <w:bookmarkStart w:id="279" w:name="_Toc181861342"/>
      <w:bookmarkStart w:id="280" w:name="_Toc181861941"/>
      <w:bookmarkStart w:id="281" w:name="_Toc193957585"/>
      <w:r>
        <w:rPr>
          <w:sz w:val="26"/>
          <w:szCs w:val="26"/>
          <w:lang w:val="hsb-DE"/>
        </w:rPr>
        <w:t>Hiện tại trên địa bàn tỉnh Hà Tĩnh mới chỉ có phường Nam Hồng Lĩnh, Bắc Hồng Lĩnh có công trình hồ điều hòa xử lý nước thải tập trung cho khu vực trung tâm; đối với thành phố Hà Tĩnh trước đây (nay là phường Thành Sen, một phần phường Trần Phú và Hà Huy Tập), Dự án Nhà máy xử lý nước thải tại thành phố Hà Tĩnh đã được Hội đồng thẩm định cấp cơ sở họp xem xét, góp ý, nhưng hiện nay chưa phê duyệt thực hiện. Đối với hệ thống thu gom, xử lý nước thải cho 01 phần xã Kỳ Hoa, phường Sông Trí đã triển khai đầu tư xây dựng hệ thống thu gom và trạm xử lý nước thải với công suất 2.000 m</w:t>
      </w:r>
      <w:r>
        <w:rPr>
          <w:sz w:val="26"/>
          <w:szCs w:val="26"/>
          <w:vertAlign w:val="superscript"/>
          <w:lang w:val="hsb-DE"/>
        </w:rPr>
        <w:t>3</w:t>
      </w:r>
      <w:r>
        <w:rPr>
          <w:sz w:val="26"/>
          <w:szCs w:val="26"/>
          <w:lang w:val="hsb-DE"/>
        </w:rPr>
        <w:t>/ngày đêm, hiện nay đã xây dựng hoàn thành, đang thẩm định cấp giấy phép môi trường để hoạt động theo quy định. Ngoài ra, tại xã Hương Khê đang triển khai xây dựng hệ thống thu gom và trạm xử lý nước thải với công suất 1.500 m</w:t>
      </w:r>
      <w:r>
        <w:rPr>
          <w:sz w:val="26"/>
          <w:szCs w:val="26"/>
          <w:vertAlign w:val="superscript"/>
          <w:lang w:val="hsb-DE"/>
        </w:rPr>
        <w:t>3</w:t>
      </w:r>
      <w:r>
        <w:rPr>
          <w:sz w:val="26"/>
          <w:szCs w:val="26"/>
          <w:lang w:val="hsb-DE"/>
        </w:rPr>
        <w:t>/ngày đêm (thuộc Dự án cải thiện cơ sở hạ tầng đô thị Hương Khê nguồn vốn AFD); xã Thạch Hà đang triển khai dự án đầu tư xây dựng hệ thống thu gom và trạm xử lý nước thải với công suất 1.400 m</w:t>
      </w:r>
      <w:r>
        <w:rPr>
          <w:sz w:val="26"/>
          <w:szCs w:val="26"/>
          <w:vertAlign w:val="superscript"/>
          <w:lang w:val="hsb-DE"/>
        </w:rPr>
        <w:t>3</w:t>
      </w:r>
      <w:r>
        <w:rPr>
          <w:sz w:val="26"/>
          <w:szCs w:val="26"/>
          <w:lang w:val="hsb-DE"/>
        </w:rPr>
        <w:t xml:space="preserve">/ngày đêm (Dự án cải thiện cơ sở hạ tầng đô thị Thạch Hà nguồn vốn AFD). </w:t>
      </w:r>
    </w:p>
    <w:p w14:paraId="1926C9C6" w14:textId="77777777" w:rsidR="00085789" w:rsidRDefault="00000000">
      <w:pPr>
        <w:spacing w:before="60" w:line="240" w:lineRule="auto"/>
        <w:ind w:firstLine="720"/>
        <w:jc w:val="both"/>
        <w:rPr>
          <w:rFonts w:eastAsia="Calibri"/>
          <w:sz w:val="26"/>
          <w:szCs w:val="26"/>
          <w:lang w:val="nl-NL"/>
        </w:rPr>
      </w:pPr>
      <w:r>
        <w:rPr>
          <w:sz w:val="26"/>
          <w:szCs w:val="26"/>
          <w:lang w:val="hsb-DE"/>
        </w:rPr>
        <w:t>Nước thải từ các khu dân cư nông thôn chủ yếu được thu gom về các vị trí theo quy hoạch nông thôn mới.</w:t>
      </w:r>
    </w:p>
    <w:p w14:paraId="00176D67" w14:textId="77777777" w:rsidR="00085789" w:rsidRDefault="00000000">
      <w:pPr>
        <w:pStyle w:val="-bac4"/>
        <w:spacing w:before="120" w:after="0" w:line="240" w:lineRule="auto"/>
        <w:rPr>
          <w:lang w:val="nl-NL"/>
        </w:rPr>
      </w:pPr>
      <w:bookmarkStart w:id="282" w:name="_Toc205915668"/>
      <w:bookmarkStart w:id="283" w:name="_Toc213597364"/>
      <w:bookmarkStart w:id="284" w:name="_Toc213600738"/>
      <w:r>
        <w:rPr>
          <w:rFonts w:eastAsia="Calibri"/>
          <w:lang w:val="nl-NL"/>
        </w:rPr>
        <w:t xml:space="preserve">Bảng 2.2. </w:t>
      </w:r>
      <w:r>
        <w:rPr>
          <w:lang w:val="nl-NL"/>
        </w:rPr>
        <w:t>Tỷ lệ khu đô thị có hệ thống xử lý nước thải, chất thải đạt tiêu chuẩn quy định từ năm 2020-202</w:t>
      </w:r>
      <w:bookmarkEnd w:id="282"/>
      <w:bookmarkEnd w:id="283"/>
      <w:bookmarkEnd w:id="284"/>
      <w:r>
        <w:rPr>
          <w:lang w:val="nl-NL"/>
        </w:rPr>
        <w:t>5</w:t>
      </w:r>
    </w:p>
    <w:p w14:paraId="1DCCABF0" w14:textId="77777777" w:rsidR="00085789" w:rsidRDefault="00085789">
      <w:pPr>
        <w:pStyle w:val="-bac4"/>
        <w:spacing w:before="120" w:after="0" w:line="240" w:lineRule="auto"/>
        <w:rPr>
          <w:sz w:val="2"/>
          <w:szCs w:val="2"/>
          <w:lang w:val="hsb-DE"/>
        </w:rPr>
      </w:pPr>
    </w:p>
    <w:tbl>
      <w:tblPr>
        <w:tblStyle w:val="TableGrid"/>
        <w:tblW w:w="0" w:type="auto"/>
        <w:tblLook w:val="04A0" w:firstRow="1" w:lastRow="0" w:firstColumn="1" w:lastColumn="0" w:noHBand="0" w:noVBand="1"/>
      </w:tblPr>
      <w:tblGrid>
        <w:gridCol w:w="2405"/>
        <w:gridCol w:w="1134"/>
        <w:gridCol w:w="1134"/>
        <w:gridCol w:w="992"/>
        <w:gridCol w:w="1134"/>
        <w:gridCol w:w="1084"/>
        <w:gridCol w:w="1179"/>
      </w:tblGrid>
      <w:tr w:rsidR="00085789" w14:paraId="4D80DA3C" w14:textId="77777777">
        <w:trPr>
          <w:trHeight w:val="698"/>
        </w:trPr>
        <w:tc>
          <w:tcPr>
            <w:tcW w:w="2405" w:type="dxa"/>
            <w:tcBorders>
              <w:tl2br w:val="single" w:sz="4" w:space="0" w:color="auto"/>
            </w:tcBorders>
          </w:tcPr>
          <w:p w14:paraId="4FECCD69" w14:textId="77777777" w:rsidR="00085789" w:rsidRDefault="00000000">
            <w:pPr>
              <w:pStyle w:val="hd1"/>
              <w:spacing w:before="0" w:after="0" w:line="240" w:lineRule="auto"/>
              <w:rPr>
                <w:rFonts w:ascii="Times New Roman" w:hAnsi="Times New Roman"/>
                <w:smallCaps/>
                <w:color w:val="auto"/>
                <w:sz w:val="24"/>
                <w:szCs w:val="24"/>
              </w:rPr>
            </w:pPr>
            <w:r>
              <w:rPr>
                <w:rFonts w:ascii="Times New Roman" w:hAnsi="Times New Roman"/>
                <w:color w:val="auto"/>
                <w:sz w:val="24"/>
                <w:szCs w:val="24"/>
                <w:lang w:val="nl-NL"/>
              </w:rPr>
              <w:t xml:space="preserve">                        </w:t>
            </w:r>
            <w:r>
              <w:rPr>
                <w:rFonts w:ascii="Times New Roman" w:hAnsi="Times New Roman"/>
                <w:color w:val="auto"/>
                <w:sz w:val="24"/>
                <w:szCs w:val="24"/>
              </w:rPr>
              <w:t>Năm</w:t>
            </w:r>
          </w:p>
          <w:p w14:paraId="4A91179A" w14:textId="77777777" w:rsidR="00085789" w:rsidRDefault="00000000">
            <w:pPr>
              <w:pStyle w:val="hd1"/>
              <w:spacing w:before="0" w:after="0" w:line="240" w:lineRule="auto"/>
              <w:rPr>
                <w:rFonts w:ascii="Times New Roman" w:hAnsi="Times New Roman"/>
                <w:smallCaps/>
                <w:color w:val="auto"/>
                <w:sz w:val="24"/>
                <w:szCs w:val="24"/>
              </w:rPr>
            </w:pPr>
            <w:r>
              <w:rPr>
                <w:rFonts w:ascii="Times New Roman" w:hAnsi="Times New Roman"/>
                <w:color w:val="auto"/>
                <w:sz w:val="24"/>
                <w:szCs w:val="24"/>
              </w:rPr>
              <w:t>Nội dung</w:t>
            </w:r>
          </w:p>
        </w:tc>
        <w:tc>
          <w:tcPr>
            <w:tcW w:w="1134" w:type="dxa"/>
            <w:vAlign w:val="center"/>
          </w:tcPr>
          <w:p w14:paraId="3B433C59" w14:textId="77777777" w:rsidR="00085789" w:rsidRDefault="00000000">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2020</w:t>
            </w:r>
          </w:p>
        </w:tc>
        <w:tc>
          <w:tcPr>
            <w:tcW w:w="1134" w:type="dxa"/>
            <w:vAlign w:val="center"/>
          </w:tcPr>
          <w:p w14:paraId="1D6EEE29" w14:textId="77777777" w:rsidR="00085789" w:rsidRDefault="00000000">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2021</w:t>
            </w:r>
          </w:p>
        </w:tc>
        <w:tc>
          <w:tcPr>
            <w:tcW w:w="992" w:type="dxa"/>
            <w:vAlign w:val="center"/>
          </w:tcPr>
          <w:p w14:paraId="43B36DD7" w14:textId="77777777" w:rsidR="00085789" w:rsidRDefault="00000000">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2022</w:t>
            </w:r>
          </w:p>
        </w:tc>
        <w:tc>
          <w:tcPr>
            <w:tcW w:w="1134" w:type="dxa"/>
            <w:vAlign w:val="center"/>
          </w:tcPr>
          <w:p w14:paraId="5589ADDE" w14:textId="77777777" w:rsidR="00085789" w:rsidRDefault="00000000">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2023</w:t>
            </w:r>
          </w:p>
        </w:tc>
        <w:tc>
          <w:tcPr>
            <w:tcW w:w="1084" w:type="dxa"/>
            <w:vAlign w:val="center"/>
          </w:tcPr>
          <w:p w14:paraId="1DDFF28B" w14:textId="77777777" w:rsidR="00085789" w:rsidRDefault="00000000">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2024</w:t>
            </w:r>
          </w:p>
        </w:tc>
        <w:tc>
          <w:tcPr>
            <w:tcW w:w="1179" w:type="dxa"/>
            <w:vAlign w:val="center"/>
          </w:tcPr>
          <w:p w14:paraId="3368909E" w14:textId="77777777" w:rsidR="00085789" w:rsidRDefault="00000000">
            <w:pPr>
              <w:pStyle w:val="hd1"/>
              <w:spacing w:before="0" w:after="0" w:line="240" w:lineRule="auto"/>
              <w:jc w:val="center"/>
              <w:rPr>
                <w:rFonts w:ascii="Times New Roman" w:hAnsi="Times New Roman"/>
                <w:smallCaps/>
                <w:color w:val="auto"/>
                <w:sz w:val="24"/>
                <w:szCs w:val="24"/>
              </w:rPr>
            </w:pPr>
            <w:r>
              <w:rPr>
                <w:rFonts w:ascii="Times New Roman" w:hAnsi="Times New Roman"/>
                <w:color w:val="auto"/>
                <w:sz w:val="24"/>
                <w:szCs w:val="24"/>
              </w:rPr>
              <w:t>Năm 2025</w:t>
            </w:r>
          </w:p>
        </w:tc>
      </w:tr>
      <w:tr w:rsidR="00085789" w14:paraId="676681B3" w14:textId="77777777">
        <w:tc>
          <w:tcPr>
            <w:tcW w:w="2405" w:type="dxa"/>
          </w:tcPr>
          <w:p w14:paraId="63410BA8" w14:textId="77777777" w:rsidR="00085789" w:rsidRDefault="00000000">
            <w:pPr>
              <w:pStyle w:val="hd1"/>
              <w:spacing w:before="0" w:after="0" w:line="240" w:lineRule="auto"/>
              <w:rPr>
                <w:rFonts w:ascii="Times New Roman" w:hAnsi="Times New Roman"/>
                <w:b w:val="0"/>
                <w:bCs/>
                <w:smallCaps/>
                <w:color w:val="auto"/>
                <w:sz w:val="24"/>
                <w:szCs w:val="24"/>
              </w:rPr>
            </w:pPr>
            <w:r>
              <w:rPr>
                <w:rFonts w:ascii="Times New Roman" w:hAnsi="Times New Roman"/>
                <w:b w:val="0"/>
                <w:bCs/>
                <w:color w:val="auto"/>
                <w:sz w:val="24"/>
                <w:szCs w:val="24"/>
              </w:rPr>
              <w:t>Tỷ lệ khu đô thị có hệ thống xử lý nước thải, chất thải đạt tiêu chuẩn quy định</w:t>
            </w:r>
          </w:p>
        </w:tc>
        <w:tc>
          <w:tcPr>
            <w:tcW w:w="1134" w:type="dxa"/>
            <w:vAlign w:val="center"/>
          </w:tcPr>
          <w:p w14:paraId="51692065" w14:textId="77777777" w:rsidR="00085789" w:rsidRDefault="00000000">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28,6</w:t>
            </w:r>
          </w:p>
        </w:tc>
        <w:tc>
          <w:tcPr>
            <w:tcW w:w="1134" w:type="dxa"/>
            <w:vAlign w:val="center"/>
          </w:tcPr>
          <w:p w14:paraId="490C9FE7" w14:textId="77777777" w:rsidR="00085789" w:rsidRDefault="00000000">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22,2</w:t>
            </w:r>
          </w:p>
        </w:tc>
        <w:tc>
          <w:tcPr>
            <w:tcW w:w="992" w:type="dxa"/>
            <w:vAlign w:val="center"/>
          </w:tcPr>
          <w:p w14:paraId="045F3943" w14:textId="77777777" w:rsidR="00085789" w:rsidRDefault="00000000">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position w:val="-2"/>
                <w:sz w:val="24"/>
                <w:szCs w:val="24"/>
              </w:rPr>
              <w:t>33,3</w:t>
            </w:r>
          </w:p>
        </w:tc>
        <w:tc>
          <w:tcPr>
            <w:tcW w:w="1134" w:type="dxa"/>
            <w:vAlign w:val="center"/>
          </w:tcPr>
          <w:p w14:paraId="542478BC" w14:textId="77777777" w:rsidR="00085789" w:rsidRDefault="00000000">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position w:val="-2"/>
                <w:sz w:val="24"/>
                <w:szCs w:val="24"/>
              </w:rPr>
              <w:t>38,9</w:t>
            </w:r>
          </w:p>
        </w:tc>
        <w:tc>
          <w:tcPr>
            <w:tcW w:w="1084" w:type="dxa"/>
            <w:vAlign w:val="center"/>
          </w:tcPr>
          <w:p w14:paraId="1638A362" w14:textId="77777777" w:rsidR="00085789" w:rsidRDefault="00000000">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56,25</w:t>
            </w:r>
          </w:p>
        </w:tc>
        <w:tc>
          <w:tcPr>
            <w:tcW w:w="1179" w:type="dxa"/>
            <w:vAlign w:val="center"/>
          </w:tcPr>
          <w:p w14:paraId="15E0AD56" w14:textId="77777777" w:rsidR="00085789" w:rsidRDefault="00000000">
            <w:pPr>
              <w:pStyle w:val="hd1"/>
              <w:spacing w:before="0" w:after="0" w:line="240" w:lineRule="auto"/>
              <w:jc w:val="center"/>
              <w:rPr>
                <w:rFonts w:ascii="Times New Roman" w:hAnsi="Times New Roman"/>
                <w:b w:val="0"/>
                <w:bCs/>
                <w:smallCaps/>
                <w:color w:val="auto"/>
                <w:sz w:val="24"/>
                <w:szCs w:val="24"/>
              </w:rPr>
            </w:pPr>
            <w:r>
              <w:rPr>
                <w:rFonts w:ascii="Times New Roman" w:hAnsi="Times New Roman"/>
                <w:b w:val="0"/>
                <w:bCs/>
                <w:color w:val="auto"/>
                <w:sz w:val="24"/>
                <w:szCs w:val="24"/>
              </w:rPr>
              <w:t>62,5</w:t>
            </w:r>
          </w:p>
        </w:tc>
      </w:tr>
    </w:tbl>
    <w:p w14:paraId="628A987A" w14:textId="77777777" w:rsidR="00085789" w:rsidRDefault="00000000">
      <w:pPr>
        <w:spacing w:before="120" w:line="240" w:lineRule="auto"/>
        <w:ind w:firstLine="720"/>
        <w:jc w:val="both"/>
        <w:rPr>
          <w:iCs/>
          <w:sz w:val="26"/>
          <w:szCs w:val="26"/>
        </w:rPr>
      </w:pPr>
      <w:r>
        <w:rPr>
          <w:iCs/>
          <w:sz w:val="26"/>
          <w:szCs w:val="26"/>
        </w:rPr>
        <w:t>Trong giai đoạn năm 2020-2025, tỷ lệ khu đô thị có hệ thống xử lý nước thải, chất thải đạt tiêu chuẩn quy định tại tỉnh có xu hướng tăng dần qua các năm, phản ánh nỗ lực nâng cao năng lực hạ tầng môi trường đô thị. Năm 2025, tỷ lệ này đạt 62,5%, tức gấp hơn 2,2 lần so với năm 2020, cho thấy xu hướng tích cực trong việc đầu tư hệ thống xử lý nước thải đô thị. Việc tăng tỷ lệ khu đô thị có hệ thống xử lý đạt tiêu chuẩn không chỉ góp phần cải thiện chất lượng môi trường đô thị, mà còn đáp ứng tốt hơn yêu cầu về bảo vệ môi trường trong phát triển đô thị bền vững.</w:t>
      </w:r>
    </w:p>
    <w:p w14:paraId="7A086219" w14:textId="77777777" w:rsidR="00085789" w:rsidRDefault="00000000">
      <w:pPr>
        <w:spacing w:before="120" w:line="240" w:lineRule="auto"/>
        <w:ind w:firstLine="720"/>
        <w:jc w:val="both"/>
        <w:rPr>
          <w:bCs/>
        </w:rPr>
      </w:pPr>
      <w:r>
        <w:rPr>
          <w:b/>
          <w:bCs/>
          <w:lang w:val="vi-VN"/>
        </w:rPr>
        <w:lastRenderedPageBreak/>
        <w:t>2.</w:t>
      </w:r>
      <w:r>
        <w:rPr>
          <w:b/>
          <w:bCs/>
        </w:rPr>
        <w:t>2.</w:t>
      </w:r>
      <w:r>
        <w:rPr>
          <w:b/>
          <w:bCs/>
          <w:lang w:val="vi-VN"/>
        </w:rPr>
        <w:t xml:space="preserve"> </w:t>
      </w:r>
      <w:bookmarkStart w:id="285" w:name="_Toc90026991"/>
      <w:bookmarkStart w:id="286" w:name="_Toc138943338"/>
      <w:bookmarkStart w:id="287" w:name="_Toc138977242"/>
      <w:bookmarkStart w:id="288" w:name="_Toc142915268"/>
      <w:bookmarkStart w:id="289" w:name="_Toc142919498"/>
      <w:bookmarkEnd w:id="274"/>
      <w:bookmarkEnd w:id="275"/>
      <w:bookmarkEnd w:id="276"/>
      <w:bookmarkEnd w:id="277"/>
      <w:bookmarkEnd w:id="278"/>
      <w:r>
        <w:rPr>
          <w:b/>
          <w:bCs/>
        </w:rPr>
        <w:t xml:space="preserve">Sức </w:t>
      </w:r>
      <w:r>
        <w:rPr>
          <w:rFonts w:hint="eastAsia"/>
          <w:b/>
          <w:bCs/>
        </w:rPr>
        <w:t>é</w:t>
      </w:r>
      <w:r>
        <w:rPr>
          <w:b/>
          <w:bCs/>
        </w:rPr>
        <w:t xml:space="preserve">p hoạt </w:t>
      </w:r>
      <w:r>
        <w:rPr>
          <w:rFonts w:hint="eastAsia"/>
          <w:b/>
          <w:bCs/>
        </w:rPr>
        <w:t>đ</w:t>
      </w:r>
      <w:r>
        <w:rPr>
          <w:b/>
          <w:bCs/>
        </w:rPr>
        <w:t>ộng c</w:t>
      </w:r>
      <w:r>
        <w:rPr>
          <w:rFonts w:hint="eastAsia"/>
          <w:b/>
          <w:bCs/>
        </w:rPr>
        <w:t>ô</w:t>
      </w:r>
      <w:r>
        <w:rPr>
          <w:b/>
          <w:bCs/>
        </w:rPr>
        <w:t>ng nghiệp</w:t>
      </w:r>
      <w:bookmarkEnd w:id="279"/>
      <w:bookmarkEnd w:id="280"/>
      <w:bookmarkEnd w:id="281"/>
      <w:r>
        <w:rPr>
          <w:b/>
          <w:bCs/>
        </w:rPr>
        <w:t xml:space="preserve"> </w:t>
      </w:r>
    </w:p>
    <w:p w14:paraId="2EA85ADC" w14:textId="77777777" w:rsidR="00085789" w:rsidRDefault="00000000">
      <w:pPr>
        <w:spacing w:before="60" w:line="240" w:lineRule="auto"/>
        <w:ind w:firstLine="720"/>
        <w:jc w:val="both"/>
        <w:rPr>
          <w:rFonts w:eastAsia="Calibri"/>
          <w:sz w:val="26"/>
          <w:szCs w:val="26"/>
          <w:lang w:val="hsb-DE"/>
        </w:rPr>
      </w:pPr>
      <w:r>
        <w:rPr>
          <w:spacing w:val="-2"/>
          <w:sz w:val="26"/>
          <w:szCs w:val="26"/>
          <w:lang w:val="sq-AL"/>
        </w:rPr>
        <w:t xml:space="preserve">Hiện nay, trên địa bàn tỉnh Hà Tĩnh </w:t>
      </w:r>
      <w:r>
        <w:rPr>
          <w:spacing w:val="-2"/>
          <w:sz w:val="26"/>
          <w:szCs w:val="26"/>
        </w:rPr>
        <w:t xml:space="preserve">có 07 </w:t>
      </w:r>
      <w:r>
        <w:rPr>
          <w:spacing w:val="-2"/>
          <w:sz w:val="26"/>
          <w:szCs w:val="26"/>
          <w:lang w:val="sq-AL"/>
        </w:rPr>
        <w:t>khu công nghiệp (</w:t>
      </w:r>
      <w:r>
        <w:rPr>
          <w:spacing w:val="-2"/>
          <w:sz w:val="26"/>
          <w:szCs w:val="26"/>
        </w:rPr>
        <w:t xml:space="preserve">KCN) </w:t>
      </w:r>
      <w:r>
        <w:rPr>
          <w:spacing w:val="-2"/>
          <w:sz w:val="26"/>
          <w:szCs w:val="26"/>
          <w:lang w:val="vi-VN"/>
        </w:rPr>
        <w:t>trong đó 03 KCN</w:t>
      </w:r>
      <w:r>
        <w:rPr>
          <w:spacing w:val="-2"/>
          <w:sz w:val="26"/>
          <w:szCs w:val="26"/>
        </w:rPr>
        <w:t xml:space="preserve"> </w:t>
      </w:r>
      <w:r>
        <w:rPr>
          <w:spacing w:val="-2"/>
          <w:sz w:val="26"/>
          <w:szCs w:val="26"/>
          <w:lang w:val="vi-VN"/>
        </w:rPr>
        <w:t xml:space="preserve">đi vào hoạt động với </w:t>
      </w:r>
      <w:r>
        <w:rPr>
          <w:spacing w:val="-2"/>
          <w:sz w:val="26"/>
          <w:szCs w:val="26"/>
        </w:rPr>
        <w:t>41</w:t>
      </w:r>
      <w:r>
        <w:rPr>
          <w:spacing w:val="-2"/>
          <w:sz w:val="26"/>
          <w:szCs w:val="26"/>
          <w:lang w:val="vi-VN"/>
        </w:rPr>
        <w:t xml:space="preserve"> dự án thứ cấp (</w:t>
      </w:r>
      <w:r>
        <w:rPr>
          <w:spacing w:val="-2"/>
          <w:sz w:val="26"/>
          <w:szCs w:val="26"/>
        </w:rPr>
        <w:t>22</w:t>
      </w:r>
      <w:r>
        <w:rPr>
          <w:spacing w:val="-2"/>
          <w:sz w:val="26"/>
          <w:szCs w:val="26"/>
          <w:lang w:val="vi-VN"/>
        </w:rPr>
        <w:t xml:space="preserve"> dự án đã đi vào hoạt động, </w:t>
      </w:r>
      <w:r>
        <w:rPr>
          <w:spacing w:val="-2"/>
          <w:sz w:val="26"/>
          <w:szCs w:val="26"/>
        </w:rPr>
        <w:t>19</w:t>
      </w:r>
      <w:r>
        <w:rPr>
          <w:spacing w:val="-2"/>
          <w:sz w:val="26"/>
          <w:szCs w:val="26"/>
          <w:lang w:val="vi-VN"/>
        </w:rPr>
        <w:t xml:space="preserve"> dự án triển khai thực hiện)</w:t>
      </w:r>
      <w:r>
        <w:rPr>
          <w:spacing w:val="-2"/>
          <w:sz w:val="26"/>
          <w:szCs w:val="26"/>
        </w:rPr>
        <w:t xml:space="preserve">. </w:t>
      </w:r>
      <w:r>
        <w:rPr>
          <w:rFonts w:eastAsia="Calibri"/>
          <w:sz w:val="26"/>
          <w:szCs w:val="26"/>
          <w:lang w:val="hsb-DE"/>
        </w:rPr>
        <w:t>Theo Phương</w:t>
      </w:r>
      <w:r>
        <w:rPr>
          <w:rFonts w:eastAsia="Calibri"/>
          <w:sz w:val="26"/>
          <w:szCs w:val="26"/>
          <w:lang w:val="vi-VN"/>
        </w:rPr>
        <w:t xml:space="preserve"> án phát triển CCN tích hợp trong </w:t>
      </w:r>
      <w:r>
        <w:rPr>
          <w:rFonts w:eastAsia="Calibri"/>
          <w:sz w:val="26"/>
          <w:szCs w:val="26"/>
          <w:lang w:val="hsb-DE"/>
        </w:rPr>
        <w:t>Quy hoạch tỉnh Hà Tĩnh đã được Thủ tướng Chính phủ phê duyệt tại Quyết định số 1363/QĐ-TTg ngày 08/11/2022 thì Hà Tĩnh hiện có 22 CCN đã được thành lập với tổng diện tích 572,11 ha</w:t>
      </w:r>
      <w:r>
        <w:rPr>
          <w:rFonts w:eastAsia="Calibri"/>
          <w:sz w:val="26"/>
          <w:szCs w:val="26"/>
          <w:vertAlign w:val="superscript"/>
        </w:rPr>
        <w:footnoteReference w:id="21"/>
      </w:r>
      <w:r>
        <w:rPr>
          <w:rFonts w:eastAsia="Calibri"/>
          <w:sz w:val="26"/>
          <w:szCs w:val="26"/>
          <w:lang w:val="hsb-DE"/>
        </w:rPr>
        <w:t>, ngoài ra</w:t>
      </w:r>
      <w:r>
        <w:rPr>
          <w:rFonts w:eastAsia="Calibri"/>
          <w:sz w:val="26"/>
          <w:szCs w:val="26"/>
          <w:lang w:val="vi-VN"/>
        </w:rPr>
        <w:t xml:space="preserve"> có </w:t>
      </w:r>
      <w:r>
        <w:rPr>
          <w:rFonts w:eastAsia="Calibri"/>
          <w:sz w:val="26"/>
          <w:szCs w:val="26"/>
          <w:lang w:val="hsb-DE"/>
        </w:rPr>
        <w:t>02 CCN không</w:t>
      </w:r>
      <w:r>
        <w:rPr>
          <w:rFonts w:eastAsia="Calibri"/>
          <w:sz w:val="26"/>
          <w:szCs w:val="26"/>
          <w:lang w:val="vi-VN"/>
        </w:rPr>
        <w:t xml:space="preserve"> được đưa vào quy hoạch</w:t>
      </w:r>
      <w:r>
        <w:rPr>
          <w:rFonts w:eastAsia="Calibri"/>
          <w:sz w:val="26"/>
          <w:szCs w:val="26"/>
          <w:vertAlign w:val="superscript"/>
        </w:rPr>
        <w:footnoteReference w:id="22"/>
      </w:r>
      <w:r>
        <w:rPr>
          <w:rFonts w:eastAsia="Calibri"/>
          <w:sz w:val="26"/>
          <w:szCs w:val="26"/>
          <w:lang w:val="hsb-DE"/>
        </w:rPr>
        <w:t xml:space="preserve">. </w:t>
      </w:r>
      <w:r>
        <w:rPr>
          <w:rFonts w:eastAsia="Calibri"/>
          <w:sz w:val="26"/>
          <w:szCs w:val="26"/>
          <w:lang w:val="vi-VN"/>
        </w:rPr>
        <w:t>Trong 2</w:t>
      </w:r>
      <w:r>
        <w:rPr>
          <w:rFonts w:eastAsia="Calibri"/>
          <w:sz w:val="26"/>
          <w:szCs w:val="26"/>
          <w:lang w:val="hsb-DE"/>
        </w:rPr>
        <w:t>2</w:t>
      </w:r>
      <w:r>
        <w:rPr>
          <w:rFonts w:eastAsia="Calibri"/>
          <w:sz w:val="26"/>
          <w:szCs w:val="26"/>
          <w:lang w:val="vi-VN"/>
        </w:rPr>
        <w:t xml:space="preserve"> CCN đã được thành lập </w:t>
      </w:r>
      <w:r>
        <w:rPr>
          <w:rFonts w:eastAsia="Arial"/>
          <w:sz w:val="26"/>
          <w:szCs w:val="26"/>
          <w:lang w:val="vi-VN"/>
        </w:rPr>
        <w:t>có 1</w:t>
      </w:r>
      <w:r>
        <w:rPr>
          <w:rFonts w:eastAsia="Arial"/>
          <w:sz w:val="26"/>
          <w:szCs w:val="26"/>
          <w:lang w:val="hsb-DE"/>
        </w:rPr>
        <w:t>1</w:t>
      </w:r>
      <w:r>
        <w:rPr>
          <w:rFonts w:eastAsia="Arial"/>
          <w:sz w:val="26"/>
          <w:szCs w:val="26"/>
          <w:lang w:val="vi-VN"/>
        </w:rPr>
        <w:t xml:space="preserve"> CCN do doanh nghiệp làm chủ đầu tư</w:t>
      </w:r>
      <w:r>
        <w:rPr>
          <w:rFonts w:eastAsia="Arial"/>
          <w:sz w:val="26"/>
          <w:szCs w:val="26"/>
          <w:vertAlign w:val="superscript"/>
          <w:lang w:val="vi-VN"/>
        </w:rPr>
        <w:footnoteReference w:id="23"/>
      </w:r>
      <w:r>
        <w:rPr>
          <w:rFonts w:eastAsia="Arial"/>
          <w:sz w:val="26"/>
          <w:szCs w:val="26"/>
          <w:lang w:val="vi-VN"/>
        </w:rPr>
        <w:t xml:space="preserve"> và 1</w:t>
      </w:r>
      <w:r>
        <w:rPr>
          <w:rFonts w:eastAsia="Arial"/>
          <w:sz w:val="26"/>
          <w:szCs w:val="26"/>
          <w:lang w:val="hsb-DE"/>
        </w:rPr>
        <w:t>2</w:t>
      </w:r>
      <w:r>
        <w:rPr>
          <w:rFonts w:eastAsia="Arial"/>
          <w:sz w:val="26"/>
          <w:szCs w:val="26"/>
          <w:lang w:val="vi-VN"/>
        </w:rPr>
        <w:t xml:space="preserve"> CCN do </w:t>
      </w:r>
      <w:r>
        <w:rPr>
          <w:rFonts w:eastAsia="Arial"/>
          <w:sz w:val="26"/>
          <w:szCs w:val="26"/>
          <w:lang w:val="hsb-DE"/>
        </w:rPr>
        <w:t xml:space="preserve">Nhà nước (UBND tỉnh giao </w:t>
      </w:r>
      <w:r>
        <w:rPr>
          <w:rFonts w:eastAsia="Arial"/>
          <w:sz w:val="26"/>
          <w:szCs w:val="26"/>
          <w:lang w:val="vi-VN"/>
        </w:rPr>
        <w:t xml:space="preserve">UBND cấp huyện </w:t>
      </w:r>
      <w:r>
        <w:rPr>
          <w:rFonts w:eastAsia="Arial"/>
          <w:sz w:val="26"/>
          <w:szCs w:val="26"/>
          <w:lang w:val="hsb-DE"/>
        </w:rPr>
        <w:t xml:space="preserve">(cũ) </w:t>
      </w:r>
      <w:r>
        <w:rPr>
          <w:rFonts w:eastAsia="Arial"/>
          <w:sz w:val="26"/>
          <w:szCs w:val="26"/>
          <w:lang w:val="vi-VN"/>
        </w:rPr>
        <w:t>làm chủ đầu tư</w:t>
      </w:r>
      <w:r>
        <w:rPr>
          <w:rFonts w:eastAsia="Arial"/>
          <w:sz w:val="26"/>
          <w:szCs w:val="26"/>
          <w:lang w:val="hsb-DE"/>
        </w:rPr>
        <w:t>, quản lý, sau khi sáp nhập chính quyền địa phương 02 cấp thì thuộc quản lý của UBND cấp xã)</w:t>
      </w:r>
      <w:r>
        <w:rPr>
          <w:rFonts w:eastAsia="Arial"/>
          <w:sz w:val="26"/>
          <w:szCs w:val="26"/>
          <w:vertAlign w:val="superscript"/>
          <w:lang w:val="vi-VN"/>
        </w:rPr>
        <w:footnoteReference w:id="24"/>
      </w:r>
      <w:r>
        <w:rPr>
          <w:rFonts w:eastAsia="Arial"/>
          <w:sz w:val="26"/>
          <w:szCs w:val="26"/>
          <w:lang w:val="vi-VN"/>
        </w:rPr>
        <w:t xml:space="preserve"> </w:t>
      </w:r>
      <w:r>
        <w:rPr>
          <w:rFonts w:eastAsia="Arial"/>
          <w:sz w:val="26"/>
          <w:szCs w:val="26"/>
          <w:lang w:val="hsb-DE"/>
        </w:rPr>
        <w:t>(riêng CCN Thái Yên có 2 phần, phần cũ diện tích 5,5 ha thuộc quản lý của UBND xã Đức Thịnh và phần mở rộng diện tích 15,3 ha thuộc quản lý của Công ty CP Đầu tư IDI)</w:t>
      </w:r>
      <w:r>
        <w:rPr>
          <w:rFonts w:eastAsia="Arial"/>
          <w:sz w:val="26"/>
          <w:szCs w:val="26"/>
          <w:lang w:val="vi-VN"/>
        </w:rPr>
        <w:t>; đến nay, 19 CCN đã có dự án thứ cấp</w:t>
      </w:r>
      <w:r>
        <w:rPr>
          <w:rFonts w:eastAsia="Arial"/>
          <w:sz w:val="26"/>
          <w:szCs w:val="26"/>
          <w:lang w:val="hsb-DE"/>
        </w:rPr>
        <w:t xml:space="preserve">, </w:t>
      </w:r>
      <w:r>
        <w:rPr>
          <w:rFonts w:eastAsia="Arial"/>
          <w:sz w:val="26"/>
          <w:szCs w:val="26"/>
          <w:lang w:val="vi-VN"/>
        </w:rPr>
        <w:t>0</w:t>
      </w:r>
      <w:r>
        <w:rPr>
          <w:rFonts w:eastAsia="Arial"/>
          <w:sz w:val="26"/>
          <w:szCs w:val="26"/>
          <w:lang w:val="hsb-DE"/>
        </w:rPr>
        <w:t>3</w:t>
      </w:r>
      <w:r>
        <w:rPr>
          <w:rFonts w:eastAsia="Arial"/>
          <w:sz w:val="26"/>
          <w:szCs w:val="26"/>
          <w:lang w:val="vi-VN"/>
        </w:rPr>
        <w:t xml:space="preserve"> CCN chưa triển khai xây dựng</w:t>
      </w:r>
      <w:r>
        <w:rPr>
          <w:rFonts w:eastAsia="Arial"/>
          <w:sz w:val="26"/>
          <w:szCs w:val="26"/>
          <w:vertAlign w:val="superscript"/>
          <w:lang w:val="vi-VN"/>
        </w:rPr>
        <w:footnoteReference w:id="25"/>
      </w:r>
      <w:r>
        <w:rPr>
          <w:rFonts w:eastAsia="Arial"/>
          <w:sz w:val="26"/>
          <w:szCs w:val="26"/>
          <w:lang w:val="vi-VN"/>
        </w:rPr>
        <w:t xml:space="preserve"> (CCN mới thành lập, đang triển khai các bước tiếp theo), đạt tỷ lệ lấp đầy trung bình gần </w:t>
      </w:r>
      <w:r>
        <w:rPr>
          <w:rFonts w:eastAsia="Arial"/>
          <w:sz w:val="26"/>
          <w:szCs w:val="26"/>
          <w:lang w:val="hsb-DE"/>
        </w:rPr>
        <w:t>59,74</w:t>
      </w:r>
      <w:r>
        <w:rPr>
          <w:rFonts w:eastAsia="Arial"/>
          <w:sz w:val="26"/>
          <w:szCs w:val="26"/>
          <w:lang w:val="vi-VN"/>
        </w:rPr>
        <w:t>%</w:t>
      </w:r>
      <w:r>
        <w:rPr>
          <w:rFonts w:eastAsia="Calibri"/>
          <w:sz w:val="26"/>
          <w:szCs w:val="26"/>
          <w:lang w:val="hsb-DE"/>
        </w:rPr>
        <w:t>.</w:t>
      </w:r>
    </w:p>
    <w:p w14:paraId="0BB2747B" w14:textId="77777777" w:rsidR="00085789" w:rsidRDefault="00000000">
      <w:pPr>
        <w:spacing w:before="120" w:line="240" w:lineRule="auto"/>
        <w:ind w:firstLine="709"/>
        <w:jc w:val="both"/>
        <w:rPr>
          <w:sz w:val="26"/>
          <w:szCs w:val="26"/>
          <w:lang w:val="hsb-DE"/>
        </w:rPr>
      </w:pPr>
      <w:r>
        <w:rPr>
          <w:bCs/>
          <w:sz w:val="26"/>
          <w:szCs w:val="26"/>
          <w:lang w:val="pt-BR"/>
        </w:rPr>
        <w:t>- Về đầu tư hạ tầng kỹ thuật BVMT:</w:t>
      </w:r>
    </w:p>
    <w:p w14:paraId="582B3BE5" w14:textId="77777777" w:rsidR="00085789" w:rsidRDefault="00000000">
      <w:pPr>
        <w:spacing w:before="120" w:line="240" w:lineRule="auto"/>
        <w:ind w:firstLine="720"/>
        <w:jc w:val="both"/>
        <w:rPr>
          <w:i/>
          <w:iCs/>
          <w:sz w:val="26"/>
          <w:szCs w:val="26"/>
          <w:lang w:val="es-MX"/>
        </w:rPr>
      </w:pPr>
      <w:r>
        <w:rPr>
          <w:i/>
          <w:iCs/>
          <w:sz w:val="26"/>
          <w:szCs w:val="26"/>
          <w:lang w:val="es-MX"/>
        </w:rPr>
        <w:t>* Khu công nghiệp:</w:t>
      </w:r>
    </w:p>
    <w:p w14:paraId="0DA5964A" w14:textId="3B555C5D" w:rsidR="00085789" w:rsidRDefault="00000000">
      <w:pPr>
        <w:spacing w:before="60" w:line="240" w:lineRule="auto"/>
        <w:ind w:firstLine="720"/>
        <w:jc w:val="both"/>
        <w:rPr>
          <w:sz w:val="26"/>
          <w:szCs w:val="26"/>
          <w:lang w:val="hsb-DE"/>
        </w:rPr>
      </w:pPr>
      <w:r>
        <w:rPr>
          <w:sz w:val="26"/>
          <w:szCs w:val="26"/>
          <w:lang w:val="hsb-DE"/>
        </w:rPr>
        <w:t>+ Về hiện trạng hạ tầng kỹ thuật bảo vệ môi trường của KCN: Trong 03 KCN đang hoạt động trên địa bàn tỉnh hiện có 03/03 KCN (đạt 100</w:t>
      </w:r>
      <w:r w:rsidR="00A344D3">
        <w:rPr>
          <w:sz w:val="26"/>
          <w:szCs w:val="26"/>
          <w:lang w:val="hsb-DE"/>
        </w:rPr>
        <w:t xml:space="preserve"> </w:t>
      </w:r>
      <w:r>
        <w:rPr>
          <w:sz w:val="26"/>
          <w:szCs w:val="26"/>
          <w:lang w:val="hsb-DE"/>
        </w:rPr>
        <w:t xml:space="preserve">%) đã xây dựng hoàn thiện hệ thống xử lý nước thải tập trung, 02 KCN đã cơ bản xây dựng hoàn thiện hạ tầng bảo vệ môi trường theo quy định; còn KCN Gia Lách mới xây dựng một phần để phục vụ thu gom, thoát nước mưa trên diện tích đất đã có dự án đầu tư thứ cấp, chưa xây dựng công trình, thiết bị phòng ngừa, ứng phó sự cố môi trường đối với nước thải (hồ sự cố môi trường).  </w:t>
      </w:r>
    </w:p>
    <w:p w14:paraId="24833D0C" w14:textId="77777777" w:rsidR="00085789" w:rsidRDefault="00000000">
      <w:pPr>
        <w:spacing w:before="60" w:line="240" w:lineRule="auto"/>
        <w:ind w:firstLine="720"/>
        <w:jc w:val="both"/>
        <w:rPr>
          <w:sz w:val="26"/>
          <w:szCs w:val="26"/>
          <w:lang w:val="hsb-DE"/>
        </w:rPr>
      </w:pPr>
      <w:r>
        <w:rPr>
          <w:sz w:val="26"/>
          <w:szCs w:val="26"/>
          <w:lang w:val="hsb-DE"/>
        </w:rPr>
        <w:t>+ Hệ thống quan trắc nước thải tự động, liên tục: Trong 03 KCN đang hoạt động, có KCN Phú Vinh và KCN Vũng Áng I đã được Sở Nông nghiệp và Môi trường xác nhận hoàn thành việc lắp đặt hệ thống quan trắc nước thải tự động, KCN Gia Lách đang đầu tư, chưa lắp đặt xong hệ thống quan trắc tự động, liên tục nước thải.</w:t>
      </w:r>
    </w:p>
    <w:p w14:paraId="59C9B69F" w14:textId="77777777" w:rsidR="00085789" w:rsidRDefault="00000000">
      <w:pPr>
        <w:spacing w:before="120" w:line="240" w:lineRule="auto"/>
        <w:ind w:firstLine="709"/>
        <w:jc w:val="both"/>
        <w:rPr>
          <w:i/>
          <w:iCs/>
          <w:sz w:val="26"/>
          <w:szCs w:val="26"/>
          <w:lang w:val="es-MX"/>
        </w:rPr>
      </w:pPr>
      <w:r>
        <w:rPr>
          <w:i/>
          <w:iCs/>
          <w:sz w:val="26"/>
          <w:szCs w:val="26"/>
          <w:lang w:val="es-MX"/>
        </w:rPr>
        <w:t>* Cụm công nghiệp:</w:t>
      </w:r>
    </w:p>
    <w:p w14:paraId="2A6FD39F" w14:textId="77777777" w:rsidR="00085789" w:rsidRDefault="00000000">
      <w:pPr>
        <w:widowControl w:val="0"/>
        <w:spacing w:before="60" w:line="240" w:lineRule="auto"/>
        <w:ind w:firstLine="720"/>
        <w:jc w:val="both"/>
        <w:rPr>
          <w:sz w:val="26"/>
          <w:szCs w:val="26"/>
          <w:lang w:val="pt-BR"/>
        </w:rPr>
      </w:pPr>
      <w:r>
        <w:rPr>
          <w:rFonts w:eastAsia="Arial"/>
          <w:bCs/>
          <w:sz w:val="26"/>
          <w:szCs w:val="26"/>
          <w:lang w:val="pt-BR"/>
        </w:rPr>
        <w:t xml:space="preserve">+ Trong số 12 CCN do Nhà nước làm chủ đầu tư đều đã đi vào hoạt động (có dự án thứ cấp), tuy nhiên </w:t>
      </w:r>
      <w:r>
        <w:rPr>
          <w:sz w:val="26"/>
          <w:szCs w:val="26"/>
          <w:lang w:val="pt-BR"/>
        </w:rPr>
        <w:t xml:space="preserve">hiện chỉ </w:t>
      </w:r>
      <w:r>
        <w:rPr>
          <w:rFonts w:eastAsia="Arial"/>
          <w:bCs/>
          <w:sz w:val="26"/>
          <w:szCs w:val="26"/>
          <w:lang w:val="pt-BR"/>
        </w:rPr>
        <w:t>có</w:t>
      </w:r>
      <w:r>
        <w:rPr>
          <w:sz w:val="26"/>
          <w:szCs w:val="26"/>
          <w:lang w:val="pt-BR"/>
        </w:rPr>
        <w:t xml:space="preserve"> </w:t>
      </w:r>
      <w:r>
        <w:rPr>
          <w:rFonts w:eastAsia="Arial"/>
          <w:bCs/>
          <w:sz w:val="26"/>
          <w:szCs w:val="26"/>
          <w:lang w:val="pt-BR"/>
        </w:rPr>
        <w:t>01 CCN đã có hệ thống xử lý nước thải tập trung đang hoạt động (CCN Thạch Kim), 11 CCN còn lại chưa hoàn thiện, cụ thể:</w:t>
      </w:r>
      <w:r>
        <w:rPr>
          <w:sz w:val="26"/>
          <w:szCs w:val="26"/>
          <w:lang w:val="pt-BR"/>
        </w:rPr>
        <w:t xml:space="preserve"> CCN Bắc Cẩm Xuyên đang hoàn thiện; CCN Nam Hồng đang hoàn thiện hồ sơ, thủ tục để đầu tư hạ tầng kỹ thuật bảo vệ môi tường; Còn 09 CCN còn lại chưa được đầu tư hoặc đã đầu tư hạ tầng kỹ thuật bảo vệ môi tường nhưng chưa đảm bảo theo quy định (mới có hồ điều hòa hoặc bể lắng, chưa có hệ thống </w:t>
      </w:r>
      <w:r>
        <w:rPr>
          <w:rFonts w:eastAsia="Arial"/>
          <w:bCs/>
          <w:sz w:val="26"/>
          <w:szCs w:val="26"/>
          <w:lang w:val="pt-BR"/>
        </w:rPr>
        <w:t>xử lý nước thải tập trung</w:t>
      </w:r>
      <w:r>
        <w:rPr>
          <w:sz w:val="26"/>
          <w:szCs w:val="26"/>
          <w:lang w:val="pt-BR"/>
        </w:rPr>
        <w:t xml:space="preserve">, hệ thống thu gom nước thải chưa được thiết kế </w:t>
      </w:r>
      <w:r>
        <w:rPr>
          <w:sz w:val="26"/>
          <w:szCs w:val="26"/>
          <w:lang w:val="pt-BR"/>
        </w:rPr>
        <w:lastRenderedPageBreak/>
        <w:t xml:space="preserve">độc lập tách riêng với hệ thống thu gom thoát nước mưa,…); các hạ tầng kỹ thuật khác chưa được đầu tư đồng bộ. Theo báo cáo rà soát của các địa phương thì hiện nay chưa có kế hoạch bố trí nguồn kinh phí để đầu tư hoặc còn gặp nhiều khó khăn, vướng mắc trong thực hiện đầu tư theo quy hoạch được duyệt.  </w:t>
      </w:r>
    </w:p>
    <w:p w14:paraId="1F1636C8" w14:textId="77777777" w:rsidR="00085789" w:rsidRDefault="00000000">
      <w:pPr>
        <w:widowControl w:val="0"/>
        <w:spacing w:before="60" w:line="240" w:lineRule="auto"/>
        <w:ind w:firstLine="720"/>
        <w:jc w:val="both"/>
        <w:rPr>
          <w:sz w:val="26"/>
          <w:szCs w:val="26"/>
          <w:lang w:val="pt-BR"/>
        </w:rPr>
      </w:pPr>
      <w:r>
        <w:rPr>
          <w:sz w:val="26"/>
          <w:szCs w:val="26"/>
          <w:lang w:val="pt-BR"/>
        </w:rPr>
        <w:t>+ Trong số 11 CCN do doanh nghiệp làm chủ đầu tư: Có 06 CCN</w:t>
      </w:r>
      <w:r>
        <w:rPr>
          <w:sz w:val="26"/>
          <w:szCs w:val="26"/>
          <w:vertAlign w:val="superscript"/>
          <w:lang w:val="es-MX"/>
        </w:rPr>
        <w:footnoteReference w:id="26"/>
      </w:r>
      <w:r>
        <w:rPr>
          <w:sz w:val="26"/>
          <w:szCs w:val="26"/>
          <w:lang w:val="pt-BR"/>
        </w:rPr>
        <w:t xml:space="preserve"> đã có hệ thống </w:t>
      </w:r>
      <w:r>
        <w:rPr>
          <w:rFonts w:eastAsia="Arial"/>
          <w:bCs/>
          <w:sz w:val="26"/>
          <w:szCs w:val="26"/>
          <w:lang w:val="pt-BR"/>
        </w:rPr>
        <w:t>xử lý nước thải tập trung</w:t>
      </w:r>
      <w:r>
        <w:rPr>
          <w:sz w:val="26"/>
          <w:szCs w:val="26"/>
          <w:lang w:val="pt-BR"/>
        </w:rPr>
        <w:t xml:space="preserve">, đã có dự án thứ cấp hoạt động; 01 CCN (CCN huyện Đức Thọ) đang đầu tư hạ tầng bảo vệ môi trường nhưng đã có dự án thứ cấp (do dự án thứ cấp có trước khi có nhà đầu tư thực hiện dự án hạ tầng kỹ thuật của cụm); 01 CCN (CCN huyện Can Lộc) chưa triển khai đầu tư hạ tầng bảo vệ môi trường (do chưa hoàn thành GPMB và bàn giao đất thực địa) nhưng đã có dự án thứ cấp (do dự án thứ cấp có trước khi có nhà đầu tư thực hiện dự án hạ tầng kỹ thuật của cụm); 03 CCN còn lại chưa triển khai xây dựng (CCN mới thành lập, đang triển khai các bước tiếp theo).   </w:t>
      </w:r>
    </w:p>
    <w:p w14:paraId="32405D17" w14:textId="77777777" w:rsidR="00085789" w:rsidRDefault="00000000">
      <w:pPr>
        <w:widowControl w:val="0"/>
        <w:spacing w:before="60" w:line="240" w:lineRule="auto"/>
        <w:ind w:firstLine="720"/>
        <w:jc w:val="both"/>
        <w:rPr>
          <w:sz w:val="26"/>
          <w:szCs w:val="26"/>
          <w:lang w:val="pt-BR"/>
        </w:rPr>
      </w:pPr>
      <w:r>
        <w:rPr>
          <w:sz w:val="26"/>
          <w:szCs w:val="26"/>
          <w:lang w:val="pt-BR"/>
        </w:rPr>
        <w:t>Như vậy, trong số 19 CCN đã có dự án thứ cấp, có 10 CCN đã và đang đầu tư hệ thống xử lý nước thải tập trung (07 CCN</w:t>
      </w:r>
      <w:r>
        <w:rPr>
          <w:sz w:val="26"/>
          <w:szCs w:val="26"/>
          <w:vertAlign w:val="superscript"/>
          <w:lang w:val="es-MX"/>
        </w:rPr>
        <w:footnoteReference w:id="27"/>
      </w:r>
      <w:r>
        <w:rPr>
          <w:sz w:val="26"/>
          <w:szCs w:val="26"/>
          <w:lang w:val="pt-BR"/>
        </w:rPr>
        <w:t xml:space="preserve"> đã có, 03 CCN</w:t>
      </w:r>
      <w:r>
        <w:rPr>
          <w:sz w:val="26"/>
          <w:szCs w:val="26"/>
          <w:vertAlign w:val="superscript"/>
          <w:lang w:val="es-MX"/>
        </w:rPr>
        <w:footnoteReference w:id="28"/>
      </w:r>
      <w:r>
        <w:rPr>
          <w:sz w:val="26"/>
          <w:szCs w:val="26"/>
          <w:lang w:val="pt-BR"/>
        </w:rPr>
        <w:t xml:space="preserve"> đang đầu tư) nhưng chỉ có 03/07 CCN</w:t>
      </w:r>
      <w:r>
        <w:rPr>
          <w:sz w:val="26"/>
          <w:szCs w:val="26"/>
          <w:vertAlign w:val="superscript"/>
          <w:lang w:val="es-MX"/>
        </w:rPr>
        <w:footnoteReference w:id="29"/>
      </w:r>
      <w:r>
        <w:rPr>
          <w:sz w:val="26"/>
          <w:szCs w:val="26"/>
          <w:lang w:val="pt-BR"/>
        </w:rPr>
        <w:t xml:space="preserve"> hoàn thành được các nội dung yêu cầu về hạ tầng bảo vệ môi tường theo quy định tại khoản 1 Điều 52 Luật bảo vệ môi trường và Điều 48 Nghị định số 08/2022/NĐ-CP của Chính phủ. Toàn bộ 12 CCN do Nhà nước làm chủ đầu tư đều chưa có hạ tầng bảo vệ môi trường theo quy định tại khoản 1 Điều 52 Luật BVMT và Điều 48 Nghị định số 08/2022/NĐ-CP của Chính phủ, cụ thể chưa có: Hệ thống xử lý nước thải tập trung (trừ CCN Thạch Kim); Hệ thống quan trắc nước thải tự động, liên tục; công trình, thiết bị phòng ngừa, ứng phó sự cố môi trường đối với nước thải (hồ sự cố), theo đó, không đáp ứng điều kiện để tiếp nhận dự án đầu tư mới có phát sinh nước thải công nghiệp theo quy định tại điểm b, d khoản 1 Điều 49 Nghị định số 08/2022/NĐ-CP ngày 10/01/2022 của Chính phủ được sửa đổi, bổ sung tại điểm a khoản 20 Điều 1 Nghị định số 05/2025/NĐ-CP ngày 06/01/2025 của Chính phủ và chỉ đạo của UBND tỉnh tại Văn bản số 2686/UBND-KT</w:t>
      </w:r>
      <w:r>
        <w:rPr>
          <w:sz w:val="26"/>
          <w:szCs w:val="26"/>
          <w:vertAlign w:val="subscript"/>
          <w:lang w:val="pt-BR"/>
        </w:rPr>
        <w:t>1</w:t>
      </w:r>
      <w:r>
        <w:rPr>
          <w:sz w:val="26"/>
          <w:szCs w:val="26"/>
          <w:lang w:val="pt-BR"/>
        </w:rPr>
        <w:t xml:space="preserve"> ngày 15/5/2024. Riêng đối với CCN Thái Yên (phần cũ - thuộc quản lý của UBND huyện Đức Thọ (cũ), tỷ lệ lấp đầy đã đạt 100%), do CCN Thái Yên (phần mở rộng - thuộc quản lý của Công ty CP Đầu tư IDI) đã có hạ tầng kỹ thuật bảo vệ môi trường, đã lắp đặt hệ thống ống chờ để đấu nối nước thải từ CCN Thái Yên (phần cũ) sang hệ thống xử lý nước thải tập trung đặt tại CCN Thái Yên (phần mở rộng); do đó CCN Thái Yên (phần cũ) chỉ cần đầu tư hạ tầng thu gom thoát nước thải để đấu nối về hệ thống xử lý nước thải tập trung đã có tại CCN Thái Yên (phần mở rộng). </w:t>
      </w:r>
    </w:p>
    <w:p w14:paraId="6A400B4D" w14:textId="77777777" w:rsidR="00085789" w:rsidRDefault="00000000">
      <w:pPr>
        <w:widowControl w:val="0"/>
        <w:spacing w:before="60" w:line="240" w:lineRule="auto"/>
        <w:ind w:firstLine="720"/>
        <w:jc w:val="both"/>
        <w:rPr>
          <w:sz w:val="26"/>
          <w:szCs w:val="26"/>
          <w:lang w:val="pt-BR"/>
        </w:rPr>
      </w:pPr>
      <w:r>
        <w:rPr>
          <w:sz w:val="26"/>
          <w:szCs w:val="26"/>
          <w:lang w:val="pt-BR"/>
        </w:rPr>
        <w:t>Đối với nội dung về đầu tư hạ tầng kỹ thuật tại các CCN do Nhà nước làm chủ đầu tư UBND tỉnh đã có nhiều văn bản chỉ đạo (gần đây nhất là các Văn bản số 2523/UBND-KT</w:t>
      </w:r>
      <w:r>
        <w:rPr>
          <w:sz w:val="26"/>
          <w:szCs w:val="26"/>
          <w:vertAlign w:val="subscript"/>
          <w:lang w:val="pt-BR"/>
        </w:rPr>
        <w:t>1</w:t>
      </w:r>
      <w:r>
        <w:rPr>
          <w:sz w:val="26"/>
          <w:szCs w:val="26"/>
          <w:lang w:val="pt-BR"/>
        </w:rPr>
        <w:t xml:space="preserve"> ngày 24/4/2025, số 4633/UBND-KT</w:t>
      </w:r>
      <w:r>
        <w:rPr>
          <w:sz w:val="26"/>
          <w:szCs w:val="26"/>
          <w:vertAlign w:val="subscript"/>
          <w:lang w:val="pt-BR"/>
        </w:rPr>
        <w:t>1</w:t>
      </w:r>
      <w:r>
        <w:rPr>
          <w:sz w:val="26"/>
          <w:szCs w:val="26"/>
          <w:lang w:val="pt-BR"/>
        </w:rPr>
        <w:t xml:space="preserve"> ngày 01/7/2025), trong đó có nội dung: </w:t>
      </w:r>
      <w:r>
        <w:rPr>
          <w:i/>
          <w:sz w:val="26"/>
          <w:szCs w:val="26"/>
          <w:lang w:val="pt-BR"/>
        </w:rPr>
        <w:t xml:space="preserve">“UBND các địa phương khẩn trương rà soát, nghiên cứu, đề xuất các hạng mục còn thiếu (khối lượng và dự kiến kinh phí), để tiếp tục đầu tư hoàn thiện hạ tầng CCN trên địa bàn đáp ứng thu hút đầu tư, khai thác, vận hành theo đúng quy định”; “Sở Công Thương chủ trì tổ chức kiểm tra, đánh giá cụ thể về tình hình đầu tư hạ tầng kỹ thuật các CCN trên địa bàn, nghiên cứu, đề xuất phương án đầu tư, phân kỳ đầu tư các công trình hạ tầng kỹ thuật (đặc biệt hạ tầng về bảo vệ môi trường) phù hợp với từng giai đoạn thu hút đầu tư, đảm bảo hiệu quả, theo đúng quy định của pháp luật, đáp ứng thu hút đầu tư”; “Sở Tài chính chủ </w:t>
      </w:r>
      <w:r>
        <w:rPr>
          <w:i/>
          <w:sz w:val="26"/>
          <w:szCs w:val="26"/>
          <w:lang w:val="pt-BR"/>
        </w:rPr>
        <w:lastRenderedPageBreak/>
        <w:t>trì đánh giá sự cần thiết, quy mô, khả năng cân đối nguồn vốn, các quy định của pháp luật về đầu tư và các quy định khác có liên quan, tham mưu, đề xuất phương án xử lý theo đúng quy định”</w:t>
      </w:r>
      <w:r>
        <w:rPr>
          <w:sz w:val="26"/>
          <w:szCs w:val="26"/>
          <w:lang w:val="pt-BR"/>
        </w:rPr>
        <w:t>. Hiện nay Sở Công Thương và Sở Tài chính đang phối hợp các địa phương rà soát đề xuất để tổng hợp báo cáo UBND tỉnh.</w:t>
      </w:r>
    </w:p>
    <w:p w14:paraId="35FE81E8" w14:textId="77777777" w:rsidR="00085789" w:rsidRDefault="00000000">
      <w:pPr>
        <w:widowControl w:val="0"/>
        <w:spacing w:before="60" w:line="240" w:lineRule="auto"/>
        <w:ind w:firstLine="720"/>
        <w:jc w:val="both"/>
        <w:rPr>
          <w:sz w:val="26"/>
          <w:szCs w:val="26"/>
          <w:lang w:val="pt-BR"/>
        </w:rPr>
      </w:pPr>
      <w:r>
        <w:rPr>
          <w:sz w:val="26"/>
          <w:szCs w:val="26"/>
          <w:lang w:val="pt-BR"/>
        </w:rPr>
        <w:t>- Trong 07 CCN</w:t>
      </w:r>
      <w:r>
        <w:rPr>
          <w:sz w:val="26"/>
          <w:szCs w:val="26"/>
          <w:vertAlign w:val="superscript"/>
          <w:lang w:val="es-MX"/>
        </w:rPr>
        <w:footnoteReference w:id="30"/>
      </w:r>
      <w:r>
        <w:rPr>
          <w:sz w:val="26"/>
          <w:szCs w:val="26"/>
          <w:lang w:val="pt-BR"/>
        </w:rPr>
        <w:t xml:space="preserve"> đã đầu tư hệ thống xử lý nước thải tập trung, có 03 CCN</w:t>
      </w:r>
      <w:r>
        <w:rPr>
          <w:sz w:val="26"/>
          <w:szCs w:val="26"/>
          <w:vertAlign w:val="superscript"/>
          <w:lang w:val="es-MX"/>
        </w:rPr>
        <w:footnoteReference w:id="31"/>
      </w:r>
      <w:r>
        <w:rPr>
          <w:sz w:val="26"/>
          <w:szCs w:val="26"/>
          <w:lang w:val="pt-BR"/>
        </w:rPr>
        <w:t xml:space="preserve"> đã được Sở Nông nghiệp và Môi trường xác nhận hoàn thành Hệ thống quan trắc nước thải tự động liên tục và đã có hồ sự cố; 03 CCN</w:t>
      </w:r>
      <w:r>
        <w:rPr>
          <w:sz w:val="26"/>
          <w:szCs w:val="26"/>
          <w:vertAlign w:val="superscript"/>
          <w:lang w:val="es-MX"/>
        </w:rPr>
        <w:footnoteReference w:id="32"/>
      </w:r>
      <w:r>
        <w:rPr>
          <w:sz w:val="26"/>
          <w:szCs w:val="26"/>
          <w:lang w:val="pt-BR"/>
        </w:rPr>
        <w:t xml:space="preserve"> đang thực hiện lắp đặt; chỉ còn 01 CCN (CCN Thạch Kim) chưa thực hiện.</w:t>
      </w:r>
    </w:p>
    <w:p w14:paraId="7FCA818F" w14:textId="4EBEE3FC" w:rsidR="00085789" w:rsidRDefault="00000000">
      <w:pPr>
        <w:spacing w:before="60" w:line="240" w:lineRule="auto"/>
        <w:ind w:firstLine="709"/>
        <w:jc w:val="both"/>
        <w:rPr>
          <w:rFonts w:eastAsia="Calibri"/>
          <w:sz w:val="26"/>
          <w:szCs w:val="26"/>
          <w:lang w:val="es-MX"/>
        </w:rPr>
      </w:pPr>
      <w:r>
        <w:rPr>
          <w:rFonts w:eastAsia="Calibri"/>
          <w:i/>
          <w:sz w:val="26"/>
          <w:szCs w:val="26"/>
          <w:lang w:val="es-MX"/>
        </w:rPr>
        <w:t xml:space="preserve">* Đối với làng nghề: </w:t>
      </w:r>
      <w:r>
        <w:rPr>
          <w:rFonts w:eastAsia="Calibri"/>
          <w:sz w:val="26"/>
          <w:szCs w:val="26"/>
          <w:lang w:val="pt-BR"/>
        </w:rPr>
        <w:t>Hà Tĩnh hiện có có 07 làng nghề</w:t>
      </w:r>
      <w:r>
        <w:rPr>
          <w:rFonts w:eastAsia="Calibri"/>
          <w:sz w:val="26"/>
          <w:szCs w:val="26"/>
          <w:vertAlign w:val="superscript"/>
          <w:lang w:val="pt-BR"/>
        </w:rPr>
        <w:t xml:space="preserve"> </w:t>
      </w:r>
      <w:r>
        <w:rPr>
          <w:rFonts w:eastAsia="Calibri"/>
          <w:sz w:val="26"/>
          <w:szCs w:val="26"/>
          <w:lang w:val="pt-BR"/>
        </w:rPr>
        <w:t>truyền thống, 06 làng nghề đã được công nhận, không có làng nghề bị ô nhiễm nghiêm trọng. Các làng nghề đã góp phần chuyển đổi cơ cấu kinh tế nông thôn, nâng cao thu nhập, đóng góp tích cực vào xây dựng nông thôn mới trên địa bàn tỉnh. Theo báo cáo của các địa phương, nhiều cơ sở sản xuất tại các làng nghề đã thực hiện thủ tục môi trường, có công trình biện pháp xử lý chất thải theo quy định; tuy nhiên công tác bảo vệ môi trường</w:t>
      </w:r>
      <w:r>
        <w:rPr>
          <w:sz w:val="26"/>
          <w:szCs w:val="26"/>
          <w:lang w:val="pt-BR"/>
        </w:rPr>
        <w:t xml:space="preserve"> </w:t>
      </w:r>
      <w:r>
        <w:rPr>
          <w:rFonts w:eastAsia="Calibri"/>
          <w:sz w:val="26"/>
          <w:szCs w:val="26"/>
          <w:lang w:val="pt-BR"/>
        </w:rPr>
        <w:t>tại các làng nghề còn một số bất cập, hạn chế: hầu hết các làng nghề đều nằm xen lẫn trong khu dân cư; hạ tầng thu gom xử lý nước thải, khí thải chưa đảm bảo,…. Để tạo điều kiện phát triển làng nghề, tỉnh đã quy hoạch 08 cụm công nghiệp làng nghề, gồm: CCN Thái Yên để phát triển nghề mộc; CCN Trường Sơn để phát triển nghề đóng thuyền; CCN Trung Lương phát triển nghề rèn, đúc; CCN Yên Huy phát triển nghề mộc; CCN Thạch Kim, CCN Cẩm Nhượng và CCN Kỳ Ninh phát triển nghề chế biến thủy, hải sản; CCN Thạch Đồng phát triển nghề may chăn ga gối đệm. Việc quy hoạch, xây dựng các CCN làng nghề đã góp phần mở rộng quy mô, phát huy giá trị của các làng nghề truyền thống, đồng thời góp phần giảm thiểu tác động của việc phát triển các làng nghề đối với chất lượng môi trường sống của các khu dân cư trên địa bàn</w:t>
      </w:r>
      <w:r>
        <w:rPr>
          <w:rFonts w:eastAsia="Calibri"/>
          <w:sz w:val="26"/>
          <w:szCs w:val="26"/>
          <w:lang w:val="es-MX"/>
        </w:rPr>
        <w:t xml:space="preserve">. </w:t>
      </w:r>
    </w:p>
    <w:p w14:paraId="16D95AD0" w14:textId="77777777" w:rsidR="00085789" w:rsidRDefault="00000000">
      <w:pPr>
        <w:pStyle w:val="HD3"/>
        <w:spacing w:after="0" w:line="240" w:lineRule="auto"/>
        <w:ind w:firstLine="709"/>
        <w:rPr>
          <w:b w:val="0"/>
          <w:bCs/>
          <w:i w:val="0"/>
          <w:iCs/>
          <w:color w:val="auto"/>
          <w:spacing w:val="0"/>
          <w:sz w:val="26"/>
          <w:lang w:val="es-MX"/>
        </w:rPr>
      </w:pPr>
      <w:bookmarkStart w:id="290" w:name="_Toc184096688"/>
      <w:bookmarkStart w:id="291" w:name="_Toc184096976"/>
      <w:r>
        <w:rPr>
          <w:b w:val="0"/>
          <w:bCs/>
          <w:i w:val="0"/>
          <w:iCs/>
          <w:color w:val="auto"/>
          <w:spacing w:val="0"/>
          <w:sz w:val="26"/>
          <w:lang w:val="es-MX"/>
        </w:rPr>
        <w:t>Hoạt động công nghiệp đem lại lợi ích kinh tế, tạo công ăn việc làm, góp phần cải thiện đời sống nhân dân trên địa bàn tỉnh. Tuy nhiên, trong quá trình hoạt động sản xuất công nghiệp phát sinh CTR, nước thải, khí thải gây tác động tiêu cực đến môi trường đất, nước, không khí và con người.</w:t>
      </w:r>
    </w:p>
    <w:p w14:paraId="2B7DADD0" w14:textId="77777777" w:rsidR="00085789" w:rsidRDefault="00000000">
      <w:pPr>
        <w:pStyle w:val="S3"/>
        <w:spacing w:after="0" w:line="240" w:lineRule="auto"/>
        <w:ind w:firstLine="709"/>
        <w:rPr>
          <w:bCs/>
          <w:sz w:val="26"/>
          <w:lang w:val="sq-AL"/>
        </w:rPr>
      </w:pPr>
      <w:r>
        <w:rPr>
          <w:bCs/>
          <w:sz w:val="26"/>
          <w:lang w:val="sq-AL"/>
        </w:rPr>
        <w:t>* Đối với nước thải:</w:t>
      </w:r>
    </w:p>
    <w:p w14:paraId="0F81CCA6" w14:textId="77777777" w:rsidR="00085789" w:rsidRDefault="00000000">
      <w:pPr>
        <w:spacing w:before="100" w:line="240" w:lineRule="auto"/>
        <w:ind w:firstLine="709"/>
        <w:jc w:val="both"/>
        <w:rPr>
          <w:sz w:val="26"/>
          <w:szCs w:val="26"/>
          <w:lang w:val="es-MX"/>
        </w:rPr>
      </w:pPr>
      <w:r>
        <w:rPr>
          <w:sz w:val="26"/>
          <w:szCs w:val="26"/>
          <w:lang w:val="es-MX"/>
        </w:rPr>
        <w:t>Đặc trưng của nước thải công nghiệp trên địa bàn tỉnh thường chứa nhiều</w:t>
      </w:r>
      <w:r>
        <w:rPr>
          <w:spacing w:val="-1"/>
          <w:sz w:val="26"/>
          <w:szCs w:val="26"/>
          <w:lang w:val="es-MX"/>
        </w:rPr>
        <w:t xml:space="preserve"> </w:t>
      </w:r>
      <w:r>
        <w:rPr>
          <w:sz w:val="26"/>
          <w:szCs w:val="26"/>
          <w:lang w:val="es-MX"/>
        </w:rPr>
        <w:t>các</w:t>
      </w:r>
      <w:r>
        <w:rPr>
          <w:spacing w:val="-2"/>
          <w:sz w:val="26"/>
          <w:szCs w:val="26"/>
          <w:lang w:val="es-MX"/>
        </w:rPr>
        <w:t xml:space="preserve"> </w:t>
      </w:r>
      <w:r>
        <w:rPr>
          <w:sz w:val="26"/>
          <w:szCs w:val="26"/>
          <w:lang w:val="es-MX"/>
        </w:rPr>
        <w:t>chất</w:t>
      </w:r>
      <w:r>
        <w:rPr>
          <w:spacing w:val="-1"/>
          <w:sz w:val="26"/>
          <w:szCs w:val="26"/>
          <w:lang w:val="es-MX"/>
        </w:rPr>
        <w:t xml:space="preserve"> </w:t>
      </w:r>
      <w:r>
        <w:rPr>
          <w:sz w:val="26"/>
          <w:szCs w:val="26"/>
          <w:lang w:val="es-MX"/>
        </w:rPr>
        <w:t>hữu</w:t>
      </w:r>
      <w:r>
        <w:rPr>
          <w:spacing w:val="-1"/>
          <w:sz w:val="26"/>
          <w:szCs w:val="26"/>
          <w:lang w:val="es-MX"/>
        </w:rPr>
        <w:t xml:space="preserve"> </w:t>
      </w:r>
      <w:r>
        <w:rPr>
          <w:sz w:val="26"/>
          <w:szCs w:val="26"/>
          <w:lang w:val="es-MX"/>
        </w:rPr>
        <w:t>cơ,</w:t>
      </w:r>
      <w:r>
        <w:rPr>
          <w:spacing w:val="-3"/>
          <w:sz w:val="26"/>
          <w:szCs w:val="26"/>
          <w:lang w:val="es-MX"/>
        </w:rPr>
        <w:t xml:space="preserve"> </w:t>
      </w:r>
      <w:r>
        <w:rPr>
          <w:sz w:val="26"/>
          <w:szCs w:val="26"/>
          <w:lang w:val="es-MX"/>
        </w:rPr>
        <w:t>dầu</w:t>
      </w:r>
      <w:r>
        <w:rPr>
          <w:spacing w:val="-1"/>
          <w:sz w:val="26"/>
          <w:szCs w:val="26"/>
          <w:lang w:val="es-MX"/>
        </w:rPr>
        <w:t xml:space="preserve"> </w:t>
      </w:r>
      <w:r>
        <w:rPr>
          <w:sz w:val="26"/>
          <w:szCs w:val="26"/>
          <w:lang w:val="es-MX"/>
        </w:rPr>
        <w:t>mỡ,…;</w:t>
      </w:r>
      <w:r>
        <w:rPr>
          <w:spacing w:val="-1"/>
          <w:sz w:val="26"/>
          <w:szCs w:val="26"/>
          <w:lang w:val="es-MX"/>
        </w:rPr>
        <w:t xml:space="preserve"> </w:t>
      </w:r>
      <w:r>
        <w:rPr>
          <w:sz w:val="26"/>
          <w:szCs w:val="26"/>
          <w:lang w:val="es-MX"/>
        </w:rPr>
        <w:t>hiện</w:t>
      </w:r>
      <w:r>
        <w:rPr>
          <w:spacing w:val="-5"/>
          <w:sz w:val="26"/>
          <w:szCs w:val="26"/>
          <w:lang w:val="es-MX"/>
        </w:rPr>
        <w:t xml:space="preserve"> </w:t>
      </w:r>
      <w:r>
        <w:rPr>
          <w:sz w:val="26"/>
          <w:szCs w:val="26"/>
          <w:lang w:val="es-MX"/>
        </w:rPr>
        <w:t>nay</w:t>
      </w:r>
      <w:r>
        <w:rPr>
          <w:spacing w:val="-4"/>
          <w:sz w:val="26"/>
          <w:szCs w:val="26"/>
          <w:lang w:val="es-MX"/>
        </w:rPr>
        <w:t xml:space="preserve"> </w:t>
      </w:r>
      <w:r>
        <w:rPr>
          <w:sz w:val="26"/>
          <w:szCs w:val="26"/>
          <w:lang w:val="es-MX"/>
        </w:rPr>
        <w:t>nước</w:t>
      </w:r>
      <w:r>
        <w:rPr>
          <w:spacing w:val="-2"/>
          <w:sz w:val="26"/>
          <w:szCs w:val="26"/>
          <w:lang w:val="es-MX"/>
        </w:rPr>
        <w:t xml:space="preserve"> </w:t>
      </w:r>
      <w:r>
        <w:rPr>
          <w:sz w:val="26"/>
          <w:szCs w:val="26"/>
          <w:lang w:val="es-MX"/>
        </w:rPr>
        <w:t>thải</w:t>
      </w:r>
      <w:r>
        <w:rPr>
          <w:spacing w:val="-1"/>
          <w:sz w:val="26"/>
          <w:szCs w:val="26"/>
          <w:lang w:val="es-MX"/>
        </w:rPr>
        <w:t xml:space="preserve"> </w:t>
      </w:r>
      <w:r>
        <w:rPr>
          <w:sz w:val="26"/>
          <w:szCs w:val="26"/>
          <w:lang w:val="es-MX"/>
        </w:rPr>
        <w:t>của</w:t>
      </w:r>
      <w:r>
        <w:rPr>
          <w:spacing w:val="-2"/>
          <w:sz w:val="26"/>
          <w:szCs w:val="26"/>
          <w:lang w:val="es-MX"/>
        </w:rPr>
        <w:t xml:space="preserve"> </w:t>
      </w:r>
      <w:r>
        <w:rPr>
          <w:sz w:val="26"/>
          <w:szCs w:val="26"/>
          <w:lang w:val="es-MX"/>
        </w:rPr>
        <w:t>các</w:t>
      </w:r>
      <w:r>
        <w:rPr>
          <w:spacing w:val="-5"/>
          <w:sz w:val="26"/>
          <w:szCs w:val="26"/>
          <w:lang w:val="es-MX"/>
        </w:rPr>
        <w:t xml:space="preserve"> </w:t>
      </w:r>
      <w:r>
        <w:rPr>
          <w:sz w:val="26"/>
          <w:szCs w:val="26"/>
          <w:lang w:val="es-MX"/>
        </w:rPr>
        <w:t>cơ sở</w:t>
      </w:r>
      <w:r>
        <w:rPr>
          <w:spacing w:val="-1"/>
          <w:sz w:val="26"/>
          <w:szCs w:val="26"/>
          <w:lang w:val="es-MX"/>
        </w:rPr>
        <w:t xml:space="preserve"> </w:t>
      </w:r>
      <w:r>
        <w:rPr>
          <w:sz w:val="26"/>
          <w:szCs w:val="26"/>
          <w:lang w:val="es-MX"/>
        </w:rPr>
        <w:t>sau</w:t>
      </w:r>
      <w:r>
        <w:rPr>
          <w:spacing w:val="-5"/>
          <w:sz w:val="26"/>
          <w:szCs w:val="26"/>
          <w:lang w:val="es-MX"/>
        </w:rPr>
        <w:t xml:space="preserve"> </w:t>
      </w:r>
      <w:r>
        <w:rPr>
          <w:sz w:val="26"/>
          <w:szCs w:val="26"/>
          <w:lang w:val="es-MX"/>
        </w:rPr>
        <w:t>khi</w:t>
      </w:r>
      <w:r>
        <w:rPr>
          <w:spacing w:val="-1"/>
          <w:sz w:val="26"/>
          <w:szCs w:val="26"/>
          <w:lang w:val="es-MX"/>
        </w:rPr>
        <w:t xml:space="preserve"> </w:t>
      </w:r>
      <w:r>
        <w:rPr>
          <w:sz w:val="26"/>
          <w:szCs w:val="26"/>
          <w:lang w:val="es-MX"/>
        </w:rPr>
        <w:t>tự</w:t>
      </w:r>
      <w:r>
        <w:rPr>
          <w:spacing w:val="-4"/>
          <w:sz w:val="26"/>
          <w:szCs w:val="26"/>
          <w:lang w:val="es-MX"/>
        </w:rPr>
        <w:t xml:space="preserve"> </w:t>
      </w:r>
      <w:r>
        <w:rPr>
          <w:sz w:val="26"/>
          <w:szCs w:val="26"/>
          <w:lang w:val="es-MX"/>
        </w:rPr>
        <w:t xml:space="preserve">xử lý đảm bảo theo quy chuẩn thì xả ra nguồn tiếp nhận là sông, suối, ao, hồ,…. </w:t>
      </w:r>
    </w:p>
    <w:p w14:paraId="0194A5BF" w14:textId="77777777" w:rsidR="00085789" w:rsidRDefault="00000000">
      <w:pPr>
        <w:pStyle w:val="S3"/>
        <w:spacing w:before="100" w:after="0" w:line="240" w:lineRule="auto"/>
        <w:ind w:firstLine="709"/>
        <w:rPr>
          <w:b w:val="0"/>
          <w:sz w:val="26"/>
          <w:lang w:val="es-MX"/>
        </w:rPr>
      </w:pPr>
      <w:r>
        <w:rPr>
          <w:b w:val="0"/>
          <w:sz w:val="26"/>
          <w:lang w:val="sq-AL"/>
        </w:rPr>
        <w:t xml:space="preserve">Theo số liệu điều tra, </w:t>
      </w:r>
      <w:r>
        <w:rPr>
          <w:b w:val="0"/>
          <w:sz w:val="26"/>
          <w:lang w:val="es-MX"/>
        </w:rPr>
        <w:t xml:space="preserve">lượng nước thải phát sinh tại các KCN, CCN từ năm 2022 -2025 khoảng 11.798,2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(trong đó KCN khoảng 6.259,6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và CCN khoảng 5.538,6 </w:t>
      </w:r>
      <w:r>
        <w:rPr>
          <w:b w:val="0"/>
          <w:sz w:val="26"/>
          <w:lang w:val="vi-VN"/>
        </w:rPr>
        <w:t>m</w:t>
      </w:r>
      <w:r>
        <w:rPr>
          <w:b w:val="0"/>
          <w:sz w:val="26"/>
          <w:vertAlign w:val="superscript"/>
          <w:lang w:val="vi-VN"/>
        </w:rPr>
        <w:t>3</w:t>
      </w:r>
      <w:r>
        <w:rPr>
          <w:b w:val="0"/>
          <w:sz w:val="26"/>
          <w:lang w:val="vi-VN"/>
        </w:rPr>
        <w:t>/ngày đêm</w:t>
      </w:r>
      <w:r>
        <w:rPr>
          <w:b w:val="0"/>
          <w:sz w:val="26"/>
          <w:lang w:val="es-MX"/>
        </w:rPr>
        <w:t>), cụ thể</w:t>
      </w:r>
      <w:r>
        <w:rPr>
          <w:b w:val="0"/>
          <w:sz w:val="26"/>
          <w:lang w:val="sq-AL"/>
        </w:rPr>
        <w:t xml:space="preserve"> </w:t>
      </w:r>
      <w:r>
        <w:rPr>
          <w:b w:val="0"/>
          <w:sz w:val="26"/>
          <w:lang w:val="es-MX"/>
        </w:rPr>
        <w:t>như sau:</w:t>
      </w:r>
    </w:p>
    <w:p w14:paraId="3EA72EA8" w14:textId="77777777" w:rsidR="00085789" w:rsidRDefault="00000000">
      <w:pPr>
        <w:pStyle w:val="S3"/>
        <w:spacing w:before="100" w:after="0" w:line="240" w:lineRule="auto"/>
        <w:ind w:firstLine="709"/>
        <w:rPr>
          <w:b w:val="0"/>
          <w:sz w:val="26"/>
          <w:lang w:val="sq-AL"/>
        </w:rPr>
      </w:pPr>
      <w:r>
        <w:rPr>
          <w:b w:val="0"/>
          <w:sz w:val="26"/>
          <w:lang w:val="sq-AL"/>
        </w:rPr>
        <w:t xml:space="preserve"> Năm 2022 </w:t>
      </w:r>
      <w:r>
        <w:rPr>
          <w:b w:val="0"/>
          <w:sz w:val="26"/>
          <w:lang w:val="vi-VN"/>
        </w:rPr>
        <w:t>tổng lưu lượng nước thải phát sinh tại các KCN, CCN là 1.</w:t>
      </w:r>
      <w:r>
        <w:rPr>
          <w:b w:val="0"/>
          <w:sz w:val="26"/>
          <w:lang w:val="sq-AL"/>
        </w:rPr>
        <w:t>759</w:t>
      </w:r>
      <w:r>
        <w:rPr>
          <w:b w:val="0"/>
          <w:sz w:val="26"/>
          <w:lang w:val="vi-VN"/>
        </w:rPr>
        <w:t>,</w:t>
      </w:r>
      <w:r>
        <w:rPr>
          <w:b w:val="0"/>
          <w:sz w:val="26"/>
          <w:lang w:val="sq-AL"/>
        </w:rPr>
        <w:t>0</w:t>
      </w:r>
      <w:r>
        <w:rPr>
          <w:b w:val="0"/>
          <w:sz w:val="26"/>
          <w:lang w:val="vi-VN"/>
        </w:rPr>
        <w:t>5 m</w:t>
      </w:r>
      <w:r>
        <w:rPr>
          <w:b w:val="0"/>
          <w:sz w:val="26"/>
          <w:vertAlign w:val="superscript"/>
          <w:lang w:val="vi-VN"/>
        </w:rPr>
        <w:t>3</w:t>
      </w:r>
      <w:r>
        <w:rPr>
          <w:b w:val="0"/>
          <w:sz w:val="26"/>
          <w:lang w:val="vi-VN"/>
        </w:rPr>
        <w:t xml:space="preserve">/ngày đêm </w:t>
      </w:r>
      <w:r>
        <w:rPr>
          <w:b w:val="0"/>
          <w:sz w:val="26"/>
          <w:lang w:val="sq-AL"/>
        </w:rPr>
        <w:t xml:space="preserve">trong đó KCN 172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KCN Vũng Áng I), CCN 1.587,05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CCN Cổng Khánh 2).</w:t>
      </w:r>
    </w:p>
    <w:p w14:paraId="2EB5CB8F" w14:textId="77777777" w:rsidR="00085789" w:rsidRDefault="00000000">
      <w:pPr>
        <w:pStyle w:val="S3"/>
        <w:spacing w:before="100" w:after="0" w:line="240" w:lineRule="auto"/>
        <w:ind w:firstLine="709"/>
        <w:rPr>
          <w:b w:val="0"/>
          <w:sz w:val="26"/>
          <w:lang w:val="sq-AL"/>
        </w:rPr>
      </w:pPr>
      <w:r>
        <w:rPr>
          <w:b w:val="0"/>
          <w:sz w:val="26"/>
          <w:lang w:val="sq-AL"/>
        </w:rPr>
        <w:t xml:space="preserve">Năm 2023 </w:t>
      </w:r>
      <w:r>
        <w:rPr>
          <w:b w:val="0"/>
          <w:sz w:val="26"/>
          <w:lang w:val="vi-VN"/>
        </w:rPr>
        <w:t>tổng lưu lượng nước thải phát sinh tại các KCN, CCN là 1.</w:t>
      </w:r>
      <w:r>
        <w:rPr>
          <w:b w:val="0"/>
          <w:sz w:val="26"/>
          <w:lang w:val="sq-AL"/>
        </w:rPr>
        <w:t>796</w:t>
      </w:r>
      <w:r>
        <w:rPr>
          <w:b w:val="0"/>
          <w:sz w:val="26"/>
          <w:lang w:val="vi-VN"/>
        </w:rPr>
        <w:t>,</w:t>
      </w:r>
      <w:r>
        <w:rPr>
          <w:b w:val="0"/>
          <w:sz w:val="26"/>
          <w:lang w:val="sq-AL"/>
        </w:rPr>
        <w:t>0</w:t>
      </w:r>
      <w:r>
        <w:rPr>
          <w:b w:val="0"/>
          <w:sz w:val="26"/>
          <w:lang w:val="vi-VN"/>
        </w:rPr>
        <w:t>5</w:t>
      </w:r>
      <w:r>
        <w:rPr>
          <w:b w:val="0"/>
          <w:sz w:val="26"/>
          <w:lang w:val="sq-AL"/>
        </w:rPr>
        <w:t xml:space="preserve"> </w:t>
      </w:r>
      <w:r>
        <w:rPr>
          <w:b w:val="0"/>
          <w:sz w:val="26"/>
          <w:lang w:val="vi-VN"/>
        </w:rPr>
        <w:t>m</w:t>
      </w:r>
      <w:r>
        <w:rPr>
          <w:b w:val="0"/>
          <w:sz w:val="26"/>
          <w:vertAlign w:val="superscript"/>
          <w:lang w:val="vi-VN"/>
        </w:rPr>
        <w:t>3</w:t>
      </w:r>
      <w:r>
        <w:rPr>
          <w:b w:val="0"/>
          <w:sz w:val="26"/>
          <w:lang w:val="vi-VN"/>
        </w:rPr>
        <w:t xml:space="preserve">/ngày đêm </w:t>
      </w:r>
      <w:r>
        <w:rPr>
          <w:b w:val="0"/>
          <w:sz w:val="26"/>
          <w:lang w:val="sq-AL"/>
        </w:rPr>
        <w:t xml:space="preserve">trong đó KCN 209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KCN Vũng Áng I), CCN 1.587,05 </w:t>
      </w:r>
      <w:r>
        <w:rPr>
          <w:b w:val="0"/>
          <w:sz w:val="26"/>
          <w:lang w:val="vi-VN"/>
        </w:rPr>
        <w:t>m</w:t>
      </w:r>
      <w:r>
        <w:rPr>
          <w:b w:val="0"/>
          <w:sz w:val="26"/>
          <w:vertAlign w:val="superscript"/>
          <w:lang w:val="vi-VN"/>
        </w:rPr>
        <w:t>3</w:t>
      </w:r>
      <w:r>
        <w:rPr>
          <w:b w:val="0"/>
          <w:sz w:val="26"/>
          <w:lang w:val="vi-VN"/>
        </w:rPr>
        <w:t>/ngày đêm</w:t>
      </w:r>
      <w:r>
        <w:rPr>
          <w:b w:val="0"/>
          <w:sz w:val="26"/>
          <w:lang w:val="sq-AL"/>
        </w:rPr>
        <w:t xml:space="preserve"> (lớn nhất là CCN Cổng Khánh 2). </w:t>
      </w:r>
    </w:p>
    <w:p w14:paraId="0F4EFACE" w14:textId="77777777" w:rsidR="00085789" w:rsidRDefault="00000000">
      <w:pPr>
        <w:pStyle w:val="S3"/>
        <w:spacing w:before="100" w:after="0" w:line="240" w:lineRule="auto"/>
        <w:ind w:firstLine="709"/>
        <w:rPr>
          <w:b w:val="0"/>
          <w:sz w:val="26"/>
          <w:lang w:val="sq-AL"/>
        </w:rPr>
      </w:pPr>
      <w:r>
        <w:rPr>
          <w:b w:val="0"/>
          <w:sz w:val="26"/>
          <w:lang w:val="sq-AL"/>
        </w:rPr>
        <w:lastRenderedPageBreak/>
        <w:t xml:space="preserve">Năm 2024 </w:t>
      </w:r>
      <w:r>
        <w:rPr>
          <w:b w:val="0"/>
          <w:sz w:val="26"/>
          <w:lang w:val="vi-VN"/>
        </w:rPr>
        <w:t>tổng lưu lượng nước thải phát sinh tại các KCN, CCN là 1.3</w:t>
      </w:r>
      <w:r>
        <w:rPr>
          <w:b w:val="0"/>
          <w:sz w:val="26"/>
          <w:lang w:val="sq-AL"/>
        </w:rPr>
        <w:t>52</w:t>
      </w:r>
      <w:r>
        <w:rPr>
          <w:b w:val="0"/>
          <w:sz w:val="26"/>
          <w:lang w:val="vi-VN"/>
        </w:rPr>
        <w:t>,25 m</w:t>
      </w:r>
      <w:r>
        <w:rPr>
          <w:b w:val="0"/>
          <w:sz w:val="26"/>
          <w:vertAlign w:val="superscript"/>
          <w:lang w:val="vi-VN"/>
        </w:rPr>
        <w:t>3</w:t>
      </w:r>
      <w:r>
        <w:rPr>
          <w:b w:val="0"/>
          <w:sz w:val="26"/>
          <w:lang w:val="vi-VN"/>
        </w:rPr>
        <w:t>/ngày đêm</w:t>
      </w:r>
      <w:r>
        <w:rPr>
          <w:b w:val="0"/>
          <w:sz w:val="26"/>
          <w:lang w:val="sq-AL"/>
        </w:rPr>
        <w:t xml:space="preserve"> trong đó KCN 125</w:t>
      </w:r>
      <w:r>
        <w:rPr>
          <w:b w:val="0"/>
          <w:sz w:val="26"/>
          <w:lang w:val="vi-VN"/>
        </w:rPr>
        <w:t xml:space="preserve"> m</w:t>
      </w:r>
      <w:r>
        <w:rPr>
          <w:b w:val="0"/>
          <w:sz w:val="26"/>
          <w:vertAlign w:val="superscript"/>
          <w:lang w:val="vi-VN"/>
        </w:rPr>
        <w:t>3</w:t>
      </w:r>
      <w:r>
        <w:rPr>
          <w:b w:val="0"/>
          <w:sz w:val="26"/>
          <w:lang w:val="vi-VN"/>
        </w:rPr>
        <w:t>/ngày đêm</w:t>
      </w:r>
      <w:r>
        <w:rPr>
          <w:b w:val="0"/>
          <w:sz w:val="26"/>
          <w:lang w:val="sq-AL"/>
        </w:rPr>
        <w:t xml:space="preserve"> (lớn nhất là KCN Vũng Áng I), CCN 1.182,25</w:t>
      </w:r>
      <w:r>
        <w:rPr>
          <w:b w:val="0"/>
          <w:sz w:val="26"/>
          <w:lang w:val="vi-VN"/>
        </w:rPr>
        <w:t xml:space="preserve"> m</w:t>
      </w:r>
      <w:r>
        <w:rPr>
          <w:b w:val="0"/>
          <w:sz w:val="26"/>
          <w:vertAlign w:val="superscript"/>
          <w:lang w:val="vi-VN"/>
        </w:rPr>
        <w:t>3</w:t>
      </w:r>
      <w:r>
        <w:rPr>
          <w:b w:val="0"/>
          <w:sz w:val="26"/>
          <w:lang w:val="vi-VN"/>
        </w:rPr>
        <w:t>/ngày đêm</w:t>
      </w:r>
      <w:bookmarkEnd w:id="290"/>
      <w:bookmarkEnd w:id="291"/>
      <w:r>
        <w:rPr>
          <w:b w:val="0"/>
          <w:sz w:val="26"/>
          <w:lang w:val="sq-AL"/>
        </w:rPr>
        <w:t xml:space="preserve"> (lớn nhất là CCN Cổng Khánh 2).</w:t>
      </w:r>
    </w:p>
    <w:p w14:paraId="63F859BF" w14:textId="77777777" w:rsidR="00085789" w:rsidRDefault="00000000">
      <w:pPr>
        <w:pStyle w:val="S3"/>
        <w:spacing w:before="120" w:after="0" w:line="240" w:lineRule="auto"/>
        <w:ind w:firstLine="709"/>
        <w:rPr>
          <w:b w:val="0"/>
          <w:sz w:val="26"/>
        </w:rPr>
      </w:pPr>
      <w:r>
        <w:rPr>
          <w:b w:val="0"/>
          <w:sz w:val="26"/>
          <w:lang w:val="sq-AL"/>
        </w:rPr>
        <w:t xml:space="preserve">Theo số liệu điều tra, số lượng các cơ sở đi vào hoạt động và các cơ sở tạm dừng hoạt động không có biến động so với năm 2024, do vậy </w:t>
      </w:r>
      <w:r>
        <w:rPr>
          <w:b w:val="0"/>
          <w:sz w:val="26"/>
          <w:lang w:val="vi-VN"/>
        </w:rPr>
        <w:t xml:space="preserve">lưu lượng nước thải phát sinh tại các KCN, CCN </w:t>
      </w:r>
      <w:r>
        <w:rPr>
          <w:b w:val="0"/>
          <w:sz w:val="26"/>
          <w:lang w:val="sq-AL"/>
        </w:rPr>
        <w:t>năm 2025 ước tính khoảng</w:t>
      </w:r>
      <w:r>
        <w:rPr>
          <w:b w:val="0"/>
          <w:sz w:val="26"/>
          <w:lang w:val="vi-VN"/>
        </w:rPr>
        <w:t xml:space="preserve"> 1.3</w:t>
      </w:r>
      <w:r>
        <w:rPr>
          <w:b w:val="0"/>
          <w:sz w:val="26"/>
          <w:lang w:val="sq-AL"/>
        </w:rPr>
        <w:t>52</w:t>
      </w:r>
      <w:r>
        <w:rPr>
          <w:b w:val="0"/>
          <w:sz w:val="26"/>
          <w:lang w:val="vi-VN"/>
        </w:rPr>
        <w:t>,25 m</w:t>
      </w:r>
      <w:r>
        <w:rPr>
          <w:b w:val="0"/>
          <w:sz w:val="26"/>
          <w:vertAlign w:val="superscript"/>
          <w:lang w:val="vi-VN"/>
        </w:rPr>
        <w:t>3</w:t>
      </w:r>
      <w:r>
        <w:rPr>
          <w:b w:val="0"/>
          <w:sz w:val="26"/>
          <w:lang w:val="vi-VN"/>
        </w:rPr>
        <w:t>/ngày đêm</w:t>
      </w:r>
      <w:r>
        <w:rPr>
          <w:b w:val="0"/>
          <w:sz w:val="26"/>
        </w:rPr>
        <w:t>.</w:t>
      </w:r>
    </w:p>
    <w:p w14:paraId="4997D4F8" w14:textId="77777777" w:rsidR="00085789" w:rsidRDefault="00000000">
      <w:pPr>
        <w:pStyle w:val="S3"/>
        <w:spacing w:before="120" w:after="0" w:line="240" w:lineRule="auto"/>
        <w:ind w:firstLine="709"/>
        <w:rPr>
          <w:rFonts w:asciiTheme="majorHAnsi" w:hAnsiTheme="majorHAnsi" w:cstheme="majorHAnsi"/>
          <w:b w:val="0"/>
          <w:sz w:val="26"/>
        </w:rPr>
      </w:pPr>
      <w:r>
        <w:rPr>
          <w:rFonts w:asciiTheme="majorHAnsi" w:hAnsiTheme="majorHAnsi" w:cstheme="majorHAnsi"/>
          <w:b w:val="0"/>
          <w:spacing w:val="3"/>
          <w:sz w:val="26"/>
          <w:shd w:val="clear" w:color="auto" w:fill="FFFFFF"/>
        </w:rPr>
        <w:t>Các cơ sở sản xuất công nghiệp nằm ngoài KCN, CCN cũng là một trong những nguồn phát sinh nước thải công nghiệp lớn ra môi trường như: Khu liên hợp gang thép và cảng Sơn Dương Formosa Hà Tĩnh với lưu lượng xả thải lớn nhất 45.000 m</w:t>
      </w:r>
      <w:r>
        <w:rPr>
          <w:rFonts w:asciiTheme="majorHAnsi" w:hAnsiTheme="majorHAnsi" w:cstheme="majorHAnsi"/>
          <w:b w:val="0"/>
          <w:spacing w:val="3"/>
          <w:sz w:val="26"/>
          <w:shd w:val="clear" w:color="auto" w:fill="FFFFFF"/>
          <w:vertAlign w:val="superscript"/>
        </w:rPr>
        <w:t>3</w:t>
      </w:r>
      <w:r>
        <w:rPr>
          <w:rFonts w:asciiTheme="majorHAnsi" w:hAnsiTheme="majorHAnsi" w:cstheme="majorHAnsi"/>
          <w:b w:val="0"/>
          <w:spacing w:val="3"/>
          <w:sz w:val="26"/>
          <w:shd w:val="clear" w:color="auto" w:fill="FFFFFF"/>
        </w:rPr>
        <w:t>/ngày đêm; nhà máy Nhiệt điện Vũng Áng 1 với lưu lượng xả thải lớn nhất 4.441.980 m</w:t>
      </w:r>
      <w:r>
        <w:rPr>
          <w:rFonts w:asciiTheme="majorHAnsi" w:hAnsiTheme="majorHAnsi" w:cstheme="majorHAnsi"/>
          <w:b w:val="0"/>
          <w:spacing w:val="3"/>
          <w:sz w:val="26"/>
          <w:shd w:val="clear" w:color="auto" w:fill="FFFFFF"/>
          <w:vertAlign w:val="superscript"/>
        </w:rPr>
        <w:t>3</w:t>
      </w:r>
      <w:r>
        <w:rPr>
          <w:rFonts w:asciiTheme="majorHAnsi" w:hAnsiTheme="majorHAnsi" w:cstheme="majorHAnsi"/>
          <w:b w:val="0"/>
          <w:spacing w:val="3"/>
          <w:sz w:val="26"/>
          <w:shd w:val="clear" w:color="auto" w:fill="FFFFFF"/>
        </w:rPr>
        <w:t>/ngày đêm; nhà máy nhiệt điện Vũng Áng 2 với lưu lượng xả thải lớn nhất 4.980.652 m</w:t>
      </w:r>
      <w:r>
        <w:rPr>
          <w:rFonts w:asciiTheme="majorHAnsi" w:hAnsiTheme="majorHAnsi" w:cstheme="majorHAnsi"/>
          <w:b w:val="0"/>
          <w:spacing w:val="3"/>
          <w:sz w:val="26"/>
          <w:shd w:val="clear" w:color="auto" w:fill="FFFFFF"/>
          <w:vertAlign w:val="superscript"/>
        </w:rPr>
        <w:t>3</w:t>
      </w:r>
      <w:r>
        <w:rPr>
          <w:rFonts w:asciiTheme="majorHAnsi" w:hAnsiTheme="majorHAnsi" w:cstheme="majorHAnsi"/>
          <w:b w:val="0"/>
          <w:spacing w:val="3"/>
          <w:sz w:val="26"/>
          <w:shd w:val="clear" w:color="auto" w:fill="FFFFFF"/>
        </w:rPr>
        <w:t>/ngày đêm; nhà máy bia Sài Gòn - Hà Tĩnh với lưu lượng xả thải lớn nhất khoảng 1.200 m</w:t>
      </w:r>
      <w:r>
        <w:rPr>
          <w:rFonts w:asciiTheme="majorHAnsi" w:hAnsiTheme="majorHAnsi" w:cstheme="majorHAnsi"/>
          <w:b w:val="0"/>
          <w:spacing w:val="3"/>
          <w:sz w:val="26"/>
          <w:shd w:val="clear" w:color="auto" w:fill="FFFFFF"/>
          <w:vertAlign w:val="superscript"/>
        </w:rPr>
        <w:t>3</w:t>
      </w:r>
      <w:r>
        <w:rPr>
          <w:rFonts w:asciiTheme="majorHAnsi" w:hAnsiTheme="majorHAnsi" w:cstheme="majorHAnsi"/>
          <w:b w:val="0"/>
          <w:spacing w:val="3"/>
          <w:sz w:val="26"/>
          <w:shd w:val="clear" w:color="auto" w:fill="FFFFFF"/>
        </w:rPr>
        <w:t>/ngày đêm,.... Như vậy, ước tính mỗi ngày, nước thải công nghiệp phát sinh trung bình khoảng hơn 9 triệu m</w:t>
      </w:r>
      <w:r>
        <w:rPr>
          <w:rFonts w:asciiTheme="majorHAnsi" w:hAnsiTheme="majorHAnsi" w:cstheme="majorHAnsi"/>
          <w:b w:val="0"/>
          <w:spacing w:val="3"/>
          <w:sz w:val="26"/>
          <w:shd w:val="clear" w:color="auto" w:fill="FFFFFF"/>
          <w:vertAlign w:val="superscript"/>
        </w:rPr>
        <w:t>3</w:t>
      </w:r>
      <w:r>
        <w:rPr>
          <w:rFonts w:asciiTheme="majorHAnsi" w:hAnsiTheme="majorHAnsi" w:cstheme="majorHAnsi"/>
          <w:b w:val="0"/>
          <w:spacing w:val="3"/>
          <w:sz w:val="26"/>
          <w:shd w:val="clear" w:color="auto" w:fill="FFFFFF"/>
        </w:rPr>
        <w:t>/ngày đêm.</w:t>
      </w:r>
    </w:p>
    <w:p w14:paraId="60D20D1A" w14:textId="77777777" w:rsidR="00085789" w:rsidRDefault="00000000">
      <w:pPr>
        <w:spacing w:before="120" w:line="240" w:lineRule="auto"/>
        <w:ind w:firstLine="720"/>
        <w:jc w:val="both"/>
        <w:rPr>
          <w:bCs/>
          <w:sz w:val="26"/>
          <w:szCs w:val="26"/>
          <w:lang w:val="pt-BR"/>
        </w:rPr>
      </w:pPr>
      <w:r>
        <w:rPr>
          <w:bCs/>
          <w:sz w:val="26"/>
          <w:szCs w:val="26"/>
          <w:lang w:val="pt-BR"/>
        </w:rPr>
        <w:t>Hiện nay, nhiều KCN, CCN, làng nghề chưa đảm bảo yêu cầu về hạ tầng kỹ thuật BVMT (chưa đầu tư xây dựng hạ tầng hoặc đã xây dựng nhưng chưa đầy đủ, đồng bộ, chưa tách riêng hệ thống thoát nước mưa với hệ thống thu gom, xử lý nước thải; chưa có hệ thống xử lý nước thải tập trung; chưa hoàn thành việc lắp đặt hệ thống quan trắc tự động, liên tục và công trình phòng ngừa, ứng phó sự cố môi trường,...) dẫn đến vướng mắc trong thu hút các dự án đầu tư. Một số CCN đã có hệ thống thu gom, xử lý nước thải nhưng đã xuống cấp, hư hỏng, hiệu quả xử lý không đạt yêu cầu.</w:t>
      </w:r>
      <w:r>
        <w:rPr>
          <w:sz w:val="26"/>
          <w:szCs w:val="26"/>
          <w:lang w:val="pt-BR"/>
        </w:rPr>
        <w:t xml:space="preserve"> </w:t>
      </w:r>
      <w:r>
        <w:rPr>
          <w:sz w:val="26"/>
          <w:szCs w:val="26"/>
          <w:lang w:val="sq-AL"/>
        </w:rPr>
        <w:t>Các cơ sở sản xuất bên trong các KCN, CCN còn lại hiện đang phải tự đầu tư hệ thống thu gom, xử lý trước khi xả ra nguồn tiếp nhận. Do đó, việc kiểm soát chất lượng nước thải đầu ra tại các KCN, CCN còn gặp nhiều khó khăn, tiềm ẩn nguy cơ gây ô nhiễm môi trường nước, nếu không được kiểm soát nghiêm ngặt sẽ ảnh hưởng trực tiếp đến chất lượng nước mặt và ĐDSH thủy sinh tại khu vực tiếp nhận.</w:t>
      </w:r>
    </w:p>
    <w:p w14:paraId="754D8492" w14:textId="77777777" w:rsidR="00085789" w:rsidRDefault="00000000">
      <w:pPr>
        <w:pStyle w:val="V30"/>
        <w:spacing w:before="120" w:after="0" w:line="240" w:lineRule="auto"/>
        <w:ind w:firstLine="709"/>
        <w:jc w:val="both"/>
        <w:rPr>
          <w:color w:val="auto"/>
          <w:szCs w:val="26"/>
          <w:vertAlign w:val="superscript"/>
          <w:lang w:val="vi-VN"/>
        </w:rPr>
      </w:pPr>
      <w:r>
        <w:rPr>
          <w:color w:val="auto"/>
          <w:szCs w:val="26"/>
          <w:lang w:val="pt-BR"/>
        </w:rPr>
        <w:t>* Đối với khí thải, bụi, tiếng ồn:</w:t>
      </w:r>
    </w:p>
    <w:p w14:paraId="39E3C4FC" w14:textId="77777777" w:rsidR="00085789" w:rsidRDefault="00000000">
      <w:pPr>
        <w:spacing w:before="80" w:line="240" w:lineRule="auto"/>
        <w:ind w:firstLine="709"/>
        <w:jc w:val="both"/>
        <w:rPr>
          <w:sz w:val="26"/>
          <w:szCs w:val="26"/>
          <w:lang w:val="da-DK"/>
        </w:rPr>
      </w:pPr>
      <w:r>
        <w:rPr>
          <w:sz w:val="26"/>
          <w:szCs w:val="26"/>
          <w:lang w:val="da-DK"/>
        </w:rPr>
        <w:t xml:space="preserve">- Hoạt động sản xuất </w:t>
      </w:r>
      <w:r>
        <w:rPr>
          <w:sz w:val="26"/>
          <w:szCs w:val="26"/>
          <w:lang w:val="vi-VN"/>
        </w:rPr>
        <w:t xml:space="preserve">công nghiệp </w:t>
      </w:r>
      <w:r>
        <w:rPr>
          <w:sz w:val="26"/>
          <w:szCs w:val="26"/>
          <w:lang w:val="da-DK"/>
        </w:rPr>
        <w:t>với nhiều loại hình khác nhau là một trong những nguồn gây ô nhiễm môi trường không khí</w:t>
      </w:r>
      <w:r>
        <w:rPr>
          <w:sz w:val="26"/>
          <w:szCs w:val="26"/>
          <w:lang w:val="vi-VN"/>
        </w:rPr>
        <w:t>, bụi, tiếng ồn</w:t>
      </w:r>
      <w:r>
        <w:rPr>
          <w:sz w:val="26"/>
          <w:szCs w:val="26"/>
          <w:lang w:val="da-DK"/>
        </w:rPr>
        <w:t xml:space="preserve"> đáng kể trên địa bàn tỉnh. Tùy thuộc vào loại hình sản xuất, quy mô, công nghệ sản xuất, nhiên liệu sử dụng mà các hoạt động sản xuất công nghiệp</w:t>
      </w:r>
      <w:r>
        <w:rPr>
          <w:sz w:val="26"/>
          <w:szCs w:val="26"/>
          <w:lang w:val="vi-VN"/>
        </w:rPr>
        <w:t xml:space="preserve"> </w:t>
      </w:r>
      <w:r>
        <w:rPr>
          <w:sz w:val="26"/>
          <w:szCs w:val="26"/>
          <w:lang w:val="da-DK"/>
        </w:rPr>
        <w:t>khác nhau sẽ làm phát sinh khí thải</w:t>
      </w:r>
      <w:r>
        <w:rPr>
          <w:sz w:val="26"/>
          <w:szCs w:val="26"/>
          <w:lang w:val="vi-VN"/>
        </w:rPr>
        <w:t>, bụi và tiếng ồn</w:t>
      </w:r>
      <w:r>
        <w:rPr>
          <w:sz w:val="26"/>
          <w:szCs w:val="26"/>
          <w:lang w:val="da-DK"/>
        </w:rPr>
        <w:t xml:space="preserve"> với các thành phần và nồng độ khác nhau. Các tác nhân gây ô nhiễm chủ yếu phát sinh từ quá trình đốt nhiên liệu hoá thạch, khí thải lò hơi, hoá chất bay hơi,....</w:t>
      </w:r>
    </w:p>
    <w:p w14:paraId="7208B968" w14:textId="77777777" w:rsidR="00085789" w:rsidRDefault="00000000">
      <w:pPr>
        <w:spacing w:before="80" w:line="240" w:lineRule="auto"/>
        <w:ind w:firstLine="709"/>
        <w:jc w:val="both"/>
        <w:rPr>
          <w:sz w:val="26"/>
          <w:szCs w:val="26"/>
          <w:lang w:val="da-DK"/>
        </w:rPr>
      </w:pPr>
      <w:r>
        <w:rPr>
          <w:sz w:val="26"/>
          <w:szCs w:val="26"/>
          <w:lang w:val="vi-VN"/>
        </w:rPr>
        <w:t xml:space="preserve">- </w:t>
      </w:r>
      <w:r>
        <w:rPr>
          <w:sz w:val="26"/>
          <w:szCs w:val="26"/>
          <w:lang w:val="da-DK"/>
        </w:rPr>
        <w:t xml:space="preserve">Một số nhóm ngành sản xuất công nghiệp điển hình trên địa bàn tỉnh Hà Tĩnh và đặc trưng phát thải được thể hiện ở </w:t>
      </w:r>
      <w:bookmarkStart w:id="292" w:name="_Toc437269760"/>
      <w:r>
        <w:rPr>
          <w:sz w:val="26"/>
          <w:szCs w:val="26"/>
          <w:lang w:val="da-DK"/>
        </w:rPr>
        <w:t>bảng 2.4.</w:t>
      </w:r>
    </w:p>
    <w:p w14:paraId="53BDBE05" w14:textId="77777777" w:rsidR="00085789" w:rsidRDefault="00000000">
      <w:pPr>
        <w:pStyle w:val="-bac4"/>
        <w:rPr>
          <w:lang w:val="da-DK"/>
        </w:rPr>
      </w:pPr>
      <w:bookmarkStart w:id="293" w:name="_Toc107203358"/>
      <w:bookmarkStart w:id="294" w:name="_Toc107559714"/>
      <w:bookmarkStart w:id="295" w:name="_Toc116907981"/>
      <w:bookmarkStart w:id="296" w:name="_Toc205915670"/>
      <w:bookmarkStart w:id="297" w:name="_Toc213597365"/>
      <w:bookmarkStart w:id="298" w:name="_Toc213600739"/>
      <w:bookmarkEnd w:id="292"/>
      <w:r>
        <w:rPr>
          <w:lang w:val="da-DK"/>
        </w:rPr>
        <w:t>Bảng 2.3. Các nhóm ngành sản xuất và phát thải đặc trưng</w:t>
      </w:r>
      <w:bookmarkEnd w:id="293"/>
      <w:bookmarkEnd w:id="294"/>
      <w:bookmarkEnd w:id="295"/>
      <w:bookmarkEnd w:id="296"/>
      <w:bookmarkEnd w:id="297"/>
      <w:bookmarkEnd w:id="298"/>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894"/>
        <w:gridCol w:w="5453"/>
      </w:tblGrid>
      <w:tr w:rsidR="00085789" w14:paraId="7F25B339" w14:textId="77777777">
        <w:trPr>
          <w:trHeight w:val="325"/>
          <w:tblHeader/>
          <w:jc w:val="center"/>
        </w:trPr>
        <w:tc>
          <w:tcPr>
            <w:tcW w:w="2083" w:type="pct"/>
            <w:vAlign w:val="center"/>
            <w:hideMark/>
          </w:tcPr>
          <w:p w14:paraId="312FADBE" w14:textId="77777777" w:rsidR="00085789" w:rsidRDefault="00000000">
            <w:pPr>
              <w:autoSpaceDE w:val="0"/>
              <w:autoSpaceDN w:val="0"/>
              <w:adjustRightInd w:val="0"/>
              <w:spacing w:line="240" w:lineRule="auto"/>
              <w:ind w:left="34"/>
              <w:jc w:val="center"/>
              <w:rPr>
                <w:b/>
                <w:sz w:val="24"/>
                <w:szCs w:val="24"/>
              </w:rPr>
            </w:pPr>
            <w:r>
              <w:rPr>
                <w:b/>
                <w:sz w:val="24"/>
                <w:szCs w:val="24"/>
              </w:rPr>
              <w:t>Các ngành sản xuất</w:t>
            </w:r>
          </w:p>
        </w:tc>
        <w:tc>
          <w:tcPr>
            <w:tcW w:w="2917" w:type="pct"/>
            <w:vAlign w:val="center"/>
            <w:hideMark/>
          </w:tcPr>
          <w:p w14:paraId="0D292965" w14:textId="77777777" w:rsidR="00085789" w:rsidRDefault="00000000">
            <w:pPr>
              <w:autoSpaceDE w:val="0"/>
              <w:autoSpaceDN w:val="0"/>
              <w:adjustRightInd w:val="0"/>
              <w:spacing w:line="240" w:lineRule="auto"/>
              <w:ind w:left="34"/>
              <w:jc w:val="center"/>
              <w:rPr>
                <w:b/>
                <w:sz w:val="24"/>
                <w:szCs w:val="24"/>
              </w:rPr>
            </w:pPr>
            <w:r>
              <w:rPr>
                <w:b/>
                <w:sz w:val="24"/>
                <w:szCs w:val="24"/>
              </w:rPr>
              <w:t>Chất ô nhiễm</w:t>
            </w:r>
          </w:p>
        </w:tc>
      </w:tr>
      <w:tr w:rsidR="00085789" w14:paraId="36FB45F3" w14:textId="77777777">
        <w:trPr>
          <w:jc w:val="center"/>
        </w:trPr>
        <w:tc>
          <w:tcPr>
            <w:tcW w:w="2083" w:type="pct"/>
            <w:vAlign w:val="center"/>
            <w:hideMark/>
          </w:tcPr>
          <w:p w14:paraId="64598000" w14:textId="77777777" w:rsidR="00085789" w:rsidRDefault="00000000">
            <w:pPr>
              <w:spacing w:line="240" w:lineRule="auto"/>
              <w:ind w:left="34"/>
              <w:jc w:val="center"/>
              <w:rPr>
                <w:sz w:val="24"/>
                <w:szCs w:val="24"/>
              </w:rPr>
            </w:pPr>
            <w:r>
              <w:rPr>
                <w:sz w:val="24"/>
                <w:szCs w:val="24"/>
              </w:rPr>
              <w:t>Sản xuất các sản phẩm bằng kim loại</w:t>
            </w:r>
          </w:p>
        </w:tc>
        <w:tc>
          <w:tcPr>
            <w:tcW w:w="2917" w:type="pct"/>
            <w:vAlign w:val="center"/>
            <w:hideMark/>
          </w:tcPr>
          <w:p w14:paraId="58906839" w14:textId="77777777" w:rsidR="00085789" w:rsidRDefault="00000000">
            <w:pPr>
              <w:spacing w:line="240" w:lineRule="auto"/>
              <w:ind w:left="34"/>
              <w:jc w:val="center"/>
              <w:rPr>
                <w:sz w:val="24"/>
                <w:szCs w:val="24"/>
              </w:rPr>
            </w:pPr>
            <w:r>
              <w:rPr>
                <w:sz w:val="24"/>
                <w:szCs w:val="24"/>
              </w:rPr>
              <w:t>Khói hàn; bụi kim loại đặc thù; CN-, HCL, CO, CO</w:t>
            </w:r>
            <w:r>
              <w:rPr>
                <w:sz w:val="24"/>
                <w:szCs w:val="24"/>
                <w:vertAlign w:val="subscript"/>
              </w:rPr>
              <w:t>2</w:t>
            </w:r>
            <w:r>
              <w:rPr>
                <w:sz w:val="24"/>
                <w:szCs w:val="24"/>
              </w:rPr>
              <w:t>, Si...</w:t>
            </w:r>
          </w:p>
        </w:tc>
      </w:tr>
      <w:tr w:rsidR="00085789" w14:paraId="4954AF12" w14:textId="77777777">
        <w:trPr>
          <w:trHeight w:val="380"/>
          <w:jc w:val="center"/>
        </w:trPr>
        <w:tc>
          <w:tcPr>
            <w:tcW w:w="2083" w:type="pct"/>
            <w:vAlign w:val="center"/>
          </w:tcPr>
          <w:p w14:paraId="60B73CB0" w14:textId="77777777" w:rsidR="00085789" w:rsidRDefault="00000000">
            <w:pPr>
              <w:spacing w:line="240" w:lineRule="auto"/>
              <w:ind w:left="34"/>
              <w:jc w:val="center"/>
              <w:rPr>
                <w:sz w:val="24"/>
                <w:szCs w:val="24"/>
              </w:rPr>
            </w:pPr>
            <w:r>
              <w:rPr>
                <w:sz w:val="24"/>
                <w:szCs w:val="24"/>
              </w:rPr>
              <w:t>Sản xuất sản phẩm gỗ và lâm sản</w:t>
            </w:r>
          </w:p>
        </w:tc>
        <w:tc>
          <w:tcPr>
            <w:tcW w:w="2917" w:type="pct"/>
            <w:vAlign w:val="center"/>
          </w:tcPr>
          <w:p w14:paraId="70A01BBA" w14:textId="77777777" w:rsidR="00085789" w:rsidRDefault="00000000">
            <w:pPr>
              <w:spacing w:line="240" w:lineRule="auto"/>
              <w:ind w:left="34"/>
              <w:jc w:val="center"/>
              <w:rPr>
                <w:sz w:val="24"/>
                <w:szCs w:val="24"/>
              </w:rPr>
            </w:pPr>
            <w:r>
              <w:rPr>
                <w:sz w:val="24"/>
                <w:szCs w:val="24"/>
              </w:rPr>
              <w:t>Bụi, khí thải hơi dung môi hóa chất, hơi sơn, tiếng ồn</w:t>
            </w:r>
          </w:p>
        </w:tc>
      </w:tr>
      <w:tr w:rsidR="00085789" w14:paraId="3E09002B" w14:textId="77777777">
        <w:trPr>
          <w:jc w:val="center"/>
        </w:trPr>
        <w:tc>
          <w:tcPr>
            <w:tcW w:w="2083" w:type="pct"/>
            <w:vAlign w:val="center"/>
          </w:tcPr>
          <w:p w14:paraId="50CD3329" w14:textId="77777777" w:rsidR="00085789" w:rsidRDefault="00000000">
            <w:pPr>
              <w:spacing w:line="240" w:lineRule="auto"/>
              <w:ind w:left="34"/>
              <w:jc w:val="center"/>
              <w:rPr>
                <w:sz w:val="24"/>
                <w:szCs w:val="24"/>
              </w:rPr>
            </w:pPr>
            <w:r>
              <w:rPr>
                <w:sz w:val="24"/>
                <w:szCs w:val="24"/>
              </w:rPr>
              <w:t>Sản xuất sản phẩm dệt, may</w:t>
            </w:r>
          </w:p>
        </w:tc>
        <w:tc>
          <w:tcPr>
            <w:tcW w:w="2917" w:type="pct"/>
            <w:vAlign w:val="center"/>
          </w:tcPr>
          <w:p w14:paraId="6B307BC4" w14:textId="77777777" w:rsidR="00085789" w:rsidRDefault="00000000">
            <w:pPr>
              <w:spacing w:line="240" w:lineRule="auto"/>
              <w:ind w:left="34"/>
              <w:jc w:val="center"/>
              <w:rPr>
                <w:sz w:val="24"/>
                <w:szCs w:val="24"/>
              </w:rPr>
            </w:pPr>
            <w:r>
              <w:rPr>
                <w:sz w:val="24"/>
                <w:szCs w:val="24"/>
              </w:rPr>
              <w:t>Bụi; CO; NO</w:t>
            </w:r>
            <w:r>
              <w:rPr>
                <w:sz w:val="24"/>
                <w:szCs w:val="24"/>
                <w:vertAlign w:val="subscript"/>
              </w:rPr>
              <w:t>x</w:t>
            </w:r>
            <w:r>
              <w:rPr>
                <w:sz w:val="24"/>
                <w:szCs w:val="24"/>
              </w:rPr>
              <w:softHyphen/>
              <w:t>; SO</w:t>
            </w:r>
            <w:r>
              <w:rPr>
                <w:sz w:val="24"/>
                <w:szCs w:val="24"/>
                <w:vertAlign w:val="subscript"/>
              </w:rPr>
              <w:t>2</w:t>
            </w:r>
            <w:r>
              <w:rPr>
                <w:sz w:val="24"/>
                <w:szCs w:val="24"/>
              </w:rPr>
              <w:t>; Clo; formandehit; hơi NaOH; NaClO...</w:t>
            </w:r>
          </w:p>
        </w:tc>
      </w:tr>
      <w:tr w:rsidR="00085789" w14:paraId="5AF6A6FF" w14:textId="77777777">
        <w:trPr>
          <w:trHeight w:val="363"/>
          <w:jc w:val="center"/>
        </w:trPr>
        <w:tc>
          <w:tcPr>
            <w:tcW w:w="2083" w:type="pct"/>
            <w:vAlign w:val="center"/>
          </w:tcPr>
          <w:p w14:paraId="7A585619" w14:textId="77777777" w:rsidR="00085789" w:rsidRDefault="00000000">
            <w:pPr>
              <w:spacing w:line="240" w:lineRule="auto"/>
              <w:ind w:left="34"/>
              <w:jc w:val="center"/>
              <w:rPr>
                <w:sz w:val="24"/>
                <w:szCs w:val="24"/>
              </w:rPr>
            </w:pPr>
            <w:r>
              <w:rPr>
                <w:sz w:val="24"/>
                <w:szCs w:val="24"/>
              </w:rPr>
              <w:t>Sản xuất thuốc, hoá dược và dược liệu</w:t>
            </w:r>
          </w:p>
        </w:tc>
        <w:tc>
          <w:tcPr>
            <w:tcW w:w="2917" w:type="pct"/>
            <w:vAlign w:val="center"/>
          </w:tcPr>
          <w:p w14:paraId="29EBED2D" w14:textId="77777777" w:rsidR="00085789" w:rsidRDefault="00000000">
            <w:pPr>
              <w:spacing w:line="240" w:lineRule="auto"/>
              <w:ind w:left="34"/>
              <w:jc w:val="center"/>
              <w:rPr>
                <w:spacing w:val="-6"/>
                <w:sz w:val="24"/>
                <w:szCs w:val="24"/>
              </w:rPr>
            </w:pPr>
            <w:r>
              <w:rPr>
                <w:spacing w:val="-6"/>
                <w:sz w:val="24"/>
                <w:szCs w:val="24"/>
              </w:rPr>
              <w:t>Bụi, mùi hôi, CO, NO</w:t>
            </w:r>
            <w:r>
              <w:rPr>
                <w:spacing w:val="-6"/>
                <w:sz w:val="24"/>
                <w:szCs w:val="24"/>
                <w:vertAlign w:val="subscript"/>
              </w:rPr>
              <w:t>x</w:t>
            </w:r>
            <w:r>
              <w:rPr>
                <w:spacing w:val="-6"/>
                <w:sz w:val="24"/>
                <w:szCs w:val="24"/>
              </w:rPr>
              <w:softHyphen/>
              <w:t>, SO</w:t>
            </w:r>
            <w:r>
              <w:rPr>
                <w:spacing w:val="-6"/>
                <w:sz w:val="24"/>
                <w:szCs w:val="24"/>
                <w:vertAlign w:val="subscript"/>
              </w:rPr>
              <w:t>2</w:t>
            </w:r>
            <w:r>
              <w:rPr>
                <w:spacing w:val="-6"/>
                <w:sz w:val="24"/>
                <w:szCs w:val="24"/>
              </w:rPr>
              <w:t>, VOC, H</w:t>
            </w:r>
            <w:r>
              <w:rPr>
                <w:spacing w:val="-6"/>
                <w:sz w:val="24"/>
                <w:szCs w:val="24"/>
                <w:vertAlign w:val="subscript"/>
              </w:rPr>
              <w:t>2</w:t>
            </w:r>
            <w:r>
              <w:rPr>
                <w:spacing w:val="-6"/>
                <w:sz w:val="24"/>
                <w:szCs w:val="24"/>
              </w:rPr>
              <w:t>S ...</w:t>
            </w:r>
          </w:p>
        </w:tc>
      </w:tr>
      <w:tr w:rsidR="00085789" w14:paraId="617195F6" w14:textId="77777777">
        <w:trPr>
          <w:trHeight w:val="583"/>
          <w:jc w:val="center"/>
        </w:trPr>
        <w:tc>
          <w:tcPr>
            <w:tcW w:w="2083" w:type="pct"/>
            <w:vAlign w:val="center"/>
            <w:hideMark/>
          </w:tcPr>
          <w:p w14:paraId="437161B3" w14:textId="77777777" w:rsidR="00085789" w:rsidRDefault="00000000">
            <w:pPr>
              <w:spacing w:line="240" w:lineRule="auto"/>
              <w:ind w:left="34"/>
              <w:jc w:val="center"/>
              <w:rPr>
                <w:sz w:val="24"/>
                <w:szCs w:val="24"/>
              </w:rPr>
            </w:pPr>
            <w:r>
              <w:rPr>
                <w:sz w:val="24"/>
                <w:szCs w:val="24"/>
              </w:rPr>
              <w:lastRenderedPageBreak/>
              <w:t>Công nghiệp hàng tiêu dùng: điện tử, đồ gia dụng, điện lạnh</w:t>
            </w:r>
          </w:p>
        </w:tc>
        <w:tc>
          <w:tcPr>
            <w:tcW w:w="2917" w:type="pct"/>
            <w:vAlign w:val="center"/>
            <w:hideMark/>
          </w:tcPr>
          <w:p w14:paraId="6FBDDA6E" w14:textId="77777777" w:rsidR="00085789" w:rsidRDefault="00000000">
            <w:pPr>
              <w:spacing w:line="240" w:lineRule="auto"/>
              <w:ind w:left="34"/>
              <w:jc w:val="center"/>
              <w:rPr>
                <w:spacing w:val="-6"/>
                <w:sz w:val="24"/>
                <w:szCs w:val="24"/>
              </w:rPr>
            </w:pPr>
            <w:r>
              <w:rPr>
                <w:spacing w:val="-6"/>
                <w:sz w:val="24"/>
                <w:szCs w:val="24"/>
              </w:rPr>
              <w:t>Bụi, khói, dung môi, chất tẩy rửa, nhiệt độ cao....</w:t>
            </w:r>
          </w:p>
        </w:tc>
      </w:tr>
      <w:tr w:rsidR="00085789" w14:paraId="68CB40ED" w14:textId="77777777">
        <w:trPr>
          <w:trHeight w:val="473"/>
          <w:jc w:val="center"/>
        </w:trPr>
        <w:tc>
          <w:tcPr>
            <w:tcW w:w="2083" w:type="pct"/>
            <w:vAlign w:val="center"/>
          </w:tcPr>
          <w:p w14:paraId="5D92DCB3" w14:textId="77777777" w:rsidR="00085789" w:rsidRDefault="00000000">
            <w:pPr>
              <w:spacing w:line="240" w:lineRule="auto"/>
              <w:ind w:left="34"/>
              <w:jc w:val="center"/>
              <w:rPr>
                <w:spacing w:val="-6"/>
                <w:sz w:val="24"/>
                <w:szCs w:val="24"/>
              </w:rPr>
            </w:pPr>
            <w:r>
              <w:rPr>
                <w:spacing w:val="-6"/>
                <w:sz w:val="24"/>
                <w:szCs w:val="24"/>
                <w:lang w:val="pt-BR"/>
              </w:rPr>
              <w:t>Sản xuất đồ uống (bia, rượu)</w:t>
            </w:r>
          </w:p>
        </w:tc>
        <w:tc>
          <w:tcPr>
            <w:tcW w:w="2917" w:type="pct"/>
            <w:vAlign w:val="center"/>
          </w:tcPr>
          <w:p w14:paraId="6629B32A" w14:textId="77777777" w:rsidR="00085789" w:rsidRDefault="00000000">
            <w:pPr>
              <w:spacing w:line="240" w:lineRule="auto"/>
              <w:ind w:left="34"/>
              <w:jc w:val="center"/>
              <w:rPr>
                <w:sz w:val="24"/>
                <w:szCs w:val="24"/>
              </w:rPr>
            </w:pPr>
            <w:r>
              <w:rPr>
                <w:sz w:val="24"/>
                <w:szCs w:val="24"/>
              </w:rPr>
              <w:t>Bụi, CO, NO</w:t>
            </w:r>
            <w:r>
              <w:rPr>
                <w:sz w:val="24"/>
                <w:szCs w:val="24"/>
                <w:vertAlign w:val="subscript"/>
              </w:rPr>
              <w:t>x</w:t>
            </w:r>
            <w:r>
              <w:rPr>
                <w:sz w:val="24"/>
                <w:szCs w:val="24"/>
              </w:rPr>
              <w:softHyphen/>
              <w:t>, SO</w:t>
            </w:r>
            <w:r>
              <w:rPr>
                <w:sz w:val="24"/>
                <w:szCs w:val="24"/>
                <w:vertAlign w:val="subscript"/>
              </w:rPr>
              <w:t xml:space="preserve">2, </w:t>
            </w:r>
            <w:r>
              <w:rPr>
                <w:sz w:val="24"/>
                <w:szCs w:val="24"/>
              </w:rPr>
              <w:t>Amoniac và các hợp chất amoni, H</w:t>
            </w:r>
            <w:r>
              <w:rPr>
                <w:sz w:val="24"/>
                <w:szCs w:val="24"/>
                <w:vertAlign w:val="subscript"/>
              </w:rPr>
              <w:t>2</w:t>
            </w:r>
            <w:r>
              <w:rPr>
                <w:sz w:val="24"/>
                <w:szCs w:val="24"/>
              </w:rPr>
              <w:t>S</w:t>
            </w:r>
          </w:p>
        </w:tc>
      </w:tr>
      <w:tr w:rsidR="00085789" w14:paraId="3612B875" w14:textId="77777777">
        <w:trPr>
          <w:trHeight w:val="421"/>
          <w:jc w:val="center"/>
        </w:trPr>
        <w:tc>
          <w:tcPr>
            <w:tcW w:w="2083" w:type="pct"/>
            <w:vAlign w:val="center"/>
            <w:hideMark/>
          </w:tcPr>
          <w:p w14:paraId="5886A8CD" w14:textId="77777777" w:rsidR="00085789" w:rsidRDefault="00000000">
            <w:pPr>
              <w:spacing w:line="240" w:lineRule="auto"/>
              <w:ind w:left="34"/>
              <w:jc w:val="center"/>
              <w:rPr>
                <w:sz w:val="24"/>
                <w:szCs w:val="24"/>
              </w:rPr>
            </w:pPr>
            <w:r>
              <w:rPr>
                <w:sz w:val="24"/>
                <w:szCs w:val="24"/>
              </w:rPr>
              <w:t>SX kinh doanh vật liệu XD</w:t>
            </w:r>
          </w:p>
        </w:tc>
        <w:tc>
          <w:tcPr>
            <w:tcW w:w="2917" w:type="pct"/>
            <w:vAlign w:val="center"/>
            <w:hideMark/>
          </w:tcPr>
          <w:p w14:paraId="41069F1B" w14:textId="77777777" w:rsidR="00085789" w:rsidRDefault="00000000">
            <w:pPr>
              <w:widowControl w:val="0"/>
              <w:spacing w:line="240" w:lineRule="auto"/>
              <w:ind w:left="34"/>
              <w:jc w:val="center"/>
              <w:rPr>
                <w:sz w:val="24"/>
                <w:szCs w:val="24"/>
              </w:rPr>
            </w:pPr>
            <w:r>
              <w:rPr>
                <w:sz w:val="24"/>
                <w:szCs w:val="24"/>
              </w:rPr>
              <w:t>Bụi, tiếng ồn, CO, NO</w:t>
            </w:r>
            <w:r>
              <w:rPr>
                <w:sz w:val="24"/>
                <w:szCs w:val="24"/>
                <w:vertAlign w:val="subscript"/>
              </w:rPr>
              <w:t>x</w:t>
            </w:r>
            <w:r>
              <w:rPr>
                <w:sz w:val="24"/>
                <w:szCs w:val="24"/>
              </w:rPr>
              <w:softHyphen/>
              <w:t>, SO</w:t>
            </w:r>
            <w:r>
              <w:rPr>
                <w:sz w:val="24"/>
                <w:szCs w:val="24"/>
                <w:vertAlign w:val="subscript"/>
              </w:rPr>
              <w:t>2</w:t>
            </w:r>
          </w:p>
        </w:tc>
      </w:tr>
      <w:tr w:rsidR="00085789" w14:paraId="35BC4B15" w14:textId="77777777">
        <w:trPr>
          <w:trHeight w:val="1268"/>
          <w:jc w:val="center"/>
        </w:trPr>
        <w:tc>
          <w:tcPr>
            <w:tcW w:w="2083" w:type="pct"/>
            <w:vAlign w:val="center"/>
            <w:hideMark/>
          </w:tcPr>
          <w:p w14:paraId="073B3EB1" w14:textId="77777777" w:rsidR="00085789" w:rsidRDefault="00000000">
            <w:pPr>
              <w:spacing w:line="240" w:lineRule="auto"/>
              <w:ind w:left="34"/>
              <w:jc w:val="center"/>
              <w:rPr>
                <w:sz w:val="24"/>
                <w:szCs w:val="24"/>
              </w:rPr>
            </w:pPr>
            <w:r>
              <w:rPr>
                <w:sz w:val="24"/>
                <w:szCs w:val="24"/>
              </w:rPr>
              <w:t>Khói thải từ các nguồn đốt nhiên liệu: lò hơi, lò cấp nhiệt, máy phát điện thuộc các ngành như dệt may, chế biến thực phẩm,...</w:t>
            </w:r>
          </w:p>
        </w:tc>
        <w:tc>
          <w:tcPr>
            <w:tcW w:w="2917" w:type="pct"/>
            <w:vAlign w:val="center"/>
            <w:hideMark/>
          </w:tcPr>
          <w:p w14:paraId="06E0CC25" w14:textId="77777777" w:rsidR="00085789" w:rsidRDefault="00000000">
            <w:pPr>
              <w:spacing w:line="240" w:lineRule="auto"/>
              <w:ind w:left="34"/>
              <w:jc w:val="center"/>
              <w:rPr>
                <w:sz w:val="24"/>
                <w:szCs w:val="24"/>
              </w:rPr>
            </w:pPr>
            <w:r>
              <w:rPr>
                <w:sz w:val="24"/>
                <w:szCs w:val="24"/>
              </w:rPr>
              <w:t>Bụi, CO, NO</w:t>
            </w:r>
            <w:r>
              <w:rPr>
                <w:sz w:val="24"/>
                <w:szCs w:val="24"/>
                <w:vertAlign w:val="subscript"/>
              </w:rPr>
              <w:t>x</w:t>
            </w:r>
            <w:r>
              <w:rPr>
                <w:sz w:val="24"/>
                <w:szCs w:val="24"/>
              </w:rPr>
              <w:t>, SO</w:t>
            </w:r>
            <w:r>
              <w:rPr>
                <w:sz w:val="24"/>
                <w:szCs w:val="24"/>
                <w:vertAlign w:val="subscript"/>
              </w:rPr>
              <w:t>2</w:t>
            </w:r>
            <w:r>
              <w:rPr>
                <w:sz w:val="24"/>
                <w:szCs w:val="24"/>
              </w:rPr>
              <w:t>, CO</w:t>
            </w:r>
            <w:r>
              <w:rPr>
                <w:sz w:val="24"/>
                <w:szCs w:val="24"/>
                <w:vertAlign w:val="subscript"/>
              </w:rPr>
              <w:t>2</w:t>
            </w:r>
            <w:r>
              <w:rPr>
                <w:sz w:val="24"/>
                <w:szCs w:val="24"/>
              </w:rPr>
              <w:t>, VOC, muội khói,</w:t>
            </w:r>
          </w:p>
          <w:p w14:paraId="7904519F" w14:textId="77777777" w:rsidR="00085789" w:rsidRDefault="00000000">
            <w:pPr>
              <w:spacing w:line="240" w:lineRule="auto"/>
              <w:ind w:left="34"/>
              <w:jc w:val="center"/>
              <w:rPr>
                <w:sz w:val="24"/>
                <w:szCs w:val="24"/>
              </w:rPr>
            </w:pPr>
            <w:r>
              <w:rPr>
                <w:sz w:val="24"/>
                <w:szCs w:val="24"/>
              </w:rPr>
              <w:t>Ngoài ra, với khí thải đốt CTR từ các nhà máy xử lý rác còn thêm hàm lượng nhỏ hơi HF, HCl (do đốt lẫn nhựa PVC,…) và nhiều thành phần hữu cơ phức tạp</w:t>
            </w:r>
          </w:p>
        </w:tc>
      </w:tr>
    </w:tbl>
    <w:p w14:paraId="13992419" w14:textId="77777777" w:rsidR="00085789" w:rsidRDefault="00000000">
      <w:pPr>
        <w:widowControl w:val="0"/>
        <w:adjustRightInd w:val="0"/>
        <w:spacing w:before="80" w:line="240" w:lineRule="auto"/>
        <w:ind w:firstLine="720"/>
        <w:jc w:val="both"/>
        <w:rPr>
          <w:rFonts w:asciiTheme="majorHAnsi" w:eastAsia="DFKai-SB" w:hAnsiTheme="majorHAnsi" w:cstheme="majorHAnsi"/>
          <w:bCs/>
          <w:iCs/>
          <w:sz w:val="26"/>
          <w:szCs w:val="26"/>
          <w:lang w:val="hsb-DE"/>
        </w:rPr>
      </w:pPr>
      <w:r>
        <w:rPr>
          <w:rFonts w:asciiTheme="majorHAnsi" w:hAnsiTheme="majorHAnsi" w:cstheme="majorHAnsi"/>
          <w:bCs/>
          <w:iCs/>
          <w:sz w:val="26"/>
          <w:szCs w:val="26"/>
          <w:lang w:val="pt-BR"/>
        </w:rPr>
        <w:t xml:space="preserve">Một số nguồn phát sinh khí thải lớn của một số cơ sở trên địa bản tỉnh Hà Tĩnh như: Công ty TNHH Gang thép Hưng nghiệp Formosa Hà Tĩnh (FHS) </w:t>
      </w:r>
      <w:r>
        <w:rPr>
          <w:rFonts w:asciiTheme="majorHAnsi" w:eastAsia="DFKai-SB" w:hAnsiTheme="majorHAnsi" w:cstheme="majorHAnsi"/>
          <w:bCs/>
          <w:iCs/>
          <w:sz w:val="26"/>
          <w:szCs w:val="26"/>
          <w:lang w:val="hsb-DE"/>
        </w:rPr>
        <w:t>với tổng lượng khí thải phát sinh bình quân khoảng 375 triệu m</w:t>
      </w:r>
      <w:r>
        <w:rPr>
          <w:rFonts w:asciiTheme="majorHAnsi" w:eastAsia="DFKai-SB" w:hAnsiTheme="majorHAnsi" w:cstheme="majorHAnsi"/>
          <w:bCs/>
          <w:iCs/>
          <w:sz w:val="26"/>
          <w:szCs w:val="26"/>
          <w:vertAlign w:val="superscript"/>
          <w:lang w:val="hsb-DE"/>
        </w:rPr>
        <w:t>3</w:t>
      </w:r>
      <w:r>
        <w:rPr>
          <w:rFonts w:asciiTheme="majorHAnsi" w:eastAsia="DFKai-SB" w:hAnsiTheme="majorHAnsi" w:cstheme="majorHAnsi"/>
          <w:bCs/>
          <w:iCs/>
          <w:sz w:val="26"/>
          <w:szCs w:val="26"/>
          <w:lang w:val="hsb-DE"/>
        </w:rPr>
        <w:t xml:space="preserve">/ngày; </w:t>
      </w:r>
      <w:r>
        <w:rPr>
          <w:rFonts w:asciiTheme="majorHAnsi" w:hAnsiTheme="majorHAnsi" w:cstheme="majorHAnsi"/>
          <w:bCs/>
          <w:iCs/>
          <w:spacing w:val="-4"/>
          <w:sz w:val="26"/>
          <w:szCs w:val="26"/>
          <w:lang w:val="pt-BR"/>
        </w:rPr>
        <w:t xml:space="preserve">Nhà máy Nhiệt điện Vũng Áng 1 phát sinh </w:t>
      </w:r>
      <w:r>
        <w:rPr>
          <w:rFonts w:asciiTheme="majorHAnsi" w:hAnsiTheme="majorHAnsi" w:cstheme="majorHAnsi"/>
          <w:bCs/>
          <w:iCs/>
          <w:sz w:val="26"/>
          <w:szCs w:val="26"/>
          <w:lang w:val="da-DK"/>
        </w:rPr>
        <w:t>khí thải lớn nhất 5.871.800 m</w:t>
      </w:r>
      <w:r>
        <w:rPr>
          <w:rFonts w:asciiTheme="majorHAnsi" w:hAnsiTheme="majorHAnsi" w:cstheme="majorHAnsi"/>
          <w:bCs/>
          <w:iCs/>
          <w:sz w:val="26"/>
          <w:szCs w:val="26"/>
          <w:vertAlign w:val="superscript"/>
          <w:lang w:val="da-DK"/>
        </w:rPr>
        <w:t>3</w:t>
      </w:r>
      <w:r>
        <w:rPr>
          <w:rFonts w:asciiTheme="majorHAnsi" w:hAnsiTheme="majorHAnsi" w:cstheme="majorHAnsi"/>
          <w:bCs/>
          <w:iCs/>
          <w:sz w:val="26"/>
          <w:szCs w:val="26"/>
          <w:lang w:val="da-DK"/>
        </w:rPr>
        <w:t>/giờ</w:t>
      </w:r>
      <w:r>
        <w:rPr>
          <w:rFonts w:asciiTheme="majorHAnsi" w:eastAsia="DFKai-SB" w:hAnsiTheme="majorHAnsi" w:cstheme="majorHAnsi"/>
          <w:bCs/>
          <w:iCs/>
          <w:sz w:val="26"/>
          <w:szCs w:val="26"/>
          <w:lang w:val="hsb-DE"/>
        </w:rPr>
        <w:t xml:space="preserve">; </w:t>
      </w:r>
      <w:r>
        <w:rPr>
          <w:rFonts w:asciiTheme="majorHAnsi" w:hAnsiTheme="majorHAnsi" w:cstheme="majorHAnsi"/>
          <w:bCs/>
          <w:iCs/>
          <w:sz w:val="26"/>
          <w:szCs w:val="26"/>
        </w:rPr>
        <w:t xml:space="preserve">Nhà máy sản xuất Formaldehyde và keo dán của Công ty TNHH MTV Keo công nghiệp Thanh Thành Đạt có tổng lượng khí thải tại 02 ống xả là 9.430 </w:t>
      </w:r>
      <w:r>
        <w:rPr>
          <w:rFonts w:asciiTheme="majorHAnsi" w:hAnsiTheme="majorHAnsi" w:cstheme="majorHAnsi"/>
          <w:bCs/>
          <w:iCs/>
          <w:sz w:val="26"/>
          <w:szCs w:val="26"/>
          <w:lang w:val="da-DK"/>
        </w:rPr>
        <w:t>m</w:t>
      </w:r>
      <w:r>
        <w:rPr>
          <w:rFonts w:asciiTheme="majorHAnsi" w:hAnsiTheme="majorHAnsi" w:cstheme="majorHAnsi"/>
          <w:bCs/>
          <w:iCs/>
          <w:sz w:val="26"/>
          <w:szCs w:val="26"/>
          <w:vertAlign w:val="superscript"/>
          <w:lang w:val="da-DK"/>
        </w:rPr>
        <w:t>3</w:t>
      </w:r>
      <w:r>
        <w:rPr>
          <w:rFonts w:asciiTheme="majorHAnsi" w:hAnsiTheme="majorHAnsi" w:cstheme="majorHAnsi"/>
          <w:bCs/>
          <w:iCs/>
          <w:sz w:val="26"/>
          <w:szCs w:val="26"/>
          <w:lang w:val="da-DK"/>
        </w:rPr>
        <w:t>/giờ,....</w:t>
      </w:r>
    </w:p>
    <w:p w14:paraId="750A80C9" w14:textId="77777777" w:rsidR="00085789" w:rsidRDefault="00000000">
      <w:pPr>
        <w:spacing w:before="80" w:line="240" w:lineRule="auto"/>
        <w:ind w:firstLine="720"/>
        <w:jc w:val="both"/>
        <w:rPr>
          <w:spacing w:val="-2"/>
          <w:sz w:val="26"/>
          <w:szCs w:val="26"/>
          <w:lang w:val="nl-NL"/>
        </w:rPr>
      </w:pPr>
      <w:r>
        <w:rPr>
          <w:spacing w:val="-2"/>
          <w:sz w:val="26"/>
          <w:szCs w:val="26"/>
          <w:shd w:val="clear" w:color="auto" w:fill="FFFFFF"/>
          <w:lang w:val="da-DK"/>
        </w:rPr>
        <w:t xml:space="preserve">Ngoài ra, khí thải còn phát sinh từ hệ thống xử lý nước thải tập trung của các cơ sở sản xuất công nghiệp do quá trình phân huỷ hữu cơ có trong nước thải phát tán ra môi trường như khí </w:t>
      </w:r>
      <w:r>
        <w:rPr>
          <w:spacing w:val="-2"/>
          <w:sz w:val="26"/>
          <w:szCs w:val="26"/>
          <w:lang w:val="hsb-DE"/>
        </w:rPr>
        <w:t>NH</w:t>
      </w:r>
      <w:r>
        <w:rPr>
          <w:spacing w:val="-2"/>
          <w:sz w:val="26"/>
          <w:szCs w:val="26"/>
          <w:vertAlign w:val="subscript"/>
          <w:lang w:val="hsb-DE"/>
        </w:rPr>
        <w:t>3</w:t>
      </w:r>
      <w:r>
        <w:rPr>
          <w:spacing w:val="-2"/>
          <w:sz w:val="26"/>
          <w:szCs w:val="26"/>
          <w:lang w:val="hsb-DE"/>
        </w:rPr>
        <w:t>, H</w:t>
      </w:r>
      <w:r>
        <w:rPr>
          <w:spacing w:val="-2"/>
          <w:sz w:val="26"/>
          <w:szCs w:val="26"/>
          <w:vertAlign w:val="subscript"/>
          <w:lang w:val="hsb-DE"/>
        </w:rPr>
        <w:t>2</w:t>
      </w:r>
      <w:r>
        <w:rPr>
          <w:spacing w:val="-2"/>
          <w:sz w:val="26"/>
          <w:szCs w:val="26"/>
          <w:lang w:val="hsb-DE"/>
        </w:rPr>
        <w:t>S, CH</w:t>
      </w:r>
      <w:r>
        <w:rPr>
          <w:spacing w:val="-2"/>
          <w:sz w:val="26"/>
          <w:szCs w:val="26"/>
          <w:vertAlign w:val="subscript"/>
          <w:lang w:val="hsb-DE"/>
        </w:rPr>
        <w:t>4</w:t>
      </w:r>
      <w:r>
        <w:rPr>
          <w:spacing w:val="-2"/>
          <w:sz w:val="26"/>
          <w:szCs w:val="26"/>
          <w:lang w:val="hsb-DE"/>
        </w:rPr>
        <w:t xml:space="preserve">, Mercaptan,.... </w:t>
      </w:r>
      <w:r>
        <w:rPr>
          <w:spacing w:val="-2"/>
          <w:sz w:val="26"/>
          <w:szCs w:val="26"/>
          <w:shd w:val="clear" w:color="auto" w:fill="FFFFFF"/>
          <w:lang w:val="da-DK"/>
        </w:rPr>
        <w:t xml:space="preserve">Bên cạnh đó ô nhiễm khí thải, bụi, tiếng ồn tại các nút giao thông, đường vào các cơ sở do quá trình vận chuyển hàng hóa, nguyên nhiên vật liệu phục vụ sản xuất; do hoạt động xây dựng nhà xưởng, hệ thống hạ tầng; tiếng ồn từ khu vực sản xuất của các cơ sở cũng tác động một phần đến môi trường không khí xung quanh,.... </w:t>
      </w:r>
    </w:p>
    <w:p w14:paraId="2EFB9795" w14:textId="77777777" w:rsidR="00085789" w:rsidRDefault="00000000">
      <w:pPr>
        <w:spacing w:before="80" w:line="240" w:lineRule="auto"/>
        <w:ind w:firstLine="709"/>
        <w:jc w:val="both"/>
        <w:rPr>
          <w:b/>
          <w:bCs/>
          <w:i/>
          <w:iCs/>
          <w:sz w:val="26"/>
          <w:szCs w:val="26"/>
          <w:lang w:val="nl-NL"/>
        </w:rPr>
      </w:pPr>
      <w:r>
        <w:rPr>
          <w:b/>
          <w:bCs/>
          <w:i/>
          <w:iCs/>
          <w:sz w:val="26"/>
          <w:szCs w:val="26"/>
          <w:lang w:val="nl-NL"/>
        </w:rPr>
        <w:t>* Đối với CTR:</w:t>
      </w:r>
    </w:p>
    <w:p w14:paraId="04F2ECA6" w14:textId="0C3D2194" w:rsidR="00085789" w:rsidRDefault="00000000">
      <w:pPr>
        <w:spacing w:before="80" w:line="240" w:lineRule="auto"/>
        <w:ind w:firstLine="720"/>
        <w:jc w:val="both"/>
        <w:rPr>
          <w:spacing w:val="-2"/>
          <w:sz w:val="26"/>
          <w:szCs w:val="26"/>
          <w:shd w:val="clear" w:color="auto" w:fill="FFFFFF"/>
          <w:lang w:val="sq-AL"/>
        </w:rPr>
      </w:pPr>
      <w:r>
        <w:rPr>
          <w:sz w:val="26"/>
          <w:szCs w:val="26"/>
          <w:shd w:val="clear" w:color="auto" w:fill="FFFFFF"/>
          <w:lang w:val="sq-AL"/>
        </w:rPr>
        <w:t xml:space="preserve">Hoạt động sản xuất công nghiệp trên địa bàn tỉnh đã phát sinh một lượng lớn CTR bao gồm CTRSH, </w:t>
      </w:r>
      <w:r>
        <w:rPr>
          <w:sz w:val="26"/>
          <w:szCs w:val="26"/>
          <w:lang w:val="nl-NL"/>
        </w:rPr>
        <w:t>CTRCNTT và CTNH.</w:t>
      </w:r>
      <w:r>
        <w:rPr>
          <w:sz w:val="26"/>
          <w:szCs w:val="26"/>
          <w:shd w:val="clear" w:color="auto" w:fill="FFFFFF"/>
          <w:lang w:val="sq-AL"/>
        </w:rPr>
        <w:t xml:space="preserve"> Thành phần, khối lượng CTR phát sinh tại các cơ sở sản xuất tùy thuộc vào loại hình sản xuất, quy mô đầu tư và công suất của các cơ sở. </w:t>
      </w:r>
      <w:r>
        <w:rPr>
          <w:spacing w:val="-2"/>
          <w:sz w:val="26"/>
          <w:szCs w:val="26"/>
          <w:shd w:val="clear" w:color="auto" w:fill="FFFFFF"/>
          <w:lang w:val="vi-VN"/>
        </w:rPr>
        <w:t>Hầu hết lượng CTR</w:t>
      </w:r>
      <w:r>
        <w:rPr>
          <w:spacing w:val="-2"/>
          <w:sz w:val="26"/>
          <w:szCs w:val="26"/>
          <w:shd w:val="clear" w:color="auto" w:fill="FFFFFF"/>
          <w:lang w:val="sq-AL"/>
        </w:rPr>
        <w:t xml:space="preserve">CN </w:t>
      </w:r>
      <w:r>
        <w:rPr>
          <w:spacing w:val="-2"/>
          <w:sz w:val="26"/>
          <w:szCs w:val="26"/>
          <w:shd w:val="clear" w:color="auto" w:fill="FFFFFF"/>
          <w:lang w:val="vi-VN"/>
        </w:rPr>
        <w:t>phát sinh chủ yếu từ các ngành công nghiệp nhẹ, cơ sở sản xuất thực phẩm, tái chế nhựa, sản xuất vật liệu xây dựng, gia công chế tạo, lắp ráp các sản phẩm điện tử, may mặc</w:t>
      </w:r>
      <w:r>
        <w:rPr>
          <w:spacing w:val="-2"/>
          <w:sz w:val="26"/>
          <w:szCs w:val="26"/>
          <w:shd w:val="clear" w:color="auto" w:fill="FFFFFF"/>
          <w:lang w:val="sq-AL"/>
        </w:rPr>
        <w:t>,</w:t>
      </w:r>
      <w:r>
        <w:rPr>
          <w:spacing w:val="-2"/>
          <w:sz w:val="26"/>
          <w:szCs w:val="26"/>
          <w:shd w:val="clear" w:color="auto" w:fill="FFFFFF"/>
          <w:lang w:val="vi-VN"/>
        </w:rPr>
        <w:t>…</w:t>
      </w:r>
      <w:r>
        <w:rPr>
          <w:spacing w:val="-2"/>
          <w:sz w:val="26"/>
          <w:szCs w:val="26"/>
          <w:shd w:val="clear" w:color="auto" w:fill="FFFFFF"/>
          <w:lang w:val="sq-AL"/>
        </w:rPr>
        <w:t>.</w:t>
      </w:r>
      <w:r>
        <w:rPr>
          <w:spacing w:val="-2"/>
          <w:sz w:val="26"/>
          <w:szCs w:val="26"/>
          <w:shd w:val="clear" w:color="auto" w:fill="FFFFFF"/>
          <w:lang w:val="vi-VN"/>
        </w:rPr>
        <w:t xml:space="preserve"> </w:t>
      </w:r>
    </w:p>
    <w:p w14:paraId="766D54A6" w14:textId="77777777" w:rsidR="00085789" w:rsidRDefault="00000000">
      <w:pPr>
        <w:spacing w:before="60" w:line="240" w:lineRule="auto"/>
        <w:ind w:firstLine="720"/>
        <w:jc w:val="both"/>
        <w:rPr>
          <w:iCs/>
          <w:sz w:val="26"/>
          <w:szCs w:val="26"/>
          <w:lang w:val="hsb-DE"/>
        </w:rPr>
      </w:pPr>
      <w:r>
        <w:rPr>
          <w:iCs/>
          <w:sz w:val="26"/>
          <w:szCs w:val="26"/>
          <w:lang w:val="hsb-DE"/>
        </w:rPr>
        <w:t>Khối lượng CTRCN phát sinh trên địa bàn tỉnh năm 2025 khoảng hơn 04 triệu tấn/năm. Trong đó, Công ty FHS và Công ty Điện lực dầu khí Hà Tĩnh là 02 đơn vị phát sinh khối lượng CTRCN lớn nhất (chiếm hơn 99% lượng chất thải phát sinh). Các loại CTRCN, CTNH phát sinh tại các đơn vị nêu trên được thu gom, quản lý, lưu giữ, chuyển giao cho các đơn vị có năng lực xử lý theo quy định.</w:t>
      </w:r>
    </w:p>
    <w:p w14:paraId="5B5554EC" w14:textId="77777777" w:rsidR="00085789" w:rsidRDefault="00000000">
      <w:pPr>
        <w:pStyle w:val="bac2"/>
        <w:spacing w:after="0" w:line="240" w:lineRule="auto"/>
        <w:rPr>
          <w:lang w:val="hsb-DE"/>
        </w:rPr>
      </w:pPr>
      <w:bookmarkStart w:id="299" w:name="_Toc214311218"/>
      <w:bookmarkStart w:id="300" w:name="_Toc181861345"/>
      <w:bookmarkStart w:id="301" w:name="_Toc181861942"/>
      <w:bookmarkStart w:id="302" w:name="_Toc193957590"/>
      <w:r>
        <w:rPr>
          <w:lang w:val="hsb-DE"/>
        </w:rPr>
        <w:t>2.3. Sức ép hoạt động xây dựng</w:t>
      </w:r>
      <w:bookmarkEnd w:id="299"/>
    </w:p>
    <w:p w14:paraId="73A7BBDF" w14:textId="77777777" w:rsidR="00085789" w:rsidRDefault="00000000">
      <w:pPr>
        <w:pStyle w:val="HD3"/>
        <w:spacing w:after="0" w:line="240" w:lineRule="auto"/>
        <w:ind w:firstLine="709"/>
        <w:rPr>
          <w:b w:val="0"/>
          <w:bCs/>
          <w:i w:val="0"/>
          <w:iCs/>
          <w:color w:val="auto"/>
          <w:spacing w:val="0"/>
          <w:sz w:val="26"/>
          <w:lang w:val="hsb-DE"/>
        </w:rPr>
      </w:pPr>
      <w:r>
        <w:rPr>
          <w:b w:val="0"/>
          <w:bCs/>
          <w:i w:val="0"/>
          <w:iCs/>
          <w:color w:val="auto"/>
          <w:spacing w:val="0"/>
          <w:sz w:val="26"/>
          <w:lang w:val="hsb-DE"/>
        </w:rPr>
        <w:t>Ngành xây dựng có vai trò quan trọng đối với sự phát triển KT-XH. Xây dựng cũng là một trong những ngành kinh tế khai thác, sử dụng rất nhiều tài nguyên thiên nhiên như: đất, khoáng sản, cát, đá, sỏi, thực vật (khai thác gỗ của rừng), tài nguyên nước, đồng thời tiêu thụ năng lượng điện rất lớn.</w:t>
      </w:r>
    </w:p>
    <w:p w14:paraId="04DF4790" w14:textId="77777777" w:rsidR="00085789" w:rsidRDefault="00000000">
      <w:pPr>
        <w:spacing w:before="60" w:line="240" w:lineRule="auto"/>
        <w:ind w:firstLine="567"/>
        <w:jc w:val="both"/>
        <w:rPr>
          <w:sz w:val="26"/>
          <w:szCs w:val="26"/>
          <w:lang w:val="pt-PT"/>
        </w:rPr>
      </w:pPr>
      <w:r>
        <w:rPr>
          <w:sz w:val="26"/>
          <w:szCs w:val="26"/>
          <w:lang w:val="hsb-DE"/>
        </w:rPr>
        <w:t>Năm 2024, toàn tỉnh Hà Tĩnh có 149 cơ sở sản xuất VLXD và khai thác khoáng sản làm VLXD, với tổng diện tích</w:t>
      </w:r>
      <w:r>
        <w:rPr>
          <w:spacing w:val="1"/>
          <w:sz w:val="26"/>
          <w:szCs w:val="26"/>
          <w:lang w:val="hsb-DE"/>
        </w:rPr>
        <w:t xml:space="preserve"> </w:t>
      </w:r>
      <w:r>
        <w:rPr>
          <w:sz w:val="26"/>
          <w:szCs w:val="26"/>
          <w:lang w:val="hsb-DE"/>
        </w:rPr>
        <w:t>1.738,11</w:t>
      </w:r>
      <w:r>
        <w:rPr>
          <w:spacing w:val="-1"/>
          <w:sz w:val="26"/>
          <w:szCs w:val="26"/>
          <w:lang w:val="hsb-DE"/>
        </w:rPr>
        <w:t xml:space="preserve"> </w:t>
      </w:r>
      <w:r>
        <w:rPr>
          <w:sz w:val="26"/>
          <w:szCs w:val="26"/>
          <w:lang w:val="hsb-DE"/>
        </w:rPr>
        <w:t>ha</w:t>
      </w:r>
      <w:r>
        <w:rPr>
          <w:spacing w:val="-2"/>
          <w:sz w:val="26"/>
          <w:szCs w:val="26"/>
          <w:lang w:val="hsb-DE"/>
        </w:rPr>
        <w:t xml:space="preserve"> </w:t>
      </w:r>
      <w:r>
        <w:rPr>
          <w:sz w:val="26"/>
          <w:szCs w:val="26"/>
          <w:lang w:val="hsb-DE"/>
        </w:rPr>
        <w:t>bao</w:t>
      </w:r>
      <w:r>
        <w:rPr>
          <w:spacing w:val="-1"/>
          <w:sz w:val="26"/>
          <w:szCs w:val="26"/>
          <w:lang w:val="hsb-DE"/>
        </w:rPr>
        <w:t xml:space="preserve"> </w:t>
      </w:r>
      <w:r>
        <w:rPr>
          <w:sz w:val="26"/>
          <w:szCs w:val="26"/>
          <w:lang w:val="hsb-DE"/>
        </w:rPr>
        <w:t>gồm</w:t>
      </w:r>
      <w:r>
        <w:rPr>
          <w:spacing w:val="-1"/>
          <w:sz w:val="26"/>
          <w:szCs w:val="26"/>
          <w:lang w:val="hsb-DE"/>
        </w:rPr>
        <w:t xml:space="preserve"> </w:t>
      </w:r>
      <w:r>
        <w:rPr>
          <w:sz w:val="26"/>
          <w:szCs w:val="26"/>
          <w:lang w:val="hsb-DE"/>
        </w:rPr>
        <w:t>đá</w:t>
      </w:r>
      <w:r>
        <w:rPr>
          <w:spacing w:val="-1"/>
          <w:sz w:val="26"/>
          <w:szCs w:val="26"/>
          <w:lang w:val="hsb-DE"/>
        </w:rPr>
        <w:t xml:space="preserve"> </w:t>
      </w:r>
      <w:r>
        <w:rPr>
          <w:sz w:val="26"/>
          <w:szCs w:val="26"/>
          <w:lang w:val="hsb-DE"/>
        </w:rPr>
        <w:t>xây</w:t>
      </w:r>
      <w:r>
        <w:rPr>
          <w:spacing w:val="-6"/>
          <w:sz w:val="26"/>
          <w:szCs w:val="26"/>
          <w:lang w:val="hsb-DE"/>
        </w:rPr>
        <w:t xml:space="preserve"> </w:t>
      </w:r>
      <w:r>
        <w:rPr>
          <w:sz w:val="26"/>
          <w:szCs w:val="26"/>
          <w:lang w:val="hsb-DE"/>
        </w:rPr>
        <w:t>dựng,</w:t>
      </w:r>
      <w:r>
        <w:rPr>
          <w:spacing w:val="-1"/>
          <w:sz w:val="26"/>
          <w:szCs w:val="26"/>
          <w:lang w:val="hsb-DE"/>
        </w:rPr>
        <w:t xml:space="preserve"> </w:t>
      </w:r>
      <w:r>
        <w:rPr>
          <w:sz w:val="26"/>
          <w:szCs w:val="26"/>
          <w:lang w:val="hsb-DE"/>
        </w:rPr>
        <w:t>sét</w:t>
      </w:r>
      <w:r>
        <w:rPr>
          <w:spacing w:val="2"/>
          <w:sz w:val="26"/>
          <w:szCs w:val="26"/>
          <w:lang w:val="hsb-DE"/>
        </w:rPr>
        <w:t xml:space="preserve"> </w:t>
      </w:r>
      <w:r>
        <w:rPr>
          <w:sz w:val="26"/>
          <w:szCs w:val="26"/>
          <w:lang w:val="hsb-DE"/>
        </w:rPr>
        <w:t>gạch</w:t>
      </w:r>
      <w:r>
        <w:rPr>
          <w:spacing w:val="-1"/>
          <w:sz w:val="26"/>
          <w:szCs w:val="26"/>
          <w:lang w:val="hsb-DE"/>
        </w:rPr>
        <w:t xml:space="preserve"> </w:t>
      </w:r>
      <w:r>
        <w:rPr>
          <w:sz w:val="26"/>
          <w:szCs w:val="26"/>
          <w:lang w:val="hsb-DE"/>
        </w:rPr>
        <w:t>ngói,</w:t>
      </w:r>
      <w:r>
        <w:rPr>
          <w:spacing w:val="-1"/>
          <w:sz w:val="26"/>
          <w:szCs w:val="26"/>
          <w:lang w:val="hsb-DE"/>
        </w:rPr>
        <w:t xml:space="preserve"> </w:t>
      </w:r>
      <w:r>
        <w:rPr>
          <w:sz w:val="26"/>
          <w:szCs w:val="26"/>
          <w:lang w:val="hsb-DE"/>
        </w:rPr>
        <w:t>cát</w:t>
      </w:r>
      <w:r>
        <w:rPr>
          <w:spacing w:val="-1"/>
          <w:sz w:val="26"/>
          <w:szCs w:val="26"/>
          <w:lang w:val="hsb-DE"/>
        </w:rPr>
        <w:t xml:space="preserve"> </w:t>
      </w:r>
      <w:r>
        <w:rPr>
          <w:sz w:val="26"/>
          <w:szCs w:val="26"/>
          <w:lang w:val="hsb-DE"/>
        </w:rPr>
        <w:t>sỏi</w:t>
      </w:r>
      <w:r>
        <w:rPr>
          <w:spacing w:val="-1"/>
          <w:sz w:val="26"/>
          <w:szCs w:val="26"/>
          <w:lang w:val="hsb-DE"/>
        </w:rPr>
        <w:t xml:space="preserve"> </w:t>
      </w:r>
      <w:r>
        <w:rPr>
          <w:sz w:val="26"/>
          <w:szCs w:val="26"/>
          <w:lang w:val="hsb-DE"/>
        </w:rPr>
        <w:t>xây</w:t>
      </w:r>
      <w:r>
        <w:rPr>
          <w:spacing w:val="-6"/>
          <w:sz w:val="26"/>
          <w:szCs w:val="26"/>
          <w:lang w:val="hsb-DE"/>
        </w:rPr>
        <w:t xml:space="preserve"> </w:t>
      </w:r>
      <w:r>
        <w:rPr>
          <w:sz w:val="26"/>
          <w:szCs w:val="26"/>
          <w:lang w:val="hsb-DE"/>
        </w:rPr>
        <w:t>dựng</w:t>
      </w:r>
      <w:r>
        <w:rPr>
          <w:spacing w:val="-1"/>
          <w:sz w:val="26"/>
          <w:szCs w:val="26"/>
          <w:lang w:val="hsb-DE"/>
        </w:rPr>
        <w:t xml:space="preserve"> </w:t>
      </w:r>
      <w:r>
        <w:rPr>
          <w:sz w:val="26"/>
          <w:szCs w:val="26"/>
          <w:lang w:val="hsb-DE"/>
        </w:rPr>
        <w:t>và</w:t>
      </w:r>
      <w:r>
        <w:rPr>
          <w:spacing w:val="2"/>
          <w:sz w:val="26"/>
          <w:szCs w:val="26"/>
          <w:lang w:val="hsb-DE"/>
        </w:rPr>
        <w:t xml:space="preserve"> </w:t>
      </w:r>
      <w:r>
        <w:rPr>
          <w:sz w:val="26"/>
          <w:szCs w:val="26"/>
          <w:lang w:val="hsb-DE"/>
        </w:rPr>
        <w:t>đất</w:t>
      </w:r>
      <w:r>
        <w:rPr>
          <w:spacing w:val="-1"/>
          <w:sz w:val="26"/>
          <w:szCs w:val="26"/>
          <w:lang w:val="hsb-DE"/>
        </w:rPr>
        <w:t xml:space="preserve"> </w:t>
      </w:r>
      <w:r>
        <w:rPr>
          <w:sz w:val="26"/>
          <w:szCs w:val="26"/>
          <w:lang w:val="hsb-DE"/>
        </w:rPr>
        <w:t>san</w:t>
      </w:r>
      <w:r>
        <w:rPr>
          <w:spacing w:val="-1"/>
          <w:sz w:val="26"/>
          <w:szCs w:val="26"/>
          <w:lang w:val="hsb-DE"/>
        </w:rPr>
        <w:t xml:space="preserve"> </w:t>
      </w:r>
      <w:r>
        <w:rPr>
          <w:sz w:val="26"/>
          <w:szCs w:val="26"/>
          <w:lang w:val="hsb-DE"/>
        </w:rPr>
        <w:t>lấp.</w:t>
      </w:r>
      <w:r>
        <w:rPr>
          <w:sz w:val="26"/>
          <w:szCs w:val="26"/>
          <w:lang w:val="pt-PT"/>
        </w:rPr>
        <w:t xml:space="preserve"> Số lao động khai thác và sản xuất VLXD khoảng 1.132 người (chưa kể số lao động tham gia khai thác, sản xuất VLXD theo mùa vụ) trong đó tập trung chủ yếu ở lĩnh vực khai thác, chế biến cát, đá các loại (chiếm 40,2 % tổng số lao động) và sản xuất vật liệu xây (chiếm 37,4 % tổng số lao động).</w:t>
      </w:r>
    </w:p>
    <w:p w14:paraId="04C90202" w14:textId="77777777" w:rsidR="00085789" w:rsidRDefault="00000000">
      <w:pPr>
        <w:widowControl w:val="0"/>
        <w:autoSpaceDE w:val="0"/>
        <w:autoSpaceDN w:val="0"/>
        <w:spacing w:before="60" w:line="240" w:lineRule="auto"/>
        <w:ind w:firstLine="567"/>
        <w:jc w:val="both"/>
        <w:rPr>
          <w:sz w:val="26"/>
          <w:szCs w:val="26"/>
          <w:lang w:bidi="en-US"/>
        </w:rPr>
      </w:pPr>
      <w:r>
        <w:rPr>
          <w:sz w:val="26"/>
          <w:szCs w:val="26"/>
          <w:lang w:val="vi-VN" w:bidi="en-US"/>
        </w:rPr>
        <w:lastRenderedPageBreak/>
        <w:t xml:space="preserve">Trong giai đoạn tới nhu cầu VLXD trên địa bàn tỉnh Hà Tĩnh sẽ tiếp tục tăng để phục vụ cho việc xây dựng cơ sở hạ tầng, xây dựng mới và nâng cấp các tuyến đường giao thông, xây dựng cơ sở hạ tầng để nâng cấp hệ thống đô thị cũng như việc xây dựng và nâng cấp các </w:t>
      </w:r>
      <w:r>
        <w:rPr>
          <w:sz w:val="26"/>
          <w:szCs w:val="26"/>
          <w:lang w:val="pt-PT" w:bidi="en-US"/>
        </w:rPr>
        <w:t>xã, phường</w:t>
      </w:r>
      <w:r>
        <w:rPr>
          <w:sz w:val="26"/>
          <w:szCs w:val="26"/>
          <w:lang w:val="vi-VN" w:bidi="en-US"/>
        </w:rPr>
        <w:t>, hệ thống thủy lợi, cấp thoát nước</w:t>
      </w:r>
      <w:r>
        <w:rPr>
          <w:sz w:val="26"/>
          <w:szCs w:val="26"/>
          <w:lang w:bidi="en-US"/>
        </w:rPr>
        <w:t xml:space="preserve">, </w:t>
      </w:r>
      <w:r>
        <w:rPr>
          <w:sz w:val="26"/>
          <w:szCs w:val="26"/>
          <w:lang w:val="vi-VN" w:bidi="en-US"/>
        </w:rPr>
        <w:t>phát triển hệ thống giao thông và các công trình công nghiệp</w:t>
      </w:r>
      <w:r>
        <w:rPr>
          <w:sz w:val="26"/>
          <w:szCs w:val="26"/>
          <w:lang w:bidi="en-US"/>
        </w:rPr>
        <w:t>,…</w:t>
      </w:r>
      <w:r>
        <w:rPr>
          <w:sz w:val="26"/>
          <w:szCs w:val="26"/>
          <w:lang w:val="vi-VN" w:bidi="en-US"/>
        </w:rPr>
        <w:t>.</w:t>
      </w:r>
      <w:r>
        <w:rPr>
          <w:sz w:val="26"/>
          <w:szCs w:val="26"/>
          <w:lang w:val="pt-PT" w:bidi="en-US"/>
        </w:rPr>
        <w:t xml:space="preserve"> Dự báo nhu cầu VLXD đến năm 2030 như sau: vật liệu xây </w:t>
      </w:r>
      <w:r>
        <w:rPr>
          <w:lang w:val="pt-PT"/>
        </w:rPr>
        <w:t>khoảng</w:t>
      </w:r>
      <w:r>
        <w:rPr>
          <w:sz w:val="26"/>
          <w:szCs w:val="26"/>
          <w:lang w:val="pt-PT" w:bidi="en-US"/>
        </w:rPr>
        <w:t xml:space="preserve"> 900-950 triệu viên, đá </w:t>
      </w:r>
      <w:r>
        <w:rPr>
          <w:lang w:val="pt-PT"/>
        </w:rPr>
        <w:t>khoảng</w:t>
      </w:r>
      <w:r>
        <w:rPr>
          <w:sz w:val="26"/>
          <w:szCs w:val="26"/>
          <w:lang w:val="pt-PT" w:bidi="en-US"/>
        </w:rPr>
        <w:t xml:space="preserve"> 5,7-5.9 triệu m</w:t>
      </w:r>
      <w:r>
        <w:rPr>
          <w:sz w:val="26"/>
          <w:szCs w:val="26"/>
          <w:vertAlign w:val="superscript"/>
          <w:lang w:val="pt-PT" w:bidi="en-US"/>
        </w:rPr>
        <w:t>3</w:t>
      </w:r>
      <w:r>
        <w:rPr>
          <w:sz w:val="26"/>
          <w:szCs w:val="26"/>
          <w:lang w:val="pt-PT" w:bidi="en-US"/>
        </w:rPr>
        <w:t xml:space="preserve">, cát </w:t>
      </w:r>
      <w:r>
        <w:rPr>
          <w:lang w:val="pt-PT"/>
        </w:rPr>
        <w:t>khoảng</w:t>
      </w:r>
      <w:r>
        <w:rPr>
          <w:sz w:val="26"/>
          <w:szCs w:val="26"/>
          <w:lang w:val="pt-PT" w:bidi="en-US"/>
        </w:rPr>
        <w:t xml:space="preserve"> 3-3,5 triệu m</w:t>
      </w:r>
      <w:r>
        <w:rPr>
          <w:sz w:val="26"/>
          <w:szCs w:val="26"/>
          <w:vertAlign w:val="superscript"/>
          <w:lang w:val="pt-PT" w:bidi="en-US"/>
        </w:rPr>
        <w:t>3</w:t>
      </w:r>
      <w:r>
        <w:rPr>
          <w:sz w:val="26"/>
          <w:szCs w:val="26"/>
          <w:lang w:val="pt-PT" w:bidi="en-US"/>
        </w:rPr>
        <w:t xml:space="preserve">, bê tông thương phẩm </w:t>
      </w:r>
      <w:r>
        <w:rPr>
          <w:lang w:val="pt-PT"/>
        </w:rPr>
        <w:t>khoảng</w:t>
      </w:r>
      <w:r>
        <w:rPr>
          <w:sz w:val="26"/>
          <w:szCs w:val="26"/>
          <w:lang w:val="pt-PT" w:bidi="en-US"/>
        </w:rPr>
        <w:t xml:space="preserve"> 1,4-1,5 triệu m</w:t>
      </w:r>
      <w:r>
        <w:rPr>
          <w:sz w:val="26"/>
          <w:szCs w:val="26"/>
          <w:vertAlign w:val="superscript"/>
          <w:lang w:val="pt-PT" w:bidi="en-US"/>
        </w:rPr>
        <w:t>3</w:t>
      </w:r>
      <w:r>
        <w:rPr>
          <w:sz w:val="26"/>
          <w:szCs w:val="26"/>
          <w:lang w:val="pt-PT" w:bidi="en-US"/>
        </w:rPr>
        <w:t>, đất san lấp</w:t>
      </w:r>
      <w:r>
        <w:rPr>
          <w:sz w:val="26"/>
          <w:szCs w:val="26"/>
          <w:lang w:val="vi-VN" w:bidi="en-US"/>
        </w:rPr>
        <w:t xml:space="preserve"> </w:t>
      </w:r>
      <w:r>
        <w:rPr>
          <w:lang w:val="pt-PT"/>
        </w:rPr>
        <w:t>khoảng</w:t>
      </w:r>
      <w:r>
        <w:rPr>
          <w:sz w:val="26"/>
          <w:szCs w:val="26"/>
          <w:lang w:val="pt-PT" w:bidi="en-US"/>
        </w:rPr>
        <w:t xml:space="preserve"> 85,81 triệu m</w:t>
      </w:r>
      <w:r>
        <w:rPr>
          <w:sz w:val="26"/>
          <w:szCs w:val="26"/>
          <w:vertAlign w:val="superscript"/>
          <w:lang w:val="pt-PT" w:bidi="en-US"/>
        </w:rPr>
        <w:t>3</w:t>
      </w:r>
      <w:r>
        <w:rPr>
          <w:sz w:val="26"/>
          <w:szCs w:val="26"/>
          <w:lang w:val="pt-PT" w:bidi="en-US"/>
        </w:rPr>
        <w:t>, sét gạch ngói khoảng 0,324 triệu m</w:t>
      </w:r>
      <w:r>
        <w:rPr>
          <w:sz w:val="26"/>
          <w:szCs w:val="26"/>
          <w:vertAlign w:val="superscript"/>
          <w:lang w:val="pt-PT" w:bidi="en-US"/>
        </w:rPr>
        <w:t>3</w:t>
      </w:r>
      <w:r>
        <w:rPr>
          <w:sz w:val="26"/>
          <w:szCs w:val="26"/>
          <w:lang w:val="pt-PT" w:bidi="en-US"/>
        </w:rPr>
        <w:t xml:space="preserve">. </w:t>
      </w:r>
      <w:r>
        <w:rPr>
          <w:sz w:val="26"/>
          <w:szCs w:val="26"/>
          <w:lang w:val="vi-VN" w:bidi="en-US"/>
        </w:rPr>
        <w:t>Đồng thời khi đời sống của nhân dân trong tỉnh được nâng cao, nhu cầu xây dựng mới hoặc cải tạo nhà ở trong thời gian tới sẽ đòi hỏi một lượng lớn VLXD</w:t>
      </w:r>
      <w:r>
        <w:rPr>
          <w:sz w:val="26"/>
          <w:szCs w:val="26"/>
          <w:lang w:val="pt-PT" w:bidi="en-US"/>
        </w:rPr>
        <w:t>, sẽ thúc đẩy việc sản xuất các chủng loại VLXD. Chương trình phát triển nhà ở đến năm 2030 xác định trong giai đoạn 2026 - 2030, phát triển mới khoảng 6.905.690 m</w:t>
      </w:r>
      <w:r>
        <w:rPr>
          <w:sz w:val="26"/>
          <w:szCs w:val="26"/>
          <w:vertAlign w:val="superscript"/>
          <w:lang w:val="pt-PT" w:bidi="en-US"/>
        </w:rPr>
        <w:t>2</w:t>
      </w:r>
      <w:r>
        <w:rPr>
          <w:sz w:val="26"/>
          <w:szCs w:val="26"/>
          <w:lang w:val="pt-PT" w:bidi="en-US"/>
        </w:rPr>
        <w:t xml:space="preserve"> sàn nhà ở, nâng tổng diện tích sàn nhà ở trên địa bàn tỉnh lên 48.224.820 m</w:t>
      </w:r>
      <w:r>
        <w:rPr>
          <w:sz w:val="26"/>
          <w:szCs w:val="26"/>
          <w:vertAlign w:val="superscript"/>
          <w:lang w:val="pt-PT" w:bidi="en-US"/>
        </w:rPr>
        <w:t>2</w:t>
      </w:r>
      <w:r>
        <w:rPr>
          <w:sz w:val="26"/>
          <w:szCs w:val="26"/>
          <w:lang w:val="pt-PT" w:bidi="en-US"/>
        </w:rPr>
        <w:t xml:space="preserve"> sàn. Đến năm 2030, diện tích sàn nhà ở bình quân đầu người toàn tỉnh phấn đấu đạt khoảng 34,9 m</w:t>
      </w:r>
      <w:r>
        <w:rPr>
          <w:sz w:val="26"/>
          <w:szCs w:val="26"/>
          <w:vertAlign w:val="superscript"/>
          <w:lang w:val="pt-PT" w:bidi="en-US"/>
        </w:rPr>
        <w:t>2</w:t>
      </w:r>
      <w:r>
        <w:rPr>
          <w:sz w:val="26"/>
          <w:szCs w:val="26"/>
          <w:lang w:val="pt-PT" w:bidi="en-US"/>
        </w:rPr>
        <w:t xml:space="preserve"> sàn/người, trong đó khu vực đô thị 35,8 m</w:t>
      </w:r>
      <w:r>
        <w:rPr>
          <w:sz w:val="26"/>
          <w:szCs w:val="26"/>
          <w:vertAlign w:val="superscript"/>
          <w:lang w:val="pt-PT" w:bidi="en-US"/>
        </w:rPr>
        <w:t>2</w:t>
      </w:r>
      <w:r>
        <w:rPr>
          <w:sz w:val="26"/>
          <w:szCs w:val="26"/>
          <w:lang w:val="pt-PT" w:bidi="en-US"/>
        </w:rPr>
        <w:t xml:space="preserve"> sàn/người và khu vực nông thôn 32,7 m</w:t>
      </w:r>
      <w:r>
        <w:rPr>
          <w:sz w:val="26"/>
          <w:szCs w:val="26"/>
          <w:vertAlign w:val="superscript"/>
          <w:lang w:val="pt-PT" w:bidi="en-US"/>
        </w:rPr>
        <w:t>2</w:t>
      </w:r>
      <w:r>
        <w:rPr>
          <w:sz w:val="26"/>
          <w:szCs w:val="26"/>
          <w:lang w:val="pt-PT" w:bidi="en-US"/>
        </w:rPr>
        <w:t xml:space="preserve"> sàn/người. Do vậy, </w:t>
      </w:r>
      <w:r>
        <w:rPr>
          <w:sz w:val="26"/>
          <w:szCs w:val="26"/>
          <w:lang w:val="pt-BR"/>
        </w:rPr>
        <w:t>tiềm ẩn các tác động tới môi trường, cụ thể là môi trường không khí (bụi, tiếng ồn), nước, đất, cảnh quan, địa hình, HST khu vực và ảnh hưởng tới sức khỏe của con người.</w:t>
      </w:r>
    </w:p>
    <w:p w14:paraId="2E5EBE06" w14:textId="77777777" w:rsidR="00085789" w:rsidRDefault="00000000">
      <w:pPr>
        <w:widowControl w:val="0"/>
        <w:autoSpaceDE w:val="0"/>
        <w:autoSpaceDN w:val="0"/>
        <w:spacing w:before="60" w:line="240" w:lineRule="auto"/>
        <w:ind w:firstLine="567"/>
        <w:jc w:val="both"/>
        <w:rPr>
          <w:b/>
          <w:bCs/>
          <w:sz w:val="26"/>
          <w:szCs w:val="26"/>
          <w:lang w:val="pt-BR"/>
        </w:rPr>
      </w:pPr>
      <w:r>
        <w:rPr>
          <w:b/>
          <w:bCs/>
          <w:sz w:val="26"/>
          <w:szCs w:val="26"/>
          <w:lang w:val="pt-BR" w:bidi="en-US"/>
        </w:rPr>
        <w:t xml:space="preserve">* Đối với </w:t>
      </w:r>
      <w:r>
        <w:rPr>
          <w:b/>
          <w:bCs/>
          <w:sz w:val="26"/>
          <w:szCs w:val="26"/>
          <w:lang w:val="pt-BR"/>
        </w:rPr>
        <w:t>không khí, bụi, tiếng ồn:</w:t>
      </w:r>
    </w:p>
    <w:p w14:paraId="03ACC7F9" w14:textId="77777777" w:rsidR="00085789" w:rsidRDefault="00000000">
      <w:pPr>
        <w:widowControl w:val="0"/>
        <w:autoSpaceDE w:val="0"/>
        <w:autoSpaceDN w:val="0"/>
        <w:spacing w:before="60" w:line="240" w:lineRule="auto"/>
        <w:ind w:firstLine="567"/>
        <w:jc w:val="both"/>
        <w:rPr>
          <w:sz w:val="26"/>
          <w:szCs w:val="26"/>
          <w:lang w:val="pt-BR" w:bidi="en-US"/>
        </w:rPr>
      </w:pPr>
      <w:r>
        <w:rPr>
          <w:sz w:val="26"/>
          <w:szCs w:val="26"/>
          <w:lang w:val="pt-BR" w:bidi="en-US"/>
        </w:rPr>
        <w:t>Hoạt động xây dựng các khu chung cư, cầu đường, sửa chữa nhà, vận chuyển vật liệu và phế thải xây dựng, hoạt động như đào lấp đất, đập phá công trình cũ gây ô nhiễm bụi đối với môi trường xung quanh. Bên cạnh bụi, các thiết bị xây dựng (máy xúc, máy ủi,...) các phương tiện vận chuyển VLXD còn phát sinh khí thải SO</w:t>
      </w:r>
      <w:r>
        <w:rPr>
          <w:sz w:val="26"/>
          <w:szCs w:val="26"/>
          <w:vertAlign w:val="subscript"/>
          <w:lang w:val="pt-BR" w:bidi="en-US"/>
        </w:rPr>
        <w:t>2</w:t>
      </w:r>
      <w:r>
        <w:rPr>
          <w:sz w:val="26"/>
          <w:szCs w:val="26"/>
          <w:lang w:val="pt-BR" w:bidi="en-US"/>
        </w:rPr>
        <w:t>, NO</w:t>
      </w:r>
      <w:r>
        <w:rPr>
          <w:sz w:val="26"/>
          <w:szCs w:val="26"/>
          <w:vertAlign w:val="subscript"/>
          <w:lang w:val="pt-BR" w:bidi="en-US"/>
        </w:rPr>
        <w:t>2</w:t>
      </w:r>
      <w:r>
        <w:rPr>
          <w:sz w:val="26"/>
          <w:szCs w:val="26"/>
          <w:lang w:val="pt-BR" w:bidi="en-US"/>
        </w:rPr>
        <w:t xml:space="preserve"> , CO, VOC,… vào môi trường không khí. Trong quá trình xây dựng tiêu thụ nhiều vật liệu và năng lượng dẫn đến gia tăng lượng phát thải khí thải, tiếng ồn. Việc thiếu kiểm soát trong quản lý hoạt động tại các công trường xây dựng đang hoạt động trên địa bàn toàn tỉnh (xây dựng, sửa chữa nhà cửa, đường xá, vận chuyển nguyên vật liệu) đã và đang gây ra vấn đề ô nhiễm nghiêm trọng. Đặc biệt, việc kéo dài thời gian thi công tại các công trình xây dựng do thiếu vốn đầu tư đã gây tác động xấu đến cảnh quan, khiến cho môi trường xung quanh luôn trong tình trạng ô nhiễm bụi.  </w:t>
      </w:r>
    </w:p>
    <w:p w14:paraId="16803C21" w14:textId="77777777" w:rsidR="00085789" w:rsidRDefault="00000000">
      <w:pPr>
        <w:widowControl w:val="0"/>
        <w:autoSpaceDE w:val="0"/>
        <w:autoSpaceDN w:val="0"/>
        <w:spacing w:before="120" w:line="240" w:lineRule="auto"/>
        <w:ind w:firstLine="709"/>
        <w:jc w:val="both"/>
        <w:rPr>
          <w:sz w:val="26"/>
          <w:szCs w:val="26"/>
          <w:lang w:val="pt-BR" w:bidi="en-US"/>
        </w:rPr>
      </w:pPr>
      <w:r>
        <w:rPr>
          <w:sz w:val="26"/>
          <w:szCs w:val="26"/>
          <w:lang w:val="pt-BR" w:bidi="en-US"/>
        </w:rPr>
        <w:t>Các cơ sở sản xuất VLXD là một trong các hoạt động sản xuất công nghiệp phát sinh bụi lơ lửng, bụi PM10, các khí độc hại SO</w:t>
      </w:r>
      <w:r>
        <w:rPr>
          <w:sz w:val="26"/>
          <w:szCs w:val="26"/>
          <w:vertAlign w:val="subscript"/>
          <w:lang w:val="pt-BR" w:bidi="en-US"/>
        </w:rPr>
        <w:t>2</w:t>
      </w:r>
      <w:r>
        <w:rPr>
          <w:sz w:val="26"/>
          <w:szCs w:val="26"/>
          <w:lang w:val="pt-BR" w:bidi="en-US"/>
        </w:rPr>
        <w:t>, NO</w:t>
      </w:r>
      <w:r>
        <w:rPr>
          <w:sz w:val="26"/>
          <w:szCs w:val="26"/>
          <w:vertAlign w:val="subscript"/>
          <w:lang w:val="pt-BR" w:bidi="en-US"/>
        </w:rPr>
        <w:t>x</w:t>
      </w:r>
      <w:r>
        <w:rPr>
          <w:sz w:val="26"/>
          <w:szCs w:val="26"/>
          <w:lang w:val="pt-BR" w:bidi="en-US"/>
        </w:rPr>
        <w:t xml:space="preserve">, CO, nước thải và CTR ô nhiễm môi trường không khí.  </w:t>
      </w:r>
    </w:p>
    <w:p w14:paraId="508F78F5" w14:textId="77777777" w:rsidR="00085789" w:rsidRDefault="00000000">
      <w:pPr>
        <w:spacing w:before="120" w:line="240" w:lineRule="auto"/>
        <w:ind w:firstLine="567"/>
        <w:jc w:val="both"/>
        <w:rPr>
          <w:sz w:val="26"/>
          <w:szCs w:val="26"/>
          <w:lang w:val="pt-BR"/>
        </w:rPr>
      </w:pPr>
      <w:r>
        <w:rPr>
          <w:sz w:val="26"/>
          <w:szCs w:val="26"/>
          <w:lang w:val="pt-BR"/>
        </w:rPr>
        <w:t>Trong quá trình khai thác đá xây dựng tại các mỏ lộ thiên có sử dụng nhiều loại máy móc, xe vận chuyển và vật liệu nổ gây ô nhiễm tiếng ồn do nổ mìn, bụi phát sinh do bốc xúc, vận chuyển gây ô nhiễm không khí khu vực mỏ và trên đường vận chuyển ra trạm nghiền sàng. Mặc dù các mỏ đã có hệ thống nước tưới đường để giảm bớt bụi, tuy nhiên vẫn ảnh hưởng đến cây trồng và dân cư xung quanh.</w:t>
      </w:r>
    </w:p>
    <w:p w14:paraId="2B2026F9" w14:textId="77777777" w:rsidR="00085789" w:rsidRDefault="00000000">
      <w:pPr>
        <w:widowControl w:val="0"/>
        <w:autoSpaceDE w:val="0"/>
        <w:autoSpaceDN w:val="0"/>
        <w:spacing w:before="120" w:line="240" w:lineRule="auto"/>
        <w:jc w:val="both"/>
        <w:rPr>
          <w:sz w:val="26"/>
          <w:szCs w:val="26"/>
          <w:lang w:val="pt-BR" w:bidi="en-US"/>
        </w:rPr>
      </w:pPr>
      <w:r>
        <w:rPr>
          <w:sz w:val="26"/>
          <w:szCs w:val="26"/>
          <w:lang w:val="pt-BR" w:bidi="en-US"/>
        </w:rPr>
        <w:tab/>
        <w:t xml:space="preserve">Ngoài ra, tiếng ồn phát sinh từ hoạt động xây dựng tương đối lớn khi sử dụng đồng thời nhiều loại máy móc khi thi công xây dựng. Tiếng ồn lớn diễn ra trong thời gian dài ảnh hưởng đến cuộc sống sinh hoạt của cộng đồng dân cư xung quanh công trình xây dựng.  </w:t>
      </w:r>
    </w:p>
    <w:p w14:paraId="0B83DB61" w14:textId="77777777" w:rsidR="00085789" w:rsidRDefault="00000000">
      <w:pPr>
        <w:spacing w:before="120" w:line="240" w:lineRule="auto"/>
        <w:ind w:firstLine="720"/>
        <w:jc w:val="both"/>
        <w:rPr>
          <w:b/>
          <w:bCs/>
          <w:sz w:val="26"/>
          <w:szCs w:val="26"/>
          <w:lang w:val="pt-BR"/>
        </w:rPr>
      </w:pPr>
      <w:r>
        <w:rPr>
          <w:b/>
          <w:bCs/>
          <w:sz w:val="26"/>
          <w:szCs w:val="26"/>
          <w:lang w:val="pt-BR"/>
        </w:rPr>
        <w:t>* Đối với CTR</w:t>
      </w:r>
    </w:p>
    <w:p w14:paraId="5C83BF33" w14:textId="77777777" w:rsidR="00085789" w:rsidRDefault="00000000">
      <w:pPr>
        <w:spacing w:before="120" w:line="240" w:lineRule="auto"/>
        <w:ind w:firstLine="720"/>
        <w:jc w:val="both"/>
        <w:rPr>
          <w:spacing w:val="-2"/>
          <w:sz w:val="26"/>
          <w:szCs w:val="26"/>
          <w:lang w:val="de-DE" w:eastAsia="x-none"/>
        </w:rPr>
      </w:pPr>
      <w:r>
        <w:rPr>
          <w:spacing w:val="-2"/>
          <w:sz w:val="26"/>
          <w:szCs w:val="26"/>
          <w:lang w:val="de-DE" w:eastAsia="x-none"/>
        </w:rPr>
        <w:t xml:space="preserve">Các cơ sở sản xuất vật liệu xây dựng có kho, bãi chứa chất thải, thực hiện ký hợp đồng với đơn vị có chức năng thu gom, vận chuyển, xử lý chất thải, hoặc có phương án tái sử dụng phế thải sản xuất này trong hoạt động sản xuất của doanh nghiệp hoặc chuyển giao cho tổ chức, cá nhân tái chế để sử dụng cho các ngành sản xuất khác. Hầu hết các cơ sở đã tái sử dụng các phế phẩm trong sản xuất làm nguyên liệu; một số cơ sở sản xuất đã sử dụng một phần chất thải của ngành công nghiệp khác để làm nguyên liệu đầu vào trong sản xuất, </w:t>
      </w:r>
      <w:r>
        <w:rPr>
          <w:spacing w:val="-2"/>
          <w:sz w:val="26"/>
          <w:szCs w:val="26"/>
          <w:lang w:val="de-DE" w:eastAsia="x-none"/>
        </w:rPr>
        <w:lastRenderedPageBreak/>
        <w:t xml:space="preserve">ví dụ:sử dụng tro xỉ nhiệt điện sau khi nung cao để thay thế phụ gia gầy và làm giảm nhu cầu tiêu thụ than, chất đốt; </w:t>
      </w:r>
      <w:r>
        <w:rPr>
          <w:sz w:val="26"/>
          <w:szCs w:val="26"/>
          <w:lang w:val="de-DE"/>
        </w:rPr>
        <w:t>tận dụng nguyên liệu phế thải như đá mạt, tro xỉ nhiệt điện, các loại xỉ luyện kim để sản xuất gạch không nung,…. góp phần bảo vệ môi trường.</w:t>
      </w:r>
    </w:p>
    <w:p w14:paraId="454AF2C0" w14:textId="77777777" w:rsidR="00085789" w:rsidRDefault="00000000">
      <w:pPr>
        <w:spacing w:before="120" w:line="240" w:lineRule="auto"/>
        <w:ind w:firstLine="720"/>
        <w:jc w:val="both"/>
        <w:rPr>
          <w:b/>
          <w:bCs/>
          <w:spacing w:val="-2"/>
          <w:sz w:val="26"/>
          <w:szCs w:val="26"/>
          <w:lang w:val="de-DE" w:eastAsia="x-none"/>
        </w:rPr>
      </w:pPr>
      <w:r>
        <w:rPr>
          <w:b/>
          <w:bCs/>
          <w:spacing w:val="-2"/>
          <w:sz w:val="26"/>
          <w:szCs w:val="26"/>
          <w:lang w:val="de-DE" w:eastAsia="x-none"/>
        </w:rPr>
        <w:t>* Đối với nước thải:</w:t>
      </w:r>
    </w:p>
    <w:p w14:paraId="674F86D1" w14:textId="77777777" w:rsidR="00085789" w:rsidRDefault="00000000">
      <w:pPr>
        <w:spacing w:before="120" w:line="240" w:lineRule="auto"/>
        <w:ind w:firstLine="720"/>
        <w:jc w:val="both"/>
        <w:rPr>
          <w:sz w:val="26"/>
          <w:szCs w:val="26"/>
          <w:lang w:val="de-DE"/>
        </w:rPr>
      </w:pPr>
      <w:r>
        <w:rPr>
          <w:sz w:val="26"/>
          <w:szCs w:val="26"/>
          <w:lang w:val="de-DE"/>
        </w:rPr>
        <w:t>Hầu hết các cơ sở sản xuất đã xây dựng và vận hành hệ thống thu gom, xử lý nước thải nhằm hạn chế tác động tiêu cực đến môi trường. Nước thải được thu gom, xử lý đảm bảo quy chuẩn kỹ thuật trước khi thải ra môi trường hoặc được tái sử dụng trở lại trong quá trình sản xuất, góp phần tiết kiệm tài nguyên nước.</w:t>
      </w:r>
    </w:p>
    <w:p w14:paraId="70F3DC4F" w14:textId="77777777" w:rsidR="00085789" w:rsidRDefault="00000000">
      <w:pPr>
        <w:spacing w:before="120" w:line="240" w:lineRule="auto"/>
        <w:ind w:firstLine="720"/>
        <w:jc w:val="both"/>
        <w:rPr>
          <w:sz w:val="26"/>
          <w:szCs w:val="26"/>
          <w:lang w:val="de-DE"/>
        </w:rPr>
      </w:pPr>
      <w:r>
        <w:rPr>
          <w:sz w:val="26"/>
          <w:szCs w:val="26"/>
          <w:lang w:val="de-DE"/>
        </w:rPr>
        <w:t>Đối với các hoạt động khai thác khoáng sản, đặc biệt là tại các mỏ đá và cơ sở chế biến đá, các doanh nghiệp đã xây dựng hệ thống mương thu gom, thoát nước mưa riêng biệt để phân tách nước mưa với nước thải sản xuất, đồng thời bố trí các hố lắng trong khu vực khai trường nhằm hạn chế bùn, cát và chất rắn lơ lửng chảy tràn ra ngoài.</w:t>
      </w:r>
    </w:p>
    <w:p w14:paraId="7FA64C0B" w14:textId="77777777" w:rsidR="00085789" w:rsidRDefault="00000000">
      <w:pPr>
        <w:spacing w:before="120" w:line="240" w:lineRule="auto"/>
        <w:ind w:firstLine="720"/>
        <w:jc w:val="both"/>
        <w:rPr>
          <w:sz w:val="26"/>
          <w:szCs w:val="26"/>
          <w:lang w:val="de-DE"/>
        </w:rPr>
      </w:pPr>
      <w:r>
        <w:rPr>
          <w:sz w:val="26"/>
          <w:szCs w:val="26"/>
          <w:lang w:val="de-DE"/>
        </w:rPr>
        <w:t>Tuy nhiên, việc khai thác tài nguyên đá, cát, sỏi lâu dài có thể gây suy thoái đất, sạt lở và thay đổi dòng chảy, từ đó gia tăng sức ép lên môi trường, cụ thể như:</w:t>
      </w:r>
    </w:p>
    <w:p w14:paraId="29C04353" w14:textId="77777777" w:rsidR="00085789" w:rsidRDefault="00000000">
      <w:pPr>
        <w:spacing w:before="120" w:line="240" w:lineRule="auto"/>
        <w:ind w:firstLine="567"/>
        <w:jc w:val="both"/>
        <w:rPr>
          <w:sz w:val="26"/>
          <w:szCs w:val="26"/>
        </w:rPr>
      </w:pPr>
      <w:r>
        <w:rPr>
          <w:sz w:val="26"/>
          <w:szCs w:val="26"/>
          <w:lang w:val="de-DE"/>
        </w:rPr>
        <w:t xml:space="preserve">+ Việc khai thác cát sỏi lòng sông làm thay đổi địa hình đáy sông, phá vỡ trạng thái cân bằng tự nhiên của dòng chảy. </w:t>
      </w:r>
      <w:r>
        <w:rPr>
          <w:sz w:val="26"/>
          <w:szCs w:val="26"/>
        </w:rPr>
        <w:t xml:space="preserve">Hậu quả: </w:t>
      </w:r>
      <w:r>
        <w:rPr>
          <w:rFonts w:asciiTheme="majorHAnsi" w:hAnsiTheme="majorHAnsi" w:cstheme="majorHAnsi"/>
          <w:sz w:val="26"/>
          <w:szCs w:val="26"/>
        </w:rPr>
        <w:t xml:space="preserve">Làm </w:t>
      </w:r>
      <w:r>
        <w:rPr>
          <w:rFonts w:asciiTheme="majorHAnsi" w:hAnsiTheme="majorHAnsi" w:cstheme="majorHAnsi"/>
          <w:sz w:val="26"/>
          <w:szCs w:val="26"/>
          <w:lang w:val="vi-VN"/>
        </w:rPr>
        <w:t>sạt lở bờ sông, thay đổi dòng chảy dẫn đến lũ lụt ảnh hưởng đến cuộc sống người dân sinh sống dọc các con sông</w:t>
      </w:r>
      <w:r>
        <w:rPr>
          <w:rFonts w:asciiTheme="majorHAnsi" w:hAnsiTheme="majorHAnsi" w:cstheme="majorHAnsi"/>
          <w:sz w:val="26"/>
          <w:szCs w:val="26"/>
        </w:rPr>
        <w:t>; tăng nguy cơ lũ quét, xói lở bờ sông, đặc biệt trong mùa mưa; HST thủy sinh ven sông bị phá vỡ do mất nơi cư trú và sinh sản.</w:t>
      </w:r>
    </w:p>
    <w:p w14:paraId="4FE38E69" w14:textId="77777777" w:rsidR="00085789" w:rsidRDefault="00000000">
      <w:pPr>
        <w:spacing w:before="120" w:line="240" w:lineRule="auto"/>
        <w:ind w:firstLine="567"/>
        <w:jc w:val="both"/>
        <w:rPr>
          <w:sz w:val="26"/>
          <w:szCs w:val="26"/>
        </w:rPr>
      </w:pPr>
      <w:r>
        <w:rPr>
          <w:sz w:val="26"/>
          <w:szCs w:val="26"/>
        </w:rPr>
        <w:t>+ Khai thác đá, đặc biệt là khai thác lộ thiên, làm biến dạng địa hình, phá vỡ tầng mặt đất, gây trôi trượt đất đá khi có mưa lớn.</w:t>
      </w:r>
    </w:p>
    <w:p w14:paraId="67DB2204" w14:textId="77777777" w:rsidR="00085789" w:rsidRDefault="00000000">
      <w:pPr>
        <w:spacing w:before="120" w:line="240" w:lineRule="auto"/>
        <w:ind w:firstLine="567"/>
        <w:jc w:val="both"/>
        <w:rPr>
          <w:spacing w:val="-6"/>
          <w:sz w:val="26"/>
          <w:szCs w:val="26"/>
        </w:rPr>
      </w:pPr>
      <w:r>
        <w:rPr>
          <w:spacing w:val="-6"/>
          <w:sz w:val="26"/>
          <w:szCs w:val="26"/>
        </w:rPr>
        <w:t>+ Gây mất rừng, mất lớp phủ thực vật, làm giảm khả năng giữ nước và chống xói mòn.</w:t>
      </w:r>
    </w:p>
    <w:p w14:paraId="5CB4E56B" w14:textId="77777777" w:rsidR="00085789" w:rsidRDefault="00000000">
      <w:pPr>
        <w:spacing w:before="120" w:line="240" w:lineRule="auto"/>
        <w:ind w:firstLine="567"/>
        <w:jc w:val="both"/>
        <w:rPr>
          <w:sz w:val="26"/>
          <w:szCs w:val="26"/>
        </w:rPr>
      </w:pPr>
      <w:r>
        <w:rPr>
          <w:sz w:val="26"/>
          <w:szCs w:val="26"/>
        </w:rPr>
        <w:t>Trong bối cảnh hiện nay, ngành VLXD đang phát triển theo hướng ngày càng đa dạng về chủng loại, đặc biệt là sự xuất hiện của nhiều vật liệu mới. Sự thay đổi này xuất phát từ thực trạng cạn kiệt dần nguồn tài nguyên khoáng sản, nhu cầu cấp thiết trong việc giảm thiểu ô nhiễm môi trường, cũng như xu hướng đổi mới công nghệ xây dựng và nâng cao yêu cầu về tính thẩm mỹ trong kiến trúc hiện đại. Theo đó, các loại vật liệu truyền thống như gạch, đất sét nung đang dần được thay thế một phần bởi các sản phẩm tiên tiến hơn như: gạch không nung, kính xây dựng, tấm panel, vật liệu nhẹ và vật liệu composite, đáp ứng tốt hơn yêu cầu về bền vững, tiết kiệm năng lượng và thân thiện với môi trường.</w:t>
      </w:r>
    </w:p>
    <w:p w14:paraId="22D21E47" w14:textId="77777777" w:rsidR="00085789" w:rsidRDefault="00000000">
      <w:pPr>
        <w:widowControl w:val="0"/>
        <w:autoSpaceDE w:val="0"/>
        <w:autoSpaceDN w:val="0"/>
        <w:adjustRightInd w:val="0"/>
        <w:spacing w:before="120" w:line="240" w:lineRule="auto"/>
        <w:ind w:firstLine="709"/>
        <w:jc w:val="both"/>
        <w:rPr>
          <w:b/>
          <w:bCs/>
          <w:sz w:val="26"/>
          <w:szCs w:val="26"/>
        </w:rPr>
      </w:pPr>
      <w:r>
        <w:rPr>
          <w:b/>
          <w:bCs/>
          <w:sz w:val="26"/>
          <w:szCs w:val="26"/>
        </w:rPr>
        <w:t>2.4. Sức ép từ hoạt động phát triển năng lượng</w:t>
      </w:r>
    </w:p>
    <w:p w14:paraId="71E04C8D" w14:textId="77777777" w:rsidR="00085789" w:rsidRDefault="00000000">
      <w:pPr>
        <w:widowControl w:val="0"/>
        <w:spacing w:before="120" w:line="240" w:lineRule="auto"/>
        <w:ind w:firstLine="720"/>
        <w:jc w:val="both"/>
        <w:rPr>
          <w:rFonts w:eastAsia="Calibri"/>
          <w:snapToGrid w:val="0"/>
          <w:sz w:val="26"/>
          <w:szCs w:val="26"/>
        </w:rPr>
      </w:pPr>
      <w:r>
        <w:rPr>
          <w:spacing w:val="-2"/>
          <w:sz w:val="26"/>
          <w:szCs w:val="26"/>
        </w:rPr>
        <w:t>Hiện nay toàn tỉnh có 13 dự án nhà máy điện, bao gồm: 03 dự án nhiệt điện, 07 dự án thủy điện, 01 dự án điện gió, 02 dự án điện mặt trời và các hệ thống điện mặt trời mái nhà do các tổ chức, cá nhân lắp đặt</w:t>
      </w:r>
      <w:r>
        <w:rPr>
          <w:spacing w:val="-6"/>
          <w:sz w:val="26"/>
          <w:szCs w:val="26"/>
        </w:rPr>
        <w:t xml:space="preserve">. Theo Quy hoạch tỉnh Hà Tĩnh thời kỳ 2021-2030, tầm nhìn đến năm 2050, định hướng </w:t>
      </w:r>
      <w:r>
        <w:rPr>
          <w:rFonts w:eastAsia="Calibri"/>
          <w:iCs/>
          <w:sz w:val="26"/>
        </w:rPr>
        <w:t>phát triển các nhà máy điện sử dụng các nguồn năng lượng sạch, nhằm đạt được mục tiêu tăng trưởng xanh và bền vững, ứng phó với BĐKH.</w:t>
      </w:r>
      <w:r>
        <w:rPr>
          <w:rFonts w:eastAsia="Calibri"/>
          <w:i/>
          <w:sz w:val="26"/>
        </w:rPr>
        <w:t xml:space="preserve"> </w:t>
      </w:r>
      <w:r>
        <w:rPr>
          <w:rFonts w:eastAsia="Calibri"/>
          <w:spacing w:val="2"/>
          <w:sz w:val="26"/>
          <w:szCs w:val="26"/>
        </w:rPr>
        <w:t xml:space="preserve">Các nguồn năng lượng xanh, năng lượng tái tạo có tiềm năng phát triển trong thời gian tới trên địa bàn tỉnh bao gồm: </w:t>
      </w:r>
      <w:bookmarkStart w:id="303" w:name="_Hlk53306337"/>
      <w:r>
        <w:rPr>
          <w:rFonts w:eastAsia="Calibri"/>
          <w:spacing w:val="2"/>
          <w:sz w:val="26"/>
          <w:szCs w:val="26"/>
        </w:rPr>
        <w:t>khí thiên nhiên hóa lỏng (LNG), khí thiên nhiên hóa</w:t>
      </w:r>
      <w:r>
        <w:rPr>
          <w:rFonts w:eastAsia="Calibri"/>
          <w:sz w:val="26"/>
          <w:szCs w:val="26"/>
        </w:rPr>
        <w:t xml:space="preserve"> lỏng hữu cơ (BioLNG), khí (Biomass), thủy điện, năng lượng mặt trời, năng lượng gió.</w:t>
      </w:r>
      <w:bookmarkEnd w:id="303"/>
      <w:r>
        <w:rPr>
          <w:rFonts w:eastAsia="Calibri"/>
          <w:snapToGrid w:val="0"/>
          <w:sz w:val="26"/>
          <w:szCs w:val="26"/>
        </w:rPr>
        <w:t xml:space="preserve"> </w:t>
      </w:r>
      <w:r>
        <w:rPr>
          <w:spacing w:val="3"/>
          <w:sz w:val="26"/>
          <w:szCs w:val="26"/>
          <w:shd w:val="clear" w:color="auto" w:fill="FFFFFF" w:themeFill="background1"/>
        </w:rPr>
        <w:t xml:space="preserve">Việc phát triển năng lượng sạch và năng lượng tái tạo (như năng lượng mặt trời, gió, thủy điện,…) được khuyến khích theo quy định tại khoản 3 Điều 5 Luật Bảo vệ môi trường 2020. Các dự án phát triển năng lượng đóng vai trò quan trọng trong việc khai thác tiềm năng của địa phương, góp phần nâng cao năng lực, đáp ứng yêu cầu phát triển KT-XH của tỉnh. Tuy nhiên, bên cạnh những tác động tích cực, quá trình phát triển năng lượng cũng có thể </w:t>
      </w:r>
      <w:r>
        <w:rPr>
          <w:spacing w:val="3"/>
          <w:sz w:val="26"/>
          <w:szCs w:val="26"/>
          <w:shd w:val="clear" w:color="auto" w:fill="FFFFFF" w:themeFill="background1"/>
        </w:rPr>
        <w:lastRenderedPageBreak/>
        <w:t xml:space="preserve">gây ra những ảnh hưởng tiêu cực đến môi trường xung quanh như: </w:t>
      </w:r>
    </w:p>
    <w:p w14:paraId="44E5B75B" w14:textId="77777777" w:rsidR="00085789" w:rsidRDefault="00000000">
      <w:pPr>
        <w:spacing w:before="120" w:line="240" w:lineRule="auto"/>
        <w:ind w:firstLine="709"/>
        <w:jc w:val="both"/>
        <w:rPr>
          <w:i/>
          <w:iCs/>
          <w:sz w:val="26"/>
          <w:szCs w:val="26"/>
        </w:rPr>
      </w:pPr>
      <w:r>
        <w:rPr>
          <w:i/>
          <w:iCs/>
          <w:sz w:val="26"/>
          <w:szCs w:val="26"/>
        </w:rPr>
        <w:t>- Tác động đến môi trường đất:</w:t>
      </w:r>
    </w:p>
    <w:p w14:paraId="3BB7FAE5" w14:textId="77777777" w:rsidR="00085789" w:rsidRDefault="00000000">
      <w:pPr>
        <w:spacing w:before="120" w:line="240" w:lineRule="auto"/>
        <w:ind w:firstLine="709"/>
        <w:jc w:val="both"/>
        <w:rPr>
          <w:sz w:val="26"/>
          <w:szCs w:val="26"/>
        </w:rPr>
      </w:pPr>
      <w:r>
        <w:rPr>
          <w:sz w:val="26"/>
          <w:szCs w:val="26"/>
        </w:rPr>
        <w:t xml:space="preserve">+ Chiếm dụng diện tích lớn: Các dự án năng lượng thường cần một quỹ đất đáng kể để xây dựng nhà máy, lắp đặt đường dây truyền tải điện và triển khai các hạ tầng phụ trợ </w:t>
      </w:r>
      <w:r>
        <w:rPr>
          <w:spacing w:val="-6"/>
          <w:sz w:val="26"/>
          <w:szCs w:val="26"/>
        </w:rPr>
        <w:t>như</w:t>
      </w:r>
      <w:r>
        <w:rPr>
          <w:sz w:val="26"/>
          <w:szCs w:val="26"/>
        </w:rPr>
        <w:t xml:space="preserve"> </w:t>
      </w:r>
      <w:r>
        <w:rPr>
          <w:spacing w:val="-4"/>
          <w:sz w:val="26"/>
          <w:szCs w:val="26"/>
        </w:rPr>
        <w:t>đường giao thông nội bộ, trạm biến áp và khu vực phục vụ vận hành. Việc sử dụng diện tích đất lớn có thể làm giảm quỹ đất cho sản xuất nông nghiệp, lâm nghiệp hoặc đất ở, dẫn đến thay đổi mục đích sử dụng đất, thu hẹp diện tích canh tác và ảnh hưởng đến sinh kế của người dân. Ngoài ra, quá trình giải phóng mặt bằng còn có nguy cơ gây mất lớp đất mặt, làm biến đổi địa hình và tăng nguy cơ xói mòn nếu không có biện pháp quản lý hợp lý.</w:t>
      </w:r>
    </w:p>
    <w:p w14:paraId="1C20FF0E" w14:textId="7F1C725C" w:rsidR="00085789" w:rsidRDefault="00000000">
      <w:pPr>
        <w:spacing w:before="120" w:line="240" w:lineRule="auto"/>
        <w:ind w:firstLine="709"/>
        <w:jc w:val="both"/>
        <w:rPr>
          <w:sz w:val="26"/>
          <w:szCs w:val="26"/>
        </w:rPr>
      </w:pPr>
      <w:r>
        <w:rPr>
          <w:sz w:val="26"/>
          <w:szCs w:val="26"/>
        </w:rPr>
        <w:t>+ Mất rừng và thay đổi mục đích sử dụng đất: các dự án thủy điện thường phải chặt phá một phần diện tích rừng đầu nguồn để xây dựng hồ chứa, làm suy giảm độ che phủ và ảnh hưởng đến HST. Dự án năng lượng gió chiếm dụng các khu vực đồi núi để lắp đặt trụ turbine và đường giao thông nội bộ, trong khi điện mặt trời thường sử dụng đất nông nghiệp hoặc đất trống, làm thay đổi công năng đất ban đầu. Những thay đổi này không chỉ ảnh hưởng đến cân bằng sinh thái mà còn tác động đến sản xuất nông - lâm nghiệp và sinh kế của người dân địa phương.</w:t>
      </w:r>
    </w:p>
    <w:p w14:paraId="38E58A16" w14:textId="77777777" w:rsidR="00085789" w:rsidRDefault="00000000">
      <w:pPr>
        <w:spacing w:before="120" w:line="240" w:lineRule="auto"/>
        <w:ind w:firstLine="709"/>
        <w:jc w:val="both"/>
        <w:rPr>
          <w:sz w:val="26"/>
          <w:szCs w:val="26"/>
        </w:rPr>
      </w:pPr>
      <w:r>
        <w:rPr>
          <w:sz w:val="26"/>
          <w:szCs w:val="26"/>
        </w:rPr>
        <w:t>+ Nguy cơ xói mòn, trượt lở: Các dự án năng lượng, đặc biệt là thủy điện và điện gió, thường phải đào đắp nền móng và mở đường vận chuyển thiết bị ở khu vực đồi núi, làm mất lớp phủ thực vật và phá vỡ kết cấu đất. Điều này làm tăng nguy cơ xói mòn, rửa trôi đất màu và gây trượt lở sườn dốc, đặc biệt trong mùa mưa. Nếu không được kiểm soát bằng các biện pháp như kè chắn, trồng phủ xanh, nguy cơ sạt lở còn có thể ảnh hưởng đến an toàn công trình và khu dân cư lân cận.</w:t>
      </w:r>
    </w:p>
    <w:p w14:paraId="58EF4B34" w14:textId="77777777" w:rsidR="00085789" w:rsidRDefault="00000000">
      <w:pPr>
        <w:spacing w:before="120" w:line="240" w:lineRule="auto"/>
        <w:ind w:firstLine="709"/>
        <w:jc w:val="both"/>
        <w:rPr>
          <w:i/>
          <w:iCs/>
          <w:sz w:val="26"/>
          <w:szCs w:val="26"/>
        </w:rPr>
      </w:pPr>
      <w:r>
        <w:rPr>
          <w:i/>
          <w:iCs/>
          <w:sz w:val="26"/>
          <w:szCs w:val="26"/>
        </w:rPr>
        <w:t>- Tác động đến môi trường nước:</w:t>
      </w:r>
    </w:p>
    <w:p w14:paraId="6F24E23B" w14:textId="77777777" w:rsidR="00085789" w:rsidRDefault="00000000">
      <w:pPr>
        <w:spacing w:before="120" w:line="240" w:lineRule="auto"/>
        <w:ind w:firstLine="709"/>
        <w:jc w:val="both"/>
        <w:rPr>
          <w:sz w:val="26"/>
          <w:szCs w:val="26"/>
        </w:rPr>
      </w:pPr>
      <w:r>
        <w:rPr>
          <w:sz w:val="26"/>
          <w:szCs w:val="26"/>
        </w:rPr>
        <w:t>+ Thay đổi dòng chảy tự nhiên: Việc xây dựng các công trình thủy điện làm thay đổi chế độ thủy văn của sông suối. Trong mùa khô, việc tích nước cho hồ chứa có thể gây thiếu nước hạ du, ảnh hưởng đến sản xuất nông nghiệp và sinh hoạt của người dân. Ngược lại, vào mùa mưa, việc xả lũ đột ngột để đảm bảo an toàn hồ chứa có thể gây ngập úng nghiêm trọng ở vùng hạ lưu, làm tăng nguy cơ lũ lụt và thiệt hại tài sản, hoa màu.</w:t>
      </w:r>
    </w:p>
    <w:p w14:paraId="7507D130" w14:textId="77777777" w:rsidR="00085789" w:rsidRDefault="00000000">
      <w:pPr>
        <w:spacing w:before="120" w:line="240" w:lineRule="auto"/>
        <w:ind w:firstLine="709"/>
        <w:jc w:val="both"/>
        <w:rPr>
          <w:sz w:val="26"/>
          <w:szCs w:val="26"/>
        </w:rPr>
      </w:pPr>
      <w:r>
        <w:rPr>
          <w:sz w:val="26"/>
          <w:szCs w:val="26"/>
        </w:rPr>
        <w:t>+ Ô nhiễm nguồn nước: Trong quá trình vận hành và bảo dưỡng, nguy cơ rò rỉ hóa chất, dầu bôi trơn hoặc nhiên liệu có thể gây ô nhiễm cục bộ cho nguồn nước mặt và nước ngầm. Đối với các công trình thủy điện, bồi lắng hồ chứa diễn ra nhanh chóng, đặc biệt ở thủy điện nhỏ, dẫn đến giảm dung tích hữu ích, làm tăng nguy cơ mất khả năng điều tiết lũ và tích nước về lâu dài.</w:t>
      </w:r>
    </w:p>
    <w:p w14:paraId="47F12409" w14:textId="77777777" w:rsidR="00085789" w:rsidRDefault="00000000">
      <w:pPr>
        <w:spacing w:before="120" w:line="240" w:lineRule="auto"/>
        <w:ind w:firstLine="709"/>
        <w:jc w:val="both"/>
        <w:rPr>
          <w:i/>
          <w:iCs/>
          <w:sz w:val="26"/>
          <w:szCs w:val="26"/>
        </w:rPr>
      </w:pPr>
      <w:r>
        <w:rPr>
          <w:i/>
          <w:iCs/>
          <w:sz w:val="26"/>
          <w:szCs w:val="26"/>
        </w:rPr>
        <w:t>- Tác động đến môi trường không khí:</w:t>
      </w:r>
    </w:p>
    <w:p w14:paraId="09004204" w14:textId="77777777" w:rsidR="00085789" w:rsidRDefault="00000000">
      <w:pPr>
        <w:spacing w:before="120" w:line="240" w:lineRule="auto"/>
        <w:ind w:firstLine="709"/>
        <w:jc w:val="both"/>
        <w:rPr>
          <w:sz w:val="26"/>
          <w:szCs w:val="26"/>
        </w:rPr>
      </w:pPr>
      <w:r>
        <w:rPr>
          <w:sz w:val="26"/>
          <w:szCs w:val="26"/>
        </w:rPr>
        <w:t>+ Phát thải khí nhà kính và bụi: Các nhà máy nhiệt điện than là một trong những nguồn phát thải CO₂ lớn nhất, làm BĐKH toàn cầu. Bên cạnh đó, quá trình đốt than còn sinh ra khí SO₂, NOₓ và bụi mịn PM₂.₅, gây ô nhiễm không khí nghiêm trọng và ảnh hưởng trực tiếp đến sức khỏe con người, làm gia tăng các bệnh về đường hô hấp và tim mạch. Ngoài ra, các chất này còn có thể kết hợp trong khí quyển để tạo mưa axit, gây tác động xấu đến đất, nước và HST.</w:t>
      </w:r>
    </w:p>
    <w:p w14:paraId="69F157A3" w14:textId="77777777" w:rsidR="00085789" w:rsidRDefault="00000000">
      <w:pPr>
        <w:spacing w:before="120" w:line="240" w:lineRule="auto"/>
        <w:ind w:firstLine="709"/>
        <w:jc w:val="both"/>
        <w:rPr>
          <w:sz w:val="26"/>
          <w:szCs w:val="26"/>
        </w:rPr>
      </w:pPr>
      <w:r>
        <w:rPr>
          <w:sz w:val="26"/>
          <w:szCs w:val="26"/>
        </w:rPr>
        <w:t xml:space="preserve">+ Ô nhiễm cục bộ trong giai đoạn thi công: Trong quá trình xây dựng nhà máy, lắp đặt đường dây hoặc mở đường vận chuyển thiết bị, một lượng lớn bụi đất phát sinh từ hoạt động đào đắp và san lấp mặt bằng. Bên cạnh đó, khí thải từ xe vận chuyển vật liệu, thiết bị </w:t>
      </w:r>
      <w:r>
        <w:rPr>
          <w:sz w:val="26"/>
          <w:szCs w:val="26"/>
        </w:rPr>
        <w:lastRenderedPageBreak/>
        <w:t>cơ giới như máy xúc, máy ủi chứa CO, NOₓ và bụi mịn cũng gây ô nhiễm không khí cục bộ, ảnh hưởng đến khu dân cư lân cận, làm suy giảm chất lượng không khí.</w:t>
      </w:r>
    </w:p>
    <w:p w14:paraId="6ABBED4A" w14:textId="77777777" w:rsidR="00085789" w:rsidRDefault="00000000">
      <w:pPr>
        <w:spacing w:before="120" w:line="240" w:lineRule="auto"/>
        <w:ind w:firstLine="709"/>
        <w:jc w:val="both"/>
        <w:rPr>
          <w:sz w:val="26"/>
          <w:szCs w:val="26"/>
        </w:rPr>
      </w:pPr>
      <w:r>
        <w:rPr>
          <w:sz w:val="26"/>
          <w:szCs w:val="26"/>
        </w:rPr>
        <w:t>+ Tiếng ồn và độ rung chủ yếu xuất hiện khi thi công, do máy móc, xe vận chuyển nguyên vật liệu.</w:t>
      </w:r>
      <w:r>
        <w:t xml:space="preserve"> </w:t>
      </w:r>
      <w:r>
        <w:rPr>
          <w:sz w:val="26"/>
          <w:szCs w:val="26"/>
        </w:rPr>
        <w:t>Khi đi vào vận hành, nguồn phát sinh tiếng ồn chủ yếu đến từ các thiết bị như turbine gió, cánh quạt, hệ thống hộp số,….</w:t>
      </w:r>
    </w:p>
    <w:p w14:paraId="468B315C" w14:textId="77777777" w:rsidR="00085789" w:rsidRDefault="00000000">
      <w:pPr>
        <w:spacing w:before="120" w:line="240" w:lineRule="auto"/>
        <w:ind w:firstLine="709"/>
        <w:jc w:val="both"/>
        <w:rPr>
          <w:i/>
          <w:iCs/>
          <w:sz w:val="26"/>
          <w:szCs w:val="26"/>
        </w:rPr>
      </w:pPr>
      <w:r>
        <w:rPr>
          <w:i/>
          <w:iCs/>
          <w:sz w:val="26"/>
          <w:szCs w:val="26"/>
        </w:rPr>
        <w:t>- Tác động đến HST:</w:t>
      </w:r>
    </w:p>
    <w:p w14:paraId="64F16B77" w14:textId="45D9D977" w:rsidR="00085789" w:rsidRDefault="00000000">
      <w:pPr>
        <w:spacing w:before="80" w:line="240" w:lineRule="auto"/>
        <w:ind w:firstLine="709"/>
        <w:jc w:val="both"/>
        <w:rPr>
          <w:sz w:val="26"/>
          <w:szCs w:val="26"/>
        </w:rPr>
      </w:pPr>
      <w:r>
        <w:rPr>
          <w:sz w:val="26"/>
          <w:szCs w:val="26"/>
        </w:rPr>
        <w:t>Mất sinh cảnh và suy giảm ĐDSH là một trong những tác động nghiêm trọng của phát triển năng lượng. Việc xây dựng thủy điện làm chia cắt sông suối, thay đổi môi trường sống thủy sinh, cản trở đường di cư và sinh sản của nhiều loài cá, dẫn đến suy giảm quần thể. Các dự án năng lượng gió có thể ảnh hưởng đến đường bay tự nhiên của chim, dơi, gây hiện tượng va chạm với cánh quạt turbine.</w:t>
      </w:r>
    </w:p>
    <w:p w14:paraId="1CB4944B" w14:textId="77777777" w:rsidR="00085789" w:rsidRDefault="00000000">
      <w:pPr>
        <w:spacing w:before="80" w:line="240" w:lineRule="auto"/>
        <w:ind w:firstLine="709"/>
        <w:jc w:val="both"/>
        <w:rPr>
          <w:sz w:val="26"/>
          <w:szCs w:val="26"/>
        </w:rPr>
      </w:pPr>
      <w:r>
        <w:rPr>
          <w:sz w:val="26"/>
          <w:szCs w:val="26"/>
        </w:rPr>
        <w:t>+ Ảnh hưởng chuỗi thức ăn: Biến đổi nguồn nước và chất lượng nước do các dự án thủy điện hoặc nhiệt điện gây ra có thể làm suy giảm quần thể sinh vật thủy sinh, từ thực vật phù du, động vật phù du đến cá và các loài thủy sản khác. Khi những mắt xích cơ bản này trong chuỗi thức ăn bị giảm mạnh, toàn bộ HST thủy vực sẽ bị mất cân bằng.</w:t>
      </w:r>
    </w:p>
    <w:p w14:paraId="56A9AF7A" w14:textId="77777777" w:rsidR="00085789" w:rsidRDefault="00000000">
      <w:pPr>
        <w:spacing w:before="80" w:line="240" w:lineRule="auto"/>
        <w:ind w:firstLine="709"/>
        <w:jc w:val="both"/>
        <w:rPr>
          <w:sz w:val="26"/>
          <w:szCs w:val="26"/>
        </w:rPr>
      </w:pPr>
      <w:r>
        <w:rPr>
          <w:sz w:val="26"/>
          <w:szCs w:val="26"/>
        </w:rPr>
        <w:t>Ngoài những tác động đã phân tích, các dự án năng lượng (thủy điện, nhiệt điện, điện gió, điện mặt trời) còn tiềm ẩn một số tác động và rủi ro khác, bao gồm:</w:t>
      </w:r>
    </w:p>
    <w:p w14:paraId="46BDB7EE" w14:textId="77777777" w:rsidR="00085789" w:rsidRDefault="00000000">
      <w:pPr>
        <w:spacing w:before="80" w:line="240" w:lineRule="auto"/>
        <w:ind w:firstLine="709"/>
        <w:jc w:val="both"/>
        <w:rPr>
          <w:sz w:val="26"/>
          <w:szCs w:val="26"/>
        </w:rPr>
      </w:pPr>
      <w:r>
        <w:rPr>
          <w:sz w:val="26"/>
          <w:szCs w:val="26"/>
        </w:rPr>
        <w:t xml:space="preserve">- Sự cố vỡ đập thủy điện: Có thể gây lũ quét, ngập lụt diện rộng, thiệt hại lớn về người và tài sản, phá hủy hạ tầng, xói lở đất. </w:t>
      </w:r>
    </w:p>
    <w:p w14:paraId="774612C7" w14:textId="77777777" w:rsidR="00085789" w:rsidRDefault="00000000">
      <w:pPr>
        <w:spacing w:before="80" w:line="240" w:lineRule="auto"/>
        <w:ind w:firstLine="709"/>
        <w:jc w:val="both"/>
        <w:rPr>
          <w:sz w:val="26"/>
          <w:szCs w:val="26"/>
        </w:rPr>
      </w:pPr>
      <w:r>
        <w:rPr>
          <w:sz w:val="26"/>
          <w:szCs w:val="26"/>
        </w:rPr>
        <w:t>- Sự cố tràn dầu, rò rỉ hóa chất: Trong các nhà máy nhiệt điện, sự cố rò rỉ dầu bôi trơn, hóa chất xử lý nước làm mát có thể gây ô nhiễm đất, nước.</w:t>
      </w:r>
    </w:p>
    <w:p w14:paraId="564B5D05" w14:textId="77777777" w:rsidR="00085789" w:rsidRDefault="00000000">
      <w:pPr>
        <w:spacing w:before="80" w:line="240" w:lineRule="auto"/>
        <w:ind w:firstLine="709"/>
        <w:jc w:val="both"/>
        <w:rPr>
          <w:sz w:val="26"/>
          <w:szCs w:val="26"/>
        </w:rPr>
      </w:pPr>
      <w:r>
        <w:rPr>
          <w:sz w:val="26"/>
          <w:szCs w:val="26"/>
        </w:rPr>
        <w:t>- Hỏa hoạn, cháy nổ: Tại các trạm biến áp, khu vực lưu trữ nhiên liệu hoặc hệ thống pin mặt trời trong điều kiện nhiệt độ cao, chập điện.</w:t>
      </w:r>
    </w:p>
    <w:p w14:paraId="243C650E" w14:textId="77777777" w:rsidR="00085789" w:rsidRDefault="00000000">
      <w:pPr>
        <w:spacing w:before="80" w:line="240" w:lineRule="auto"/>
        <w:ind w:firstLine="709"/>
        <w:jc w:val="both"/>
        <w:rPr>
          <w:sz w:val="26"/>
          <w:szCs w:val="26"/>
        </w:rPr>
      </w:pPr>
      <w:r>
        <w:rPr>
          <w:sz w:val="26"/>
          <w:szCs w:val="26"/>
        </w:rPr>
        <w:t>- Sự cố đứt cáp, gãy turbine gió: Có thể gây tai nạn cho công nhân hoặc ảnh hưởng đến an toàn khu vực dân cư gần đó.</w:t>
      </w:r>
    </w:p>
    <w:p w14:paraId="3BFD9491" w14:textId="77777777" w:rsidR="00085789" w:rsidRDefault="00000000">
      <w:pPr>
        <w:spacing w:before="80" w:line="240" w:lineRule="auto"/>
        <w:ind w:firstLine="709"/>
        <w:jc w:val="both"/>
        <w:rPr>
          <w:sz w:val="26"/>
          <w:szCs w:val="26"/>
        </w:rPr>
      </w:pPr>
      <w:r>
        <w:rPr>
          <w:sz w:val="26"/>
          <w:szCs w:val="26"/>
        </w:rPr>
        <w:t>- Chất thải nguy hại và rác thải điện tử: Pin mặt trời và thiết bị điện gió sau hết hạn sử dụng chứa kim loại nặng (chì, cadimi, thủy ngân) và hợp chất nguy hại, nếu không xử lý đúng quy trình có thể gây ô nhiễm đất và nước ngầm; Tro, xỉ nhiệt điện than với khối lượng lớn, có chứa kim loại nặng (As, Hg, Pb), nếu lưu giữ không an toàn sẽ phát tán ra môi trường.</w:t>
      </w:r>
    </w:p>
    <w:p w14:paraId="0A394749" w14:textId="77777777" w:rsidR="00085789" w:rsidRDefault="00000000">
      <w:pPr>
        <w:spacing w:before="80" w:line="240" w:lineRule="auto"/>
        <w:ind w:firstLine="709"/>
        <w:jc w:val="both"/>
        <w:rPr>
          <w:sz w:val="26"/>
          <w:szCs w:val="26"/>
        </w:rPr>
      </w:pPr>
      <w:r>
        <w:rPr>
          <w:sz w:val="26"/>
          <w:szCs w:val="26"/>
        </w:rPr>
        <w:t>Như vậy, sự phát triển mạnh mẽ của các dự án năng lượng, mang lại lợi ích to lớn về kinh tế, đảm bảo nguồn cung năng lượng ổn định nhưng vẫn tạo ra sức ép đáng kể đối với môi trường tự nhiên và đời sống cộng đồng. Nếu không được quản lý chặt chẽ, các tác động này có thể dẫn đến suy giảm chất lượng môi trường, mất cân bằng sinh thái và gia tăng rủi ro thiên tai. Do đó, việc phát triển năng lượng cần gắn liền với các giải pháp bảo vệ môi trường, ứng dụng công nghệ sạch và tuân thủ nghiêm ngặt các quy định pháp luật để đảm bảo mục tiêu phát triển bền vững.</w:t>
      </w:r>
    </w:p>
    <w:p w14:paraId="52706F5E" w14:textId="77777777" w:rsidR="00085789" w:rsidRDefault="00000000">
      <w:pPr>
        <w:pStyle w:val="bac2"/>
        <w:spacing w:before="120" w:after="0" w:line="240" w:lineRule="auto"/>
      </w:pPr>
      <w:bookmarkStart w:id="304" w:name="_Toc214311219"/>
      <w:r>
        <w:t>2.5. Sức ép hoạt động giao thông vận tải</w:t>
      </w:r>
      <w:bookmarkEnd w:id="304"/>
    </w:p>
    <w:p w14:paraId="04AF078C"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Hoạt động giao thông vận tải, hoạt động phát thải từ các xe chưa đạt hạng mục kiểm tra bảo vệ môi trường sẽ ảnh hưởng rất nhiều đến chất lượng không khí xung quanh khi lưu thông như: phát sinh bụi, ồn, SO</w:t>
      </w:r>
      <w:r>
        <w:rPr>
          <w:sz w:val="26"/>
          <w:szCs w:val="26"/>
          <w:vertAlign w:val="subscript"/>
        </w:rPr>
        <w:t>2</w:t>
      </w:r>
      <w:r>
        <w:rPr>
          <w:sz w:val="26"/>
          <w:szCs w:val="26"/>
        </w:rPr>
        <w:t>, NO</w:t>
      </w:r>
      <w:r>
        <w:rPr>
          <w:sz w:val="26"/>
          <w:szCs w:val="26"/>
          <w:vertAlign w:val="subscript"/>
        </w:rPr>
        <w:t>2</w:t>
      </w:r>
      <w:r>
        <w:rPr>
          <w:sz w:val="26"/>
          <w:szCs w:val="26"/>
        </w:rPr>
        <w:t>,... hậu quả gây ảnh hưởng đến sức khoẻ của người dân xung quanh.</w:t>
      </w:r>
    </w:p>
    <w:p w14:paraId="49C12F98"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Toàn tỉnh hiện nay có khoảng 82.539 xe ô tô các loại, trong đó 645 phương tiện ô tô con chạy điện; có 857.844 xe mô tô, xe máy, xe máy điện, trong đó xe máy điện là </w:t>
      </w:r>
      <w:r>
        <w:rPr>
          <w:sz w:val="26"/>
          <w:szCs w:val="26"/>
        </w:rPr>
        <w:lastRenderedPageBreak/>
        <w:t xml:space="preserve">116.435 phương tiện. Số phương tiện tham gia giao thông chủ yếu là xe máy, trung bình mỗi gia đình có 1-2 xe máy. Xe máy là phương tiện ít được kiểm soát chất lượng, được lưu thông với mật độ cao nên là một nguyên nhân quan trọng gây ô nhiễm môi trường không khí tại đô thị và nông thôn. </w:t>
      </w:r>
    </w:p>
    <w:p w14:paraId="134BBABB"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Sự phát thải của các phương tiện cơ giới đường bộ phụ thuộc rất nhiều vào chất lượng các loại xe. Đối với các phương tiện như xe ô tô, xe máy qua nhiều năm sử dụng có chất lượng thấp, hiệu quả sử dụng nhiên liệu thấp, nồng độ chất độc hại, bụi trong khí xả cao. Hàng ngày, số phương tiện trên hoạt động sẽ xả ra môi trường một lượng lớn các chất ô nhiễm không khí bao gồm: các khí Hydrocacbon thơm có trong nhiên liệu (benzen, toluene, xylene,...), bụi lơ lửng (TSP, PM</w:t>
      </w:r>
      <w:r>
        <w:rPr>
          <w:sz w:val="26"/>
          <w:szCs w:val="26"/>
          <w:vertAlign w:val="subscript"/>
        </w:rPr>
        <w:t>10</w:t>
      </w:r>
      <w:r>
        <w:rPr>
          <w:sz w:val="26"/>
          <w:szCs w:val="26"/>
        </w:rPr>
        <w:t>, PM</w:t>
      </w:r>
      <w:r>
        <w:rPr>
          <w:sz w:val="26"/>
          <w:szCs w:val="26"/>
          <w:vertAlign w:val="subscript"/>
        </w:rPr>
        <w:t>2.5</w:t>
      </w:r>
      <w:r>
        <w:rPr>
          <w:sz w:val="26"/>
          <w:szCs w:val="26"/>
        </w:rPr>
        <w:t>), CO, CO</w:t>
      </w:r>
      <w:r>
        <w:rPr>
          <w:sz w:val="26"/>
          <w:szCs w:val="26"/>
          <w:vertAlign w:val="subscript"/>
        </w:rPr>
        <w:t>2</w:t>
      </w:r>
      <w:r>
        <w:rPr>
          <w:sz w:val="26"/>
          <w:szCs w:val="26"/>
        </w:rPr>
        <w:t>, SO</w:t>
      </w:r>
      <w:r>
        <w:rPr>
          <w:sz w:val="26"/>
          <w:szCs w:val="26"/>
          <w:vertAlign w:val="subscript"/>
        </w:rPr>
        <w:t>2</w:t>
      </w:r>
      <w:r>
        <w:rPr>
          <w:sz w:val="26"/>
          <w:szCs w:val="26"/>
        </w:rPr>
        <w:t>, NO</w:t>
      </w:r>
      <w:r>
        <w:rPr>
          <w:sz w:val="26"/>
          <w:szCs w:val="26"/>
          <w:vertAlign w:val="subscript"/>
        </w:rPr>
        <w:t>x</w:t>
      </w:r>
      <w:r>
        <w:rPr>
          <w:sz w:val="26"/>
          <w:szCs w:val="26"/>
        </w:rPr>
        <w:t xml:space="preserve">,... trong đó CO₂, NOₓ và CH₄ là những khí nhà kính góp phần BĐKH. Bụi, khí thải gây ra các loại bệnh cho con người như viêm nhiễm đường hô hấp do nhiễm vi khuẩn, hen suyễn, viêm phế quản mạn tính, viêm mũi,…. Số lượng xe vào kiểm định và số xe không đạt hạng mục kiểm tra bảo vệ môi trường từ năm 2020-2025 được thống kê như sau: </w:t>
      </w:r>
    </w:p>
    <w:p w14:paraId="5B47499C" w14:textId="77777777" w:rsidR="00085789" w:rsidRDefault="00000000">
      <w:pPr>
        <w:pStyle w:val="-bac4"/>
        <w:spacing w:after="0" w:line="240" w:lineRule="auto"/>
        <w:rPr>
          <w:rFonts w:ascii="Times New Roman Bold" w:hAnsi="Times New Roman Bold"/>
          <w:spacing w:val="-8"/>
        </w:rPr>
      </w:pPr>
      <w:bookmarkStart w:id="305" w:name="_Toc205915673"/>
      <w:bookmarkStart w:id="306" w:name="_Toc213597368"/>
      <w:bookmarkStart w:id="307" w:name="_Toc213600740"/>
      <w:r>
        <w:rPr>
          <w:rFonts w:ascii="Times New Roman Bold" w:hAnsi="Times New Roman Bold"/>
          <w:spacing w:val="-8"/>
        </w:rPr>
        <w:t>Bảng 2.4. Tỷ lệ số xe không đạt chuẩn về hạng mục kiểm tra bảo vệ môi trường</w:t>
      </w:r>
      <w:bookmarkEnd w:id="305"/>
      <w:bookmarkEnd w:id="306"/>
      <w:bookmarkEnd w:id="307"/>
    </w:p>
    <w:p w14:paraId="58DFCFEB" w14:textId="77777777" w:rsidR="00085789" w:rsidRDefault="00085789">
      <w:pPr>
        <w:pStyle w:val="-bac4"/>
        <w:spacing w:after="0" w:line="240" w:lineRule="auto"/>
        <w:rPr>
          <w:rFonts w:ascii="Times New Roman Bold" w:hAnsi="Times New Roman Bold"/>
          <w:spacing w:val="-8"/>
          <w:sz w:val="8"/>
          <w:szCs w:val="2"/>
        </w:rPr>
      </w:pPr>
    </w:p>
    <w:tbl>
      <w:tblPr>
        <w:tblStyle w:val="TableGrid"/>
        <w:tblW w:w="0" w:type="auto"/>
        <w:tblLook w:val="04A0" w:firstRow="1" w:lastRow="0" w:firstColumn="1" w:lastColumn="0" w:noHBand="0" w:noVBand="1"/>
      </w:tblPr>
      <w:tblGrid>
        <w:gridCol w:w="846"/>
        <w:gridCol w:w="1134"/>
        <w:gridCol w:w="2126"/>
        <w:gridCol w:w="3544"/>
        <w:gridCol w:w="1412"/>
      </w:tblGrid>
      <w:tr w:rsidR="00085789" w14:paraId="53168DDD" w14:textId="77777777">
        <w:trPr>
          <w:tblHeader/>
        </w:trPr>
        <w:tc>
          <w:tcPr>
            <w:tcW w:w="846" w:type="dxa"/>
            <w:vAlign w:val="center"/>
          </w:tcPr>
          <w:p w14:paraId="1D3859F1" w14:textId="77777777" w:rsidR="00085789" w:rsidRDefault="00000000">
            <w:pPr>
              <w:widowControl w:val="0"/>
              <w:autoSpaceDE w:val="0"/>
              <w:autoSpaceDN w:val="0"/>
              <w:adjustRightInd w:val="0"/>
              <w:spacing w:line="240" w:lineRule="auto"/>
              <w:jc w:val="center"/>
              <w:rPr>
                <w:b/>
                <w:bCs/>
                <w:sz w:val="24"/>
                <w:szCs w:val="24"/>
              </w:rPr>
            </w:pPr>
            <w:bookmarkStart w:id="308" w:name="_Hlk204604393"/>
            <w:r>
              <w:rPr>
                <w:b/>
                <w:bCs/>
                <w:sz w:val="24"/>
                <w:szCs w:val="24"/>
              </w:rPr>
              <w:t>STT</w:t>
            </w:r>
          </w:p>
        </w:tc>
        <w:tc>
          <w:tcPr>
            <w:tcW w:w="1134" w:type="dxa"/>
            <w:vAlign w:val="center"/>
          </w:tcPr>
          <w:p w14:paraId="15DF37CA"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Năm</w:t>
            </w:r>
          </w:p>
        </w:tc>
        <w:tc>
          <w:tcPr>
            <w:tcW w:w="2126" w:type="dxa"/>
            <w:vAlign w:val="center"/>
          </w:tcPr>
          <w:p w14:paraId="2F6BED91"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Tổng số lượt xe kiểm định</w:t>
            </w:r>
          </w:p>
        </w:tc>
        <w:tc>
          <w:tcPr>
            <w:tcW w:w="3544" w:type="dxa"/>
            <w:vAlign w:val="center"/>
          </w:tcPr>
          <w:p w14:paraId="5A859B75"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Số lượt xe kiểm định không đạt hạng mục khí thải</w:t>
            </w:r>
          </w:p>
        </w:tc>
        <w:tc>
          <w:tcPr>
            <w:tcW w:w="1412" w:type="dxa"/>
            <w:vAlign w:val="center"/>
          </w:tcPr>
          <w:p w14:paraId="52A9B1CB" w14:textId="77777777" w:rsidR="00085789" w:rsidRDefault="00000000">
            <w:pPr>
              <w:widowControl w:val="0"/>
              <w:autoSpaceDE w:val="0"/>
              <w:autoSpaceDN w:val="0"/>
              <w:adjustRightInd w:val="0"/>
              <w:spacing w:line="240" w:lineRule="auto"/>
              <w:jc w:val="center"/>
              <w:rPr>
                <w:b/>
                <w:bCs/>
                <w:sz w:val="24"/>
                <w:szCs w:val="24"/>
              </w:rPr>
            </w:pPr>
            <w:r>
              <w:rPr>
                <w:b/>
                <w:bCs/>
                <w:sz w:val="24"/>
                <w:szCs w:val="24"/>
              </w:rPr>
              <w:t>Tỷ lệ (%)</w:t>
            </w:r>
          </w:p>
        </w:tc>
      </w:tr>
      <w:tr w:rsidR="00085789" w14:paraId="05F3EF2B" w14:textId="77777777">
        <w:tc>
          <w:tcPr>
            <w:tcW w:w="846" w:type="dxa"/>
          </w:tcPr>
          <w:p w14:paraId="234D3E50" w14:textId="77777777" w:rsidR="00085789" w:rsidRDefault="00000000">
            <w:pPr>
              <w:widowControl w:val="0"/>
              <w:autoSpaceDE w:val="0"/>
              <w:autoSpaceDN w:val="0"/>
              <w:adjustRightInd w:val="0"/>
              <w:spacing w:line="240" w:lineRule="auto"/>
              <w:jc w:val="center"/>
              <w:rPr>
                <w:sz w:val="24"/>
                <w:szCs w:val="24"/>
              </w:rPr>
            </w:pPr>
            <w:r>
              <w:rPr>
                <w:sz w:val="24"/>
                <w:szCs w:val="24"/>
              </w:rPr>
              <w:t>1</w:t>
            </w:r>
          </w:p>
        </w:tc>
        <w:tc>
          <w:tcPr>
            <w:tcW w:w="1134" w:type="dxa"/>
          </w:tcPr>
          <w:p w14:paraId="655C5389" w14:textId="77777777" w:rsidR="00085789" w:rsidRDefault="00000000">
            <w:pPr>
              <w:widowControl w:val="0"/>
              <w:autoSpaceDE w:val="0"/>
              <w:autoSpaceDN w:val="0"/>
              <w:adjustRightInd w:val="0"/>
              <w:spacing w:line="240" w:lineRule="auto"/>
              <w:jc w:val="center"/>
              <w:rPr>
                <w:sz w:val="24"/>
                <w:szCs w:val="24"/>
              </w:rPr>
            </w:pPr>
            <w:r>
              <w:rPr>
                <w:sz w:val="24"/>
                <w:szCs w:val="24"/>
              </w:rPr>
              <w:t>2021</w:t>
            </w:r>
          </w:p>
        </w:tc>
        <w:tc>
          <w:tcPr>
            <w:tcW w:w="2126" w:type="dxa"/>
            <w:vAlign w:val="bottom"/>
          </w:tcPr>
          <w:p w14:paraId="21FD8BC2"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48.402</w:t>
            </w:r>
          </w:p>
        </w:tc>
        <w:tc>
          <w:tcPr>
            <w:tcW w:w="3544" w:type="dxa"/>
            <w:vAlign w:val="bottom"/>
          </w:tcPr>
          <w:p w14:paraId="16E754EA"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c>
          <w:tcPr>
            <w:tcW w:w="1412" w:type="dxa"/>
            <w:vAlign w:val="bottom"/>
          </w:tcPr>
          <w:p w14:paraId="43B15AC4"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r>
      <w:tr w:rsidR="00085789" w14:paraId="41CFF4A2" w14:textId="77777777">
        <w:tc>
          <w:tcPr>
            <w:tcW w:w="846" w:type="dxa"/>
          </w:tcPr>
          <w:p w14:paraId="7A2AEF8D" w14:textId="77777777" w:rsidR="00085789" w:rsidRDefault="00000000">
            <w:pPr>
              <w:widowControl w:val="0"/>
              <w:autoSpaceDE w:val="0"/>
              <w:autoSpaceDN w:val="0"/>
              <w:adjustRightInd w:val="0"/>
              <w:spacing w:line="240" w:lineRule="auto"/>
              <w:jc w:val="center"/>
              <w:rPr>
                <w:sz w:val="24"/>
                <w:szCs w:val="24"/>
              </w:rPr>
            </w:pPr>
            <w:r>
              <w:rPr>
                <w:sz w:val="24"/>
                <w:szCs w:val="24"/>
              </w:rPr>
              <w:t>2</w:t>
            </w:r>
          </w:p>
        </w:tc>
        <w:tc>
          <w:tcPr>
            <w:tcW w:w="1134" w:type="dxa"/>
          </w:tcPr>
          <w:p w14:paraId="5C34F77F" w14:textId="77777777" w:rsidR="00085789" w:rsidRDefault="00000000">
            <w:pPr>
              <w:widowControl w:val="0"/>
              <w:autoSpaceDE w:val="0"/>
              <w:autoSpaceDN w:val="0"/>
              <w:adjustRightInd w:val="0"/>
              <w:spacing w:line="240" w:lineRule="auto"/>
              <w:jc w:val="center"/>
              <w:rPr>
                <w:sz w:val="24"/>
                <w:szCs w:val="24"/>
              </w:rPr>
            </w:pPr>
            <w:r>
              <w:rPr>
                <w:sz w:val="24"/>
                <w:szCs w:val="24"/>
              </w:rPr>
              <w:t>2022</w:t>
            </w:r>
          </w:p>
        </w:tc>
        <w:tc>
          <w:tcPr>
            <w:tcW w:w="2126" w:type="dxa"/>
            <w:vAlign w:val="bottom"/>
          </w:tcPr>
          <w:p w14:paraId="7707A5F7"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49.628</w:t>
            </w:r>
          </w:p>
        </w:tc>
        <w:tc>
          <w:tcPr>
            <w:tcW w:w="3544" w:type="dxa"/>
            <w:vAlign w:val="bottom"/>
          </w:tcPr>
          <w:p w14:paraId="7B76E4F8"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c>
          <w:tcPr>
            <w:tcW w:w="1412" w:type="dxa"/>
            <w:vAlign w:val="bottom"/>
          </w:tcPr>
          <w:p w14:paraId="1B3B0232"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4"/>
                <w:szCs w:val="24"/>
              </w:rPr>
              <w:t>-</w:t>
            </w:r>
          </w:p>
        </w:tc>
      </w:tr>
      <w:tr w:rsidR="00085789" w14:paraId="568474CC" w14:textId="77777777">
        <w:tc>
          <w:tcPr>
            <w:tcW w:w="846" w:type="dxa"/>
          </w:tcPr>
          <w:p w14:paraId="61E8B4BB" w14:textId="77777777" w:rsidR="00085789" w:rsidRDefault="00000000">
            <w:pPr>
              <w:widowControl w:val="0"/>
              <w:autoSpaceDE w:val="0"/>
              <w:autoSpaceDN w:val="0"/>
              <w:adjustRightInd w:val="0"/>
              <w:spacing w:line="240" w:lineRule="auto"/>
              <w:jc w:val="center"/>
              <w:rPr>
                <w:sz w:val="24"/>
                <w:szCs w:val="24"/>
              </w:rPr>
            </w:pPr>
            <w:r>
              <w:rPr>
                <w:sz w:val="24"/>
                <w:szCs w:val="24"/>
              </w:rPr>
              <w:t>3</w:t>
            </w:r>
          </w:p>
        </w:tc>
        <w:tc>
          <w:tcPr>
            <w:tcW w:w="1134" w:type="dxa"/>
          </w:tcPr>
          <w:p w14:paraId="376A4785" w14:textId="77777777" w:rsidR="00085789" w:rsidRDefault="00000000">
            <w:pPr>
              <w:widowControl w:val="0"/>
              <w:autoSpaceDE w:val="0"/>
              <w:autoSpaceDN w:val="0"/>
              <w:adjustRightInd w:val="0"/>
              <w:spacing w:line="240" w:lineRule="auto"/>
              <w:jc w:val="center"/>
              <w:rPr>
                <w:sz w:val="24"/>
                <w:szCs w:val="24"/>
              </w:rPr>
            </w:pPr>
            <w:r>
              <w:rPr>
                <w:sz w:val="24"/>
                <w:szCs w:val="24"/>
              </w:rPr>
              <w:t>2023</w:t>
            </w:r>
          </w:p>
        </w:tc>
        <w:tc>
          <w:tcPr>
            <w:tcW w:w="2126" w:type="dxa"/>
            <w:vAlign w:val="bottom"/>
          </w:tcPr>
          <w:p w14:paraId="03468E24"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46.820</w:t>
            </w:r>
          </w:p>
        </w:tc>
        <w:tc>
          <w:tcPr>
            <w:tcW w:w="3544" w:type="dxa"/>
            <w:vAlign w:val="bottom"/>
          </w:tcPr>
          <w:p w14:paraId="44C79FDE"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2.696</w:t>
            </w:r>
          </w:p>
        </w:tc>
        <w:tc>
          <w:tcPr>
            <w:tcW w:w="1412" w:type="dxa"/>
            <w:vAlign w:val="bottom"/>
          </w:tcPr>
          <w:p w14:paraId="394CE89C"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5,76</w:t>
            </w:r>
          </w:p>
        </w:tc>
      </w:tr>
      <w:tr w:rsidR="00085789" w14:paraId="7F07DAC5" w14:textId="77777777">
        <w:tc>
          <w:tcPr>
            <w:tcW w:w="846" w:type="dxa"/>
          </w:tcPr>
          <w:p w14:paraId="3281A4EE" w14:textId="77777777" w:rsidR="00085789" w:rsidRDefault="00000000">
            <w:pPr>
              <w:widowControl w:val="0"/>
              <w:autoSpaceDE w:val="0"/>
              <w:autoSpaceDN w:val="0"/>
              <w:adjustRightInd w:val="0"/>
              <w:spacing w:line="240" w:lineRule="auto"/>
              <w:jc w:val="center"/>
              <w:rPr>
                <w:sz w:val="24"/>
                <w:szCs w:val="24"/>
              </w:rPr>
            </w:pPr>
            <w:r>
              <w:rPr>
                <w:sz w:val="24"/>
                <w:szCs w:val="24"/>
              </w:rPr>
              <w:t>4</w:t>
            </w:r>
          </w:p>
        </w:tc>
        <w:tc>
          <w:tcPr>
            <w:tcW w:w="1134" w:type="dxa"/>
          </w:tcPr>
          <w:p w14:paraId="32A10ABD" w14:textId="77777777" w:rsidR="00085789" w:rsidRDefault="00000000">
            <w:pPr>
              <w:widowControl w:val="0"/>
              <w:autoSpaceDE w:val="0"/>
              <w:autoSpaceDN w:val="0"/>
              <w:adjustRightInd w:val="0"/>
              <w:spacing w:line="240" w:lineRule="auto"/>
              <w:jc w:val="center"/>
              <w:rPr>
                <w:sz w:val="24"/>
                <w:szCs w:val="24"/>
              </w:rPr>
            </w:pPr>
            <w:r>
              <w:rPr>
                <w:sz w:val="24"/>
                <w:szCs w:val="24"/>
              </w:rPr>
              <w:t>2024</w:t>
            </w:r>
          </w:p>
        </w:tc>
        <w:tc>
          <w:tcPr>
            <w:tcW w:w="2126" w:type="dxa"/>
            <w:vAlign w:val="bottom"/>
          </w:tcPr>
          <w:p w14:paraId="6725CB0D"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51.885</w:t>
            </w:r>
          </w:p>
        </w:tc>
        <w:tc>
          <w:tcPr>
            <w:tcW w:w="3544" w:type="dxa"/>
            <w:vAlign w:val="bottom"/>
          </w:tcPr>
          <w:p w14:paraId="2FEB9C1F"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1.036</w:t>
            </w:r>
          </w:p>
        </w:tc>
        <w:tc>
          <w:tcPr>
            <w:tcW w:w="1412" w:type="dxa"/>
            <w:vAlign w:val="bottom"/>
          </w:tcPr>
          <w:p w14:paraId="7CD12866"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2,00</w:t>
            </w:r>
          </w:p>
        </w:tc>
      </w:tr>
      <w:tr w:rsidR="00085789" w14:paraId="55346274" w14:textId="77777777">
        <w:tc>
          <w:tcPr>
            <w:tcW w:w="846" w:type="dxa"/>
          </w:tcPr>
          <w:p w14:paraId="6B60B25F" w14:textId="77777777" w:rsidR="00085789" w:rsidRDefault="00000000">
            <w:pPr>
              <w:widowControl w:val="0"/>
              <w:autoSpaceDE w:val="0"/>
              <w:autoSpaceDN w:val="0"/>
              <w:adjustRightInd w:val="0"/>
              <w:spacing w:line="240" w:lineRule="auto"/>
              <w:jc w:val="center"/>
              <w:rPr>
                <w:sz w:val="24"/>
                <w:szCs w:val="24"/>
              </w:rPr>
            </w:pPr>
            <w:r>
              <w:rPr>
                <w:sz w:val="24"/>
                <w:szCs w:val="24"/>
              </w:rPr>
              <w:t>5</w:t>
            </w:r>
          </w:p>
        </w:tc>
        <w:tc>
          <w:tcPr>
            <w:tcW w:w="1134" w:type="dxa"/>
          </w:tcPr>
          <w:p w14:paraId="77A7DB9F" w14:textId="77777777" w:rsidR="00085789" w:rsidRDefault="00000000">
            <w:pPr>
              <w:widowControl w:val="0"/>
              <w:autoSpaceDE w:val="0"/>
              <w:autoSpaceDN w:val="0"/>
              <w:adjustRightInd w:val="0"/>
              <w:spacing w:line="240" w:lineRule="auto"/>
              <w:jc w:val="center"/>
              <w:rPr>
                <w:sz w:val="24"/>
                <w:szCs w:val="24"/>
              </w:rPr>
            </w:pPr>
            <w:r>
              <w:rPr>
                <w:sz w:val="24"/>
                <w:szCs w:val="24"/>
              </w:rPr>
              <w:t>2025</w:t>
            </w:r>
          </w:p>
        </w:tc>
        <w:tc>
          <w:tcPr>
            <w:tcW w:w="2126" w:type="dxa"/>
            <w:vAlign w:val="bottom"/>
          </w:tcPr>
          <w:p w14:paraId="7DA15F5D"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28.906</w:t>
            </w:r>
          </w:p>
        </w:tc>
        <w:tc>
          <w:tcPr>
            <w:tcW w:w="3544" w:type="dxa"/>
            <w:vAlign w:val="bottom"/>
          </w:tcPr>
          <w:p w14:paraId="32D475B0"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488</w:t>
            </w:r>
          </w:p>
        </w:tc>
        <w:tc>
          <w:tcPr>
            <w:tcW w:w="1412" w:type="dxa"/>
            <w:vAlign w:val="bottom"/>
          </w:tcPr>
          <w:p w14:paraId="1BB3A101" w14:textId="77777777" w:rsidR="00085789" w:rsidRDefault="00000000">
            <w:pPr>
              <w:widowControl w:val="0"/>
              <w:autoSpaceDE w:val="0"/>
              <w:autoSpaceDN w:val="0"/>
              <w:adjustRightInd w:val="0"/>
              <w:spacing w:line="240" w:lineRule="auto"/>
              <w:jc w:val="center"/>
              <w:rPr>
                <w:rFonts w:asciiTheme="majorHAnsi" w:hAnsiTheme="majorHAnsi" w:cstheme="majorHAnsi"/>
                <w:sz w:val="24"/>
                <w:szCs w:val="24"/>
              </w:rPr>
            </w:pPr>
            <w:r>
              <w:rPr>
                <w:rFonts w:asciiTheme="majorHAnsi" w:hAnsiTheme="majorHAnsi" w:cstheme="majorHAnsi"/>
                <w:sz w:val="22"/>
                <w:szCs w:val="22"/>
              </w:rPr>
              <w:t>1,69</w:t>
            </w:r>
          </w:p>
        </w:tc>
      </w:tr>
    </w:tbl>
    <w:bookmarkEnd w:id="308"/>
    <w:p w14:paraId="55B1D3BB" w14:textId="77777777" w:rsidR="00085789" w:rsidRDefault="00000000">
      <w:pPr>
        <w:tabs>
          <w:tab w:val="left" w:pos="1574"/>
        </w:tabs>
        <w:spacing w:after="160" w:line="259" w:lineRule="auto"/>
        <w:contextualSpacing/>
        <w:jc w:val="right"/>
        <w:rPr>
          <w:rFonts w:ascii="Times New Roman Italic" w:hAnsi="Times New Roman Italic"/>
          <w:i/>
          <w:iCs/>
          <w:spacing w:val="-6"/>
          <w:sz w:val="24"/>
          <w:szCs w:val="24"/>
        </w:rPr>
      </w:pPr>
      <w:r>
        <w:rPr>
          <w:rFonts w:ascii="Times New Roman Italic" w:hAnsi="Times New Roman Italic"/>
          <w:i/>
          <w:iCs/>
          <w:spacing w:val="-6"/>
          <w:sz w:val="24"/>
          <w:szCs w:val="24"/>
        </w:rPr>
        <w:t>Ghi chú: Dấu “-“: không có số liệu. Năm 2025 (Thời gian thực hiện từ 01/01/2025 - 29/7/2025)</w:t>
      </w:r>
    </w:p>
    <w:p w14:paraId="221493BD" w14:textId="77777777" w:rsidR="00085789" w:rsidRDefault="00085789">
      <w:pPr>
        <w:widowControl w:val="0"/>
        <w:autoSpaceDE w:val="0"/>
        <w:autoSpaceDN w:val="0"/>
        <w:adjustRightInd w:val="0"/>
        <w:spacing w:before="120" w:line="240" w:lineRule="auto"/>
        <w:ind w:firstLine="709"/>
        <w:jc w:val="both"/>
        <w:rPr>
          <w:sz w:val="2"/>
          <w:szCs w:val="2"/>
        </w:rPr>
      </w:pPr>
    </w:p>
    <w:p w14:paraId="0A74753B"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Ngoài khí thải, tiếng ồn giao thông là một nguồn ô nhiễm đáng kể. Có 60 - 80 % các nguyên nhân do tiếng ồn từ phương tiện cơ giới, bao gồm: động cơ, ống xả, phanh, còi, rung động cơ học, đóng/mở cửa xe, do sự tiếp xúc giữa lốp xe và mặt đường,…. Tiếng ồn thường xuyên với cường độ cao có thể gây tổn hại đến cơ quan thính giác, đồng thời ảnh hưởng đến toàn bộ cơ thể, dẫn tới các triệu chứng như đau đầu, chóng mặt, rối loạn thần kinh, mất ngủ và giảm năng suất lao động.  </w:t>
      </w:r>
    </w:p>
    <w:p w14:paraId="30C21B6C"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Tuy nhiên, trong những năm gần đây, các dòng xe điện ngày càng trở nên phổ biến. Nhờ sử dụng động cơ điện, loại phương tiện này hầu như không phát thải khí thải trực tiếp ra môi trường trong quá trình vận hành, do đó góp phần giảm thiểu ô nhiễm không khí và hạn chế phát thải khí nhà kính. Bên cạnh đó, xe điện còn giúp giảm đáng kể tiếng ồn giao thông so với xe sử dụng động cơ đốt trong, mang lại lợi ích thiết thực cho sức khỏe cộng đồng và chất lượng môi trường đô thị.</w:t>
      </w:r>
    </w:p>
    <w:p w14:paraId="21A2C08C" w14:textId="77777777" w:rsidR="00085789" w:rsidRDefault="00000000">
      <w:pPr>
        <w:widowControl w:val="0"/>
        <w:autoSpaceDE w:val="0"/>
        <w:autoSpaceDN w:val="0"/>
        <w:adjustRightInd w:val="0"/>
        <w:spacing w:before="120" w:line="240" w:lineRule="auto"/>
        <w:ind w:firstLine="709"/>
        <w:jc w:val="both"/>
        <w:rPr>
          <w:b/>
          <w:bCs/>
          <w:sz w:val="26"/>
          <w:szCs w:val="26"/>
        </w:rPr>
      </w:pPr>
      <w:r>
        <w:rPr>
          <w:b/>
          <w:bCs/>
          <w:sz w:val="26"/>
          <w:szCs w:val="26"/>
        </w:rPr>
        <w:t>* Đối với CTR, nước thải</w:t>
      </w:r>
    </w:p>
    <w:p w14:paraId="7BC18B2E"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Việc phát triển mạng lưới đường bộ, mở rộng tuyến đường, xây dựng thêm các tuyến đường phát sinh CTR, nước thải. Do đặc thù của dự án là đường giao thông nên hầu hết các dự án xây dựng, cải tạo đường giao thông chỉ phát sinh chất thải trong giai đoạn dự án thi công xây dựng. Trong quá trình thi công, nước thải sinh hoạt của công nhân và nước mưa chảy tràn qua khu vực công trường nếu không được thu gom, xử lý và giám sát chặt chẽ có thể chảy trực tiếp ra hệ thống kênh mương xung quanh, gây ô nhiễm nguồn nước tiếp nhận. Bên cạnh đó, việc tập kết nguyên vật liệu, phế thải xây dựng không đúng nơi quy định có thể lấn chiếm lòng đường, gây cản trở giao thông, mất an toàn cho người dân và tiềm ẩn nguy cơ tai nạn. Do đó, công tác quản lý chất thải, thu gom, xử lý nước thải và bố trí mặt bằng thi công hợp lý là yêu cầu bắt buộc nhằm hạn chế tối đa tác động tiêu cực </w:t>
      </w:r>
      <w:r>
        <w:rPr>
          <w:sz w:val="26"/>
          <w:szCs w:val="26"/>
        </w:rPr>
        <w:lastRenderedPageBreak/>
        <w:t>đến môi trường và đời sống dân cư trong khu vực dự án.</w:t>
      </w:r>
    </w:p>
    <w:p w14:paraId="4B055920" w14:textId="77777777" w:rsidR="00085789" w:rsidRDefault="00000000">
      <w:pPr>
        <w:pStyle w:val="bac2"/>
        <w:spacing w:before="120" w:after="0" w:line="240" w:lineRule="auto"/>
      </w:pPr>
      <w:bookmarkStart w:id="309" w:name="_Toc214311220"/>
      <w:r>
        <w:t>2.6. Sức ép hoạt động nông - lâm nghiệp và thủy sản</w:t>
      </w:r>
      <w:bookmarkEnd w:id="309"/>
    </w:p>
    <w:p w14:paraId="2738EC61" w14:textId="77777777" w:rsidR="00085789" w:rsidRDefault="00000000">
      <w:pPr>
        <w:pStyle w:val="-bac3"/>
        <w:spacing w:before="120" w:after="0" w:line="240" w:lineRule="auto"/>
        <w:rPr>
          <w:lang w:val="da-DK"/>
        </w:rPr>
      </w:pPr>
      <w:bookmarkStart w:id="310" w:name="_Toc214311221"/>
      <w:r>
        <w:rPr>
          <w:lang w:val="da-DK"/>
        </w:rPr>
        <w:t>2.6.1. Hoạt động trồng trọt</w:t>
      </w:r>
      <w:bookmarkEnd w:id="310"/>
    </w:p>
    <w:p w14:paraId="4DD11137"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Trong trồng trọt, việc sử dụng thuốc BVTV và phân bón hóa học đang ảnh hưởng tới môi trường. Theo kết quả nghiên cứu của các nhà khoa học về hấp thụ phân bón trong hoạt động trồng trọt, cây trồng hấp thụ trung bình khoảng 40-50 % lượng phân bón, trong đó cây trồng hấp thụ phân đạm khoảng 30-45 %, phân lân 40-45 %, phân kali 40-50 %; 50-60 % lượng phân bón còn lại vẫn tồn lưu trong đất. Dư lượng phân hóa học làm ô nhiễm nguồn nước, gây phú dưỡng hoá, gây tác hại tới thủy sinh, nguồn lợi thủy sản và làm thoái hóa đất. Ngoài ra, việc không tuân thủ thời gian cách ly sau khi phun thuốc, thói quen rửa bình bơm và dụng cụ pha chế hóa chất không đúng nơi quy định gây ô nhiễm nước mặt, nước ngầm, ô nhiễm không khí và ảnh hưởng tiêu cực đến HST. Cùng với hóa chất BVTV tồn lưu, các loại thuốc và bao bì, đồ đựng hóa chất BVTV sử dụng trong nông nghiệp đang là nguy cơ đe dọa sức khỏe cộng đồng và gây ô nhiễm môi trường. Hiện nay các xã, phường đã thực hiện chương trình thu gom bao bì phân bón và thuốc BVTV như xây dựng bể thu gom ngay đồng ruộng, tuy nhiên vẫn còn tình trạng vỏ bao bì vứt bỏ trên đồng ruộng canh tác. Bên cạnh đó, việc thâm canh mùa vụ đã làm gia tăng phế phụ phẩm sau thu hoạch như rơm, rạ, trấu, cám, vỏ,.... </w:t>
      </w:r>
    </w:p>
    <w:p w14:paraId="688E4BDC" w14:textId="77777777" w:rsidR="00085789" w:rsidRDefault="00000000">
      <w:pPr>
        <w:widowControl w:val="0"/>
        <w:autoSpaceDE w:val="0"/>
        <w:autoSpaceDN w:val="0"/>
        <w:adjustRightInd w:val="0"/>
        <w:spacing w:before="120" w:line="240" w:lineRule="auto"/>
        <w:ind w:firstLine="709"/>
        <w:jc w:val="both"/>
        <w:rPr>
          <w:sz w:val="26"/>
          <w:szCs w:val="26"/>
        </w:rPr>
      </w:pPr>
      <w:r>
        <w:rPr>
          <w:sz w:val="26"/>
          <w:szCs w:val="26"/>
        </w:rPr>
        <w:t xml:space="preserve">Từ năm 2021-2025, khối lượng chất thải phát sinh từ hoạt động trồng trọt ước tính khoảng 4.375 tấn, trong đó khối lượng bao bì, vỏ chai thuốc bảo vệ thực vật đã thu gom khoảng 149.696 kg, khối lượng phụ </w:t>
      </w:r>
      <w:r>
        <w:rPr>
          <w:spacing w:val="-6"/>
          <w:sz w:val="26"/>
          <w:szCs w:val="26"/>
        </w:rPr>
        <w:t>phẩm nông nghiệp phát sinh trong từ hoạt động trồng trọt</w:t>
      </w:r>
      <w:r>
        <w:rPr>
          <w:sz w:val="26"/>
          <w:szCs w:val="26"/>
        </w:rPr>
        <w:t xml:space="preserve"> khoảng 4.226 tấn, chi tiết được thể hiện tại bảng 2.5:</w:t>
      </w:r>
    </w:p>
    <w:p w14:paraId="360131CE" w14:textId="77777777" w:rsidR="00085789" w:rsidRDefault="00000000">
      <w:pPr>
        <w:pStyle w:val="-bac4"/>
        <w:spacing w:after="0" w:line="240" w:lineRule="auto"/>
      </w:pPr>
      <w:bookmarkStart w:id="311" w:name="_Toc205915676"/>
      <w:bookmarkStart w:id="312" w:name="_Toc213597371"/>
      <w:bookmarkStart w:id="313" w:name="_Toc213600741"/>
      <w:r>
        <w:t>Bảng 2.5. Khối lượng chất thải phát sinh từ hoạt động trồng trọt từ năm 2021-2024, ước tính năm 2025</w:t>
      </w:r>
      <w:bookmarkEnd w:id="311"/>
      <w:bookmarkEnd w:id="312"/>
      <w:bookmarkEnd w:id="313"/>
    </w:p>
    <w:p w14:paraId="66E0817A" w14:textId="77777777" w:rsidR="00085789" w:rsidRDefault="00085789">
      <w:pPr>
        <w:pStyle w:val="-bac4"/>
        <w:spacing w:after="0" w:line="240" w:lineRule="auto"/>
        <w:rPr>
          <w:sz w:val="6"/>
          <w:szCs w:val="4"/>
        </w:rPr>
      </w:pPr>
    </w:p>
    <w:tbl>
      <w:tblPr>
        <w:tblStyle w:val="TableGrid"/>
        <w:tblW w:w="9570" w:type="dxa"/>
        <w:tblInd w:w="137" w:type="dxa"/>
        <w:tblLook w:val="04A0" w:firstRow="1" w:lastRow="0" w:firstColumn="1" w:lastColumn="0" w:noHBand="0" w:noVBand="1"/>
      </w:tblPr>
      <w:tblGrid>
        <w:gridCol w:w="560"/>
        <w:gridCol w:w="2842"/>
        <w:gridCol w:w="779"/>
        <w:gridCol w:w="1041"/>
        <w:gridCol w:w="1088"/>
        <w:gridCol w:w="1088"/>
        <w:gridCol w:w="1088"/>
        <w:gridCol w:w="1084"/>
      </w:tblGrid>
      <w:tr w:rsidR="00085789" w14:paraId="547F016A" w14:textId="77777777">
        <w:trPr>
          <w:tblHeader/>
        </w:trPr>
        <w:tc>
          <w:tcPr>
            <w:tcW w:w="560" w:type="dxa"/>
            <w:vAlign w:val="center"/>
          </w:tcPr>
          <w:p w14:paraId="4DD416C3" w14:textId="77777777" w:rsidR="00085789" w:rsidRDefault="00000000">
            <w:pPr>
              <w:widowControl w:val="0"/>
              <w:autoSpaceDE w:val="0"/>
              <w:autoSpaceDN w:val="0"/>
              <w:adjustRightInd w:val="0"/>
              <w:jc w:val="center"/>
              <w:rPr>
                <w:b/>
                <w:bCs/>
                <w:sz w:val="24"/>
                <w:szCs w:val="24"/>
              </w:rPr>
            </w:pPr>
            <w:r>
              <w:rPr>
                <w:b/>
                <w:bCs/>
                <w:sz w:val="24"/>
                <w:szCs w:val="24"/>
              </w:rPr>
              <w:t>TT</w:t>
            </w:r>
          </w:p>
        </w:tc>
        <w:tc>
          <w:tcPr>
            <w:tcW w:w="2842" w:type="dxa"/>
            <w:vAlign w:val="center"/>
          </w:tcPr>
          <w:p w14:paraId="5C7A10D4" w14:textId="77777777" w:rsidR="00085789" w:rsidRDefault="00000000">
            <w:pPr>
              <w:widowControl w:val="0"/>
              <w:autoSpaceDE w:val="0"/>
              <w:autoSpaceDN w:val="0"/>
              <w:adjustRightInd w:val="0"/>
              <w:jc w:val="center"/>
              <w:rPr>
                <w:b/>
                <w:bCs/>
                <w:sz w:val="24"/>
                <w:szCs w:val="24"/>
              </w:rPr>
            </w:pPr>
            <w:r>
              <w:rPr>
                <w:b/>
                <w:bCs/>
                <w:sz w:val="24"/>
                <w:szCs w:val="24"/>
              </w:rPr>
              <w:t>Thông tin</w:t>
            </w:r>
          </w:p>
        </w:tc>
        <w:tc>
          <w:tcPr>
            <w:tcW w:w="779" w:type="dxa"/>
            <w:vAlign w:val="center"/>
          </w:tcPr>
          <w:p w14:paraId="51E474A0" w14:textId="77777777" w:rsidR="00085789" w:rsidRDefault="00000000">
            <w:pPr>
              <w:widowControl w:val="0"/>
              <w:autoSpaceDE w:val="0"/>
              <w:autoSpaceDN w:val="0"/>
              <w:adjustRightInd w:val="0"/>
              <w:jc w:val="center"/>
              <w:rPr>
                <w:b/>
                <w:bCs/>
                <w:sz w:val="24"/>
                <w:szCs w:val="24"/>
              </w:rPr>
            </w:pPr>
            <w:r>
              <w:rPr>
                <w:b/>
                <w:bCs/>
                <w:sz w:val="24"/>
                <w:szCs w:val="24"/>
              </w:rPr>
              <w:t>ĐVT</w:t>
            </w:r>
          </w:p>
        </w:tc>
        <w:tc>
          <w:tcPr>
            <w:tcW w:w="1041" w:type="dxa"/>
            <w:vAlign w:val="center"/>
          </w:tcPr>
          <w:p w14:paraId="445AEF46" w14:textId="77777777" w:rsidR="00085789" w:rsidRDefault="00000000">
            <w:pPr>
              <w:widowControl w:val="0"/>
              <w:autoSpaceDE w:val="0"/>
              <w:autoSpaceDN w:val="0"/>
              <w:adjustRightInd w:val="0"/>
              <w:jc w:val="center"/>
              <w:rPr>
                <w:b/>
                <w:bCs/>
                <w:sz w:val="24"/>
                <w:szCs w:val="24"/>
              </w:rPr>
            </w:pPr>
            <w:r>
              <w:rPr>
                <w:b/>
                <w:bCs/>
                <w:sz w:val="24"/>
                <w:szCs w:val="24"/>
              </w:rPr>
              <w:t>Năm 2021</w:t>
            </w:r>
          </w:p>
        </w:tc>
        <w:tc>
          <w:tcPr>
            <w:tcW w:w="1088" w:type="dxa"/>
            <w:vAlign w:val="center"/>
          </w:tcPr>
          <w:p w14:paraId="6F9A1F67" w14:textId="77777777" w:rsidR="00085789" w:rsidRDefault="00000000">
            <w:pPr>
              <w:widowControl w:val="0"/>
              <w:autoSpaceDE w:val="0"/>
              <w:autoSpaceDN w:val="0"/>
              <w:adjustRightInd w:val="0"/>
              <w:jc w:val="center"/>
              <w:rPr>
                <w:b/>
                <w:bCs/>
                <w:sz w:val="24"/>
                <w:szCs w:val="24"/>
              </w:rPr>
            </w:pPr>
            <w:r>
              <w:rPr>
                <w:b/>
                <w:bCs/>
                <w:sz w:val="24"/>
                <w:szCs w:val="24"/>
              </w:rPr>
              <w:t>Năm 2022</w:t>
            </w:r>
          </w:p>
        </w:tc>
        <w:tc>
          <w:tcPr>
            <w:tcW w:w="1088" w:type="dxa"/>
            <w:vAlign w:val="center"/>
          </w:tcPr>
          <w:p w14:paraId="06B39D7F" w14:textId="77777777" w:rsidR="00085789" w:rsidRDefault="00000000">
            <w:pPr>
              <w:widowControl w:val="0"/>
              <w:autoSpaceDE w:val="0"/>
              <w:autoSpaceDN w:val="0"/>
              <w:adjustRightInd w:val="0"/>
              <w:jc w:val="center"/>
              <w:rPr>
                <w:b/>
                <w:bCs/>
                <w:sz w:val="24"/>
                <w:szCs w:val="24"/>
              </w:rPr>
            </w:pPr>
            <w:r>
              <w:rPr>
                <w:b/>
                <w:bCs/>
                <w:sz w:val="24"/>
                <w:szCs w:val="24"/>
              </w:rPr>
              <w:t>Năm 2023</w:t>
            </w:r>
          </w:p>
        </w:tc>
        <w:tc>
          <w:tcPr>
            <w:tcW w:w="1088" w:type="dxa"/>
            <w:vAlign w:val="center"/>
          </w:tcPr>
          <w:p w14:paraId="33ADB3FB" w14:textId="77777777" w:rsidR="00085789" w:rsidRDefault="00000000">
            <w:pPr>
              <w:widowControl w:val="0"/>
              <w:autoSpaceDE w:val="0"/>
              <w:autoSpaceDN w:val="0"/>
              <w:adjustRightInd w:val="0"/>
              <w:jc w:val="center"/>
              <w:rPr>
                <w:b/>
                <w:bCs/>
                <w:sz w:val="24"/>
                <w:szCs w:val="24"/>
              </w:rPr>
            </w:pPr>
            <w:r>
              <w:rPr>
                <w:b/>
                <w:bCs/>
                <w:sz w:val="24"/>
                <w:szCs w:val="24"/>
              </w:rPr>
              <w:t>Năm 2024</w:t>
            </w:r>
          </w:p>
        </w:tc>
        <w:tc>
          <w:tcPr>
            <w:tcW w:w="1084" w:type="dxa"/>
            <w:vAlign w:val="center"/>
          </w:tcPr>
          <w:p w14:paraId="29DE696B" w14:textId="77777777" w:rsidR="00085789" w:rsidRDefault="00000000">
            <w:pPr>
              <w:widowControl w:val="0"/>
              <w:autoSpaceDE w:val="0"/>
              <w:autoSpaceDN w:val="0"/>
              <w:adjustRightInd w:val="0"/>
              <w:jc w:val="center"/>
              <w:rPr>
                <w:b/>
                <w:bCs/>
                <w:sz w:val="24"/>
                <w:szCs w:val="24"/>
              </w:rPr>
            </w:pPr>
            <w:r>
              <w:rPr>
                <w:b/>
                <w:bCs/>
                <w:sz w:val="24"/>
                <w:szCs w:val="24"/>
              </w:rPr>
              <w:t>Năm 2025 (ước cả năm)</w:t>
            </w:r>
          </w:p>
        </w:tc>
      </w:tr>
      <w:tr w:rsidR="00085789" w14:paraId="4284B104" w14:textId="77777777">
        <w:trPr>
          <w:trHeight w:val="645"/>
        </w:trPr>
        <w:tc>
          <w:tcPr>
            <w:tcW w:w="560" w:type="dxa"/>
            <w:vAlign w:val="center"/>
          </w:tcPr>
          <w:p w14:paraId="27662DA7" w14:textId="77777777" w:rsidR="00085789" w:rsidRDefault="00000000">
            <w:pPr>
              <w:widowControl w:val="0"/>
              <w:autoSpaceDE w:val="0"/>
              <w:autoSpaceDN w:val="0"/>
              <w:adjustRightInd w:val="0"/>
              <w:jc w:val="center"/>
              <w:rPr>
                <w:sz w:val="24"/>
                <w:szCs w:val="24"/>
              </w:rPr>
            </w:pPr>
            <w:r>
              <w:rPr>
                <w:sz w:val="24"/>
                <w:szCs w:val="24"/>
              </w:rPr>
              <w:t>1</w:t>
            </w:r>
          </w:p>
        </w:tc>
        <w:tc>
          <w:tcPr>
            <w:tcW w:w="2842" w:type="dxa"/>
            <w:vAlign w:val="center"/>
          </w:tcPr>
          <w:p w14:paraId="15F239F6" w14:textId="77777777" w:rsidR="00085789" w:rsidRDefault="00000000">
            <w:pPr>
              <w:widowControl w:val="0"/>
              <w:autoSpaceDE w:val="0"/>
              <w:autoSpaceDN w:val="0"/>
              <w:adjustRightInd w:val="0"/>
              <w:jc w:val="both"/>
              <w:rPr>
                <w:sz w:val="24"/>
                <w:szCs w:val="24"/>
              </w:rPr>
            </w:pPr>
            <w:r>
              <w:rPr>
                <w:sz w:val="24"/>
                <w:szCs w:val="24"/>
              </w:rPr>
              <w:t>Khối lượng bao bì, vỏ chai thuốc BVTV đã thu gom</w:t>
            </w:r>
          </w:p>
        </w:tc>
        <w:tc>
          <w:tcPr>
            <w:tcW w:w="779" w:type="dxa"/>
            <w:vAlign w:val="center"/>
          </w:tcPr>
          <w:p w14:paraId="08A64120" w14:textId="77777777" w:rsidR="00085789" w:rsidRDefault="00000000">
            <w:pPr>
              <w:widowControl w:val="0"/>
              <w:autoSpaceDE w:val="0"/>
              <w:autoSpaceDN w:val="0"/>
              <w:adjustRightInd w:val="0"/>
              <w:jc w:val="center"/>
              <w:rPr>
                <w:sz w:val="24"/>
                <w:szCs w:val="24"/>
              </w:rPr>
            </w:pPr>
            <w:r>
              <w:rPr>
                <w:sz w:val="24"/>
                <w:szCs w:val="24"/>
              </w:rPr>
              <w:t>kg</w:t>
            </w:r>
          </w:p>
        </w:tc>
        <w:tc>
          <w:tcPr>
            <w:tcW w:w="1041" w:type="dxa"/>
            <w:vAlign w:val="center"/>
          </w:tcPr>
          <w:p w14:paraId="6D1D2949" w14:textId="77777777" w:rsidR="00085789" w:rsidRDefault="00000000">
            <w:pPr>
              <w:widowControl w:val="0"/>
              <w:autoSpaceDE w:val="0"/>
              <w:autoSpaceDN w:val="0"/>
              <w:adjustRightInd w:val="0"/>
              <w:jc w:val="center"/>
              <w:rPr>
                <w:sz w:val="24"/>
                <w:szCs w:val="24"/>
              </w:rPr>
            </w:pPr>
            <w:r>
              <w:rPr>
                <w:sz w:val="24"/>
                <w:szCs w:val="24"/>
              </w:rPr>
              <w:t>23.950</w:t>
            </w:r>
          </w:p>
        </w:tc>
        <w:tc>
          <w:tcPr>
            <w:tcW w:w="1088" w:type="dxa"/>
            <w:vAlign w:val="center"/>
          </w:tcPr>
          <w:p w14:paraId="12C5CC5C" w14:textId="77777777" w:rsidR="00085789" w:rsidRDefault="00000000">
            <w:pPr>
              <w:widowControl w:val="0"/>
              <w:autoSpaceDE w:val="0"/>
              <w:autoSpaceDN w:val="0"/>
              <w:adjustRightInd w:val="0"/>
              <w:jc w:val="center"/>
              <w:rPr>
                <w:sz w:val="24"/>
                <w:szCs w:val="24"/>
              </w:rPr>
            </w:pPr>
            <w:r>
              <w:rPr>
                <w:sz w:val="24"/>
                <w:szCs w:val="24"/>
              </w:rPr>
              <w:t>24.550</w:t>
            </w:r>
          </w:p>
        </w:tc>
        <w:tc>
          <w:tcPr>
            <w:tcW w:w="1088" w:type="dxa"/>
            <w:vAlign w:val="center"/>
          </w:tcPr>
          <w:p w14:paraId="493D9C32" w14:textId="77777777" w:rsidR="00085789" w:rsidRDefault="00000000">
            <w:pPr>
              <w:widowControl w:val="0"/>
              <w:autoSpaceDE w:val="0"/>
              <w:autoSpaceDN w:val="0"/>
              <w:adjustRightInd w:val="0"/>
              <w:jc w:val="center"/>
              <w:rPr>
                <w:sz w:val="24"/>
                <w:szCs w:val="24"/>
              </w:rPr>
            </w:pPr>
            <w:r>
              <w:rPr>
                <w:sz w:val="24"/>
                <w:szCs w:val="24"/>
              </w:rPr>
              <w:t>24.649</w:t>
            </w:r>
          </w:p>
        </w:tc>
        <w:tc>
          <w:tcPr>
            <w:tcW w:w="1088" w:type="dxa"/>
            <w:vAlign w:val="center"/>
          </w:tcPr>
          <w:p w14:paraId="5B9DFB89" w14:textId="77777777" w:rsidR="00085789" w:rsidRDefault="00000000">
            <w:pPr>
              <w:widowControl w:val="0"/>
              <w:autoSpaceDE w:val="0"/>
              <w:autoSpaceDN w:val="0"/>
              <w:adjustRightInd w:val="0"/>
              <w:jc w:val="center"/>
              <w:rPr>
                <w:sz w:val="24"/>
                <w:szCs w:val="24"/>
              </w:rPr>
            </w:pPr>
            <w:r>
              <w:rPr>
                <w:sz w:val="24"/>
                <w:szCs w:val="24"/>
              </w:rPr>
              <w:t>38.047</w:t>
            </w:r>
          </w:p>
        </w:tc>
        <w:tc>
          <w:tcPr>
            <w:tcW w:w="1084" w:type="dxa"/>
            <w:vAlign w:val="center"/>
          </w:tcPr>
          <w:p w14:paraId="56C79AA6" w14:textId="77777777" w:rsidR="00085789" w:rsidRDefault="00000000">
            <w:pPr>
              <w:widowControl w:val="0"/>
              <w:autoSpaceDE w:val="0"/>
              <w:autoSpaceDN w:val="0"/>
              <w:adjustRightInd w:val="0"/>
              <w:jc w:val="center"/>
              <w:rPr>
                <w:sz w:val="24"/>
                <w:szCs w:val="24"/>
              </w:rPr>
            </w:pPr>
            <w:r>
              <w:rPr>
                <w:sz w:val="24"/>
                <w:szCs w:val="24"/>
              </w:rPr>
              <w:t>38.500</w:t>
            </w:r>
          </w:p>
        </w:tc>
      </w:tr>
      <w:tr w:rsidR="00085789" w14:paraId="3E6BC5F4" w14:textId="77777777">
        <w:trPr>
          <w:trHeight w:val="990"/>
        </w:trPr>
        <w:tc>
          <w:tcPr>
            <w:tcW w:w="560" w:type="dxa"/>
            <w:vAlign w:val="center"/>
          </w:tcPr>
          <w:p w14:paraId="7787B0B4" w14:textId="77777777" w:rsidR="00085789" w:rsidRDefault="00000000">
            <w:pPr>
              <w:widowControl w:val="0"/>
              <w:autoSpaceDE w:val="0"/>
              <w:autoSpaceDN w:val="0"/>
              <w:adjustRightInd w:val="0"/>
              <w:jc w:val="center"/>
              <w:rPr>
                <w:sz w:val="24"/>
                <w:szCs w:val="24"/>
              </w:rPr>
            </w:pPr>
            <w:r>
              <w:rPr>
                <w:sz w:val="24"/>
                <w:szCs w:val="24"/>
              </w:rPr>
              <w:t>2</w:t>
            </w:r>
          </w:p>
        </w:tc>
        <w:tc>
          <w:tcPr>
            <w:tcW w:w="2842" w:type="dxa"/>
            <w:vAlign w:val="center"/>
          </w:tcPr>
          <w:p w14:paraId="2B92E9D2" w14:textId="77777777" w:rsidR="00085789" w:rsidRDefault="00000000">
            <w:pPr>
              <w:widowControl w:val="0"/>
              <w:autoSpaceDE w:val="0"/>
              <w:autoSpaceDN w:val="0"/>
              <w:adjustRightInd w:val="0"/>
              <w:jc w:val="both"/>
              <w:rPr>
                <w:sz w:val="24"/>
                <w:szCs w:val="24"/>
              </w:rPr>
            </w:pPr>
            <w:r>
              <w:rPr>
                <w:sz w:val="24"/>
                <w:szCs w:val="24"/>
              </w:rPr>
              <w:t xml:space="preserve">Khối lượng phụ </w:t>
            </w:r>
            <w:r>
              <w:rPr>
                <w:spacing w:val="-6"/>
                <w:sz w:val="24"/>
                <w:szCs w:val="24"/>
              </w:rPr>
              <w:t>phẩm nông nghiệp phát sinh trong từ hoạt động trồng trọt</w:t>
            </w:r>
          </w:p>
        </w:tc>
        <w:tc>
          <w:tcPr>
            <w:tcW w:w="779" w:type="dxa"/>
            <w:vAlign w:val="center"/>
          </w:tcPr>
          <w:p w14:paraId="3E20DDA7" w14:textId="77777777" w:rsidR="00085789" w:rsidRDefault="00000000">
            <w:pPr>
              <w:widowControl w:val="0"/>
              <w:autoSpaceDE w:val="0"/>
              <w:autoSpaceDN w:val="0"/>
              <w:adjustRightInd w:val="0"/>
              <w:jc w:val="center"/>
              <w:rPr>
                <w:sz w:val="24"/>
                <w:szCs w:val="24"/>
              </w:rPr>
            </w:pPr>
            <w:r>
              <w:rPr>
                <w:sz w:val="24"/>
                <w:szCs w:val="24"/>
              </w:rPr>
              <w:t>Tấn</w:t>
            </w:r>
          </w:p>
        </w:tc>
        <w:tc>
          <w:tcPr>
            <w:tcW w:w="1041" w:type="dxa"/>
            <w:vAlign w:val="center"/>
          </w:tcPr>
          <w:p w14:paraId="0DE42AA2" w14:textId="77777777" w:rsidR="00085789" w:rsidRDefault="00000000">
            <w:pPr>
              <w:widowControl w:val="0"/>
              <w:autoSpaceDE w:val="0"/>
              <w:autoSpaceDN w:val="0"/>
              <w:adjustRightInd w:val="0"/>
              <w:jc w:val="center"/>
              <w:rPr>
                <w:sz w:val="24"/>
                <w:szCs w:val="24"/>
              </w:rPr>
            </w:pPr>
            <w:r>
              <w:rPr>
                <w:sz w:val="24"/>
                <w:szCs w:val="24"/>
              </w:rPr>
              <w:t>851.528</w:t>
            </w:r>
          </w:p>
        </w:tc>
        <w:tc>
          <w:tcPr>
            <w:tcW w:w="1088" w:type="dxa"/>
            <w:vAlign w:val="center"/>
          </w:tcPr>
          <w:p w14:paraId="05444FF6" w14:textId="77777777" w:rsidR="00085789" w:rsidRDefault="00000000">
            <w:pPr>
              <w:widowControl w:val="0"/>
              <w:autoSpaceDE w:val="0"/>
              <w:autoSpaceDN w:val="0"/>
              <w:adjustRightInd w:val="0"/>
              <w:jc w:val="center"/>
              <w:rPr>
                <w:sz w:val="24"/>
                <w:szCs w:val="24"/>
              </w:rPr>
            </w:pPr>
            <w:r>
              <w:rPr>
                <w:sz w:val="24"/>
                <w:szCs w:val="24"/>
              </w:rPr>
              <w:t>828.396</w:t>
            </w:r>
          </w:p>
        </w:tc>
        <w:tc>
          <w:tcPr>
            <w:tcW w:w="1088" w:type="dxa"/>
            <w:vAlign w:val="center"/>
          </w:tcPr>
          <w:p w14:paraId="28BC524E" w14:textId="77777777" w:rsidR="00085789" w:rsidRDefault="00000000">
            <w:pPr>
              <w:widowControl w:val="0"/>
              <w:autoSpaceDE w:val="0"/>
              <w:autoSpaceDN w:val="0"/>
              <w:adjustRightInd w:val="0"/>
              <w:jc w:val="center"/>
              <w:rPr>
                <w:sz w:val="24"/>
                <w:szCs w:val="24"/>
              </w:rPr>
            </w:pPr>
            <w:r>
              <w:rPr>
                <w:sz w:val="24"/>
                <w:szCs w:val="24"/>
              </w:rPr>
              <w:t>844.646</w:t>
            </w:r>
          </w:p>
        </w:tc>
        <w:tc>
          <w:tcPr>
            <w:tcW w:w="1088" w:type="dxa"/>
            <w:vAlign w:val="center"/>
          </w:tcPr>
          <w:p w14:paraId="5BAE4E2E" w14:textId="77777777" w:rsidR="00085789" w:rsidRDefault="00000000">
            <w:pPr>
              <w:widowControl w:val="0"/>
              <w:autoSpaceDE w:val="0"/>
              <w:autoSpaceDN w:val="0"/>
              <w:adjustRightInd w:val="0"/>
              <w:jc w:val="center"/>
              <w:rPr>
                <w:sz w:val="24"/>
                <w:szCs w:val="24"/>
              </w:rPr>
            </w:pPr>
            <w:r>
              <w:rPr>
                <w:sz w:val="24"/>
                <w:szCs w:val="24"/>
              </w:rPr>
              <w:t>861.643</w:t>
            </w:r>
          </w:p>
        </w:tc>
        <w:tc>
          <w:tcPr>
            <w:tcW w:w="1084" w:type="dxa"/>
            <w:vAlign w:val="center"/>
          </w:tcPr>
          <w:p w14:paraId="48FA1E5E" w14:textId="77777777" w:rsidR="00085789" w:rsidRDefault="00000000">
            <w:pPr>
              <w:widowControl w:val="0"/>
              <w:autoSpaceDE w:val="0"/>
              <w:autoSpaceDN w:val="0"/>
              <w:adjustRightInd w:val="0"/>
              <w:jc w:val="center"/>
              <w:rPr>
                <w:sz w:val="24"/>
                <w:szCs w:val="24"/>
              </w:rPr>
            </w:pPr>
            <w:r>
              <w:rPr>
                <w:sz w:val="24"/>
                <w:szCs w:val="24"/>
              </w:rPr>
              <w:t>839.818</w:t>
            </w:r>
          </w:p>
        </w:tc>
      </w:tr>
      <w:tr w:rsidR="00085789" w14:paraId="3E2893C5" w14:textId="77777777">
        <w:tc>
          <w:tcPr>
            <w:tcW w:w="560" w:type="dxa"/>
            <w:vAlign w:val="center"/>
          </w:tcPr>
          <w:p w14:paraId="4795F842" w14:textId="77777777" w:rsidR="00085789" w:rsidRDefault="00000000">
            <w:pPr>
              <w:widowControl w:val="0"/>
              <w:autoSpaceDE w:val="0"/>
              <w:autoSpaceDN w:val="0"/>
              <w:adjustRightInd w:val="0"/>
              <w:jc w:val="center"/>
              <w:rPr>
                <w:sz w:val="24"/>
                <w:szCs w:val="24"/>
              </w:rPr>
            </w:pPr>
            <w:r>
              <w:rPr>
                <w:sz w:val="24"/>
                <w:szCs w:val="24"/>
              </w:rPr>
              <w:t>2.1</w:t>
            </w:r>
          </w:p>
        </w:tc>
        <w:tc>
          <w:tcPr>
            <w:tcW w:w="2842" w:type="dxa"/>
            <w:vAlign w:val="center"/>
          </w:tcPr>
          <w:p w14:paraId="5F61D4EA" w14:textId="77777777" w:rsidR="00085789" w:rsidRDefault="00000000">
            <w:pPr>
              <w:widowControl w:val="0"/>
              <w:autoSpaceDE w:val="0"/>
              <w:autoSpaceDN w:val="0"/>
              <w:adjustRightInd w:val="0"/>
              <w:rPr>
                <w:sz w:val="24"/>
                <w:szCs w:val="24"/>
              </w:rPr>
            </w:pPr>
            <w:r>
              <w:rPr>
                <w:sz w:val="24"/>
                <w:szCs w:val="24"/>
              </w:rPr>
              <w:t>Cây lúa</w:t>
            </w:r>
          </w:p>
        </w:tc>
        <w:tc>
          <w:tcPr>
            <w:tcW w:w="779" w:type="dxa"/>
            <w:vAlign w:val="center"/>
          </w:tcPr>
          <w:p w14:paraId="47320626" w14:textId="77777777" w:rsidR="00085789" w:rsidRDefault="00000000">
            <w:pPr>
              <w:widowControl w:val="0"/>
              <w:autoSpaceDE w:val="0"/>
              <w:autoSpaceDN w:val="0"/>
              <w:adjustRightInd w:val="0"/>
              <w:jc w:val="center"/>
              <w:rPr>
                <w:sz w:val="24"/>
                <w:szCs w:val="24"/>
              </w:rPr>
            </w:pPr>
            <w:r>
              <w:rPr>
                <w:sz w:val="24"/>
                <w:szCs w:val="24"/>
              </w:rPr>
              <w:t>Tấn</w:t>
            </w:r>
          </w:p>
        </w:tc>
        <w:tc>
          <w:tcPr>
            <w:tcW w:w="1041" w:type="dxa"/>
            <w:vAlign w:val="center"/>
          </w:tcPr>
          <w:p w14:paraId="6522C448" w14:textId="77777777" w:rsidR="00085789" w:rsidRDefault="00000000">
            <w:pPr>
              <w:widowControl w:val="0"/>
              <w:autoSpaceDE w:val="0"/>
              <w:autoSpaceDN w:val="0"/>
              <w:adjustRightInd w:val="0"/>
              <w:jc w:val="center"/>
              <w:rPr>
                <w:sz w:val="24"/>
                <w:szCs w:val="24"/>
              </w:rPr>
            </w:pPr>
            <w:r>
              <w:rPr>
                <w:sz w:val="24"/>
                <w:szCs w:val="24"/>
              </w:rPr>
              <w:t>580.522</w:t>
            </w:r>
          </w:p>
        </w:tc>
        <w:tc>
          <w:tcPr>
            <w:tcW w:w="1088" w:type="dxa"/>
            <w:vAlign w:val="center"/>
          </w:tcPr>
          <w:p w14:paraId="01D0EE41" w14:textId="77777777" w:rsidR="00085789" w:rsidRDefault="00000000">
            <w:pPr>
              <w:widowControl w:val="0"/>
              <w:autoSpaceDE w:val="0"/>
              <w:autoSpaceDN w:val="0"/>
              <w:adjustRightInd w:val="0"/>
              <w:jc w:val="center"/>
              <w:rPr>
                <w:sz w:val="24"/>
                <w:szCs w:val="24"/>
              </w:rPr>
            </w:pPr>
            <w:r>
              <w:rPr>
                <w:sz w:val="24"/>
                <w:szCs w:val="24"/>
              </w:rPr>
              <w:t>558.337</w:t>
            </w:r>
          </w:p>
        </w:tc>
        <w:tc>
          <w:tcPr>
            <w:tcW w:w="1088" w:type="dxa"/>
            <w:vAlign w:val="center"/>
          </w:tcPr>
          <w:p w14:paraId="4750DCE6" w14:textId="77777777" w:rsidR="00085789" w:rsidRDefault="00000000">
            <w:pPr>
              <w:widowControl w:val="0"/>
              <w:autoSpaceDE w:val="0"/>
              <w:autoSpaceDN w:val="0"/>
              <w:adjustRightInd w:val="0"/>
              <w:jc w:val="center"/>
              <w:rPr>
                <w:sz w:val="24"/>
                <w:szCs w:val="24"/>
              </w:rPr>
            </w:pPr>
            <w:r>
              <w:rPr>
                <w:sz w:val="24"/>
                <w:szCs w:val="24"/>
              </w:rPr>
              <w:t>578.618</w:t>
            </w:r>
          </w:p>
        </w:tc>
        <w:tc>
          <w:tcPr>
            <w:tcW w:w="1088" w:type="dxa"/>
            <w:vAlign w:val="center"/>
          </w:tcPr>
          <w:p w14:paraId="0437409F" w14:textId="77777777" w:rsidR="00085789" w:rsidRDefault="00000000">
            <w:pPr>
              <w:widowControl w:val="0"/>
              <w:autoSpaceDE w:val="0"/>
              <w:autoSpaceDN w:val="0"/>
              <w:adjustRightInd w:val="0"/>
              <w:jc w:val="center"/>
              <w:rPr>
                <w:sz w:val="24"/>
                <w:szCs w:val="24"/>
              </w:rPr>
            </w:pPr>
            <w:r>
              <w:rPr>
                <w:sz w:val="24"/>
                <w:szCs w:val="24"/>
              </w:rPr>
              <w:t>598.137</w:t>
            </w:r>
          </w:p>
        </w:tc>
        <w:tc>
          <w:tcPr>
            <w:tcW w:w="1084" w:type="dxa"/>
            <w:vAlign w:val="center"/>
          </w:tcPr>
          <w:p w14:paraId="56B6CECE" w14:textId="77777777" w:rsidR="00085789" w:rsidRDefault="00000000">
            <w:pPr>
              <w:widowControl w:val="0"/>
              <w:autoSpaceDE w:val="0"/>
              <w:autoSpaceDN w:val="0"/>
              <w:adjustRightInd w:val="0"/>
              <w:jc w:val="center"/>
              <w:rPr>
                <w:sz w:val="24"/>
                <w:szCs w:val="24"/>
              </w:rPr>
            </w:pPr>
            <w:r>
              <w:rPr>
                <w:sz w:val="24"/>
                <w:szCs w:val="24"/>
              </w:rPr>
              <w:t>586.265</w:t>
            </w:r>
          </w:p>
        </w:tc>
      </w:tr>
      <w:tr w:rsidR="00085789" w14:paraId="4B34078D" w14:textId="77777777">
        <w:tc>
          <w:tcPr>
            <w:tcW w:w="560" w:type="dxa"/>
            <w:vAlign w:val="center"/>
          </w:tcPr>
          <w:p w14:paraId="35B9CBBA" w14:textId="77777777" w:rsidR="00085789" w:rsidRDefault="00000000">
            <w:pPr>
              <w:widowControl w:val="0"/>
              <w:autoSpaceDE w:val="0"/>
              <w:autoSpaceDN w:val="0"/>
              <w:adjustRightInd w:val="0"/>
              <w:jc w:val="center"/>
              <w:rPr>
                <w:sz w:val="24"/>
                <w:szCs w:val="24"/>
              </w:rPr>
            </w:pPr>
            <w:r>
              <w:rPr>
                <w:sz w:val="24"/>
                <w:szCs w:val="24"/>
              </w:rPr>
              <w:t>2.2</w:t>
            </w:r>
          </w:p>
        </w:tc>
        <w:tc>
          <w:tcPr>
            <w:tcW w:w="2842" w:type="dxa"/>
            <w:vAlign w:val="center"/>
          </w:tcPr>
          <w:p w14:paraId="33C96C46" w14:textId="77777777" w:rsidR="00085789" w:rsidRDefault="00000000">
            <w:pPr>
              <w:widowControl w:val="0"/>
              <w:autoSpaceDE w:val="0"/>
              <w:autoSpaceDN w:val="0"/>
              <w:adjustRightInd w:val="0"/>
              <w:rPr>
                <w:sz w:val="24"/>
                <w:szCs w:val="24"/>
              </w:rPr>
            </w:pPr>
            <w:r>
              <w:rPr>
                <w:sz w:val="24"/>
                <w:szCs w:val="24"/>
              </w:rPr>
              <w:t>Cây ngô</w:t>
            </w:r>
          </w:p>
        </w:tc>
        <w:tc>
          <w:tcPr>
            <w:tcW w:w="779" w:type="dxa"/>
            <w:vAlign w:val="center"/>
          </w:tcPr>
          <w:p w14:paraId="514B7AC4" w14:textId="77777777" w:rsidR="00085789" w:rsidRDefault="00000000">
            <w:pPr>
              <w:widowControl w:val="0"/>
              <w:autoSpaceDE w:val="0"/>
              <w:autoSpaceDN w:val="0"/>
              <w:adjustRightInd w:val="0"/>
              <w:jc w:val="center"/>
              <w:rPr>
                <w:sz w:val="24"/>
                <w:szCs w:val="24"/>
              </w:rPr>
            </w:pPr>
            <w:r>
              <w:rPr>
                <w:sz w:val="24"/>
                <w:szCs w:val="24"/>
              </w:rPr>
              <w:t>Tấn</w:t>
            </w:r>
          </w:p>
        </w:tc>
        <w:tc>
          <w:tcPr>
            <w:tcW w:w="1041" w:type="dxa"/>
            <w:vAlign w:val="center"/>
          </w:tcPr>
          <w:p w14:paraId="57B19A07" w14:textId="77777777" w:rsidR="00085789" w:rsidRDefault="00000000">
            <w:pPr>
              <w:widowControl w:val="0"/>
              <w:autoSpaceDE w:val="0"/>
              <w:autoSpaceDN w:val="0"/>
              <w:adjustRightInd w:val="0"/>
              <w:jc w:val="center"/>
              <w:rPr>
                <w:sz w:val="24"/>
                <w:szCs w:val="24"/>
              </w:rPr>
            </w:pPr>
            <w:r>
              <w:rPr>
                <w:sz w:val="24"/>
                <w:szCs w:val="24"/>
              </w:rPr>
              <w:t>63.393</w:t>
            </w:r>
          </w:p>
        </w:tc>
        <w:tc>
          <w:tcPr>
            <w:tcW w:w="1088" w:type="dxa"/>
            <w:vAlign w:val="center"/>
          </w:tcPr>
          <w:p w14:paraId="536EDCCD" w14:textId="77777777" w:rsidR="00085789" w:rsidRDefault="00000000">
            <w:pPr>
              <w:widowControl w:val="0"/>
              <w:autoSpaceDE w:val="0"/>
              <w:autoSpaceDN w:val="0"/>
              <w:adjustRightInd w:val="0"/>
              <w:jc w:val="center"/>
              <w:rPr>
                <w:sz w:val="24"/>
                <w:szCs w:val="24"/>
              </w:rPr>
            </w:pPr>
            <w:r>
              <w:rPr>
                <w:sz w:val="24"/>
                <w:szCs w:val="24"/>
              </w:rPr>
              <w:t>70.775</w:t>
            </w:r>
          </w:p>
        </w:tc>
        <w:tc>
          <w:tcPr>
            <w:tcW w:w="1088" w:type="dxa"/>
            <w:vAlign w:val="center"/>
          </w:tcPr>
          <w:p w14:paraId="5F1991A4" w14:textId="77777777" w:rsidR="00085789" w:rsidRDefault="00000000">
            <w:pPr>
              <w:widowControl w:val="0"/>
              <w:autoSpaceDE w:val="0"/>
              <w:autoSpaceDN w:val="0"/>
              <w:adjustRightInd w:val="0"/>
              <w:jc w:val="center"/>
              <w:rPr>
                <w:sz w:val="24"/>
                <w:szCs w:val="24"/>
              </w:rPr>
            </w:pPr>
            <w:r>
              <w:rPr>
                <w:sz w:val="24"/>
                <w:szCs w:val="24"/>
              </w:rPr>
              <w:t>80.963</w:t>
            </w:r>
          </w:p>
        </w:tc>
        <w:tc>
          <w:tcPr>
            <w:tcW w:w="1088" w:type="dxa"/>
            <w:vAlign w:val="center"/>
          </w:tcPr>
          <w:p w14:paraId="72F5335E" w14:textId="77777777" w:rsidR="00085789" w:rsidRDefault="00000000">
            <w:pPr>
              <w:widowControl w:val="0"/>
              <w:autoSpaceDE w:val="0"/>
              <w:autoSpaceDN w:val="0"/>
              <w:adjustRightInd w:val="0"/>
              <w:jc w:val="center"/>
              <w:rPr>
                <w:sz w:val="24"/>
                <w:szCs w:val="24"/>
              </w:rPr>
            </w:pPr>
            <w:r>
              <w:rPr>
                <w:sz w:val="24"/>
                <w:szCs w:val="24"/>
              </w:rPr>
              <w:t>87.170</w:t>
            </w:r>
          </w:p>
        </w:tc>
        <w:tc>
          <w:tcPr>
            <w:tcW w:w="1084" w:type="dxa"/>
            <w:vAlign w:val="center"/>
          </w:tcPr>
          <w:p w14:paraId="43C0817A" w14:textId="77777777" w:rsidR="00085789" w:rsidRDefault="00000000">
            <w:pPr>
              <w:widowControl w:val="0"/>
              <w:autoSpaceDE w:val="0"/>
              <w:autoSpaceDN w:val="0"/>
              <w:adjustRightInd w:val="0"/>
              <w:jc w:val="center"/>
              <w:rPr>
                <w:sz w:val="24"/>
                <w:szCs w:val="24"/>
              </w:rPr>
            </w:pPr>
            <w:r>
              <w:rPr>
                <w:sz w:val="24"/>
                <w:szCs w:val="24"/>
              </w:rPr>
              <w:t>85.653</w:t>
            </w:r>
          </w:p>
        </w:tc>
      </w:tr>
      <w:tr w:rsidR="00085789" w14:paraId="6CAEB8F0" w14:textId="77777777">
        <w:tc>
          <w:tcPr>
            <w:tcW w:w="560" w:type="dxa"/>
            <w:vAlign w:val="center"/>
          </w:tcPr>
          <w:p w14:paraId="26128B15" w14:textId="77777777" w:rsidR="00085789" w:rsidRDefault="00000000">
            <w:pPr>
              <w:widowControl w:val="0"/>
              <w:autoSpaceDE w:val="0"/>
              <w:autoSpaceDN w:val="0"/>
              <w:adjustRightInd w:val="0"/>
              <w:jc w:val="center"/>
              <w:rPr>
                <w:sz w:val="24"/>
                <w:szCs w:val="24"/>
              </w:rPr>
            </w:pPr>
            <w:r>
              <w:rPr>
                <w:sz w:val="24"/>
                <w:szCs w:val="24"/>
              </w:rPr>
              <w:t>2.3</w:t>
            </w:r>
          </w:p>
        </w:tc>
        <w:tc>
          <w:tcPr>
            <w:tcW w:w="2842" w:type="dxa"/>
            <w:vAlign w:val="center"/>
          </w:tcPr>
          <w:p w14:paraId="306E7CD2" w14:textId="77777777" w:rsidR="00085789" w:rsidRDefault="00000000">
            <w:pPr>
              <w:widowControl w:val="0"/>
              <w:autoSpaceDE w:val="0"/>
              <w:autoSpaceDN w:val="0"/>
              <w:adjustRightInd w:val="0"/>
              <w:rPr>
                <w:sz w:val="24"/>
                <w:szCs w:val="24"/>
              </w:rPr>
            </w:pPr>
            <w:r>
              <w:rPr>
                <w:sz w:val="24"/>
                <w:szCs w:val="24"/>
              </w:rPr>
              <w:t>Cây lạc</w:t>
            </w:r>
          </w:p>
        </w:tc>
        <w:tc>
          <w:tcPr>
            <w:tcW w:w="779" w:type="dxa"/>
            <w:vAlign w:val="center"/>
          </w:tcPr>
          <w:p w14:paraId="19B7561D" w14:textId="77777777" w:rsidR="00085789" w:rsidRDefault="00000000">
            <w:pPr>
              <w:widowControl w:val="0"/>
              <w:autoSpaceDE w:val="0"/>
              <w:autoSpaceDN w:val="0"/>
              <w:adjustRightInd w:val="0"/>
              <w:jc w:val="center"/>
              <w:rPr>
                <w:sz w:val="24"/>
                <w:szCs w:val="24"/>
              </w:rPr>
            </w:pPr>
            <w:r>
              <w:rPr>
                <w:sz w:val="24"/>
                <w:szCs w:val="24"/>
              </w:rPr>
              <w:t>Tấn</w:t>
            </w:r>
          </w:p>
        </w:tc>
        <w:tc>
          <w:tcPr>
            <w:tcW w:w="1041" w:type="dxa"/>
            <w:vAlign w:val="center"/>
          </w:tcPr>
          <w:p w14:paraId="296F5780" w14:textId="77777777" w:rsidR="00085789" w:rsidRDefault="00000000">
            <w:pPr>
              <w:widowControl w:val="0"/>
              <w:autoSpaceDE w:val="0"/>
              <w:autoSpaceDN w:val="0"/>
              <w:adjustRightInd w:val="0"/>
              <w:jc w:val="center"/>
              <w:rPr>
                <w:sz w:val="24"/>
                <w:szCs w:val="24"/>
              </w:rPr>
            </w:pPr>
            <w:r>
              <w:rPr>
                <w:sz w:val="24"/>
                <w:szCs w:val="24"/>
              </w:rPr>
              <w:t>114.147</w:t>
            </w:r>
          </w:p>
        </w:tc>
        <w:tc>
          <w:tcPr>
            <w:tcW w:w="1088" w:type="dxa"/>
            <w:vAlign w:val="center"/>
          </w:tcPr>
          <w:p w14:paraId="2F7C8F7C" w14:textId="77777777" w:rsidR="00085789" w:rsidRDefault="00000000">
            <w:pPr>
              <w:widowControl w:val="0"/>
              <w:autoSpaceDE w:val="0"/>
              <w:autoSpaceDN w:val="0"/>
              <w:adjustRightInd w:val="0"/>
              <w:jc w:val="center"/>
              <w:rPr>
                <w:sz w:val="24"/>
                <w:szCs w:val="24"/>
              </w:rPr>
            </w:pPr>
            <w:r>
              <w:rPr>
                <w:sz w:val="24"/>
                <w:szCs w:val="24"/>
              </w:rPr>
              <w:t>101.134</w:t>
            </w:r>
          </w:p>
        </w:tc>
        <w:tc>
          <w:tcPr>
            <w:tcW w:w="1088" w:type="dxa"/>
            <w:vAlign w:val="center"/>
          </w:tcPr>
          <w:p w14:paraId="5899548C" w14:textId="77777777" w:rsidR="00085789" w:rsidRDefault="00000000">
            <w:pPr>
              <w:widowControl w:val="0"/>
              <w:autoSpaceDE w:val="0"/>
              <w:autoSpaceDN w:val="0"/>
              <w:adjustRightInd w:val="0"/>
              <w:jc w:val="center"/>
              <w:rPr>
                <w:sz w:val="24"/>
                <w:szCs w:val="24"/>
              </w:rPr>
            </w:pPr>
            <w:r>
              <w:rPr>
                <w:sz w:val="24"/>
                <w:szCs w:val="24"/>
              </w:rPr>
              <w:t>87.170</w:t>
            </w:r>
          </w:p>
        </w:tc>
        <w:tc>
          <w:tcPr>
            <w:tcW w:w="1088" w:type="dxa"/>
            <w:vAlign w:val="center"/>
          </w:tcPr>
          <w:p w14:paraId="0D4D6A29" w14:textId="77777777" w:rsidR="00085789" w:rsidRDefault="00000000">
            <w:pPr>
              <w:widowControl w:val="0"/>
              <w:autoSpaceDE w:val="0"/>
              <w:autoSpaceDN w:val="0"/>
              <w:adjustRightInd w:val="0"/>
              <w:jc w:val="center"/>
              <w:rPr>
                <w:sz w:val="24"/>
                <w:szCs w:val="24"/>
              </w:rPr>
            </w:pPr>
            <w:r>
              <w:rPr>
                <w:sz w:val="24"/>
                <w:szCs w:val="24"/>
              </w:rPr>
              <w:t>76.791</w:t>
            </w:r>
          </w:p>
        </w:tc>
        <w:tc>
          <w:tcPr>
            <w:tcW w:w="1084" w:type="dxa"/>
            <w:vAlign w:val="center"/>
          </w:tcPr>
          <w:p w14:paraId="6DEE5E90" w14:textId="77777777" w:rsidR="00085789" w:rsidRDefault="00000000">
            <w:pPr>
              <w:widowControl w:val="0"/>
              <w:autoSpaceDE w:val="0"/>
              <w:autoSpaceDN w:val="0"/>
              <w:adjustRightInd w:val="0"/>
              <w:jc w:val="center"/>
              <w:rPr>
                <w:sz w:val="24"/>
                <w:szCs w:val="24"/>
              </w:rPr>
            </w:pPr>
            <w:r>
              <w:rPr>
                <w:sz w:val="24"/>
                <w:szCs w:val="24"/>
              </w:rPr>
              <w:t>74.784</w:t>
            </w:r>
          </w:p>
        </w:tc>
      </w:tr>
      <w:tr w:rsidR="00085789" w14:paraId="5A3C5108" w14:textId="77777777">
        <w:tc>
          <w:tcPr>
            <w:tcW w:w="560" w:type="dxa"/>
            <w:vAlign w:val="center"/>
          </w:tcPr>
          <w:p w14:paraId="05F9CE7F" w14:textId="77777777" w:rsidR="00085789" w:rsidRDefault="00000000">
            <w:pPr>
              <w:widowControl w:val="0"/>
              <w:autoSpaceDE w:val="0"/>
              <w:autoSpaceDN w:val="0"/>
              <w:adjustRightInd w:val="0"/>
              <w:jc w:val="center"/>
              <w:rPr>
                <w:sz w:val="24"/>
                <w:szCs w:val="24"/>
              </w:rPr>
            </w:pPr>
            <w:r>
              <w:rPr>
                <w:sz w:val="24"/>
                <w:szCs w:val="24"/>
              </w:rPr>
              <w:t>2.4</w:t>
            </w:r>
          </w:p>
        </w:tc>
        <w:tc>
          <w:tcPr>
            <w:tcW w:w="2842" w:type="dxa"/>
            <w:vAlign w:val="center"/>
          </w:tcPr>
          <w:p w14:paraId="5B7382A0" w14:textId="77777777" w:rsidR="00085789" w:rsidRDefault="00000000">
            <w:pPr>
              <w:widowControl w:val="0"/>
              <w:autoSpaceDE w:val="0"/>
              <w:autoSpaceDN w:val="0"/>
              <w:adjustRightInd w:val="0"/>
              <w:rPr>
                <w:sz w:val="24"/>
                <w:szCs w:val="24"/>
              </w:rPr>
            </w:pPr>
            <w:r>
              <w:rPr>
                <w:sz w:val="24"/>
                <w:szCs w:val="24"/>
              </w:rPr>
              <w:t>Cây sắn</w:t>
            </w:r>
          </w:p>
        </w:tc>
        <w:tc>
          <w:tcPr>
            <w:tcW w:w="779" w:type="dxa"/>
            <w:vAlign w:val="center"/>
          </w:tcPr>
          <w:p w14:paraId="79671F92" w14:textId="77777777" w:rsidR="00085789" w:rsidRDefault="00000000">
            <w:pPr>
              <w:widowControl w:val="0"/>
              <w:autoSpaceDE w:val="0"/>
              <w:autoSpaceDN w:val="0"/>
              <w:adjustRightInd w:val="0"/>
              <w:jc w:val="center"/>
              <w:rPr>
                <w:sz w:val="24"/>
                <w:szCs w:val="24"/>
              </w:rPr>
            </w:pPr>
            <w:r>
              <w:rPr>
                <w:sz w:val="24"/>
                <w:szCs w:val="24"/>
              </w:rPr>
              <w:t>Tấn</w:t>
            </w:r>
          </w:p>
        </w:tc>
        <w:tc>
          <w:tcPr>
            <w:tcW w:w="1041" w:type="dxa"/>
            <w:vAlign w:val="center"/>
          </w:tcPr>
          <w:p w14:paraId="04331004" w14:textId="77777777" w:rsidR="00085789" w:rsidRDefault="00000000">
            <w:pPr>
              <w:widowControl w:val="0"/>
              <w:autoSpaceDE w:val="0"/>
              <w:autoSpaceDN w:val="0"/>
              <w:adjustRightInd w:val="0"/>
              <w:jc w:val="center"/>
              <w:rPr>
                <w:sz w:val="24"/>
                <w:szCs w:val="24"/>
              </w:rPr>
            </w:pPr>
            <w:r>
              <w:rPr>
                <w:sz w:val="24"/>
                <w:szCs w:val="24"/>
              </w:rPr>
              <w:t>17.150</w:t>
            </w:r>
          </w:p>
        </w:tc>
        <w:tc>
          <w:tcPr>
            <w:tcW w:w="1088" w:type="dxa"/>
            <w:vAlign w:val="center"/>
          </w:tcPr>
          <w:p w14:paraId="35FA1330" w14:textId="77777777" w:rsidR="00085789" w:rsidRDefault="00000000">
            <w:pPr>
              <w:widowControl w:val="0"/>
              <w:autoSpaceDE w:val="0"/>
              <w:autoSpaceDN w:val="0"/>
              <w:adjustRightInd w:val="0"/>
              <w:jc w:val="center"/>
              <w:rPr>
                <w:sz w:val="24"/>
                <w:szCs w:val="24"/>
              </w:rPr>
            </w:pPr>
            <w:r>
              <w:rPr>
                <w:sz w:val="24"/>
                <w:szCs w:val="24"/>
              </w:rPr>
              <w:t>18.375</w:t>
            </w:r>
          </w:p>
        </w:tc>
        <w:tc>
          <w:tcPr>
            <w:tcW w:w="1088" w:type="dxa"/>
            <w:vAlign w:val="center"/>
          </w:tcPr>
          <w:p w14:paraId="55BEF8F2" w14:textId="77777777" w:rsidR="00085789" w:rsidRDefault="00000000">
            <w:pPr>
              <w:widowControl w:val="0"/>
              <w:autoSpaceDE w:val="0"/>
              <w:autoSpaceDN w:val="0"/>
              <w:adjustRightInd w:val="0"/>
              <w:jc w:val="center"/>
              <w:rPr>
                <w:sz w:val="24"/>
                <w:szCs w:val="24"/>
              </w:rPr>
            </w:pPr>
            <w:r>
              <w:rPr>
                <w:sz w:val="24"/>
                <w:szCs w:val="24"/>
              </w:rPr>
              <w:t>17.682</w:t>
            </w:r>
          </w:p>
        </w:tc>
        <w:tc>
          <w:tcPr>
            <w:tcW w:w="1088" w:type="dxa"/>
            <w:vAlign w:val="center"/>
          </w:tcPr>
          <w:p w14:paraId="1A6133F5" w14:textId="77777777" w:rsidR="00085789" w:rsidRDefault="00000000">
            <w:pPr>
              <w:widowControl w:val="0"/>
              <w:autoSpaceDE w:val="0"/>
              <w:autoSpaceDN w:val="0"/>
              <w:adjustRightInd w:val="0"/>
              <w:jc w:val="center"/>
              <w:rPr>
                <w:sz w:val="24"/>
                <w:szCs w:val="24"/>
              </w:rPr>
            </w:pPr>
            <w:r>
              <w:rPr>
                <w:sz w:val="24"/>
                <w:szCs w:val="24"/>
              </w:rPr>
              <w:t>17.374</w:t>
            </w:r>
          </w:p>
        </w:tc>
        <w:tc>
          <w:tcPr>
            <w:tcW w:w="1084" w:type="dxa"/>
            <w:vAlign w:val="center"/>
          </w:tcPr>
          <w:p w14:paraId="1E1301E4" w14:textId="77777777" w:rsidR="00085789" w:rsidRDefault="00000000">
            <w:pPr>
              <w:widowControl w:val="0"/>
              <w:autoSpaceDE w:val="0"/>
              <w:autoSpaceDN w:val="0"/>
              <w:adjustRightInd w:val="0"/>
              <w:jc w:val="center"/>
              <w:rPr>
                <w:sz w:val="24"/>
                <w:szCs w:val="24"/>
              </w:rPr>
            </w:pPr>
            <w:r>
              <w:rPr>
                <w:sz w:val="24"/>
                <w:szCs w:val="24"/>
              </w:rPr>
              <w:t>17.550</w:t>
            </w:r>
          </w:p>
        </w:tc>
      </w:tr>
      <w:tr w:rsidR="00085789" w14:paraId="0B361327" w14:textId="77777777">
        <w:tc>
          <w:tcPr>
            <w:tcW w:w="560" w:type="dxa"/>
            <w:vAlign w:val="center"/>
          </w:tcPr>
          <w:p w14:paraId="56FD8B81" w14:textId="77777777" w:rsidR="00085789" w:rsidRDefault="00000000">
            <w:pPr>
              <w:widowControl w:val="0"/>
              <w:autoSpaceDE w:val="0"/>
              <w:autoSpaceDN w:val="0"/>
              <w:adjustRightInd w:val="0"/>
              <w:jc w:val="center"/>
              <w:rPr>
                <w:sz w:val="24"/>
                <w:szCs w:val="24"/>
              </w:rPr>
            </w:pPr>
            <w:r>
              <w:rPr>
                <w:sz w:val="24"/>
                <w:szCs w:val="24"/>
              </w:rPr>
              <w:t>2.5</w:t>
            </w:r>
          </w:p>
        </w:tc>
        <w:tc>
          <w:tcPr>
            <w:tcW w:w="2842" w:type="dxa"/>
            <w:vAlign w:val="center"/>
          </w:tcPr>
          <w:p w14:paraId="57DDA768" w14:textId="77777777" w:rsidR="00085789" w:rsidRDefault="00000000">
            <w:pPr>
              <w:widowControl w:val="0"/>
              <w:autoSpaceDE w:val="0"/>
              <w:autoSpaceDN w:val="0"/>
              <w:adjustRightInd w:val="0"/>
              <w:rPr>
                <w:sz w:val="24"/>
                <w:szCs w:val="24"/>
              </w:rPr>
            </w:pPr>
            <w:r>
              <w:rPr>
                <w:sz w:val="24"/>
                <w:szCs w:val="24"/>
              </w:rPr>
              <w:t>Rau màu</w:t>
            </w:r>
          </w:p>
        </w:tc>
        <w:tc>
          <w:tcPr>
            <w:tcW w:w="779" w:type="dxa"/>
            <w:vAlign w:val="center"/>
          </w:tcPr>
          <w:p w14:paraId="6D6C2EEC" w14:textId="77777777" w:rsidR="00085789" w:rsidRDefault="00000000">
            <w:pPr>
              <w:widowControl w:val="0"/>
              <w:autoSpaceDE w:val="0"/>
              <w:autoSpaceDN w:val="0"/>
              <w:adjustRightInd w:val="0"/>
              <w:jc w:val="center"/>
              <w:rPr>
                <w:sz w:val="24"/>
                <w:szCs w:val="24"/>
              </w:rPr>
            </w:pPr>
            <w:r>
              <w:rPr>
                <w:sz w:val="24"/>
                <w:szCs w:val="24"/>
              </w:rPr>
              <w:t>Tấn</w:t>
            </w:r>
          </w:p>
        </w:tc>
        <w:tc>
          <w:tcPr>
            <w:tcW w:w="1041" w:type="dxa"/>
            <w:vAlign w:val="center"/>
          </w:tcPr>
          <w:p w14:paraId="6A511462" w14:textId="77777777" w:rsidR="00085789" w:rsidRDefault="00000000">
            <w:pPr>
              <w:widowControl w:val="0"/>
              <w:autoSpaceDE w:val="0"/>
              <w:autoSpaceDN w:val="0"/>
              <w:adjustRightInd w:val="0"/>
              <w:jc w:val="center"/>
              <w:rPr>
                <w:sz w:val="24"/>
                <w:szCs w:val="24"/>
              </w:rPr>
            </w:pPr>
            <w:r>
              <w:rPr>
                <w:sz w:val="24"/>
                <w:szCs w:val="24"/>
              </w:rPr>
              <w:t>76.316</w:t>
            </w:r>
          </w:p>
        </w:tc>
        <w:tc>
          <w:tcPr>
            <w:tcW w:w="1088" w:type="dxa"/>
            <w:vAlign w:val="center"/>
          </w:tcPr>
          <w:p w14:paraId="4387EF29" w14:textId="77777777" w:rsidR="00085789" w:rsidRDefault="00000000">
            <w:pPr>
              <w:widowControl w:val="0"/>
              <w:autoSpaceDE w:val="0"/>
              <w:autoSpaceDN w:val="0"/>
              <w:adjustRightInd w:val="0"/>
              <w:jc w:val="center"/>
              <w:rPr>
                <w:sz w:val="24"/>
                <w:szCs w:val="24"/>
              </w:rPr>
            </w:pPr>
            <w:r>
              <w:rPr>
                <w:sz w:val="24"/>
                <w:szCs w:val="24"/>
              </w:rPr>
              <w:t>79.775</w:t>
            </w:r>
          </w:p>
        </w:tc>
        <w:tc>
          <w:tcPr>
            <w:tcW w:w="1088" w:type="dxa"/>
            <w:vAlign w:val="center"/>
          </w:tcPr>
          <w:p w14:paraId="50EEBF86" w14:textId="77777777" w:rsidR="00085789" w:rsidRDefault="00000000">
            <w:pPr>
              <w:widowControl w:val="0"/>
              <w:autoSpaceDE w:val="0"/>
              <w:autoSpaceDN w:val="0"/>
              <w:adjustRightInd w:val="0"/>
              <w:jc w:val="center"/>
              <w:rPr>
                <w:sz w:val="24"/>
                <w:szCs w:val="24"/>
              </w:rPr>
            </w:pPr>
            <w:r>
              <w:rPr>
                <w:sz w:val="24"/>
                <w:szCs w:val="24"/>
              </w:rPr>
              <w:t>80.318</w:t>
            </w:r>
          </w:p>
        </w:tc>
        <w:tc>
          <w:tcPr>
            <w:tcW w:w="1088" w:type="dxa"/>
            <w:vAlign w:val="center"/>
          </w:tcPr>
          <w:p w14:paraId="72366A64" w14:textId="77777777" w:rsidR="00085789" w:rsidRDefault="00000000">
            <w:pPr>
              <w:widowControl w:val="0"/>
              <w:autoSpaceDE w:val="0"/>
              <w:autoSpaceDN w:val="0"/>
              <w:adjustRightInd w:val="0"/>
              <w:jc w:val="center"/>
              <w:rPr>
                <w:sz w:val="24"/>
                <w:szCs w:val="24"/>
              </w:rPr>
            </w:pPr>
            <w:r>
              <w:rPr>
                <w:sz w:val="24"/>
                <w:szCs w:val="24"/>
              </w:rPr>
              <w:t>82.171</w:t>
            </w:r>
          </w:p>
        </w:tc>
        <w:tc>
          <w:tcPr>
            <w:tcW w:w="1084" w:type="dxa"/>
            <w:vAlign w:val="center"/>
          </w:tcPr>
          <w:p w14:paraId="2C9C820E" w14:textId="77777777" w:rsidR="00085789" w:rsidRDefault="00000000">
            <w:pPr>
              <w:widowControl w:val="0"/>
              <w:autoSpaceDE w:val="0"/>
              <w:autoSpaceDN w:val="0"/>
              <w:adjustRightInd w:val="0"/>
              <w:jc w:val="center"/>
              <w:rPr>
                <w:sz w:val="24"/>
                <w:szCs w:val="24"/>
              </w:rPr>
            </w:pPr>
            <w:r>
              <w:rPr>
                <w:sz w:val="24"/>
                <w:szCs w:val="24"/>
              </w:rPr>
              <w:t>75.566</w:t>
            </w:r>
          </w:p>
        </w:tc>
      </w:tr>
    </w:tbl>
    <w:p w14:paraId="34897E42" w14:textId="77777777" w:rsidR="00085789" w:rsidRDefault="00085789">
      <w:pPr>
        <w:widowControl w:val="0"/>
        <w:autoSpaceDE w:val="0"/>
        <w:autoSpaceDN w:val="0"/>
        <w:adjustRightInd w:val="0"/>
        <w:spacing w:before="120" w:line="240" w:lineRule="auto"/>
        <w:ind w:firstLine="709"/>
        <w:jc w:val="both"/>
        <w:rPr>
          <w:sz w:val="14"/>
          <w:szCs w:val="14"/>
        </w:rPr>
      </w:pPr>
    </w:p>
    <w:p w14:paraId="19BD8192" w14:textId="77777777" w:rsidR="00085789" w:rsidRDefault="00000000">
      <w:pPr>
        <w:widowControl w:val="0"/>
        <w:autoSpaceDE w:val="0"/>
        <w:autoSpaceDN w:val="0"/>
        <w:adjustRightInd w:val="0"/>
        <w:spacing w:before="120" w:line="247" w:lineRule="auto"/>
        <w:ind w:firstLine="709"/>
        <w:jc w:val="both"/>
        <w:rPr>
          <w:sz w:val="26"/>
          <w:szCs w:val="26"/>
        </w:rPr>
      </w:pPr>
      <w:r>
        <w:rPr>
          <w:sz w:val="26"/>
          <w:szCs w:val="26"/>
        </w:rPr>
        <w:t>Trong thời gian vừa qua, việc tận dụng rơm rạ để làm chất đốt không còn phổ biến ở nông thôn do có các nhiên liệu khác thay thế như điện, khí gas,…. Các phụ phẩm nông nghiệp  phần lớn được thu gom, xử lý, tuy nhiên vẫn còn một số địa phương vào khoảng cuối tháng 5 và cuối tháng 10, sau vụ thu hoạch, một số người dân đốt rơm rạ ngay tại đồng ruộng gây ra hiện tượng khói mù. Đốt rơm rạ ngoài trời là quá trình đốt không kiểm soát, trong đó sản phẩm chủ yếu là bụi, các khí CO</w:t>
      </w:r>
      <w:r>
        <w:rPr>
          <w:sz w:val="26"/>
          <w:szCs w:val="26"/>
          <w:vertAlign w:val="subscript"/>
        </w:rPr>
        <w:t>2</w:t>
      </w:r>
      <w:r>
        <w:rPr>
          <w:sz w:val="26"/>
          <w:szCs w:val="26"/>
        </w:rPr>
        <w:t>, CO, NO</w:t>
      </w:r>
      <w:r>
        <w:rPr>
          <w:sz w:val="26"/>
          <w:szCs w:val="26"/>
          <w:vertAlign w:val="subscript"/>
        </w:rPr>
        <w:t>x</w:t>
      </w:r>
      <w:r>
        <w:rPr>
          <w:sz w:val="26"/>
          <w:szCs w:val="26"/>
        </w:rPr>
        <w:t xml:space="preserve">, khi rơm rạ cháy không hết hoàn </w:t>
      </w:r>
      <w:r>
        <w:rPr>
          <w:sz w:val="26"/>
          <w:szCs w:val="26"/>
        </w:rPr>
        <w:lastRenderedPageBreak/>
        <w:t>toàn có thể gây ra hợp chất aldehyde và bụi mịn gây ô nhiễm môi trường không khí cục bộ tại khu vực.</w:t>
      </w:r>
    </w:p>
    <w:p w14:paraId="16207E7B" w14:textId="77777777" w:rsidR="00085789" w:rsidRDefault="00000000">
      <w:pPr>
        <w:pStyle w:val="-bac3"/>
        <w:spacing w:before="120" w:after="0" w:line="247" w:lineRule="auto"/>
        <w:rPr>
          <w:lang w:eastAsia="ja-JP"/>
        </w:rPr>
      </w:pPr>
      <w:bookmarkStart w:id="314" w:name="_Toc214311222"/>
      <w:r>
        <w:rPr>
          <w:lang w:val="es-AR"/>
        </w:rPr>
        <w:t>2.6.2. Hoạt động lâm nghiệp</w:t>
      </w:r>
      <w:bookmarkEnd w:id="314"/>
    </w:p>
    <w:p w14:paraId="77A0F040" w14:textId="77777777" w:rsidR="00085789" w:rsidRDefault="00000000">
      <w:pPr>
        <w:widowControl w:val="0"/>
        <w:autoSpaceDE w:val="0"/>
        <w:autoSpaceDN w:val="0"/>
        <w:adjustRightInd w:val="0"/>
        <w:spacing w:before="120" w:line="247" w:lineRule="auto"/>
        <w:ind w:firstLine="709"/>
        <w:jc w:val="both"/>
        <w:rPr>
          <w:sz w:val="26"/>
          <w:szCs w:val="26"/>
        </w:rPr>
      </w:pPr>
      <w:r>
        <w:rPr>
          <w:sz w:val="26"/>
          <w:szCs w:val="26"/>
        </w:rPr>
        <w:t>Đối với lĩnh vực lâm nghiệp, chất thải phát sinh chủ yếu là túi ni lông ươm cây và bao phân bón từ hoạt động trồng rừng. Đây là nguồn gây áp lực đáng kể đến môi trường đất, nước, đa dạng sinh học và sức khoẻ cộng đồng. Nếu không có biện pháp thu gom, xử lý chất thải có khả năng làm suy giảm chất lượng môi trường đất, túi nilon bị cuốn theo khe suối làm tắc nghẽn dòng chảy, cản trở thoát, gây úng cục bộ.</w:t>
      </w:r>
    </w:p>
    <w:p w14:paraId="742DB099" w14:textId="77777777" w:rsidR="00085789" w:rsidRDefault="00000000">
      <w:pPr>
        <w:pBdr>
          <w:top w:val="dotted" w:sz="4" w:space="0" w:color="FFFFFF"/>
          <w:left w:val="dotted" w:sz="4" w:space="0" w:color="FFFFFF"/>
          <w:bottom w:val="dotted" w:sz="4" w:space="0" w:color="FFFFFF"/>
          <w:right w:val="dotted" w:sz="4" w:space="29" w:color="FFFFFF"/>
        </w:pBdr>
        <w:shd w:val="clear" w:color="auto" w:fill="FFFFFF"/>
        <w:spacing w:before="120" w:line="247" w:lineRule="auto"/>
        <w:ind w:firstLine="720"/>
        <w:jc w:val="both"/>
        <w:rPr>
          <w:sz w:val="26"/>
          <w:szCs w:val="26"/>
          <w:lang w:val="nl-NL"/>
        </w:rPr>
      </w:pPr>
      <w:r>
        <w:rPr>
          <w:sz w:val="26"/>
          <w:szCs w:val="26"/>
          <w:lang w:val="nl-NL"/>
        </w:rPr>
        <w:t>Ngoài ra,</w:t>
      </w:r>
      <w:r>
        <w:t xml:space="preserve"> </w:t>
      </w:r>
      <w:r>
        <w:rPr>
          <w:sz w:val="26"/>
          <w:szCs w:val="26"/>
        </w:rPr>
        <w:t>rừng bị cháy và bị phá trong thời gian qua đã gây sức ép đáng kể đối với sự phát triển lâm nghiệp và môi trường tự nhiên</w:t>
      </w:r>
      <w:r>
        <w:rPr>
          <w:sz w:val="26"/>
          <w:szCs w:val="26"/>
          <w:lang w:val="nl-NL"/>
        </w:rPr>
        <w:t>. Từ năm 2021 đến nay, toàn tỉnh xảy ra 23 vụ cháy rừng, diện tích rừng thiệt hại 16,094 ha. Việc suy giảm diện tích rừng không chỉ làm giảm khả năng hấp thụ khí nhà kính mà còn ảnh hưởng nghiêm trọng đến ĐDSH, làm gia tăng nguy cơ thiên tai và suy thoái môi trường, đe dọa sự phát triển bền vững.</w:t>
      </w:r>
    </w:p>
    <w:p w14:paraId="17DCC669" w14:textId="77777777" w:rsidR="00085789" w:rsidRDefault="00000000">
      <w:pPr>
        <w:pStyle w:val="-bac3"/>
        <w:spacing w:before="120" w:after="0" w:line="247" w:lineRule="auto"/>
        <w:rPr>
          <w:smallCaps/>
          <w:lang w:val="nl-NL"/>
        </w:rPr>
      </w:pPr>
      <w:bookmarkStart w:id="315" w:name="_Toc214311223"/>
      <w:r>
        <w:rPr>
          <w:lang w:val="nl-NL"/>
        </w:rPr>
        <w:t>2.6.3. Hoạt động chăn nuôi</w:t>
      </w:r>
      <w:bookmarkEnd w:id="315"/>
      <w:r>
        <w:rPr>
          <w:lang w:val="nl-NL"/>
        </w:rPr>
        <w:t xml:space="preserve"> </w:t>
      </w:r>
    </w:p>
    <w:p w14:paraId="0BB4621F" w14:textId="5D3C1534" w:rsidR="00085789" w:rsidRDefault="00000000">
      <w:pPr>
        <w:spacing w:before="120" w:line="247" w:lineRule="auto"/>
        <w:ind w:firstLine="709"/>
        <w:jc w:val="both"/>
        <w:rPr>
          <w:sz w:val="26"/>
          <w:szCs w:val="26"/>
          <w:lang w:val="vi-VN"/>
        </w:rPr>
      </w:pPr>
      <w:r>
        <w:rPr>
          <w:sz w:val="26"/>
          <w:szCs w:val="26"/>
          <w:lang w:val="vi-VN"/>
        </w:rPr>
        <w:t xml:space="preserve">Hoạt động chăn nuôi đã và đang tạo nguồn thu nhập chính cho nhiều hộ dân. Tuy nhiên, bên cạnh lợi ích kinh tế, người dân cũng đang đối mặt với thách thức không nhỏ về ô nhiễm môi trường do chất thải gây ra, chủ yếu do nước thải và </w:t>
      </w:r>
      <w:r>
        <w:rPr>
          <w:sz w:val="26"/>
          <w:szCs w:val="26"/>
        </w:rPr>
        <w:t>CTR</w:t>
      </w:r>
      <w:r>
        <w:rPr>
          <w:sz w:val="26"/>
          <w:szCs w:val="26"/>
          <w:lang w:val="vi-VN"/>
        </w:rPr>
        <w:t>.</w:t>
      </w:r>
    </w:p>
    <w:p w14:paraId="2224E6AD" w14:textId="77777777" w:rsidR="00085789" w:rsidRDefault="00000000">
      <w:pPr>
        <w:spacing w:before="120" w:line="247" w:lineRule="auto"/>
        <w:ind w:firstLine="709"/>
        <w:jc w:val="both"/>
        <w:rPr>
          <w:b/>
          <w:bCs/>
          <w:sz w:val="26"/>
          <w:szCs w:val="26"/>
          <w:lang w:val="vi-VN"/>
        </w:rPr>
      </w:pPr>
      <w:r>
        <w:rPr>
          <w:b/>
          <w:bCs/>
          <w:sz w:val="26"/>
          <w:szCs w:val="26"/>
          <w:lang w:val="vi-VN"/>
        </w:rPr>
        <w:t>* Đối với nước thải:</w:t>
      </w:r>
    </w:p>
    <w:p w14:paraId="7CB24326" w14:textId="77777777" w:rsidR="00085789" w:rsidRDefault="00000000">
      <w:pPr>
        <w:spacing w:before="120" w:line="247" w:lineRule="auto"/>
        <w:ind w:firstLine="709"/>
        <w:jc w:val="both"/>
        <w:rPr>
          <w:sz w:val="26"/>
          <w:szCs w:val="26"/>
          <w:lang w:val="vi-VN"/>
        </w:rPr>
      </w:pPr>
      <w:r>
        <w:rPr>
          <w:sz w:val="26"/>
          <w:szCs w:val="26"/>
          <w:lang w:val="vi-VN"/>
        </w:rPr>
        <w:t>Nước thải chăn nuôi có khả năng gây ô nhiễm môi trường rất cao do có chứa hàm lượng cao các chất hữu cơ, cặn lơ lửng, chất dinh dưỡng và vi sinh vật gây bệnh. Thành phần của nước thải chăn nuôi có thể thay đổi tùy thuộc vào nhiều yếu tố như loại gia súc, gia cầm, quy mô chăn nuôi, chế độ dinh dưỡng cho vật nuôi và các phương pháp thu gom chất thải. Do đó, nước thải chăn nuôi nếu không được xử lý trước khi thải ra môi trường sẽ gây sức ép rất lớn đến môi trường nước mặt, nước dưới đất và gây ô nhiễm không khí. Ước tính từ năm 2020-2025, tổng lưu lượng nước thải chăn nuôi phát sinh là 42.660,47 nghìn m</w:t>
      </w:r>
      <w:r>
        <w:rPr>
          <w:sz w:val="26"/>
          <w:szCs w:val="26"/>
          <w:vertAlign w:val="superscript"/>
          <w:lang w:val="vi-VN"/>
        </w:rPr>
        <w:t>3</w:t>
      </w:r>
      <w:r>
        <w:rPr>
          <w:sz w:val="26"/>
          <w:szCs w:val="26"/>
          <w:lang w:val="vi-VN"/>
        </w:rPr>
        <w:t>, cụ thể như sau:</w:t>
      </w:r>
    </w:p>
    <w:p w14:paraId="5DC713DF" w14:textId="77777777" w:rsidR="00085789" w:rsidRDefault="00000000">
      <w:pPr>
        <w:pStyle w:val="-bac4"/>
        <w:spacing w:after="0"/>
        <w:rPr>
          <w:lang w:val="vi-VN"/>
        </w:rPr>
      </w:pPr>
      <w:bookmarkStart w:id="316" w:name="_Toc205915679"/>
      <w:bookmarkStart w:id="317" w:name="_Toc213597374"/>
      <w:bookmarkStart w:id="318" w:name="_Toc213600742"/>
      <w:r>
        <w:rPr>
          <w:lang w:val="vi-VN"/>
        </w:rPr>
        <w:t>Bảng 2.6. Lưu lượng nước thải  chăn nuôi từ năm 2020-2025</w:t>
      </w:r>
      <w:bookmarkEnd w:id="316"/>
      <w:bookmarkEnd w:id="317"/>
      <w:bookmarkEnd w:id="318"/>
      <w:r>
        <w:rPr>
          <w:lang w:val="vi-VN"/>
        </w:rPr>
        <w:t xml:space="preserve"> </w:t>
      </w:r>
    </w:p>
    <w:p w14:paraId="395230A6" w14:textId="77777777" w:rsidR="00085789" w:rsidRDefault="00000000">
      <w:pPr>
        <w:pStyle w:val="Hd2-hinh"/>
        <w:spacing w:after="0"/>
        <w:jc w:val="right"/>
        <w:rPr>
          <w:rFonts w:ascii="Times New Roman" w:hAnsi="Times New Roman"/>
          <w:b w:val="0"/>
          <w:bCs/>
          <w:i/>
          <w:iCs/>
          <w:color w:val="auto"/>
          <w:sz w:val="24"/>
          <w:szCs w:val="24"/>
        </w:rPr>
      </w:pPr>
      <w:r>
        <w:rPr>
          <w:rFonts w:ascii="Times New Roman" w:hAnsi="Times New Roman"/>
          <w:b w:val="0"/>
          <w:bCs/>
          <w:i/>
          <w:iCs/>
          <w:color w:val="auto"/>
          <w:sz w:val="24"/>
          <w:szCs w:val="24"/>
        </w:rPr>
        <w:t xml:space="preserve">(đơn vị: </w:t>
      </w:r>
      <w:r>
        <w:rPr>
          <w:rFonts w:ascii="Times New Roman" w:hAnsi="Times New Roman"/>
          <w:b w:val="0"/>
          <w:bCs/>
          <w:i/>
          <w:iCs/>
          <w:color w:val="auto"/>
          <w:sz w:val="24"/>
          <w:szCs w:val="24"/>
          <w:lang w:val="nl-NL" w:eastAsia="ja-JP"/>
        </w:rPr>
        <w:t>1000m</w:t>
      </w:r>
      <w:r>
        <w:rPr>
          <w:rFonts w:ascii="Times New Roman" w:hAnsi="Times New Roman"/>
          <w:b w:val="0"/>
          <w:bCs/>
          <w:i/>
          <w:iCs/>
          <w:color w:val="auto"/>
          <w:sz w:val="24"/>
          <w:szCs w:val="24"/>
          <w:vertAlign w:val="superscript"/>
          <w:lang w:val="nl-NL" w:eastAsia="ja-JP"/>
        </w:rPr>
        <w:t>3</w:t>
      </w:r>
      <w:r>
        <w:rPr>
          <w:rFonts w:ascii="Times New Roman" w:hAnsi="Times New Roman"/>
          <w:b w:val="0"/>
          <w:bCs/>
          <w:i/>
          <w:iCs/>
          <w:color w:val="auto"/>
          <w:sz w:val="24"/>
          <w:szCs w:val="24"/>
          <w:lang w:val="nl-NL" w:eastAsia="ja-JP"/>
        </w:rPr>
        <w:t>/</w:t>
      </w:r>
      <w:r>
        <w:rPr>
          <w:rFonts w:ascii="Times New Roman" w:hAnsi="Times New Roman"/>
          <w:b w:val="0"/>
          <w:bCs/>
          <w:i/>
          <w:iCs/>
          <w:color w:val="auto"/>
          <w:sz w:val="24"/>
          <w:szCs w:val="24"/>
          <w:lang w:eastAsia="ja-JP"/>
        </w:rPr>
        <w:t>năm)</w:t>
      </w:r>
    </w:p>
    <w:tbl>
      <w:tblPr>
        <w:tblStyle w:val="TableGrid"/>
        <w:tblW w:w="0" w:type="auto"/>
        <w:jc w:val="center"/>
        <w:tblLook w:val="04A0" w:firstRow="1" w:lastRow="0" w:firstColumn="1" w:lastColumn="0" w:noHBand="0" w:noVBand="1"/>
      </w:tblPr>
      <w:tblGrid>
        <w:gridCol w:w="690"/>
        <w:gridCol w:w="1878"/>
        <w:gridCol w:w="1125"/>
        <w:gridCol w:w="1125"/>
        <w:gridCol w:w="1076"/>
        <w:gridCol w:w="1056"/>
        <w:gridCol w:w="1056"/>
        <w:gridCol w:w="1056"/>
      </w:tblGrid>
      <w:tr w:rsidR="00085789" w14:paraId="187F2462" w14:textId="77777777">
        <w:trPr>
          <w:trHeight w:val="561"/>
          <w:tblHeader/>
          <w:jc w:val="center"/>
        </w:trPr>
        <w:tc>
          <w:tcPr>
            <w:tcW w:w="690" w:type="dxa"/>
            <w:vAlign w:val="center"/>
          </w:tcPr>
          <w:p w14:paraId="21211398" w14:textId="77777777" w:rsidR="00085789" w:rsidRDefault="00000000">
            <w:pPr>
              <w:spacing w:line="360" w:lineRule="exact"/>
              <w:jc w:val="center"/>
              <w:rPr>
                <w:b/>
                <w:sz w:val="24"/>
                <w:szCs w:val="24"/>
              </w:rPr>
            </w:pPr>
            <w:r>
              <w:rPr>
                <w:b/>
                <w:sz w:val="24"/>
                <w:szCs w:val="24"/>
              </w:rPr>
              <w:t>STT</w:t>
            </w:r>
          </w:p>
        </w:tc>
        <w:tc>
          <w:tcPr>
            <w:tcW w:w="1878" w:type="dxa"/>
            <w:tcBorders>
              <w:tl2br w:val="single" w:sz="4" w:space="0" w:color="auto"/>
            </w:tcBorders>
            <w:vAlign w:val="center"/>
          </w:tcPr>
          <w:p w14:paraId="0CF9660B" w14:textId="77777777" w:rsidR="00085789" w:rsidRDefault="00000000">
            <w:pPr>
              <w:spacing w:line="360" w:lineRule="exact"/>
              <w:jc w:val="center"/>
              <w:rPr>
                <w:b/>
                <w:sz w:val="24"/>
                <w:szCs w:val="24"/>
              </w:rPr>
            </w:pPr>
            <w:r>
              <w:rPr>
                <w:b/>
                <w:sz w:val="24"/>
                <w:szCs w:val="24"/>
              </w:rPr>
              <w:t xml:space="preserve">              Năm</w:t>
            </w:r>
          </w:p>
          <w:p w14:paraId="56CC73D5" w14:textId="77777777" w:rsidR="00085789" w:rsidRDefault="00000000">
            <w:pPr>
              <w:spacing w:line="360" w:lineRule="exact"/>
              <w:rPr>
                <w:b/>
                <w:sz w:val="24"/>
                <w:szCs w:val="24"/>
              </w:rPr>
            </w:pPr>
            <w:r>
              <w:rPr>
                <w:b/>
                <w:sz w:val="24"/>
                <w:szCs w:val="24"/>
              </w:rPr>
              <w:t xml:space="preserve">Vật nuôi </w:t>
            </w:r>
          </w:p>
        </w:tc>
        <w:tc>
          <w:tcPr>
            <w:tcW w:w="1125" w:type="dxa"/>
            <w:vAlign w:val="center"/>
          </w:tcPr>
          <w:p w14:paraId="7C84A949" w14:textId="77777777" w:rsidR="00085789" w:rsidRDefault="00000000">
            <w:pPr>
              <w:spacing w:line="360" w:lineRule="exact"/>
              <w:jc w:val="center"/>
              <w:rPr>
                <w:b/>
                <w:sz w:val="24"/>
                <w:szCs w:val="24"/>
              </w:rPr>
            </w:pPr>
            <w:r>
              <w:rPr>
                <w:b/>
                <w:sz w:val="24"/>
                <w:szCs w:val="24"/>
              </w:rPr>
              <w:t>2020</w:t>
            </w:r>
          </w:p>
        </w:tc>
        <w:tc>
          <w:tcPr>
            <w:tcW w:w="1125" w:type="dxa"/>
            <w:vAlign w:val="center"/>
          </w:tcPr>
          <w:p w14:paraId="085F5FD7" w14:textId="77777777" w:rsidR="00085789" w:rsidRDefault="00000000">
            <w:pPr>
              <w:spacing w:line="360" w:lineRule="exact"/>
              <w:jc w:val="center"/>
              <w:rPr>
                <w:sz w:val="24"/>
                <w:szCs w:val="24"/>
              </w:rPr>
            </w:pPr>
            <w:r>
              <w:rPr>
                <w:b/>
                <w:sz w:val="24"/>
                <w:szCs w:val="24"/>
              </w:rPr>
              <w:t>2021</w:t>
            </w:r>
          </w:p>
        </w:tc>
        <w:tc>
          <w:tcPr>
            <w:tcW w:w="1076" w:type="dxa"/>
            <w:vAlign w:val="center"/>
          </w:tcPr>
          <w:p w14:paraId="4DEC7A92" w14:textId="77777777" w:rsidR="00085789" w:rsidRDefault="00000000">
            <w:pPr>
              <w:spacing w:line="360" w:lineRule="exact"/>
              <w:jc w:val="center"/>
              <w:rPr>
                <w:b/>
                <w:sz w:val="24"/>
                <w:szCs w:val="24"/>
              </w:rPr>
            </w:pPr>
            <w:r>
              <w:rPr>
                <w:b/>
                <w:sz w:val="24"/>
                <w:szCs w:val="24"/>
              </w:rPr>
              <w:t>2022</w:t>
            </w:r>
          </w:p>
        </w:tc>
        <w:tc>
          <w:tcPr>
            <w:tcW w:w="1056" w:type="dxa"/>
            <w:vAlign w:val="center"/>
          </w:tcPr>
          <w:p w14:paraId="0427071D" w14:textId="77777777" w:rsidR="00085789" w:rsidRDefault="00000000">
            <w:pPr>
              <w:spacing w:line="360" w:lineRule="exact"/>
              <w:jc w:val="center"/>
              <w:rPr>
                <w:b/>
                <w:sz w:val="24"/>
                <w:szCs w:val="24"/>
              </w:rPr>
            </w:pPr>
            <w:r>
              <w:rPr>
                <w:b/>
                <w:sz w:val="24"/>
                <w:szCs w:val="24"/>
              </w:rPr>
              <w:t>2023</w:t>
            </w:r>
          </w:p>
        </w:tc>
        <w:tc>
          <w:tcPr>
            <w:tcW w:w="1056" w:type="dxa"/>
            <w:vAlign w:val="center"/>
          </w:tcPr>
          <w:p w14:paraId="68488F5E" w14:textId="77777777" w:rsidR="00085789" w:rsidRDefault="00000000">
            <w:pPr>
              <w:spacing w:line="360" w:lineRule="exact"/>
              <w:jc w:val="center"/>
              <w:rPr>
                <w:b/>
                <w:sz w:val="24"/>
                <w:szCs w:val="24"/>
              </w:rPr>
            </w:pPr>
            <w:r>
              <w:rPr>
                <w:b/>
                <w:sz w:val="24"/>
                <w:szCs w:val="24"/>
              </w:rPr>
              <w:t>2024</w:t>
            </w:r>
          </w:p>
        </w:tc>
        <w:tc>
          <w:tcPr>
            <w:tcW w:w="1056" w:type="dxa"/>
            <w:vAlign w:val="center"/>
          </w:tcPr>
          <w:p w14:paraId="42B0ECF4" w14:textId="77777777" w:rsidR="00085789" w:rsidRDefault="00000000">
            <w:pPr>
              <w:spacing w:line="240" w:lineRule="auto"/>
              <w:jc w:val="center"/>
              <w:rPr>
                <w:b/>
                <w:sz w:val="24"/>
                <w:szCs w:val="24"/>
              </w:rPr>
            </w:pPr>
            <w:r>
              <w:rPr>
                <w:b/>
                <w:sz w:val="24"/>
                <w:szCs w:val="24"/>
              </w:rPr>
              <w:t>2025 (ước cả năm)</w:t>
            </w:r>
          </w:p>
        </w:tc>
      </w:tr>
      <w:tr w:rsidR="00085789" w14:paraId="1D8BC96D" w14:textId="77777777">
        <w:trPr>
          <w:jc w:val="center"/>
        </w:trPr>
        <w:tc>
          <w:tcPr>
            <w:tcW w:w="690" w:type="dxa"/>
            <w:vAlign w:val="center"/>
          </w:tcPr>
          <w:p w14:paraId="60A391FA" w14:textId="77777777" w:rsidR="00085789" w:rsidRDefault="00000000">
            <w:pPr>
              <w:spacing w:line="360" w:lineRule="exact"/>
              <w:jc w:val="center"/>
              <w:rPr>
                <w:sz w:val="24"/>
                <w:szCs w:val="24"/>
              </w:rPr>
            </w:pPr>
            <w:r>
              <w:rPr>
                <w:sz w:val="24"/>
                <w:szCs w:val="24"/>
              </w:rPr>
              <w:t>1</w:t>
            </w:r>
          </w:p>
        </w:tc>
        <w:tc>
          <w:tcPr>
            <w:tcW w:w="1878" w:type="dxa"/>
            <w:vAlign w:val="center"/>
          </w:tcPr>
          <w:p w14:paraId="7E23FD82" w14:textId="77777777" w:rsidR="00085789" w:rsidRDefault="00000000">
            <w:pPr>
              <w:spacing w:line="360" w:lineRule="exact"/>
              <w:rPr>
                <w:bCs/>
                <w:sz w:val="24"/>
                <w:szCs w:val="24"/>
              </w:rPr>
            </w:pPr>
            <w:r>
              <w:rPr>
                <w:bCs/>
                <w:sz w:val="24"/>
                <w:szCs w:val="24"/>
              </w:rPr>
              <w:t xml:space="preserve">Lợn </w:t>
            </w:r>
          </w:p>
        </w:tc>
        <w:tc>
          <w:tcPr>
            <w:tcW w:w="1125" w:type="dxa"/>
            <w:vAlign w:val="center"/>
          </w:tcPr>
          <w:p w14:paraId="45C14E53" w14:textId="77777777" w:rsidR="00085789" w:rsidRDefault="00000000">
            <w:pPr>
              <w:spacing w:line="240" w:lineRule="auto"/>
              <w:jc w:val="center"/>
              <w:rPr>
                <w:sz w:val="24"/>
                <w:szCs w:val="24"/>
              </w:rPr>
            </w:pPr>
            <w:r>
              <w:rPr>
                <w:sz w:val="24"/>
                <w:szCs w:val="24"/>
              </w:rPr>
              <w:t>2.959,51</w:t>
            </w:r>
          </w:p>
        </w:tc>
        <w:tc>
          <w:tcPr>
            <w:tcW w:w="1125" w:type="dxa"/>
            <w:vAlign w:val="center"/>
          </w:tcPr>
          <w:p w14:paraId="23E6A7C9" w14:textId="77777777" w:rsidR="00085789" w:rsidRDefault="00000000">
            <w:pPr>
              <w:spacing w:line="240" w:lineRule="auto"/>
              <w:jc w:val="center"/>
              <w:rPr>
                <w:sz w:val="24"/>
                <w:szCs w:val="24"/>
              </w:rPr>
            </w:pPr>
            <w:r>
              <w:rPr>
                <w:sz w:val="24"/>
                <w:szCs w:val="24"/>
              </w:rPr>
              <w:t>2.983,66</w:t>
            </w:r>
          </w:p>
        </w:tc>
        <w:tc>
          <w:tcPr>
            <w:tcW w:w="1076" w:type="dxa"/>
            <w:vAlign w:val="center"/>
          </w:tcPr>
          <w:p w14:paraId="62BF977E" w14:textId="77777777" w:rsidR="00085789" w:rsidRDefault="00000000">
            <w:pPr>
              <w:spacing w:line="360" w:lineRule="exact"/>
              <w:jc w:val="center"/>
              <w:rPr>
                <w:sz w:val="24"/>
                <w:szCs w:val="24"/>
              </w:rPr>
            </w:pPr>
            <w:r>
              <w:rPr>
                <w:sz w:val="24"/>
                <w:szCs w:val="24"/>
              </w:rPr>
              <w:t>2.891,50</w:t>
            </w:r>
          </w:p>
        </w:tc>
        <w:tc>
          <w:tcPr>
            <w:tcW w:w="1056" w:type="dxa"/>
            <w:vAlign w:val="center"/>
          </w:tcPr>
          <w:p w14:paraId="6B23B5EE" w14:textId="77777777" w:rsidR="00085789" w:rsidRDefault="00000000">
            <w:pPr>
              <w:spacing w:line="360" w:lineRule="exact"/>
              <w:jc w:val="center"/>
              <w:rPr>
                <w:sz w:val="24"/>
                <w:szCs w:val="24"/>
              </w:rPr>
            </w:pPr>
            <w:r>
              <w:rPr>
                <w:sz w:val="24"/>
                <w:szCs w:val="24"/>
              </w:rPr>
              <w:t>2.920,58</w:t>
            </w:r>
          </w:p>
        </w:tc>
        <w:tc>
          <w:tcPr>
            <w:tcW w:w="1056" w:type="dxa"/>
            <w:vAlign w:val="center"/>
          </w:tcPr>
          <w:p w14:paraId="540760A6" w14:textId="77777777" w:rsidR="00085789" w:rsidRDefault="00000000">
            <w:pPr>
              <w:spacing w:line="360" w:lineRule="exact"/>
              <w:jc w:val="center"/>
              <w:rPr>
                <w:sz w:val="24"/>
                <w:szCs w:val="24"/>
              </w:rPr>
            </w:pPr>
            <w:r>
              <w:rPr>
                <w:sz w:val="24"/>
                <w:szCs w:val="24"/>
              </w:rPr>
              <w:t>2.958,47</w:t>
            </w:r>
          </w:p>
        </w:tc>
        <w:tc>
          <w:tcPr>
            <w:tcW w:w="1056" w:type="dxa"/>
            <w:vAlign w:val="center"/>
          </w:tcPr>
          <w:p w14:paraId="3A139D71" w14:textId="77777777" w:rsidR="00085789" w:rsidRDefault="00000000">
            <w:pPr>
              <w:spacing w:line="360" w:lineRule="exact"/>
              <w:jc w:val="center"/>
              <w:rPr>
                <w:sz w:val="24"/>
                <w:szCs w:val="24"/>
              </w:rPr>
            </w:pPr>
            <w:r>
              <w:rPr>
                <w:sz w:val="24"/>
                <w:szCs w:val="24"/>
              </w:rPr>
              <w:t>2.960,15</w:t>
            </w:r>
          </w:p>
        </w:tc>
      </w:tr>
      <w:tr w:rsidR="00085789" w14:paraId="7FC9EF47" w14:textId="77777777">
        <w:trPr>
          <w:jc w:val="center"/>
        </w:trPr>
        <w:tc>
          <w:tcPr>
            <w:tcW w:w="690" w:type="dxa"/>
            <w:vAlign w:val="center"/>
          </w:tcPr>
          <w:p w14:paraId="16BB181E" w14:textId="77777777" w:rsidR="00085789" w:rsidRDefault="00000000">
            <w:pPr>
              <w:spacing w:line="360" w:lineRule="exact"/>
              <w:jc w:val="center"/>
              <w:rPr>
                <w:sz w:val="24"/>
                <w:szCs w:val="24"/>
              </w:rPr>
            </w:pPr>
            <w:r>
              <w:rPr>
                <w:sz w:val="24"/>
                <w:szCs w:val="24"/>
              </w:rPr>
              <w:t>2</w:t>
            </w:r>
          </w:p>
        </w:tc>
        <w:tc>
          <w:tcPr>
            <w:tcW w:w="1878" w:type="dxa"/>
            <w:vAlign w:val="center"/>
          </w:tcPr>
          <w:p w14:paraId="2298EF3F" w14:textId="77777777" w:rsidR="00085789" w:rsidRDefault="00000000">
            <w:pPr>
              <w:spacing w:line="360" w:lineRule="exact"/>
              <w:rPr>
                <w:bCs/>
                <w:sz w:val="24"/>
                <w:szCs w:val="24"/>
              </w:rPr>
            </w:pPr>
            <w:r>
              <w:rPr>
                <w:bCs/>
                <w:sz w:val="24"/>
                <w:szCs w:val="24"/>
              </w:rPr>
              <w:t xml:space="preserve">Bò </w:t>
            </w:r>
          </w:p>
        </w:tc>
        <w:tc>
          <w:tcPr>
            <w:tcW w:w="1125" w:type="dxa"/>
            <w:vAlign w:val="center"/>
          </w:tcPr>
          <w:p w14:paraId="601F0E24" w14:textId="77777777" w:rsidR="00085789" w:rsidRDefault="00000000">
            <w:pPr>
              <w:spacing w:line="240" w:lineRule="auto"/>
              <w:jc w:val="center"/>
              <w:rPr>
                <w:sz w:val="24"/>
                <w:szCs w:val="24"/>
              </w:rPr>
            </w:pPr>
            <w:r>
              <w:rPr>
                <w:sz w:val="24"/>
                <w:szCs w:val="24"/>
              </w:rPr>
              <w:t>1.850,41</w:t>
            </w:r>
          </w:p>
        </w:tc>
        <w:tc>
          <w:tcPr>
            <w:tcW w:w="1125" w:type="dxa"/>
            <w:vAlign w:val="center"/>
          </w:tcPr>
          <w:p w14:paraId="226E5525" w14:textId="77777777" w:rsidR="00085789" w:rsidRDefault="00000000">
            <w:pPr>
              <w:spacing w:line="240" w:lineRule="auto"/>
              <w:jc w:val="center"/>
              <w:rPr>
                <w:sz w:val="24"/>
                <w:szCs w:val="24"/>
              </w:rPr>
            </w:pPr>
            <w:r>
              <w:rPr>
                <w:sz w:val="24"/>
                <w:szCs w:val="24"/>
              </w:rPr>
              <w:t>1.828,47</w:t>
            </w:r>
          </w:p>
        </w:tc>
        <w:tc>
          <w:tcPr>
            <w:tcW w:w="1076" w:type="dxa"/>
            <w:vAlign w:val="center"/>
          </w:tcPr>
          <w:p w14:paraId="7DC52CA7" w14:textId="77777777" w:rsidR="00085789" w:rsidRDefault="00000000">
            <w:pPr>
              <w:spacing w:line="360" w:lineRule="exact"/>
              <w:jc w:val="center"/>
              <w:rPr>
                <w:sz w:val="24"/>
                <w:szCs w:val="24"/>
              </w:rPr>
            </w:pPr>
            <w:r>
              <w:rPr>
                <w:sz w:val="24"/>
                <w:szCs w:val="24"/>
              </w:rPr>
              <w:t>1.837,57</w:t>
            </w:r>
          </w:p>
        </w:tc>
        <w:tc>
          <w:tcPr>
            <w:tcW w:w="1056" w:type="dxa"/>
            <w:vAlign w:val="center"/>
          </w:tcPr>
          <w:p w14:paraId="104EF610" w14:textId="77777777" w:rsidR="00085789" w:rsidRDefault="00000000">
            <w:pPr>
              <w:spacing w:line="360" w:lineRule="exact"/>
              <w:jc w:val="center"/>
              <w:rPr>
                <w:sz w:val="24"/>
                <w:szCs w:val="24"/>
              </w:rPr>
            </w:pPr>
            <w:r>
              <w:rPr>
                <w:sz w:val="24"/>
                <w:szCs w:val="24"/>
              </w:rPr>
              <w:t>1.796,02</w:t>
            </w:r>
          </w:p>
        </w:tc>
        <w:tc>
          <w:tcPr>
            <w:tcW w:w="1056" w:type="dxa"/>
            <w:vAlign w:val="center"/>
          </w:tcPr>
          <w:p w14:paraId="40426CCC" w14:textId="77777777" w:rsidR="00085789" w:rsidRDefault="00000000">
            <w:pPr>
              <w:spacing w:line="360" w:lineRule="exact"/>
              <w:jc w:val="center"/>
              <w:rPr>
                <w:sz w:val="24"/>
                <w:szCs w:val="24"/>
              </w:rPr>
            </w:pPr>
            <w:r>
              <w:rPr>
                <w:sz w:val="24"/>
                <w:szCs w:val="24"/>
              </w:rPr>
              <w:t>1.764,72</w:t>
            </w:r>
          </w:p>
        </w:tc>
        <w:tc>
          <w:tcPr>
            <w:tcW w:w="1056" w:type="dxa"/>
            <w:vAlign w:val="center"/>
          </w:tcPr>
          <w:p w14:paraId="4F54B5A9" w14:textId="77777777" w:rsidR="00085789" w:rsidRDefault="00000000">
            <w:pPr>
              <w:spacing w:line="360" w:lineRule="exact"/>
              <w:jc w:val="center"/>
              <w:rPr>
                <w:sz w:val="24"/>
                <w:szCs w:val="24"/>
              </w:rPr>
            </w:pPr>
            <w:r>
              <w:rPr>
                <w:sz w:val="24"/>
                <w:szCs w:val="24"/>
              </w:rPr>
              <w:t>1.708,20</w:t>
            </w:r>
          </w:p>
        </w:tc>
      </w:tr>
      <w:tr w:rsidR="00085789" w14:paraId="2806D7D3" w14:textId="77777777">
        <w:trPr>
          <w:jc w:val="center"/>
        </w:trPr>
        <w:tc>
          <w:tcPr>
            <w:tcW w:w="690" w:type="dxa"/>
            <w:vAlign w:val="center"/>
          </w:tcPr>
          <w:p w14:paraId="00ED83AA" w14:textId="77777777" w:rsidR="00085789" w:rsidRDefault="00000000">
            <w:pPr>
              <w:spacing w:line="360" w:lineRule="exact"/>
              <w:jc w:val="center"/>
              <w:rPr>
                <w:sz w:val="24"/>
                <w:szCs w:val="24"/>
              </w:rPr>
            </w:pPr>
            <w:r>
              <w:rPr>
                <w:sz w:val="24"/>
                <w:szCs w:val="24"/>
              </w:rPr>
              <w:t>3</w:t>
            </w:r>
          </w:p>
        </w:tc>
        <w:tc>
          <w:tcPr>
            <w:tcW w:w="1878" w:type="dxa"/>
            <w:vAlign w:val="center"/>
          </w:tcPr>
          <w:p w14:paraId="32E0B074" w14:textId="77777777" w:rsidR="00085789" w:rsidRDefault="00000000">
            <w:pPr>
              <w:spacing w:line="360" w:lineRule="exact"/>
              <w:rPr>
                <w:bCs/>
                <w:sz w:val="24"/>
                <w:szCs w:val="24"/>
              </w:rPr>
            </w:pPr>
            <w:r>
              <w:rPr>
                <w:bCs/>
                <w:sz w:val="24"/>
                <w:szCs w:val="24"/>
              </w:rPr>
              <w:t xml:space="preserve">Hươu </w:t>
            </w:r>
          </w:p>
        </w:tc>
        <w:tc>
          <w:tcPr>
            <w:tcW w:w="1125" w:type="dxa"/>
            <w:vAlign w:val="center"/>
          </w:tcPr>
          <w:p w14:paraId="70DE259C" w14:textId="77777777" w:rsidR="00085789" w:rsidRDefault="00000000">
            <w:pPr>
              <w:spacing w:line="240" w:lineRule="auto"/>
              <w:jc w:val="center"/>
              <w:rPr>
                <w:sz w:val="24"/>
                <w:szCs w:val="24"/>
              </w:rPr>
            </w:pPr>
            <w:r>
              <w:rPr>
                <w:sz w:val="24"/>
                <w:szCs w:val="24"/>
              </w:rPr>
              <w:t>137,90</w:t>
            </w:r>
          </w:p>
        </w:tc>
        <w:tc>
          <w:tcPr>
            <w:tcW w:w="1125" w:type="dxa"/>
            <w:vAlign w:val="center"/>
          </w:tcPr>
          <w:p w14:paraId="1555C45A" w14:textId="77777777" w:rsidR="00085789" w:rsidRDefault="00000000">
            <w:pPr>
              <w:spacing w:line="240" w:lineRule="auto"/>
              <w:jc w:val="center"/>
              <w:rPr>
                <w:sz w:val="24"/>
                <w:szCs w:val="24"/>
              </w:rPr>
            </w:pPr>
            <w:r>
              <w:rPr>
                <w:sz w:val="24"/>
                <w:szCs w:val="24"/>
              </w:rPr>
              <w:t>137,46</w:t>
            </w:r>
          </w:p>
        </w:tc>
        <w:tc>
          <w:tcPr>
            <w:tcW w:w="1076" w:type="dxa"/>
            <w:vAlign w:val="center"/>
          </w:tcPr>
          <w:p w14:paraId="165A7781" w14:textId="77777777" w:rsidR="00085789" w:rsidRDefault="00000000">
            <w:pPr>
              <w:spacing w:line="360" w:lineRule="exact"/>
              <w:jc w:val="center"/>
              <w:rPr>
                <w:sz w:val="24"/>
                <w:szCs w:val="24"/>
              </w:rPr>
            </w:pPr>
            <w:r>
              <w:rPr>
                <w:sz w:val="24"/>
                <w:szCs w:val="24"/>
              </w:rPr>
              <w:t>146,24</w:t>
            </w:r>
          </w:p>
        </w:tc>
        <w:tc>
          <w:tcPr>
            <w:tcW w:w="1056" w:type="dxa"/>
            <w:vAlign w:val="center"/>
          </w:tcPr>
          <w:p w14:paraId="27A75C4B" w14:textId="77777777" w:rsidR="00085789" w:rsidRDefault="00000000">
            <w:pPr>
              <w:spacing w:line="360" w:lineRule="exact"/>
              <w:jc w:val="center"/>
              <w:rPr>
                <w:sz w:val="24"/>
                <w:szCs w:val="24"/>
              </w:rPr>
            </w:pPr>
            <w:r>
              <w:rPr>
                <w:sz w:val="24"/>
                <w:szCs w:val="24"/>
              </w:rPr>
              <w:t>183,67</w:t>
            </w:r>
          </w:p>
        </w:tc>
        <w:tc>
          <w:tcPr>
            <w:tcW w:w="1056" w:type="dxa"/>
            <w:vAlign w:val="center"/>
          </w:tcPr>
          <w:p w14:paraId="5A8C6736" w14:textId="77777777" w:rsidR="00085789" w:rsidRDefault="00000000">
            <w:pPr>
              <w:spacing w:line="360" w:lineRule="exact"/>
              <w:jc w:val="center"/>
              <w:rPr>
                <w:sz w:val="24"/>
                <w:szCs w:val="24"/>
              </w:rPr>
            </w:pPr>
            <w:r>
              <w:rPr>
                <w:sz w:val="24"/>
                <w:szCs w:val="24"/>
              </w:rPr>
              <w:t>183,67</w:t>
            </w:r>
          </w:p>
        </w:tc>
        <w:tc>
          <w:tcPr>
            <w:tcW w:w="1056" w:type="dxa"/>
            <w:vAlign w:val="center"/>
          </w:tcPr>
          <w:p w14:paraId="576064C6" w14:textId="77777777" w:rsidR="00085789" w:rsidRDefault="00000000">
            <w:pPr>
              <w:spacing w:line="360" w:lineRule="exact"/>
              <w:jc w:val="center"/>
              <w:rPr>
                <w:sz w:val="24"/>
                <w:szCs w:val="24"/>
              </w:rPr>
            </w:pPr>
            <w:r>
              <w:rPr>
                <w:sz w:val="24"/>
                <w:szCs w:val="24"/>
              </w:rPr>
              <w:t>186,15</w:t>
            </w:r>
          </w:p>
        </w:tc>
      </w:tr>
      <w:tr w:rsidR="00085789" w14:paraId="4A0D03BA" w14:textId="77777777">
        <w:trPr>
          <w:jc w:val="center"/>
        </w:trPr>
        <w:tc>
          <w:tcPr>
            <w:tcW w:w="690" w:type="dxa"/>
            <w:vAlign w:val="center"/>
          </w:tcPr>
          <w:p w14:paraId="29926F9A" w14:textId="77777777" w:rsidR="00085789" w:rsidRDefault="00000000">
            <w:pPr>
              <w:spacing w:line="360" w:lineRule="exact"/>
              <w:jc w:val="center"/>
              <w:rPr>
                <w:sz w:val="24"/>
                <w:szCs w:val="24"/>
              </w:rPr>
            </w:pPr>
            <w:r>
              <w:rPr>
                <w:sz w:val="24"/>
                <w:szCs w:val="24"/>
              </w:rPr>
              <w:t>4</w:t>
            </w:r>
          </w:p>
        </w:tc>
        <w:tc>
          <w:tcPr>
            <w:tcW w:w="1878" w:type="dxa"/>
            <w:vAlign w:val="center"/>
          </w:tcPr>
          <w:p w14:paraId="71D03864" w14:textId="77777777" w:rsidR="00085789" w:rsidRDefault="00000000">
            <w:pPr>
              <w:spacing w:line="360" w:lineRule="exact"/>
              <w:rPr>
                <w:bCs/>
                <w:sz w:val="24"/>
                <w:szCs w:val="24"/>
              </w:rPr>
            </w:pPr>
            <w:r>
              <w:rPr>
                <w:bCs/>
                <w:sz w:val="24"/>
                <w:szCs w:val="24"/>
              </w:rPr>
              <w:t xml:space="preserve">Trâu </w:t>
            </w:r>
          </w:p>
        </w:tc>
        <w:tc>
          <w:tcPr>
            <w:tcW w:w="1125" w:type="dxa"/>
            <w:vAlign w:val="center"/>
          </w:tcPr>
          <w:p w14:paraId="5C103F2D" w14:textId="77777777" w:rsidR="00085789" w:rsidRDefault="00000000">
            <w:pPr>
              <w:spacing w:line="240" w:lineRule="auto"/>
              <w:jc w:val="center"/>
              <w:rPr>
                <w:sz w:val="24"/>
                <w:szCs w:val="24"/>
              </w:rPr>
            </w:pPr>
            <w:r>
              <w:rPr>
                <w:sz w:val="24"/>
                <w:szCs w:val="24"/>
              </w:rPr>
              <w:t>736,27</w:t>
            </w:r>
          </w:p>
        </w:tc>
        <w:tc>
          <w:tcPr>
            <w:tcW w:w="1125" w:type="dxa"/>
            <w:vAlign w:val="center"/>
          </w:tcPr>
          <w:p w14:paraId="76547C15" w14:textId="77777777" w:rsidR="00085789" w:rsidRDefault="00000000">
            <w:pPr>
              <w:spacing w:line="240" w:lineRule="auto"/>
              <w:jc w:val="center"/>
              <w:rPr>
                <w:sz w:val="24"/>
                <w:szCs w:val="24"/>
              </w:rPr>
            </w:pPr>
            <w:r>
              <w:rPr>
                <w:sz w:val="24"/>
                <w:szCs w:val="24"/>
              </w:rPr>
              <w:t>735,29</w:t>
            </w:r>
          </w:p>
        </w:tc>
        <w:tc>
          <w:tcPr>
            <w:tcW w:w="1076" w:type="dxa"/>
            <w:vAlign w:val="center"/>
          </w:tcPr>
          <w:p w14:paraId="2229308F" w14:textId="77777777" w:rsidR="00085789" w:rsidRDefault="00000000">
            <w:pPr>
              <w:spacing w:line="360" w:lineRule="exact"/>
              <w:jc w:val="center"/>
              <w:rPr>
                <w:sz w:val="24"/>
                <w:szCs w:val="24"/>
              </w:rPr>
            </w:pPr>
            <w:r>
              <w:rPr>
                <w:sz w:val="24"/>
                <w:szCs w:val="24"/>
              </w:rPr>
              <w:t>744,45</w:t>
            </w:r>
          </w:p>
        </w:tc>
        <w:tc>
          <w:tcPr>
            <w:tcW w:w="1056" w:type="dxa"/>
            <w:vAlign w:val="center"/>
          </w:tcPr>
          <w:p w14:paraId="2138AC67" w14:textId="77777777" w:rsidR="00085789" w:rsidRDefault="00000000">
            <w:pPr>
              <w:spacing w:line="360" w:lineRule="exact"/>
              <w:jc w:val="center"/>
              <w:rPr>
                <w:sz w:val="24"/>
                <w:szCs w:val="24"/>
              </w:rPr>
            </w:pPr>
            <w:r>
              <w:rPr>
                <w:sz w:val="24"/>
                <w:szCs w:val="24"/>
              </w:rPr>
              <w:t>714,16</w:t>
            </w:r>
          </w:p>
        </w:tc>
        <w:tc>
          <w:tcPr>
            <w:tcW w:w="1056" w:type="dxa"/>
            <w:vAlign w:val="center"/>
          </w:tcPr>
          <w:p w14:paraId="163AA5B7" w14:textId="77777777" w:rsidR="00085789" w:rsidRDefault="00000000">
            <w:pPr>
              <w:spacing w:line="360" w:lineRule="exact"/>
              <w:jc w:val="center"/>
              <w:rPr>
                <w:sz w:val="24"/>
                <w:szCs w:val="24"/>
              </w:rPr>
            </w:pPr>
            <w:r>
              <w:rPr>
                <w:sz w:val="24"/>
                <w:szCs w:val="24"/>
              </w:rPr>
              <w:t>714,16</w:t>
            </w:r>
          </w:p>
        </w:tc>
        <w:tc>
          <w:tcPr>
            <w:tcW w:w="1056" w:type="dxa"/>
            <w:vAlign w:val="center"/>
          </w:tcPr>
          <w:p w14:paraId="62F41D18" w14:textId="77777777" w:rsidR="00085789" w:rsidRDefault="00000000">
            <w:pPr>
              <w:spacing w:line="360" w:lineRule="exact"/>
              <w:jc w:val="center"/>
              <w:rPr>
                <w:sz w:val="24"/>
                <w:szCs w:val="24"/>
              </w:rPr>
            </w:pPr>
            <w:r>
              <w:rPr>
                <w:sz w:val="24"/>
                <w:szCs w:val="24"/>
              </w:rPr>
              <w:t>673,43</w:t>
            </w:r>
          </w:p>
        </w:tc>
      </w:tr>
      <w:tr w:rsidR="00085789" w14:paraId="4EA62E4C" w14:textId="77777777">
        <w:trPr>
          <w:trHeight w:val="347"/>
          <w:jc w:val="center"/>
        </w:trPr>
        <w:tc>
          <w:tcPr>
            <w:tcW w:w="690" w:type="dxa"/>
            <w:vAlign w:val="center"/>
          </w:tcPr>
          <w:p w14:paraId="7054C086" w14:textId="77777777" w:rsidR="00085789" w:rsidRDefault="00000000">
            <w:pPr>
              <w:spacing w:line="360" w:lineRule="exact"/>
              <w:jc w:val="center"/>
              <w:rPr>
                <w:sz w:val="24"/>
                <w:szCs w:val="24"/>
              </w:rPr>
            </w:pPr>
            <w:r>
              <w:rPr>
                <w:sz w:val="24"/>
                <w:szCs w:val="24"/>
              </w:rPr>
              <w:t>5</w:t>
            </w:r>
          </w:p>
        </w:tc>
        <w:tc>
          <w:tcPr>
            <w:tcW w:w="1878" w:type="dxa"/>
            <w:vAlign w:val="center"/>
          </w:tcPr>
          <w:p w14:paraId="7E6AB93B" w14:textId="77777777" w:rsidR="00085789" w:rsidRDefault="00000000">
            <w:pPr>
              <w:spacing w:line="360" w:lineRule="exact"/>
              <w:rPr>
                <w:bCs/>
                <w:sz w:val="24"/>
                <w:szCs w:val="24"/>
              </w:rPr>
            </w:pPr>
            <w:r>
              <w:rPr>
                <w:bCs/>
                <w:sz w:val="24"/>
                <w:szCs w:val="24"/>
              </w:rPr>
              <w:t xml:space="preserve">Gia cầm </w:t>
            </w:r>
          </w:p>
        </w:tc>
        <w:tc>
          <w:tcPr>
            <w:tcW w:w="1125" w:type="dxa"/>
            <w:vAlign w:val="center"/>
          </w:tcPr>
          <w:p w14:paraId="5F5103A5" w14:textId="77777777" w:rsidR="00085789" w:rsidRDefault="00000000">
            <w:pPr>
              <w:spacing w:line="240" w:lineRule="auto"/>
              <w:jc w:val="center"/>
              <w:rPr>
                <w:sz w:val="24"/>
                <w:szCs w:val="24"/>
              </w:rPr>
            </w:pPr>
            <w:r>
              <w:rPr>
                <w:sz w:val="24"/>
                <w:szCs w:val="24"/>
              </w:rPr>
              <w:t>1.472,56</w:t>
            </w:r>
          </w:p>
        </w:tc>
        <w:tc>
          <w:tcPr>
            <w:tcW w:w="1125" w:type="dxa"/>
            <w:vAlign w:val="center"/>
          </w:tcPr>
          <w:p w14:paraId="4205AA7B" w14:textId="77777777" w:rsidR="00085789" w:rsidRDefault="00000000">
            <w:pPr>
              <w:spacing w:line="240" w:lineRule="auto"/>
              <w:jc w:val="center"/>
              <w:rPr>
                <w:sz w:val="24"/>
                <w:szCs w:val="24"/>
              </w:rPr>
            </w:pPr>
            <w:r>
              <w:rPr>
                <w:sz w:val="24"/>
                <w:szCs w:val="24"/>
              </w:rPr>
              <w:t>1.474,75</w:t>
            </w:r>
          </w:p>
        </w:tc>
        <w:tc>
          <w:tcPr>
            <w:tcW w:w="1076" w:type="dxa"/>
            <w:vAlign w:val="center"/>
          </w:tcPr>
          <w:p w14:paraId="6E6A0CD8" w14:textId="77777777" w:rsidR="00085789" w:rsidRDefault="00000000">
            <w:pPr>
              <w:spacing w:line="240" w:lineRule="auto"/>
              <w:jc w:val="center"/>
              <w:rPr>
                <w:sz w:val="24"/>
                <w:szCs w:val="24"/>
              </w:rPr>
            </w:pPr>
            <w:r>
              <w:rPr>
                <w:sz w:val="24"/>
                <w:szCs w:val="24"/>
              </w:rPr>
              <w:t>1.453,14</w:t>
            </w:r>
          </w:p>
        </w:tc>
        <w:tc>
          <w:tcPr>
            <w:tcW w:w="1056" w:type="dxa"/>
            <w:vAlign w:val="center"/>
          </w:tcPr>
          <w:p w14:paraId="757BA457" w14:textId="77777777" w:rsidR="00085789" w:rsidRDefault="00000000">
            <w:pPr>
              <w:spacing w:line="240" w:lineRule="auto"/>
              <w:jc w:val="center"/>
              <w:rPr>
                <w:sz w:val="24"/>
                <w:szCs w:val="24"/>
              </w:rPr>
            </w:pPr>
            <w:r>
              <w:rPr>
                <w:sz w:val="24"/>
                <w:szCs w:val="24"/>
              </w:rPr>
              <w:t>1.496,21</w:t>
            </w:r>
          </w:p>
        </w:tc>
        <w:tc>
          <w:tcPr>
            <w:tcW w:w="1056" w:type="dxa"/>
            <w:vAlign w:val="center"/>
          </w:tcPr>
          <w:p w14:paraId="235C90C6" w14:textId="77777777" w:rsidR="00085789" w:rsidRDefault="00000000">
            <w:pPr>
              <w:spacing w:line="240" w:lineRule="auto"/>
              <w:jc w:val="center"/>
              <w:rPr>
                <w:sz w:val="24"/>
                <w:szCs w:val="24"/>
              </w:rPr>
            </w:pPr>
            <w:r>
              <w:rPr>
                <w:sz w:val="24"/>
                <w:szCs w:val="24"/>
              </w:rPr>
              <w:t>1.496,21</w:t>
            </w:r>
          </w:p>
        </w:tc>
        <w:tc>
          <w:tcPr>
            <w:tcW w:w="1056" w:type="dxa"/>
            <w:vAlign w:val="center"/>
          </w:tcPr>
          <w:p w14:paraId="312AB673" w14:textId="77777777" w:rsidR="00085789" w:rsidRDefault="00000000">
            <w:pPr>
              <w:spacing w:line="240" w:lineRule="auto"/>
              <w:jc w:val="center"/>
              <w:rPr>
                <w:sz w:val="24"/>
                <w:szCs w:val="24"/>
              </w:rPr>
            </w:pPr>
            <w:r>
              <w:rPr>
                <w:sz w:val="24"/>
                <w:szCs w:val="24"/>
              </w:rPr>
              <w:t>1.515,48</w:t>
            </w:r>
          </w:p>
        </w:tc>
      </w:tr>
      <w:tr w:rsidR="00085789" w14:paraId="7191B303" w14:textId="77777777">
        <w:trPr>
          <w:trHeight w:val="582"/>
          <w:jc w:val="center"/>
        </w:trPr>
        <w:tc>
          <w:tcPr>
            <w:tcW w:w="690" w:type="dxa"/>
            <w:vAlign w:val="center"/>
          </w:tcPr>
          <w:p w14:paraId="584AEF40" w14:textId="77777777" w:rsidR="00085789" w:rsidRDefault="00085789">
            <w:pPr>
              <w:spacing w:line="360" w:lineRule="exact"/>
              <w:jc w:val="center"/>
              <w:rPr>
                <w:sz w:val="24"/>
                <w:szCs w:val="24"/>
              </w:rPr>
            </w:pPr>
          </w:p>
        </w:tc>
        <w:tc>
          <w:tcPr>
            <w:tcW w:w="1878" w:type="dxa"/>
            <w:vAlign w:val="center"/>
          </w:tcPr>
          <w:p w14:paraId="4DC95BB1" w14:textId="77777777" w:rsidR="00085789" w:rsidRDefault="00000000">
            <w:pPr>
              <w:spacing w:line="240" w:lineRule="auto"/>
              <w:rPr>
                <w:b/>
                <w:spacing w:val="-6"/>
                <w:sz w:val="24"/>
                <w:szCs w:val="24"/>
              </w:rPr>
            </w:pPr>
            <w:r>
              <w:rPr>
                <w:b/>
                <w:spacing w:val="-6"/>
                <w:sz w:val="24"/>
                <w:szCs w:val="24"/>
              </w:rPr>
              <w:t>TỔNG</w:t>
            </w:r>
          </w:p>
        </w:tc>
        <w:tc>
          <w:tcPr>
            <w:tcW w:w="1125" w:type="dxa"/>
            <w:vAlign w:val="center"/>
          </w:tcPr>
          <w:p w14:paraId="40CF6F4A" w14:textId="77777777" w:rsidR="00085789" w:rsidRDefault="00000000">
            <w:pPr>
              <w:spacing w:line="240" w:lineRule="auto"/>
              <w:jc w:val="center"/>
              <w:rPr>
                <w:b/>
                <w:bCs/>
                <w:sz w:val="24"/>
                <w:szCs w:val="24"/>
              </w:rPr>
            </w:pPr>
            <w:r>
              <w:rPr>
                <w:b/>
                <w:bCs/>
                <w:sz w:val="24"/>
                <w:szCs w:val="24"/>
              </w:rPr>
              <w:t>7.156,65</w:t>
            </w:r>
          </w:p>
        </w:tc>
        <w:tc>
          <w:tcPr>
            <w:tcW w:w="1125" w:type="dxa"/>
            <w:vAlign w:val="center"/>
          </w:tcPr>
          <w:p w14:paraId="70ED497D" w14:textId="77777777" w:rsidR="00085789" w:rsidRDefault="00000000">
            <w:pPr>
              <w:spacing w:line="240" w:lineRule="auto"/>
              <w:jc w:val="center"/>
              <w:rPr>
                <w:b/>
                <w:bCs/>
                <w:sz w:val="24"/>
                <w:szCs w:val="24"/>
              </w:rPr>
            </w:pPr>
            <w:r>
              <w:rPr>
                <w:b/>
                <w:bCs/>
                <w:sz w:val="24"/>
                <w:szCs w:val="24"/>
              </w:rPr>
              <w:t>7.159,64</w:t>
            </w:r>
          </w:p>
        </w:tc>
        <w:tc>
          <w:tcPr>
            <w:tcW w:w="1076" w:type="dxa"/>
            <w:vAlign w:val="center"/>
          </w:tcPr>
          <w:p w14:paraId="5A2937EB" w14:textId="77777777" w:rsidR="00085789" w:rsidRDefault="00000000">
            <w:pPr>
              <w:spacing w:line="240" w:lineRule="auto"/>
              <w:jc w:val="center"/>
              <w:rPr>
                <w:b/>
                <w:bCs/>
                <w:sz w:val="24"/>
                <w:szCs w:val="24"/>
              </w:rPr>
            </w:pPr>
            <w:r>
              <w:rPr>
                <w:b/>
                <w:bCs/>
                <w:sz w:val="24"/>
                <w:szCs w:val="24"/>
              </w:rPr>
              <w:t>7.072,90</w:t>
            </w:r>
          </w:p>
        </w:tc>
        <w:tc>
          <w:tcPr>
            <w:tcW w:w="1056" w:type="dxa"/>
            <w:vAlign w:val="center"/>
          </w:tcPr>
          <w:p w14:paraId="7A5327C8" w14:textId="77777777" w:rsidR="00085789" w:rsidRDefault="00000000">
            <w:pPr>
              <w:spacing w:line="240" w:lineRule="auto"/>
              <w:jc w:val="center"/>
              <w:rPr>
                <w:b/>
                <w:bCs/>
                <w:sz w:val="24"/>
                <w:szCs w:val="24"/>
              </w:rPr>
            </w:pPr>
            <w:r>
              <w:rPr>
                <w:b/>
                <w:bCs/>
                <w:sz w:val="24"/>
                <w:szCs w:val="24"/>
              </w:rPr>
              <w:t>7.110,64</w:t>
            </w:r>
          </w:p>
        </w:tc>
        <w:tc>
          <w:tcPr>
            <w:tcW w:w="1056" w:type="dxa"/>
            <w:vAlign w:val="center"/>
          </w:tcPr>
          <w:p w14:paraId="632A15B2" w14:textId="77777777" w:rsidR="00085789" w:rsidRDefault="00000000">
            <w:pPr>
              <w:spacing w:line="240" w:lineRule="auto"/>
              <w:jc w:val="center"/>
              <w:rPr>
                <w:b/>
                <w:bCs/>
                <w:sz w:val="24"/>
                <w:szCs w:val="24"/>
              </w:rPr>
            </w:pPr>
            <w:r>
              <w:rPr>
                <w:b/>
                <w:bCs/>
                <w:sz w:val="24"/>
                <w:szCs w:val="24"/>
              </w:rPr>
              <w:t>7.117,23</w:t>
            </w:r>
          </w:p>
        </w:tc>
        <w:tc>
          <w:tcPr>
            <w:tcW w:w="1056" w:type="dxa"/>
            <w:vAlign w:val="center"/>
          </w:tcPr>
          <w:p w14:paraId="608F392F" w14:textId="77777777" w:rsidR="00085789" w:rsidRDefault="00000000">
            <w:pPr>
              <w:spacing w:line="240" w:lineRule="auto"/>
              <w:jc w:val="center"/>
              <w:rPr>
                <w:b/>
                <w:bCs/>
                <w:sz w:val="24"/>
                <w:szCs w:val="24"/>
              </w:rPr>
            </w:pPr>
            <w:r>
              <w:rPr>
                <w:b/>
                <w:bCs/>
                <w:sz w:val="24"/>
                <w:szCs w:val="24"/>
              </w:rPr>
              <w:t>7.043,41</w:t>
            </w:r>
          </w:p>
        </w:tc>
      </w:tr>
    </w:tbl>
    <w:p w14:paraId="7D8D6C5A" w14:textId="77777777" w:rsidR="00085789" w:rsidRDefault="00085789">
      <w:pPr>
        <w:spacing w:line="240" w:lineRule="auto"/>
        <w:ind w:firstLine="567"/>
        <w:jc w:val="both"/>
        <w:rPr>
          <w:rFonts w:asciiTheme="majorHAnsi" w:hAnsiTheme="majorHAnsi" w:cstheme="majorHAnsi"/>
          <w:i/>
          <w:iCs/>
          <w:sz w:val="24"/>
          <w:szCs w:val="24"/>
        </w:rPr>
      </w:pPr>
    </w:p>
    <w:p w14:paraId="3582B90C" w14:textId="77777777" w:rsidR="00085789" w:rsidRDefault="00000000">
      <w:pPr>
        <w:spacing w:line="240" w:lineRule="auto"/>
        <w:ind w:firstLine="567"/>
        <w:jc w:val="both"/>
        <w:rPr>
          <w:rFonts w:asciiTheme="majorHAnsi" w:hAnsiTheme="majorHAnsi" w:cstheme="majorHAnsi"/>
          <w:i/>
          <w:iCs/>
          <w:sz w:val="24"/>
          <w:szCs w:val="24"/>
          <w:lang w:val="vi-VN"/>
        </w:rPr>
      </w:pPr>
      <w:r>
        <w:rPr>
          <w:rFonts w:asciiTheme="majorHAnsi" w:hAnsiTheme="majorHAnsi" w:cstheme="majorHAnsi"/>
          <w:i/>
          <w:iCs/>
          <w:sz w:val="24"/>
          <w:szCs w:val="24"/>
          <w:lang w:val="vi-VN"/>
        </w:rPr>
        <w:t>Ghi chú:</w:t>
      </w:r>
    </w:p>
    <w:p w14:paraId="7301E10A" w14:textId="65066460" w:rsidR="00085789" w:rsidRDefault="00000000">
      <w:pPr>
        <w:spacing w:line="240" w:lineRule="auto"/>
        <w:ind w:firstLine="567"/>
        <w:jc w:val="both"/>
        <w:rPr>
          <w:i/>
          <w:sz w:val="24"/>
          <w:szCs w:val="24"/>
          <w:lang w:val="vi-VN" w:eastAsia="ja-JP"/>
        </w:rPr>
      </w:pPr>
      <w:r>
        <w:rPr>
          <w:i/>
          <w:sz w:val="24"/>
          <w:szCs w:val="24"/>
          <w:lang w:val="vi-VN" w:eastAsia="ja-JP"/>
        </w:rPr>
        <w:t xml:space="preserve">(1) Định mức tính toán nước thải phát sinh </w:t>
      </w:r>
      <w:r>
        <w:rPr>
          <w:i/>
          <w:sz w:val="24"/>
          <w:szCs w:val="24"/>
          <w:lang w:val="vi-VN"/>
        </w:rPr>
        <w:t xml:space="preserve">áp dụng theo thực tế sử dụng tại trang trại trên địa bàn tỉnh, bò, trâu: </w:t>
      </w:r>
      <w:r>
        <w:rPr>
          <w:rFonts w:asciiTheme="majorHAnsi" w:hAnsiTheme="majorHAnsi" w:cstheme="majorHAnsi"/>
          <w:i/>
          <w:sz w:val="24"/>
          <w:szCs w:val="24"/>
          <w:lang w:val="vi-VN" w:eastAsia="ja-JP"/>
        </w:rPr>
        <w:t>30</w:t>
      </w:r>
      <w:r>
        <w:rPr>
          <w:rFonts w:asciiTheme="majorHAnsi" w:hAnsiTheme="majorHAnsi" w:cstheme="majorHAnsi"/>
          <w:i/>
          <w:sz w:val="24"/>
          <w:szCs w:val="24"/>
          <w:lang w:val="nl-NL" w:eastAsia="ja-JP"/>
        </w:rPr>
        <w:t xml:space="preserve"> lít/con/ngày, </w:t>
      </w:r>
      <w:r>
        <w:rPr>
          <w:i/>
          <w:sz w:val="24"/>
          <w:szCs w:val="24"/>
          <w:lang w:val="vi-VN"/>
        </w:rPr>
        <w:t xml:space="preserve">lợn: </w:t>
      </w:r>
      <w:r>
        <w:rPr>
          <w:rFonts w:asciiTheme="majorHAnsi" w:hAnsiTheme="majorHAnsi" w:cstheme="majorHAnsi"/>
          <w:i/>
          <w:sz w:val="24"/>
          <w:szCs w:val="24"/>
          <w:lang w:val="vi-VN" w:eastAsia="ja-JP"/>
        </w:rPr>
        <w:t>20</w:t>
      </w:r>
      <w:r>
        <w:rPr>
          <w:rFonts w:asciiTheme="majorHAnsi" w:hAnsiTheme="majorHAnsi" w:cstheme="majorHAnsi"/>
          <w:i/>
          <w:sz w:val="24"/>
          <w:szCs w:val="24"/>
          <w:lang w:val="nl-NL" w:eastAsia="ja-JP"/>
        </w:rPr>
        <w:t xml:space="preserve"> lít/con/ngày, hươu: </w:t>
      </w:r>
      <w:r>
        <w:rPr>
          <w:rFonts w:asciiTheme="majorHAnsi" w:hAnsiTheme="majorHAnsi" w:cstheme="majorHAnsi"/>
          <w:i/>
          <w:sz w:val="24"/>
          <w:szCs w:val="24"/>
          <w:lang w:val="vi-VN" w:eastAsia="ja-JP"/>
        </w:rPr>
        <w:t>10</w:t>
      </w:r>
      <w:r>
        <w:rPr>
          <w:rFonts w:asciiTheme="majorHAnsi" w:hAnsiTheme="majorHAnsi" w:cstheme="majorHAnsi"/>
          <w:i/>
          <w:sz w:val="24"/>
          <w:szCs w:val="24"/>
          <w:lang w:val="nl-NL" w:eastAsia="ja-JP"/>
        </w:rPr>
        <w:t xml:space="preserve"> lít/con/ngày, gia cầm: </w:t>
      </w:r>
      <w:r>
        <w:rPr>
          <w:rFonts w:asciiTheme="majorHAnsi" w:hAnsiTheme="majorHAnsi" w:cstheme="majorHAnsi"/>
          <w:i/>
          <w:sz w:val="24"/>
          <w:szCs w:val="24"/>
          <w:lang w:val="vi-VN" w:eastAsia="ja-JP"/>
        </w:rPr>
        <w:t xml:space="preserve">0,4 </w:t>
      </w:r>
      <w:r>
        <w:rPr>
          <w:rFonts w:asciiTheme="majorHAnsi" w:hAnsiTheme="majorHAnsi" w:cstheme="majorHAnsi"/>
          <w:i/>
          <w:sz w:val="24"/>
          <w:szCs w:val="24"/>
          <w:lang w:val="nl-NL" w:eastAsia="ja-JP"/>
        </w:rPr>
        <w:t>lít/con/ngày.</w:t>
      </w:r>
    </w:p>
    <w:p w14:paraId="2A233B1D" w14:textId="77777777" w:rsidR="00085789" w:rsidRDefault="00000000">
      <w:pPr>
        <w:spacing w:line="240" w:lineRule="auto"/>
        <w:ind w:firstLine="567"/>
        <w:jc w:val="both"/>
        <w:rPr>
          <w:i/>
          <w:sz w:val="24"/>
          <w:szCs w:val="24"/>
          <w:lang w:val="vi-VN" w:eastAsia="ja-JP"/>
        </w:rPr>
      </w:pPr>
      <w:r>
        <w:rPr>
          <w:i/>
          <w:sz w:val="24"/>
          <w:szCs w:val="24"/>
          <w:lang w:val="vi-VN" w:eastAsia="ja-JP"/>
        </w:rPr>
        <w:lastRenderedPageBreak/>
        <w:t>(2) Tính toán theo số lượng vật nuôi tại Bảng 1.8.</w:t>
      </w:r>
    </w:p>
    <w:p w14:paraId="249F9264" w14:textId="77777777" w:rsidR="00085789" w:rsidRDefault="00000000">
      <w:pPr>
        <w:spacing w:line="240" w:lineRule="auto"/>
        <w:ind w:firstLine="567"/>
        <w:jc w:val="center"/>
        <w:rPr>
          <w:b/>
          <w:bCs/>
          <w:i/>
          <w:sz w:val="24"/>
          <w:szCs w:val="24"/>
          <w:lang w:eastAsia="ja-JP"/>
        </w:rPr>
      </w:pPr>
      <w:r>
        <w:rPr>
          <w:b/>
          <w:bCs/>
          <w:noProof/>
        </w:rPr>
        <w:drawing>
          <wp:anchor distT="0" distB="0" distL="114300" distR="114300" simplePos="0" relativeHeight="251997696" behindDoc="1" locked="0" layoutInCell="1" allowOverlap="1" wp14:anchorId="27D7B9F8" wp14:editId="1A062694">
            <wp:simplePos x="0" y="0"/>
            <wp:positionH relativeFrom="margin">
              <wp:posOffset>240030</wp:posOffset>
            </wp:positionH>
            <wp:positionV relativeFrom="paragraph">
              <wp:posOffset>3810</wp:posOffset>
            </wp:positionV>
            <wp:extent cx="5641340" cy="2607310"/>
            <wp:effectExtent l="0" t="0" r="16510" b="2540"/>
            <wp:wrapTight wrapText="bothSides">
              <wp:wrapPolygon edited="0">
                <wp:start x="0" y="0"/>
                <wp:lineTo x="0" y="21463"/>
                <wp:lineTo x="21590" y="21463"/>
                <wp:lineTo x="21590" y="0"/>
                <wp:lineTo x="0" y="0"/>
              </wp:wrapPolygon>
            </wp:wrapTight>
            <wp:docPr id="1263333863" name="Chart 1">
              <a:extLst xmlns:a="http://schemas.openxmlformats.org/drawingml/2006/main">
                <a:ext uri="{FF2B5EF4-FFF2-40B4-BE49-F238E27FC236}">
                  <a16:creationId xmlns:a16="http://schemas.microsoft.com/office/drawing/2014/main" id="{7F91AE27-B669-6489-70CA-67F2054197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bookmarkStart w:id="319" w:name="_Toc205915680"/>
      <w:r>
        <w:rPr>
          <w:b/>
          <w:bCs/>
          <w:lang w:val="nl-NL"/>
        </w:rPr>
        <w:t xml:space="preserve">Hình 2.1. </w:t>
      </w:r>
      <w:r>
        <w:rPr>
          <w:b/>
          <w:bCs/>
          <w:lang w:val="vi-VN"/>
        </w:rPr>
        <w:t>Diễn biến nước thải chăn nuôi phát sinh từ năm 2020-2025</w:t>
      </w:r>
      <w:bookmarkEnd w:id="319"/>
    </w:p>
    <w:p w14:paraId="18BFCB6A" w14:textId="77777777" w:rsidR="00085789" w:rsidRDefault="00085789">
      <w:pPr>
        <w:pStyle w:val="-bac4"/>
        <w:spacing w:before="80" w:after="0" w:line="240" w:lineRule="auto"/>
        <w:jc w:val="both"/>
        <w:rPr>
          <w:b w:val="0"/>
          <w:sz w:val="4"/>
          <w:szCs w:val="2"/>
          <w:lang w:val="nl-NL"/>
        </w:rPr>
      </w:pPr>
    </w:p>
    <w:p w14:paraId="10EB671F" w14:textId="254088FB" w:rsidR="00085789" w:rsidRDefault="00000000">
      <w:pPr>
        <w:pStyle w:val="-bac4"/>
        <w:tabs>
          <w:tab w:val="clear" w:pos="4320"/>
          <w:tab w:val="clear" w:pos="8640"/>
        </w:tabs>
        <w:spacing w:before="80" w:after="0" w:line="240" w:lineRule="auto"/>
        <w:jc w:val="both"/>
      </w:pPr>
      <w:bookmarkStart w:id="320" w:name="_Toc213597375"/>
      <w:bookmarkStart w:id="321" w:name="_Toc213600743"/>
      <w:r>
        <w:rPr>
          <w:b w:val="0"/>
          <w:lang w:val="nl-NL"/>
        </w:rPr>
        <w:tab/>
        <w:t>Từ năm 2021 đến 2025, lưu lượng nước thải phát sinh từ chăn nuôi lợn luôn cao nhất, dao động trong khoảng 2,96 - 2,98 triệu m³/năm, chiếm khoảng 41 % tổng lượng nước thải chăn nuôi. Đứng sau là chăn nuôi bò, tiếp đến là gia cầm, trâu và thấp nhất là hươu với mức 0,13746 - 0,18367 triệu m³/năm. Như vậy, trong các đối tượng vật nuôi (lợn, bò, trâu, hươu và gia cầm), chăn nuôi lợn được xác định là nguồn phát sinh nước thải lớn nhất, gây áp lực ô nhiễm môi trường cao nhất.</w:t>
      </w:r>
      <w:bookmarkEnd w:id="320"/>
      <w:bookmarkEnd w:id="321"/>
    </w:p>
    <w:p w14:paraId="31DFB9EC" w14:textId="77777777" w:rsidR="00085789" w:rsidRDefault="00000000">
      <w:pPr>
        <w:pStyle w:val="Hd2-hinh"/>
        <w:spacing w:before="80" w:after="0" w:line="240" w:lineRule="auto"/>
        <w:ind w:left="567"/>
        <w:jc w:val="left"/>
        <w:rPr>
          <w:rFonts w:asciiTheme="majorHAnsi" w:hAnsiTheme="majorHAnsi" w:cstheme="majorHAnsi"/>
          <w:color w:val="auto"/>
          <w:sz w:val="26"/>
          <w:lang w:val="nl-NL"/>
        </w:rPr>
      </w:pPr>
      <w:r>
        <w:rPr>
          <w:rFonts w:asciiTheme="majorHAnsi" w:hAnsiTheme="majorHAnsi" w:cstheme="majorHAnsi"/>
          <w:color w:val="auto"/>
          <w:sz w:val="26"/>
          <w:lang w:val="nl-NL"/>
        </w:rPr>
        <w:t>* Đối với chất thải rắn:</w:t>
      </w:r>
    </w:p>
    <w:p w14:paraId="6EEC6C45" w14:textId="77777777" w:rsidR="00085789" w:rsidRDefault="00000000">
      <w:pPr>
        <w:spacing w:before="80" w:line="240" w:lineRule="auto"/>
        <w:ind w:firstLine="709"/>
        <w:jc w:val="both"/>
        <w:rPr>
          <w:rFonts w:asciiTheme="majorHAnsi" w:hAnsiTheme="majorHAnsi" w:cstheme="majorHAnsi"/>
          <w:sz w:val="26"/>
          <w:szCs w:val="26"/>
          <w:lang w:val="nl-NL"/>
        </w:rPr>
      </w:pPr>
      <w:r>
        <w:rPr>
          <w:rFonts w:asciiTheme="majorHAnsi" w:hAnsiTheme="majorHAnsi" w:cstheme="majorHAnsi"/>
          <w:sz w:val="26"/>
          <w:szCs w:val="26"/>
          <w:lang w:val="nl-NL"/>
        </w:rPr>
        <w:t xml:space="preserve">Chất thải rắn từ hoạt động chăn nuôi gia súc, gia cầm chủ yếu gồm: phân, vật liệu lót chuồng, thức ăn dư thừa, xác vật nuôi chết, vỏ đựng bao bì, hóa chất,… Thức ăn dư thừa và vật liệu lót chuồng có thành phần đa dạng gồm cám, bột ngũ cốc, bột cá, bột tôm, khoáng, chất bổ sung, các loại kháng sinh, rau xanh, cỏ, rơm rạ, mạc cưa,…. Thành phần của CTR phụ thuộc vào nguồn gốc chất thải, điều kiện dinh dưỡng, chủ yếu là hỗn hợp các chất hữu cơ, vô cơ, vi sinh vật, trứng ký sinh trùng,…. </w:t>
      </w:r>
      <w:r>
        <w:rPr>
          <w:spacing w:val="-6"/>
          <w:sz w:val="26"/>
          <w:szCs w:val="26"/>
          <w:lang w:val="nl-NL"/>
        </w:rPr>
        <w:t>Ước tính trong giai đoạn 2020-2025</w:t>
      </w:r>
      <w:r>
        <w:rPr>
          <w:sz w:val="26"/>
          <w:szCs w:val="26"/>
          <w:lang w:val="nl-NL"/>
        </w:rPr>
        <w:t>, tổng khối lượng CTR chăn nuôi phát sinh là 8,927 triệu tấn, cụ thể như sau:</w:t>
      </w:r>
    </w:p>
    <w:p w14:paraId="7F029597" w14:textId="77777777" w:rsidR="00085789" w:rsidRDefault="00000000">
      <w:pPr>
        <w:pStyle w:val="-bac4"/>
        <w:rPr>
          <w:lang w:val="nl-NL"/>
        </w:rPr>
      </w:pPr>
      <w:bookmarkStart w:id="322" w:name="_Toc205915681"/>
      <w:bookmarkStart w:id="323" w:name="_Toc213597376"/>
      <w:bookmarkStart w:id="324" w:name="_Toc213600744"/>
      <w:r>
        <w:rPr>
          <w:lang w:val="nl-NL"/>
        </w:rPr>
        <w:t>Bảng 2.7. Khối lượng chất thải rắn chăn nuôi từ năm 2020-2025</w:t>
      </w:r>
      <w:bookmarkEnd w:id="322"/>
      <w:bookmarkEnd w:id="323"/>
      <w:bookmarkEnd w:id="324"/>
    </w:p>
    <w:p w14:paraId="2131ABE2" w14:textId="77777777" w:rsidR="00085789" w:rsidRDefault="00000000">
      <w:pPr>
        <w:autoSpaceDE w:val="0"/>
        <w:autoSpaceDN w:val="0"/>
        <w:adjustRightInd w:val="0"/>
        <w:spacing w:line="360" w:lineRule="exact"/>
        <w:ind w:firstLine="567"/>
        <w:jc w:val="right"/>
        <w:rPr>
          <w:rFonts w:asciiTheme="majorHAnsi" w:hAnsiTheme="majorHAnsi" w:cstheme="majorHAnsi"/>
          <w:i/>
          <w:iCs/>
          <w:sz w:val="26"/>
          <w:szCs w:val="26"/>
          <w:lang w:val="nl-NL"/>
        </w:rPr>
      </w:pPr>
      <w:r>
        <w:rPr>
          <w:rFonts w:asciiTheme="majorHAnsi" w:hAnsiTheme="majorHAnsi" w:cstheme="majorHAnsi"/>
          <w:i/>
          <w:iCs/>
          <w:sz w:val="26"/>
          <w:szCs w:val="26"/>
          <w:lang w:val="nl-NL"/>
        </w:rPr>
        <w:t>(đơn vị: nghìn tấn/năm)</w:t>
      </w:r>
    </w:p>
    <w:tbl>
      <w:tblPr>
        <w:tblStyle w:val="TableGrid"/>
        <w:tblW w:w="0" w:type="auto"/>
        <w:jc w:val="center"/>
        <w:tblLook w:val="04A0" w:firstRow="1" w:lastRow="0" w:firstColumn="1" w:lastColumn="0" w:noHBand="0" w:noVBand="1"/>
      </w:tblPr>
      <w:tblGrid>
        <w:gridCol w:w="691"/>
        <w:gridCol w:w="1998"/>
        <w:gridCol w:w="1134"/>
        <w:gridCol w:w="1134"/>
        <w:gridCol w:w="1079"/>
        <w:gridCol w:w="1056"/>
        <w:gridCol w:w="1056"/>
        <w:gridCol w:w="1056"/>
      </w:tblGrid>
      <w:tr w:rsidR="00085789" w14:paraId="77A502A5" w14:textId="77777777">
        <w:trPr>
          <w:trHeight w:val="561"/>
          <w:tblHeader/>
          <w:jc w:val="center"/>
        </w:trPr>
        <w:tc>
          <w:tcPr>
            <w:tcW w:w="691" w:type="dxa"/>
            <w:vAlign w:val="center"/>
          </w:tcPr>
          <w:p w14:paraId="099BB17B"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STT</w:t>
            </w:r>
          </w:p>
        </w:tc>
        <w:tc>
          <w:tcPr>
            <w:tcW w:w="1998" w:type="dxa"/>
            <w:tcBorders>
              <w:tl2br w:val="single" w:sz="4" w:space="0" w:color="auto"/>
            </w:tcBorders>
            <w:vAlign w:val="center"/>
          </w:tcPr>
          <w:p w14:paraId="34F46DE3"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 xml:space="preserve">              Năm</w:t>
            </w:r>
          </w:p>
          <w:p w14:paraId="20286BC4" w14:textId="77777777" w:rsidR="00085789" w:rsidRDefault="00000000">
            <w:pPr>
              <w:spacing w:line="360" w:lineRule="exact"/>
              <w:rPr>
                <w:rFonts w:asciiTheme="majorHAnsi" w:hAnsiTheme="majorHAnsi" w:cstheme="majorHAnsi"/>
                <w:b/>
                <w:sz w:val="24"/>
                <w:szCs w:val="24"/>
              </w:rPr>
            </w:pPr>
            <w:r>
              <w:rPr>
                <w:rFonts w:asciiTheme="majorHAnsi" w:hAnsiTheme="majorHAnsi" w:cstheme="majorHAnsi"/>
                <w:b/>
                <w:sz w:val="24"/>
                <w:szCs w:val="24"/>
              </w:rPr>
              <w:t xml:space="preserve">Vật nuôi </w:t>
            </w:r>
          </w:p>
        </w:tc>
        <w:tc>
          <w:tcPr>
            <w:tcW w:w="1134" w:type="dxa"/>
            <w:vAlign w:val="center"/>
          </w:tcPr>
          <w:p w14:paraId="49BB10EC"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2020</w:t>
            </w:r>
          </w:p>
        </w:tc>
        <w:tc>
          <w:tcPr>
            <w:tcW w:w="1134" w:type="dxa"/>
            <w:vAlign w:val="center"/>
          </w:tcPr>
          <w:p w14:paraId="28851BF5"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b/>
                <w:sz w:val="24"/>
                <w:szCs w:val="24"/>
              </w:rPr>
              <w:t>2021</w:t>
            </w:r>
          </w:p>
        </w:tc>
        <w:tc>
          <w:tcPr>
            <w:tcW w:w="1079" w:type="dxa"/>
            <w:vAlign w:val="center"/>
          </w:tcPr>
          <w:p w14:paraId="158E40E7"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2022</w:t>
            </w:r>
          </w:p>
        </w:tc>
        <w:tc>
          <w:tcPr>
            <w:tcW w:w="996" w:type="dxa"/>
            <w:vAlign w:val="center"/>
          </w:tcPr>
          <w:p w14:paraId="0D5C888E"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2023</w:t>
            </w:r>
          </w:p>
        </w:tc>
        <w:tc>
          <w:tcPr>
            <w:tcW w:w="996" w:type="dxa"/>
            <w:vAlign w:val="center"/>
          </w:tcPr>
          <w:p w14:paraId="31EF70A0"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2024</w:t>
            </w:r>
          </w:p>
        </w:tc>
        <w:tc>
          <w:tcPr>
            <w:tcW w:w="1034" w:type="dxa"/>
            <w:vAlign w:val="center"/>
          </w:tcPr>
          <w:p w14:paraId="49C07713" w14:textId="77777777" w:rsidR="00085789" w:rsidRDefault="00000000">
            <w:pPr>
              <w:spacing w:line="240" w:lineRule="auto"/>
              <w:jc w:val="center"/>
              <w:rPr>
                <w:rFonts w:asciiTheme="majorHAnsi" w:hAnsiTheme="majorHAnsi" w:cstheme="majorHAnsi"/>
                <w:b/>
                <w:sz w:val="24"/>
                <w:szCs w:val="24"/>
              </w:rPr>
            </w:pPr>
            <w:r>
              <w:rPr>
                <w:rFonts w:asciiTheme="majorHAnsi" w:hAnsiTheme="majorHAnsi" w:cstheme="majorHAnsi"/>
                <w:b/>
                <w:sz w:val="24"/>
                <w:szCs w:val="24"/>
              </w:rPr>
              <w:t>2025 (ước cả năm)</w:t>
            </w:r>
          </w:p>
        </w:tc>
      </w:tr>
      <w:tr w:rsidR="00085789" w14:paraId="1D454B09" w14:textId="77777777">
        <w:trPr>
          <w:jc w:val="center"/>
        </w:trPr>
        <w:tc>
          <w:tcPr>
            <w:tcW w:w="691" w:type="dxa"/>
            <w:vAlign w:val="center"/>
          </w:tcPr>
          <w:p w14:paraId="10635F9E"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1</w:t>
            </w:r>
          </w:p>
        </w:tc>
        <w:tc>
          <w:tcPr>
            <w:tcW w:w="1998" w:type="dxa"/>
            <w:vAlign w:val="center"/>
          </w:tcPr>
          <w:p w14:paraId="4F57E49F" w14:textId="77777777" w:rsidR="00085789" w:rsidRDefault="00000000">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Lợn </w:t>
            </w:r>
          </w:p>
        </w:tc>
        <w:tc>
          <w:tcPr>
            <w:tcW w:w="1134" w:type="dxa"/>
            <w:vAlign w:val="center"/>
          </w:tcPr>
          <w:p w14:paraId="79EA98C0"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296</w:t>
            </w:r>
          </w:p>
        </w:tc>
        <w:tc>
          <w:tcPr>
            <w:tcW w:w="1134" w:type="dxa"/>
            <w:vAlign w:val="center"/>
          </w:tcPr>
          <w:p w14:paraId="37F2FAA8"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298</w:t>
            </w:r>
          </w:p>
        </w:tc>
        <w:tc>
          <w:tcPr>
            <w:tcW w:w="1079" w:type="dxa"/>
            <w:vAlign w:val="center"/>
          </w:tcPr>
          <w:p w14:paraId="7F86D113"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289</w:t>
            </w:r>
          </w:p>
        </w:tc>
        <w:tc>
          <w:tcPr>
            <w:tcW w:w="996" w:type="dxa"/>
            <w:vAlign w:val="center"/>
          </w:tcPr>
          <w:p w14:paraId="720FC221"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292</w:t>
            </w:r>
          </w:p>
        </w:tc>
        <w:tc>
          <w:tcPr>
            <w:tcW w:w="996" w:type="dxa"/>
            <w:vAlign w:val="center"/>
          </w:tcPr>
          <w:p w14:paraId="6197727C"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296</w:t>
            </w:r>
          </w:p>
        </w:tc>
        <w:tc>
          <w:tcPr>
            <w:tcW w:w="1034" w:type="dxa"/>
            <w:vAlign w:val="center"/>
          </w:tcPr>
          <w:p w14:paraId="0A0FDAB0"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296</w:t>
            </w:r>
          </w:p>
        </w:tc>
      </w:tr>
      <w:tr w:rsidR="00085789" w14:paraId="409B1117" w14:textId="77777777">
        <w:trPr>
          <w:jc w:val="center"/>
        </w:trPr>
        <w:tc>
          <w:tcPr>
            <w:tcW w:w="691" w:type="dxa"/>
            <w:vAlign w:val="center"/>
          </w:tcPr>
          <w:p w14:paraId="065C5B7C"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2</w:t>
            </w:r>
          </w:p>
        </w:tc>
        <w:tc>
          <w:tcPr>
            <w:tcW w:w="1998" w:type="dxa"/>
            <w:vAlign w:val="center"/>
          </w:tcPr>
          <w:p w14:paraId="202E54E7" w14:textId="77777777" w:rsidR="00085789" w:rsidRDefault="00000000">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Bò </w:t>
            </w:r>
          </w:p>
        </w:tc>
        <w:tc>
          <w:tcPr>
            <w:tcW w:w="1134" w:type="dxa"/>
            <w:vAlign w:val="center"/>
          </w:tcPr>
          <w:p w14:paraId="2C7BE5E1"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617</w:t>
            </w:r>
          </w:p>
        </w:tc>
        <w:tc>
          <w:tcPr>
            <w:tcW w:w="1134" w:type="dxa"/>
            <w:vAlign w:val="center"/>
          </w:tcPr>
          <w:p w14:paraId="282EB8EA"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609</w:t>
            </w:r>
          </w:p>
        </w:tc>
        <w:tc>
          <w:tcPr>
            <w:tcW w:w="1079" w:type="dxa"/>
            <w:vAlign w:val="center"/>
          </w:tcPr>
          <w:p w14:paraId="2378AA1F"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613</w:t>
            </w:r>
          </w:p>
        </w:tc>
        <w:tc>
          <w:tcPr>
            <w:tcW w:w="996" w:type="dxa"/>
            <w:vAlign w:val="center"/>
          </w:tcPr>
          <w:p w14:paraId="67233B2E"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599</w:t>
            </w:r>
          </w:p>
        </w:tc>
        <w:tc>
          <w:tcPr>
            <w:tcW w:w="996" w:type="dxa"/>
            <w:vAlign w:val="center"/>
          </w:tcPr>
          <w:p w14:paraId="4DA23E55"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588</w:t>
            </w:r>
          </w:p>
        </w:tc>
        <w:tc>
          <w:tcPr>
            <w:tcW w:w="1034" w:type="dxa"/>
            <w:vAlign w:val="center"/>
          </w:tcPr>
          <w:p w14:paraId="643E2EEC"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569</w:t>
            </w:r>
          </w:p>
        </w:tc>
      </w:tr>
      <w:tr w:rsidR="00085789" w14:paraId="40FE0E2B" w14:textId="77777777">
        <w:trPr>
          <w:jc w:val="center"/>
        </w:trPr>
        <w:tc>
          <w:tcPr>
            <w:tcW w:w="691" w:type="dxa"/>
            <w:vAlign w:val="center"/>
          </w:tcPr>
          <w:p w14:paraId="17EB74C7"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3</w:t>
            </w:r>
          </w:p>
        </w:tc>
        <w:tc>
          <w:tcPr>
            <w:tcW w:w="1998" w:type="dxa"/>
            <w:vAlign w:val="center"/>
          </w:tcPr>
          <w:p w14:paraId="3EEBAC77" w14:textId="77777777" w:rsidR="00085789" w:rsidRDefault="00000000">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Hươu </w:t>
            </w:r>
          </w:p>
        </w:tc>
        <w:tc>
          <w:tcPr>
            <w:tcW w:w="1134" w:type="dxa"/>
            <w:vAlign w:val="center"/>
          </w:tcPr>
          <w:p w14:paraId="72443794"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41</w:t>
            </w:r>
          </w:p>
        </w:tc>
        <w:tc>
          <w:tcPr>
            <w:tcW w:w="1134" w:type="dxa"/>
            <w:vAlign w:val="center"/>
          </w:tcPr>
          <w:p w14:paraId="3E152D9D"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41</w:t>
            </w:r>
          </w:p>
        </w:tc>
        <w:tc>
          <w:tcPr>
            <w:tcW w:w="1079" w:type="dxa"/>
            <w:vAlign w:val="center"/>
          </w:tcPr>
          <w:p w14:paraId="4D83BBD2"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44</w:t>
            </w:r>
          </w:p>
        </w:tc>
        <w:tc>
          <w:tcPr>
            <w:tcW w:w="996" w:type="dxa"/>
            <w:vAlign w:val="center"/>
          </w:tcPr>
          <w:p w14:paraId="51C954AF"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55</w:t>
            </w:r>
          </w:p>
        </w:tc>
        <w:tc>
          <w:tcPr>
            <w:tcW w:w="996" w:type="dxa"/>
            <w:vAlign w:val="center"/>
          </w:tcPr>
          <w:p w14:paraId="33C29EE8"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55</w:t>
            </w:r>
          </w:p>
        </w:tc>
        <w:tc>
          <w:tcPr>
            <w:tcW w:w="1034" w:type="dxa"/>
            <w:vAlign w:val="center"/>
          </w:tcPr>
          <w:p w14:paraId="4C57023F"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56</w:t>
            </w:r>
          </w:p>
        </w:tc>
      </w:tr>
      <w:tr w:rsidR="00085789" w14:paraId="07B6778E" w14:textId="77777777">
        <w:trPr>
          <w:jc w:val="center"/>
        </w:trPr>
        <w:tc>
          <w:tcPr>
            <w:tcW w:w="691" w:type="dxa"/>
            <w:vAlign w:val="center"/>
          </w:tcPr>
          <w:p w14:paraId="6D7254F2"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4</w:t>
            </w:r>
          </w:p>
        </w:tc>
        <w:tc>
          <w:tcPr>
            <w:tcW w:w="1998" w:type="dxa"/>
            <w:vAlign w:val="center"/>
          </w:tcPr>
          <w:p w14:paraId="5631B323" w14:textId="77777777" w:rsidR="00085789" w:rsidRDefault="00000000">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Trâu </w:t>
            </w:r>
          </w:p>
        </w:tc>
        <w:tc>
          <w:tcPr>
            <w:tcW w:w="1134" w:type="dxa"/>
            <w:vAlign w:val="center"/>
          </w:tcPr>
          <w:p w14:paraId="4BB21CDB"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368</w:t>
            </w:r>
          </w:p>
        </w:tc>
        <w:tc>
          <w:tcPr>
            <w:tcW w:w="1134" w:type="dxa"/>
            <w:vAlign w:val="center"/>
          </w:tcPr>
          <w:p w14:paraId="0B09E0EB"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368</w:t>
            </w:r>
          </w:p>
        </w:tc>
        <w:tc>
          <w:tcPr>
            <w:tcW w:w="1079" w:type="dxa"/>
            <w:vAlign w:val="center"/>
          </w:tcPr>
          <w:p w14:paraId="1506454E"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372</w:t>
            </w:r>
          </w:p>
        </w:tc>
        <w:tc>
          <w:tcPr>
            <w:tcW w:w="996" w:type="dxa"/>
            <w:vAlign w:val="center"/>
          </w:tcPr>
          <w:p w14:paraId="2C9D8213"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357</w:t>
            </w:r>
          </w:p>
        </w:tc>
        <w:tc>
          <w:tcPr>
            <w:tcW w:w="996" w:type="dxa"/>
            <w:vAlign w:val="center"/>
          </w:tcPr>
          <w:p w14:paraId="3193EA58"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357</w:t>
            </w:r>
          </w:p>
        </w:tc>
        <w:tc>
          <w:tcPr>
            <w:tcW w:w="1034" w:type="dxa"/>
            <w:vAlign w:val="center"/>
          </w:tcPr>
          <w:p w14:paraId="12920AD6"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337</w:t>
            </w:r>
          </w:p>
        </w:tc>
      </w:tr>
      <w:tr w:rsidR="00085789" w14:paraId="2262898E" w14:textId="77777777">
        <w:trPr>
          <w:trHeight w:val="347"/>
          <w:jc w:val="center"/>
        </w:trPr>
        <w:tc>
          <w:tcPr>
            <w:tcW w:w="691" w:type="dxa"/>
            <w:vAlign w:val="center"/>
          </w:tcPr>
          <w:p w14:paraId="7E1544D2"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5</w:t>
            </w:r>
          </w:p>
        </w:tc>
        <w:tc>
          <w:tcPr>
            <w:tcW w:w="1998" w:type="dxa"/>
            <w:vAlign w:val="center"/>
          </w:tcPr>
          <w:p w14:paraId="10FE1C03" w14:textId="77777777" w:rsidR="00085789" w:rsidRDefault="00000000">
            <w:pPr>
              <w:spacing w:line="360" w:lineRule="exact"/>
              <w:rPr>
                <w:rFonts w:asciiTheme="majorHAnsi" w:hAnsiTheme="majorHAnsi" w:cstheme="majorHAnsi"/>
                <w:bCs/>
                <w:sz w:val="24"/>
                <w:szCs w:val="24"/>
              </w:rPr>
            </w:pPr>
            <w:r>
              <w:rPr>
                <w:rFonts w:asciiTheme="majorHAnsi" w:hAnsiTheme="majorHAnsi" w:cstheme="majorHAnsi"/>
                <w:bCs/>
                <w:sz w:val="24"/>
                <w:szCs w:val="24"/>
              </w:rPr>
              <w:t xml:space="preserve">Gia cầm </w:t>
            </w:r>
          </w:p>
        </w:tc>
        <w:tc>
          <w:tcPr>
            <w:tcW w:w="1134" w:type="dxa"/>
            <w:vAlign w:val="center"/>
          </w:tcPr>
          <w:p w14:paraId="7F854BF8"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184,07</w:t>
            </w:r>
          </w:p>
        </w:tc>
        <w:tc>
          <w:tcPr>
            <w:tcW w:w="1134" w:type="dxa"/>
            <w:vAlign w:val="center"/>
          </w:tcPr>
          <w:p w14:paraId="37C061BB" w14:textId="77777777" w:rsidR="00085789" w:rsidRDefault="00000000">
            <w:pPr>
              <w:spacing w:line="240" w:lineRule="auto"/>
              <w:jc w:val="center"/>
              <w:rPr>
                <w:rFonts w:asciiTheme="majorHAnsi" w:hAnsiTheme="majorHAnsi" w:cstheme="majorHAnsi"/>
                <w:sz w:val="24"/>
                <w:szCs w:val="24"/>
              </w:rPr>
            </w:pPr>
            <w:r>
              <w:rPr>
                <w:rFonts w:asciiTheme="majorHAnsi" w:hAnsiTheme="majorHAnsi" w:cstheme="majorHAnsi"/>
                <w:sz w:val="24"/>
                <w:szCs w:val="24"/>
              </w:rPr>
              <w:t>184,34</w:t>
            </w:r>
          </w:p>
        </w:tc>
        <w:tc>
          <w:tcPr>
            <w:tcW w:w="1079" w:type="dxa"/>
            <w:vAlign w:val="center"/>
          </w:tcPr>
          <w:p w14:paraId="6A72077E"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181,64</w:t>
            </w:r>
          </w:p>
        </w:tc>
        <w:tc>
          <w:tcPr>
            <w:tcW w:w="996" w:type="dxa"/>
            <w:vAlign w:val="center"/>
          </w:tcPr>
          <w:p w14:paraId="33964E55"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187,03</w:t>
            </w:r>
          </w:p>
        </w:tc>
        <w:tc>
          <w:tcPr>
            <w:tcW w:w="996" w:type="dxa"/>
            <w:vAlign w:val="center"/>
          </w:tcPr>
          <w:p w14:paraId="2847D963"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187,03</w:t>
            </w:r>
          </w:p>
        </w:tc>
        <w:tc>
          <w:tcPr>
            <w:tcW w:w="1034" w:type="dxa"/>
            <w:vAlign w:val="center"/>
          </w:tcPr>
          <w:p w14:paraId="676B81E1"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189,44</w:t>
            </w:r>
          </w:p>
        </w:tc>
      </w:tr>
      <w:tr w:rsidR="00085789" w14:paraId="7A49BE16" w14:textId="77777777">
        <w:trPr>
          <w:trHeight w:val="450"/>
          <w:jc w:val="center"/>
        </w:trPr>
        <w:tc>
          <w:tcPr>
            <w:tcW w:w="691" w:type="dxa"/>
            <w:vAlign w:val="center"/>
          </w:tcPr>
          <w:p w14:paraId="3943C6E2" w14:textId="77777777" w:rsidR="00085789" w:rsidRDefault="00085789">
            <w:pPr>
              <w:spacing w:line="360" w:lineRule="exact"/>
              <w:jc w:val="center"/>
              <w:rPr>
                <w:rFonts w:asciiTheme="majorHAnsi" w:hAnsiTheme="majorHAnsi" w:cstheme="majorHAnsi"/>
                <w:sz w:val="24"/>
                <w:szCs w:val="24"/>
              </w:rPr>
            </w:pPr>
          </w:p>
        </w:tc>
        <w:tc>
          <w:tcPr>
            <w:tcW w:w="1998" w:type="dxa"/>
            <w:vAlign w:val="center"/>
          </w:tcPr>
          <w:p w14:paraId="78318BB6" w14:textId="77777777" w:rsidR="00085789" w:rsidRDefault="00000000">
            <w:pPr>
              <w:spacing w:line="240" w:lineRule="auto"/>
              <w:rPr>
                <w:rFonts w:asciiTheme="majorHAnsi" w:hAnsiTheme="majorHAnsi" w:cstheme="majorHAnsi"/>
                <w:b/>
                <w:spacing w:val="-6"/>
                <w:sz w:val="24"/>
                <w:szCs w:val="24"/>
              </w:rPr>
            </w:pPr>
            <w:r>
              <w:rPr>
                <w:rFonts w:asciiTheme="majorHAnsi" w:hAnsiTheme="majorHAnsi" w:cstheme="majorHAnsi"/>
                <w:b/>
                <w:spacing w:val="-6"/>
                <w:sz w:val="24"/>
                <w:szCs w:val="24"/>
              </w:rPr>
              <w:t>TỔNG</w:t>
            </w:r>
          </w:p>
        </w:tc>
        <w:tc>
          <w:tcPr>
            <w:tcW w:w="1134" w:type="dxa"/>
            <w:vAlign w:val="center"/>
          </w:tcPr>
          <w:p w14:paraId="1FC9CD7D" w14:textId="77777777" w:rsidR="00085789" w:rsidRDefault="00000000">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1.506,33</w:t>
            </w:r>
          </w:p>
        </w:tc>
        <w:tc>
          <w:tcPr>
            <w:tcW w:w="1134" w:type="dxa"/>
            <w:vAlign w:val="center"/>
          </w:tcPr>
          <w:p w14:paraId="1BDCFE5E" w14:textId="77777777" w:rsidR="00085789" w:rsidRDefault="00000000">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1.501,09</w:t>
            </w:r>
          </w:p>
        </w:tc>
        <w:tc>
          <w:tcPr>
            <w:tcW w:w="1079" w:type="dxa"/>
            <w:vAlign w:val="center"/>
          </w:tcPr>
          <w:p w14:paraId="08171A58" w14:textId="77777777" w:rsidR="00085789" w:rsidRDefault="00000000">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1.499,41</w:t>
            </w:r>
          </w:p>
        </w:tc>
        <w:tc>
          <w:tcPr>
            <w:tcW w:w="996" w:type="dxa"/>
            <w:vAlign w:val="center"/>
          </w:tcPr>
          <w:p w14:paraId="795A4C4D" w14:textId="77777777" w:rsidR="00085789" w:rsidRDefault="00000000">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1.489,94</w:t>
            </w:r>
          </w:p>
        </w:tc>
        <w:tc>
          <w:tcPr>
            <w:tcW w:w="996" w:type="dxa"/>
            <w:vAlign w:val="center"/>
          </w:tcPr>
          <w:p w14:paraId="182E17DE" w14:textId="77777777" w:rsidR="00085789" w:rsidRDefault="00000000">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1.483,30</w:t>
            </w:r>
          </w:p>
        </w:tc>
        <w:tc>
          <w:tcPr>
            <w:tcW w:w="1034" w:type="dxa"/>
            <w:vAlign w:val="center"/>
          </w:tcPr>
          <w:p w14:paraId="3B5656B9" w14:textId="77777777" w:rsidR="00085789" w:rsidRDefault="00000000">
            <w:pPr>
              <w:spacing w:line="240" w:lineRule="auto"/>
              <w:jc w:val="center"/>
              <w:rPr>
                <w:rFonts w:asciiTheme="majorHAnsi" w:hAnsiTheme="majorHAnsi" w:cstheme="majorHAnsi"/>
                <w:b/>
                <w:bCs/>
                <w:sz w:val="24"/>
                <w:szCs w:val="24"/>
              </w:rPr>
            </w:pPr>
            <w:r>
              <w:rPr>
                <w:rFonts w:asciiTheme="majorHAnsi" w:hAnsiTheme="majorHAnsi" w:cstheme="majorHAnsi"/>
                <w:b/>
                <w:bCs/>
                <w:sz w:val="24"/>
                <w:szCs w:val="24"/>
              </w:rPr>
              <w:t>1.447,41</w:t>
            </w:r>
          </w:p>
        </w:tc>
      </w:tr>
    </w:tbl>
    <w:p w14:paraId="7A0E4BBF" w14:textId="77777777" w:rsidR="00085789" w:rsidRDefault="00000000">
      <w:pPr>
        <w:ind w:firstLine="720"/>
        <w:jc w:val="both"/>
        <w:rPr>
          <w:i/>
          <w:sz w:val="24"/>
          <w:szCs w:val="24"/>
          <w:lang w:val="nl-NL" w:eastAsia="ja-JP"/>
        </w:rPr>
      </w:pPr>
      <w:r>
        <w:rPr>
          <w:rFonts w:asciiTheme="majorHAnsi" w:hAnsiTheme="majorHAnsi" w:cstheme="majorHAnsi"/>
          <w:i/>
          <w:sz w:val="24"/>
          <w:szCs w:val="24"/>
          <w:lang w:eastAsia="ja-JP"/>
        </w:rPr>
        <w:t xml:space="preserve">(1) Định mức tính toán lượng chất thải rắn phát sinh từ chăn nuôi được tính toán như sau: </w:t>
      </w:r>
      <w:r>
        <w:rPr>
          <w:rFonts w:asciiTheme="majorHAnsi" w:hAnsiTheme="majorHAnsi" w:cstheme="majorHAnsi"/>
          <w:i/>
          <w:sz w:val="24"/>
          <w:szCs w:val="24"/>
        </w:rPr>
        <w:t xml:space="preserve">bò: 10 </w:t>
      </w:r>
      <w:r>
        <w:rPr>
          <w:rFonts w:asciiTheme="majorHAnsi" w:hAnsiTheme="majorHAnsi" w:cstheme="majorHAnsi"/>
          <w:i/>
          <w:sz w:val="24"/>
          <w:szCs w:val="24"/>
          <w:lang w:val="nl-NL"/>
        </w:rPr>
        <w:t>(kg/con/ngày)</w:t>
      </w:r>
      <w:r>
        <w:rPr>
          <w:rFonts w:asciiTheme="majorHAnsi" w:hAnsiTheme="majorHAnsi" w:cstheme="majorHAnsi"/>
          <w:i/>
          <w:sz w:val="24"/>
          <w:szCs w:val="24"/>
        </w:rPr>
        <w:t xml:space="preserve">, trâu: 150 </w:t>
      </w:r>
      <w:r>
        <w:rPr>
          <w:rFonts w:asciiTheme="majorHAnsi" w:hAnsiTheme="majorHAnsi" w:cstheme="majorHAnsi"/>
          <w:i/>
          <w:sz w:val="24"/>
          <w:szCs w:val="24"/>
          <w:lang w:val="nl-NL"/>
        </w:rPr>
        <w:t>(kg/con/ngày)</w:t>
      </w:r>
      <w:r>
        <w:rPr>
          <w:rFonts w:asciiTheme="majorHAnsi" w:hAnsiTheme="majorHAnsi" w:cstheme="majorHAnsi"/>
          <w:i/>
          <w:sz w:val="24"/>
          <w:szCs w:val="24"/>
        </w:rPr>
        <w:t xml:space="preserve">, lợn: 2 </w:t>
      </w:r>
      <w:r>
        <w:rPr>
          <w:rFonts w:asciiTheme="majorHAnsi" w:hAnsiTheme="majorHAnsi" w:cstheme="majorHAnsi"/>
          <w:i/>
          <w:sz w:val="24"/>
          <w:szCs w:val="24"/>
          <w:lang w:val="nl-NL"/>
        </w:rPr>
        <w:t>(kg/con/ngày)</w:t>
      </w:r>
      <w:r>
        <w:rPr>
          <w:rFonts w:asciiTheme="majorHAnsi" w:hAnsiTheme="majorHAnsi" w:cstheme="majorHAnsi"/>
          <w:i/>
          <w:sz w:val="24"/>
          <w:szCs w:val="24"/>
          <w:lang w:val="nl-NL" w:eastAsia="ja-JP"/>
        </w:rPr>
        <w:t xml:space="preserve">, hươu: 3 </w:t>
      </w:r>
      <w:r>
        <w:rPr>
          <w:rFonts w:asciiTheme="majorHAnsi" w:hAnsiTheme="majorHAnsi" w:cstheme="majorHAnsi"/>
          <w:i/>
          <w:sz w:val="24"/>
          <w:szCs w:val="24"/>
          <w:lang w:val="nl-NL"/>
        </w:rPr>
        <w:t>(kg/con/ngày)</w:t>
      </w:r>
      <w:r>
        <w:rPr>
          <w:rFonts w:asciiTheme="majorHAnsi" w:hAnsiTheme="majorHAnsi" w:cstheme="majorHAnsi"/>
          <w:i/>
          <w:sz w:val="24"/>
          <w:szCs w:val="24"/>
        </w:rPr>
        <w:t>,</w:t>
      </w:r>
      <w:r>
        <w:rPr>
          <w:rFonts w:asciiTheme="majorHAnsi" w:hAnsiTheme="majorHAnsi" w:cstheme="majorHAnsi"/>
          <w:i/>
          <w:sz w:val="24"/>
          <w:szCs w:val="24"/>
          <w:lang w:val="nl-NL" w:eastAsia="ja-JP"/>
        </w:rPr>
        <w:t xml:space="preserve"> gia cầm: </w:t>
      </w:r>
      <w:r>
        <w:rPr>
          <w:rFonts w:asciiTheme="majorHAnsi" w:hAnsiTheme="majorHAnsi" w:cstheme="majorHAnsi"/>
          <w:i/>
          <w:sz w:val="24"/>
          <w:szCs w:val="24"/>
          <w:lang w:eastAsia="ja-JP"/>
        </w:rPr>
        <w:t xml:space="preserve">0,05 </w:t>
      </w:r>
      <w:r>
        <w:rPr>
          <w:rFonts w:asciiTheme="majorHAnsi" w:hAnsiTheme="majorHAnsi" w:cstheme="majorHAnsi"/>
          <w:i/>
          <w:sz w:val="24"/>
          <w:szCs w:val="24"/>
          <w:lang w:val="nl-NL"/>
        </w:rPr>
        <w:t>(kg/con/ngày)</w:t>
      </w:r>
      <w:r>
        <w:rPr>
          <w:rFonts w:asciiTheme="majorHAnsi" w:hAnsiTheme="majorHAnsi" w:cstheme="majorHAnsi"/>
          <w:i/>
          <w:sz w:val="24"/>
          <w:szCs w:val="24"/>
        </w:rPr>
        <w:t>.</w:t>
      </w:r>
      <w:r>
        <w:rPr>
          <w:i/>
          <w:sz w:val="24"/>
          <w:szCs w:val="24"/>
          <w:lang w:val="nl-NL" w:eastAsia="ja-JP"/>
        </w:rPr>
        <w:t>(2) Số lượng vật nuôi tại Bảng 1.8.</w:t>
      </w:r>
    </w:p>
    <w:p w14:paraId="117CE509" w14:textId="77777777" w:rsidR="00085789" w:rsidRDefault="00000000">
      <w:pPr>
        <w:tabs>
          <w:tab w:val="left" w:pos="3415"/>
        </w:tabs>
        <w:autoSpaceDE w:val="0"/>
        <w:autoSpaceDN w:val="0"/>
        <w:adjustRightInd w:val="0"/>
        <w:spacing w:before="120" w:line="240" w:lineRule="auto"/>
        <w:ind w:firstLine="567"/>
        <w:jc w:val="both"/>
        <w:rPr>
          <w:i/>
          <w:sz w:val="26"/>
          <w:szCs w:val="26"/>
          <w:lang w:val="nl-NL" w:eastAsia="ja-JP"/>
        </w:rPr>
      </w:pPr>
      <w:r>
        <w:rPr>
          <w:noProof/>
          <w:sz w:val="26"/>
          <w:szCs w:val="26"/>
        </w:rPr>
        <w:lastRenderedPageBreak/>
        <w:drawing>
          <wp:anchor distT="0" distB="0" distL="114300" distR="114300" simplePos="0" relativeHeight="251847168" behindDoc="1" locked="0" layoutInCell="1" allowOverlap="1" wp14:anchorId="7902BA2E" wp14:editId="78AD5C50">
            <wp:simplePos x="0" y="0"/>
            <wp:positionH relativeFrom="margin">
              <wp:posOffset>3231193</wp:posOffset>
            </wp:positionH>
            <wp:positionV relativeFrom="paragraph">
              <wp:posOffset>5771</wp:posOffset>
            </wp:positionV>
            <wp:extent cx="2575560" cy="2419985"/>
            <wp:effectExtent l="0" t="0" r="15240" b="18415"/>
            <wp:wrapTight wrapText="bothSides">
              <wp:wrapPolygon edited="0">
                <wp:start x="0" y="0"/>
                <wp:lineTo x="0" y="21594"/>
                <wp:lineTo x="21568" y="21594"/>
                <wp:lineTo x="21568" y="0"/>
                <wp:lineTo x="0" y="0"/>
              </wp:wrapPolygon>
            </wp:wrapTight>
            <wp:docPr id="19529785" name="Chart 1">
              <a:extLst xmlns:a="http://schemas.openxmlformats.org/drawingml/2006/main">
                <a:ext uri="{FF2B5EF4-FFF2-40B4-BE49-F238E27FC236}">
                  <a16:creationId xmlns:a16="http://schemas.microsoft.com/office/drawing/2014/main" id="{A912A8EF-C4AB-43B7-797D-0417561FE8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Pr>
          <w:noProof/>
          <w:sz w:val="26"/>
          <w:szCs w:val="26"/>
        </w:rPr>
        <w:t>CTR</w:t>
      </w:r>
      <w:r>
        <w:rPr>
          <w:sz w:val="26"/>
          <w:szCs w:val="26"/>
          <w:lang w:val="nl-NL" w:eastAsia="ja-JP"/>
        </w:rPr>
        <w:t xml:space="preserve"> từ chăn nuôi chủ yếu phát sinh từ chăn nuôi bò (chiếm 40 %), trâu (chiếm 24 %), lợn chiếm (20 %), gia cầm chiếm 13 % và ít nhất là chăn nuôi hươu (chiếm 3 %).</w:t>
      </w:r>
    </w:p>
    <w:p w14:paraId="7F6B4D7A" w14:textId="77777777" w:rsidR="00085789" w:rsidRDefault="00000000">
      <w:pPr>
        <w:spacing w:before="120" w:line="240" w:lineRule="auto"/>
        <w:ind w:firstLine="567"/>
        <w:jc w:val="both"/>
        <w:rPr>
          <w:i/>
          <w:iCs/>
          <w:sz w:val="26"/>
          <w:szCs w:val="26"/>
          <w:lang w:val="nl-NL" w:eastAsia="ja-JP"/>
        </w:rPr>
      </w:pPr>
      <w:r>
        <w:rPr>
          <w:i/>
          <w:iCs/>
          <w:sz w:val="26"/>
          <w:szCs w:val="26"/>
          <w:lang w:val="nl-NL" w:eastAsia="ja-JP"/>
        </w:rPr>
        <w:t xml:space="preserve">* Đối với loại hình chăn nuôi lợn: </w:t>
      </w:r>
      <w:r>
        <w:rPr>
          <w:sz w:val="26"/>
          <w:szCs w:val="26"/>
          <w:lang w:val="nl-NL" w:eastAsia="ja-JP"/>
        </w:rPr>
        <w:t>Phân và nước thải chăn nuôi lợn được thu gom và xử lý bằng các biện pháp như: công trình khí sinh học, đệm lót sinh học, ủ phân hữu cơ, nuôi giun quế.</w:t>
      </w:r>
    </w:p>
    <w:p w14:paraId="52883EE6" w14:textId="77777777" w:rsidR="00085789" w:rsidRDefault="00000000">
      <w:pPr>
        <w:spacing w:before="120" w:line="240" w:lineRule="auto"/>
        <w:ind w:firstLine="567"/>
        <w:jc w:val="both"/>
        <w:rPr>
          <w:i/>
          <w:iCs/>
          <w:sz w:val="26"/>
          <w:szCs w:val="26"/>
          <w:lang w:val="nl-NL" w:eastAsia="ja-JP"/>
        </w:rPr>
      </w:pPr>
      <w:r>
        <w:rPr>
          <w:i/>
          <w:iCs/>
          <w:noProof/>
          <w:sz w:val="26"/>
          <w:szCs w:val="26"/>
        </w:rPr>
        <mc:AlternateContent>
          <mc:Choice Requires="wps">
            <w:drawing>
              <wp:anchor distT="0" distB="0" distL="114300" distR="114300" simplePos="0" relativeHeight="251845120" behindDoc="1" locked="0" layoutInCell="1" allowOverlap="1" wp14:anchorId="2DBB4E97" wp14:editId="05C2D57E">
                <wp:simplePos x="0" y="0"/>
                <wp:positionH relativeFrom="column">
                  <wp:posOffset>3213746</wp:posOffset>
                </wp:positionH>
                <wp:positionV relativeFrom="paragraph">
                  <wp:posOffset>730226</wp:posOffset>
                </wp:positionV>
                <wp:extent cx="2992120" cy="594995"/>
                <wp:effectExtent l="0" t="0" r="0" b="1270"/>
                <wp:wrapTight wrapText="bothSides">
                  <wp:wrapPolygon edited="0">
                    <wp:start x="413" y="0"/>
                    <wp:lineTo x="413" y="20747"/>
                    <wp:lineTo x="21178" y="20747"/>
                    <wp:lineTo x="21178" y="0"/>
                    <wp:lineTo x="413" y="0"/>
                  </wp:wrapPolygon>
                </wp:wrapTight>
                <wp:docPr id="124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2120" cy="594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EC4D8DA" w14:textId="77777777" w:rsidR="00085789" w:rsidRDefault="00000000">
                            <w:pPr>
                              <w:pStyle w:val="-bac4"/>
                              <w:jc w:val="left"/>
                            </w:pPr>
                            <w:bookmarkStart w:id="325" w:name="_Toc79485176"/>
                            <w:bookmarkStart w:id="326" w:name="_Toc79567913"/>
                            <w:bookmarkStart w:id="327" w:name="_Toc79568051"/>
                            <w:bookmarkStart w:id="328" w:name="_Toc79568187"/>
                            <w:bookmarkStart w:id="329" w:name="_Toc85814062"/>
                            <w:bookmarkStart w:id="330" w:name="_Toc85814205"/>
                            <w:bookmarkStart w:id="331" w:name="_Toc90027005"/>
                            <w:bookmarkStart w:id="332" w:name="_Toc205915682"/>
                            <w:bookmarkStart w:id="333" w:name="_Toc213597377"/>
                            <w:bookmarkStart w:id="334" w:name="_Toc213600745"/>
                            <w:r>
                              <w:t>Hình 2.2. Tỷ lệ phát sinh CTR chăn nuôi</w:t>
                            </w:r>
                            <w:bookmarkEnd w:id="325"/>
                            <w:bookmarkEnd w:id="326"/>
                            <w:bookmarkEnd w:id="327"/>
                            <w:bookmarkEnd w:id="328"/>
                            <w:bookmarkEnd w:id="329"/>
                            <w:bookmarkEnd w:id="330"/>
                            <w:bookmarkEnd w:id="331"/>
                            <w:r>
                              <w:t xml:space="preserve"> trung bình từ năm 2021-2025</w:t>
                            </w:r>
                            <w:bookmarkEnd w:id="332"/>
                            <w:bookmarkEnd w:id="333"/>
                            <w:bookmarkEnd w:id="334"/>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892BC0" id="Text Box 3" o:spid="_x0000_s1032" type="#_x0000_t202" style="position:absolute;left:0;text-align:left;margin-left:253.05pt;margin-top:57.5pt;width:235.6pt;height:46.85pt;z-index:-25147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" filled="f" stroked="f" strokeweight=".5pt">
                <v:textbox>
                  <w:txbxContent>
                    <w:p w14:paraId="3C3EB41C" w14:textId="77777777" w:rsidR="000E0CEF" w:rsidRDefault="000E0CEF">
                      <w:pPr>
                        <w:pStyle w:val="-bac4"/>
                        <w:jc w:val="left"/>
                      </w:pPr>
                      <w:bookmarkStart w:id="357" w:name="_Toc79485176"/>
                      <w:bookmarkStart w:id="358" w:name="_Toc79567913"/>
                      <w:bookmarkStart w:id="359" w:name="_Toc79568051"/>
                      <w:bookmarkStart w:id="360" w:name="_Toc79568187"/>
                      <w:bookmarkStart w:id="361" w:name="_Toc85814062"/>
                      <w:bookmarkStart w:id="362" w:name="_Toc85814205"/>
                      <w:bookmarkStart w:id="363" w:name="_Toc90027005"/>
                      <w:bookmarkStart w:id="364" w:name="_Toc205915682"/>
                      <w:bookmarkStart w:id="365" w:name="_Toc213597377"/>
                      <w:bookmarkStart w:id="366" w:name="_Toc213600745"/>
                      <w:r>
                        <w:t>Hình 2.2. Tỷ lệ phát sinh CTR chăn nuôi</w:t>
                      </w:r>
                      <w:bookmarkEnd w:id="357"/>
                      <w:bookmarkEnd w:id="358"/>
                      <w:bookmarkEnd w:id="359"/>
                      <w:bookmarkEnd w:id="360"/>
                      <w:bookmarkEnd w:id="361"/>
                      <w:bookmarkEnd w:id="362"/>
                      <w:bookmarkEnd w:id="363"/>
                      <w:r>
                        <w:t xml:space="preserve"> trung bình từ năm 2021-2025</w:t>
                      </w:r>
                      <w:bookmarkEnd w:id="364"/>
                      <w:bookmarkEnd w:id="365"/>
                      <w:bookmarkEnd w:id="366"/>
                    </w:p>
                  </w:txbxContent>
                </v:textbox>
                <w10:wrap type="tight"/>
              </v:shape>
            </w:pict>
          </mc:Fallback>
        </mc:AlternateContent>
      </w:r>
      <w:r>
        <w:rPr>
          <w:i/>
          <w:iCs/>
          <w:sz w:val="26"/>
          <w:szCs w:val="26"/>
          <w:lang w:val="nl-NL" w:eastAsia="ja-JP"/>
        </w:rPr>
        <w:t xml:space="preserve">* Đối với loại hình chăn nuôi bò, trâu, hươu: </w:t>
      </w:r>
      <w:r>
        <w:rPr>
          <w:sz w:val="26"/>
          <w:szCs w:val="26"/>
          <w:lang w:val="nl-NL"/>
        </w:rPr>
        <w:t xml:space="preserve">Hầu hết bò và trâu vẫn tiếp tục được nuôi trên những hệ thống quảng canh, bán thâm canh. Phân trâu bò có đặc điểm là chứa hàm lượng xơ cao, hàm lượng đạm thấp và ít mùi khó chịu hơn. Phân trâu bò được sử dụng rộng rãi như một nguồn phân hữu cơ cho nhiều loại cây trồng, trong đó có cỏ voi, cây cảnh, cà phê, hồ tiêu và cây ăn quả. </w:t>
      </w:r>
    </w:p>
    <w:p w14:paraId="4FE1E7E1" w14:textId="77777777" w:rsidR="00085789" w:rsidRDefault="00000000">
      <w:pPr>
        <w:spacing w:before="120" w:line="240" w:lineRule="auto"/>
        <w:ind w:firstLine="567"/>
        <w:jc w:val="both"/>
        <w:rPr>
          <w:i/>
          <w:iCs/>
          <w:sz w:val="26"/>
          <w:szCs w:val="26"/>
          <w:lang w:val="nl-NL" w:eastAsia="ja-JP"/>
        </w:rPr>
      </w:pPr>
      <w:r>
        <w:rPr>
          <w:i/>
          <w:iCs/>
          <w:sz w:val="26"/>
          <w:szCs w:val="26"/>
          <w:lang w:val="nl-NL" w:eastAsia="ja-JP"/>
        </w:rPr>
        <w:t>* Đối với loại hình chăn nuôi gia cầm:</w:t>
      </w:r>
    </w:p>
    <w:p w14:paraId="288972EA" w14:textId="77777777" w:rsidR="00085789" w:rsidRDefault="00000000">
      <w:pPr>
        <w:spacing w:before="120" w:line="240" w:lineRule="auto"/>
        <w:ind w:firstLine="567"/>
        <w:jc w:val="both"/>
        <w:rPr>
          <w:sz w:val="26"/>
          <w:szCs w:val="26"/>
          <w:lang w:val="nl-NL"/>
        </w:rPr>
      </w:pPr>
      <w:r>
        <w:rPr>
          <w:sz w:val="26"/>
          <w:szCs w:val="26"/>
          <w:lang w:val="nl-NL"/>
        </w:rPr>
        <w:t xml:space="preserve">Phân gia cầm có xu hướng trở thành loại phân hữu cơ được người dân ưa chuộng vì nó chứa hàm lượng chất đạm cao và những chất dinh dưỡng cần thiết khác cho cây. Ngoài ra, nó có hàm lượng chất khô cao và dễ thu gom, xử lý và ít tốn kém hơn so với những loại </w:t>
      </w:r>
      <w:r>
        <w:rPr>
          <w:spacing w:val="-4"/>
          <w:sz w:val="26"/>
          <w:szCs w:val="26"/>
          <w:lang w:val="nl-NL"/>
        </w:rPr>
        <w:t>chất thải động vật khác. Người dân thường bón cho cây trồng (hoặc cất trữ tạm thời cho mục đích này) sau khi dọn phân ra khỏi chuồng gia cầm. Tại các cơ sở chăn nuôi thương phẩm, phân gà thường được bán trực tiếp cho những người thu gom không qua xử lý.</w:t>
      </w:r>
    </w:p>
    <w:p w14:paraId="3C0A3C1F" w14:textId="77777777" w:rsidR="00085789" w:rsidRDefault="00000000">
      <w:pPr>
        <w:spacing w:before="120" w:line="240" w:lineRule="auto"/>
        <w:ind w:firstLine="709"/>
        <w:jc w:val="both"/>
        <w:rPr>
          <w:b/>
          <w:bCs/>
          <w:sz w:val="26"/>
          <w:szCs w:val="26"/>
          <w:lang w:val="nl-NL" w:eastAsia="ja-JP"/>
        </w:rPr>
      </w:pPr>
      <w:r>
        <w:rPr>
          <w:b/>
          <w:bCs/>
          <w:sz w:val="26"/>
          <w:szCs w:val="26"/>
          <w:lang w:val="nl-NL" w:eastAsia="ja-JP"/>
        </w:rPr>
        <w:t>* Đối với khí thải:</w:t>
      </w:r>
    </w:p>
    <w:p w14:paraId="7EB7E055" w14:textId="0ADABBDD" w:rsidR="00085789" w:rsidRDefault="00000000" w:rsidP="00AA3A70">
      <w:pPr>
        <w:pStyle w:val="c30"/>
        <w:widowControl w:val="0"/>
        <w:spacing w:after="0" w:line="240" w:lineRule="auto"/>
        <w:ind w:firstLine="709"/>
        <w:rPr>
          <w:sz w:val="26"/>
          <w:szCs w:val="26"/>
          <w:lang w:val="nb-NO"/>
        </w:rPr>
      </w:pPr>
      <w:r>
        <w:rPr>
          <w:b w:val="0"/>
          <w:sz w:val="26"/>
          <w:szCs w:val="26"/>
          <w:lang w:val="es-AR"/>
        </w:rPr>
        <w:t>Chăn nuôi là một ngành sản xuất tạo ra nhiều loại khí thải nhất, điển hình là các khí CO</w:t>
      </w:r>
      <w:r>
        <w:rPr>
          <w:b w:val="0"/>
          <w:sz w:val="26"/>
          <w:szCs w:val="26"/>
          <w:vertAlign w:val="subscript"/>
          <w:lang w:val="es-AR"/>
        </w:rPr>
        <w:t>2</w:t>
      </w:r>
      <w:r>
        <w:rPr>
          <w:b w:val="0"/>
          <w:sz w:val="26"/>
          <w:szCs w:val="26"/>
          <w:lang w:val="es-AR"/>
        </w:rPr>
        <w:t>, CH</w:t>
      </w:r>
      <w:r>
        <w:rPr>
          <w:b w:val="0"/>
          <w:sz w:val="26"/>
          <w:szCs w:val="26"/>
          <w:vertAlign w:val="subscript"/>
          <w:lang w:val="es-AR"/>
        </w:rPr>
        <w:t>4</w:t>
      </w:r>
      <w:r>
        <w:rPr>
          <w:b w:val="0"/>
          <w:sz w:val="26"/>
          <w:szCs w:val="26"/>
          <w:lang w:val="es-AR"/>
        </w:rPr>
        <w:t>, NH</w:t>
      </w:r>
      <w:r>
        <w:rPr>
          <w:b w:val="0"/>
          <w:sz w:val="26"/>
          <w:szCs w:val="26"/>
          <w:vertAlign w:val="subscript"/>
          <w:lang w:val="es-AR"/>
        </w:rPr>
        <w:t>3</w:t>
      </w:r>
      <w:r>
        <w:rPr>
          <w:b w:val="0"/>
          <w:sz w:val="26"/>
          <w:szCs w:val="26"/>
          <w:lang w:val="es-AR"/>
        </w:rPr>
        <w:t>, NO</w:t>
      </w:r>
      <w:r>
        <w:rPr>
          <w:b w:val="0"/>
          <w:sz w:val="26"/>
          <w:szCs w:val="26"/>
          <w:vertAlign w:val="subscript"/>
          <w:lang w:val="es-AR"/>
        </w:rPr>
        <w:t>2</w:t>
      </w:r>
      <w:r>
        <w:rPr>
          <w:b w:val="0"/>
          <w:sz w:val="26"/>
          <w:szCs w:val="26"/>
          <w:lang w:val="es-AR"/>
        </w:rPr>
        <w:t>, N</w:t>
      </w:r>
      <w:r>
        <w:rPr>
          <w:b w:val="0"/>
          <w:sz w:val="26"/>
          <w:szCs w:val="26"/>
          <w:vertAlign w:val="subscript"/>
          <w:lang w:val="es-AR"/>
        </w:rPr>
        <w:t>2</w:t>
      </w:r>
      <w:r>
        <w:rPr>
          <w:b w:val="0"/>
          <w:sz w:val="26"/>
          <w:szCs w:val="26"/>
          <w:lang w:val="es-AR"/>
        </w:rPr>
        <w:t>O, NO, H</w:t>
      </w:r>
      <w:r>
        <w:rPr>
          <w:b w:val="0"/>
          <w:sz w:val="26"/>
          <w:szCs w:val="26"/>
          <w:vertAlign w:val="subscript"/>
          <w:lang w:val="es-AR"/>
        </w:rPr>
        <w:t>2</w:t>
      </w:r>
      <w:r>
        <w:rPr>
          <w:b w:val="0"/>
          <w:sz w:val="26"/>
          <w:szCs w:val="26"/>
          <w:lang w:val="es-AR"/>
        </w:rPr>
        <w:t xml:space="preserve">S, indol, schatol mecaptan,… và hàng loạt các khí gây mùi khác. Hầu hết các khí thải chăn nuôi có thể gây độc cho gia súc, cho con người và môi trường. </w:t>
      </w:r>
      <w:r w:rsidRPr="00AA3A70">
        <w:rPr>
          <w:b w:val="0"/>
          <w:sz w:val="26"/>
          <w:szCs w:val="26"/>
          <w:lang w:val="nb-NO"/>
        </w:rPr>
        <w:t>Đáng chú ý nhất là khí thải do quá trình phân hủy phân, nước vệ sinh, nước tiểu từ chuồng lợn,.... Tác động đặc trưng của khí thải khu vực chăn nuôi gia súc nếu như không có biện pháp xử lý tốt như sau:</w:t>
      </w:r>
    </w:p>
    <w:p w14:paraId="6F2608FF" w14:textId="0465C6AF" w:rsidR="00085789" w:rsidRDefault="00000000">
      <w:pPr>
        <w:widowControl w:val="0"/>
        <w:tabs>
          <w:tab w:val="left" w:pos="840"/>
        </w:tabs>
        <w:spacing w:before="120" w:line="240" w:lineRule="auto"/>
        <w:ind w:firstLine="709"/>
        <w:jc w:val="both"/>
        <w:rPr>
          <w:sz w:val="26"/>
          <w:szCs w:val="26"/>
          <w:lang w:val="nb-NO"/>
        </w:rPr>
      </w:pPr>
      <w:r>
        <w:rPr>
          <w:sz w:val="26"/>
          <w:szCs w:val="26"/>
          <w:lang w:val="nb-NO"/>
        </w:rPr>
        <w:t xml:space="preserve">- Các chất có mùi phát sinh từ phân và nước thải, gây ô nhiễm không khí. Mùi phân đặc biệt hôi thối khi tích lũy phân trong trạng thái yếm khí, khí độc hại tỏa ra môi </w:t>
      </w:r>
      <w:r>
        <w:rPr>
          <w:spacing w:val="-6"/>
          <w:sz w:val="26"/>
          <w:szCs w:val="26"/>
          <w:lang w:val="nb-NO"/>
        </w:rPr>
        <w:t>trường xung quanh ở nồng độ cao có thể gây nôn mữa, ngạt thở, ngất xỉu hoặc chết người.</w:t>
      </w:r>
    </w:p>
    <w:p w14:paraId="2134230A" w14:textId="4F83E04B" w:rsidR="00085789" w:rsidRDefault="00000000">
      <w:pPr>
        <w:shd w:val="clear" w:color="auto" w:fill="FFFFFF"/>
        <w:spacing w:before="120" w:line="240" w:lineRule="auto"/>
        <w:ind w:firstLine="709"/>
        <w:jc w:val="both"/>
        <w:rPr>
          <w:spacing w:val="-4"/>
          <w:sz w:val="26"/>
          <w:szCs w:val="26"/>
          <w:lang w:val="nb-NO" w:eastAsia="ja-JP"/>
        </w:rPr>
      </w:pPr>
      <w:r>
        <w:rPr>
          <w:spacing w:val="-4"/>
          <w:sz w:val="26"/>
          <w:szCs w:val="26"/>
          <w:lang w:val="nb-NO"/>
        </w:rPr>
        <w:t xml:space="preserve">- Lượng </w:t>
      </w:r>
      <w:r>
        <w:rPr>
          <w:spacing w:val="-4"/>
          <w:sz w:val="26"/>
          <w:szCs w:val="26"/>
          <w:lang w:val="nb-NO" w:eastAsia="ja-JP"/>
        </w:rPr>
        <w:t>Ammoniac (NH</w:t>
      </w:r>
      <w:r>
        <w:rPr>
          <w:spacing w:val="-4"/>
          <w:sz w:val="26"/>
          <w:szCs w:val="26"/>
          <w:vertAlign w:val="subscript"/>
          <w:lang w:val="nb-NO" w:eastAsia="ja-JP"/>
        </w:rPr>
        <w:t>3</w:t>
      </w:r>
      <w:r>
        <w:rPr>
          <w:spacing w:val="-4"/>
          <w:sz w:val="26"/>
          <w:szCs w:val="26"/>
          <w:lang w:val="nb-NO" w:eastAsia="ja-JP"/>
        </w:rPr>
        <w:t>) có trong khí, trước hết là từ sự phân hủy và bốc hơi của các chất thải vật nuôi. Trong các hoạt động chăn nuôi, NH</w:t>
      </w:r>
      <w:r>
        <w:rPr>
          <w:spacing w:val="-4"/>
          <w:sz w:val="26"/>
          <w:szCs w:val="26"/>
          <w:vertAlign w:val="subscript"/>
          <w:lang w:val="nb-NO" w:eastAsia="ja-JP"/>
        </w:rPr>
        <w:t>3</w:t>
      </w:r>
      <w:r>
        <w:rPr>
          <w:spacing w:val="-4"/>
          <w:sz w:val="26"/>
          <w:szCs w:val="26"/>
          <w:lang w:val="nb-NO" w:eastAsia="ja-JP"/>
        </w:rPr>
        <w:t> thải vào môi trường từ chuồng trại, nuôi vỗ béo mở (hở), chế biến và giữ trữ phân, sử dụng phân bón trên đất,....</w:t>
      </w:r>
    </w:p>
    <w:p w14:paraId="6830E89C" w14:textId="77777777" w:rsidR="00085789" w:rsidRDefault="00000000">
      <w:pPr>
        <w:pStyle w:val="bac2"/>
        <w:spacing w:before="120" w:after="0" w:line="240" w:lineRule="auto"/>
        <w:rPr>
          <w:lang w:val="nb-NO"/>
        </w:rPr>
      </w:pPr>
      <w:bookmarkStart w:id="335" w:name="_Toc214311224"/>
      <w:r>
        <w:rPr>
          <w:lang w:val="nb-NO"/>
        </w:rPr>
        <w:t xml:space="preserve">2.6.4. Hoạt động </w:t>
      </w:r>
      <w:r>
        <w:rPr>
          <w:spacing w:val="-2"/>
          <w:lang w:val="nb-NO"/>
        </w:rPr>
        <w:t>NTTS</w:t>
      </w:r>
      <w:bookmarkEnd w:id="335"/>
    </w:p>
    <w:p w14:paraId="3758886E" w14:textId="77777777" w:rsidR="00085789" w:rsidRDefault="00000000">
      <w:pPr>
        <w:widowControl w:val="0"/>
        <w:spacing w:before="120" w:line="240" w:lineRule="auto"/>
        <w:ind w:firstLine="720"/>
        <w:jc w:val="both"/>
        <w:rPr>
          <w:sz w:val="26"/>
          <w:szCs w:val="26"/>
          <w:lang w:val="nb-NO"/>
        </w:rPr>
      </w:pPr>
      <w:r>
        <w:rPr>
          <w:sz w:val="26"/>
          <w:szCs w:val="26"/>
          <w:lang w:val="nb-NO"/>
        </w:rPr>
        <w:t xml:space="preserve">Giai đoạn 2021-2025, NTTS </w:t>
      </w:r>
      <w:r>
        <w:rPr>
          <w:sz w:val="26"/>
          <w:szCs w:val="26"/>
          <w:lang w:val="vi-VN"/>
        </w:rPr>
        <w:t xml:space="preserve">trên địa bàn tỉnh </w:t>
      </w:r>
      <w:r>
        <w:rPr>
          <w:sz w:val="26"/>
          <w:szCs w:val="26"/>
          <w:lang w:val="nb-NO"/>
        </w:rPr>
        <w:t xml:space="preserve">phát triển với tốc độ khá nhanh cả </w:t>
      </w:r>
      <w:r>
        <w:rPr>
          <w:spacing w:val="-4"/>
          <w:sz w:val="26"/>
          <w:szCs w:val="26"/>
          <w:lang w:val="nb-NO"/>
        </w:rPr>
        <w:t xml:space="preserve">diện tích lẫn sản lượng, chiếm tỷ trọng cao trong tổng giá trị sản xuất ngành nông nghiệp. Hoạt động NTTS theo hình thức thâm canh và bán thâm canh đã và đang tạo nguồn thu nhập chính cho nhiều hộ dân. Tuy nhiên, cùng với sự gia tăng sản lượng và diện tích cũng tạo sức ép rất lớn đối với môi trường </w:t>
      </w:r>
      <w:r>
        <w:rPr>
          <w:spacing w:val="-4"/>
          <w:sz w:val="26"/>
          <w:szCs w:val="26"/>
          <w:lang w:val="vi-VN"/>
        </w:rPr>
        <w:t xml:space="preserve">do chất thải gây ra chủ yếu </w:t>
      </w:r>
      <w:r>
        <w:rPr>
          <w:spacing w:val="-4"/>
          <w:sz w:val="26"/>
          <w:szCs w:val="26"/>
          <w:lang w:val="nb-NO"/>
        </w:rPr>
        <w:t>từ</w:t>
      </w:r>
      <w:r>
        <w:rPr>
          <w:spacing w:val="-4"/>
          <w:sz w:val="26"/>
          <w:szCs w:val="26"/>
          <w:lang w:val="vi-VN"/>
        </w:rPr>
        <w:t xml:space="preserve"> nước thải và </w:t>
      </w:r>
      <w:r>
        <w:rPr>
          <w:spacing w:val="-4"/>
          <w:sz w:val="26"/>
          <w:szCs w:val="26"/>
        </w:rPr>
        <w:t>CTR</w:t>
      </w:r>
      <w:r>
        <w:rPr>
          <w:spacing w:val="-4"/>
          <w:sz w:val="26"/>
          <w:szCs w:val="26"/>
          <w:lang w:val="vi-VN"/>
        </w:rPr>
        <w:t>.</w:t>
      </w:r>
    </w:p>
    <w:p w14:paraId="5A76C30B" w14:textId="77777777" w:rsidR="00085789" w:rsidRDefault="00000000">
      <w:pPr>
        <w:widowControl w:val="0"/>
        <w:spacing w:before="120" w:line="240" w:lineRule="auto"/>
        <w:ind w:firstLine="720"/>
        <w:jc w:val="both"/>
        <w:rPr>
          <w:b/>
          <w:bCs/>
          <w:sz w:val="26"/>
          <w:szCs w:val="26"/>
          <w:lang w:val="nb-NO"/>
        </w:rPr>
      </w:pPr>
      <w:r>
        <w:rPr>
          <w:b/>
          <w:bCs/>
          <w:sz w:val="26"/>
          <w:szCs w:val="26"/>
          <w:lang w:val="nb-NO"/>
        </w:rPr>
        <w:t>* Đối với nước thải:</w:t>
      </w:r>
    </w:p>
    <w:p w14:paraId="19256A18" w14:textId="77777777" w:rsidR="00085789" w:rsidRDefault="00000000">
      <w:pPr>
        <w:spacing w:before="120" w:line="240" w:lineRule="auto"/>
        <w:ind w:firstLine="720"/>
        <w:jc w:val="both"/>
        <w:rPr>
          <w:sz w:val="26"/>
          <w:szCs w:val="26"/>
          <w:lang w:val="nb-NO"/>
        </w:rPr>
      </w:pPr>
      <w:r>
        <w:rPr>
          <w:sz w:val="26"/>
          <w:szCs w:val="26"/>
          <w:lang w:val="vi-VN"/>
        </w:rPr>
        <w:lastRenderedPageBreak/>
        <w:t xml:space="preserve">Nước thải </w:t>
      </w:r>
      <w:r>
        <w:rPr>
          <w:sz w:val="26"/>
          <w:szCs w:val="26"/>
          <w:lang w:val="nb-NO"/>
        </w:rPr>
        <w:t xml:space="preserve">từ hoạt động NTTS phát sinh từ quá trình thay nước định kỳ, quá trình thu hoạch và xử lý ao nuôi. Tại các cơ sở nuôi thâm canh và bán thâm canh thường phát sinh nước thải ra môi trường (nuôi theo mô hình quảng canh và quảng canh cải tiến hầu như không xả nước ra môi trường mà áp dụng quy trình tuần hoàn nước để xử lý và nuôi cho vụ tiếp theo). Lượng nước thải phát sinh của mỗi cơ sở nuôi không giống nhau; lượng nước thải phát sinh tuỳ thuộc vào thời gian nuôi, hình thức nuôi (thâm canh, bán thâm canh), kỹ thuật nuôi,…. Nước thải phát sinh chủ yếu từ mô hình nuôi mặn, lợ; đối với mô hình nuôi nước ngọt </w:t>
      </w:r>
      <w:r>
        <w:rPr>
          <w:spacing w:val="-2"/>
          <w:sz w:val="26"/>
          <w:szCs w:val="26"/>
          <w:lang w:val="nb-NO"/>
        </w:rPr>
        <w:t>chủ yếu nuôi cá nước ngọt tại các ao hồ nhỏ theo mô hình quảng canh và quảng canh cải tiến, nước thải sau mỗi vụ nuôi được thải vào ao chứa và tuần hoàn tái sử dụng lại, không thải ra môi trường.</w:t>
      </w:r>
    </w:p>
    <w:p w14:paraId="4B63E02D" w14:textId="77777777" w:rsidR="00085789" w:rsidRDefault="00000000">
      <w:pPr>
        <w:pStyle w:val="111"/>
        <w:spacing w:before="120" w:line="240" w:lineRule="auto"/>
        <w:ind w:firstLine="709"/>
        <w:outlineLvl w:val="2"/>
        <w:rPr>
          <w:b w:val="0"/>
          <w:i w:val="0"/>
          <w:iCs/>
          <w:spacing w:val="-2"/>
          <w:sz w:val="26"/>
          <w:lang w:val="de-DE"/>
        </w:rPr>
      </w:pPr>
      <w:r>
        <w:rPr>
          <w:b w:val="0"/>
          <w:i w:val="0"/>
          <w:iCs/>
          <w:spacing w:val="-2"/>
          <w:sz w:val="26"/>
          <w:lang w:val="nb-NO"/>
        </w:rPr>
        <w:t>Lưu lượng nước thải NTTS được tính toán dựa vào diện tích mặt nước ao nuôi, mô hình nuôi (</w:t>
      </w:r>
      <w:r>
        <w:rPr>
          <w:b w:val="0"/>
          <w:i w:val="0"/>
          <w:iCs/>
          <w:spacing w:val="-2"/>
          <w:sz w:val="26"/>
          <w:lang w:val="sq-AL"/>
        </w:rPr>
        <w:t>NTTS nước mặn, lợ, nước ngọt</w:t>
      </w:r>
      <w:r>
        <w:rPr>
          <w:b w:val="0"/>
          <w:i w:val="0"/>
          <w:iCs/>
          <w:spacing w:val="-2"/>
          <w:sz w:val="26"/>
          <w:lang w:val="nb-NO"/>
        </w:rPr>
        <w:t>) và chế độ xả nước (2-3 vụ/năm) trong quá trình nuôi</w:t>
      </w:r>
      <w:r>
        <w:rPr>
          <w:b w:val="0"/>
          <w:i w:val="0"/>
          <w:iCs/>
          <w:spacing w:val="-2"/>
          <w:sz w:val="26"/>
          <w:lang w:val="de-DE"/>
        </w:rPr>
        <w:t xml:space="preserve">. Tổng thể tích nước thải từ hoạt động NTTS ở mỗi khu vực nuôi bao gồm nước thải phát sinh từ quá trình thay nước định kỳ, quá trình thu hoạch và xử lý ao nuôi. </w:t>
      </w:r>
      <w:r>
        <w:rPr>
          <w:b w:val="0"/>
          <w:i w:val="0"/>
          <w:iCs/>
          <w:spacing w:val="-2"/>
          <w:sz w:val="26"/>
          <w:lang w:val="vi-VN"/>
        </w:rPr>
        <w:t>Trong giai đoạn 20</w:t>
      </w:r>
      <w:r>
        <w:rPr>
          <w:b w:val="0"/>
          <w:i w:val="0"/>
          <w:iCs/>
          <w:spacing w:val="-2"/>
          <w:sz w:val="26"/>
          <w:lang w:val="de-DE"/>
        </w:rPr>
        <w:t>20</w:t>
      </w:r>
      <w:r>
        <w:rPr>
          <w:b w:val="0"/>
          <w:i w:val="0"/>
          <w:iCs/>
          <w:spacing w:val="-2"/>
          <w:sz w:val="26"/>
          <w:lang w:val="vi-VN"/>
        </w:rPr>
        <w:t>-202</w:t>
      </w:r>
      <w:r>
        <w:rPr>
          <w:b w:val="0"/>
          <w:i w:val="0"/>
          <w:iCs/>
          <w:spacing w:val="-2"/>
          <w:sz w:val="26"/>
          <w:lang w:val="de-DE"/>
        </w:rPr>
        <w:t>5</w:t>
      </w:r>
      <w:r>
        <w:rPr>
          <w:b w:val="0"/>
          <w:i w:val="0"/>
          <w:iCs/>
          <w:spacing w:val="-2"/>
          <w:sz w:val="26"/>
          <w:lang w:val="vi-VN"/>
        </w:rPr>
        <w:t xml:space="preserve">, </w:t>
      </w:r>
      <w:r>
        <w:rPr>
          <w:b w:val="0"/>
          <w:i w:val="0"/>
          <w:iCs/>
          <w:spacing w:val="-2"/>
          <w:sz w:val="26"/>
          <w:lang w:val="de-DE"/>
        </w:rPr>
        <w:t>tổng lưu lượng nước</w:t>
      </w:r>
      <w:r>
        <w:rPr>
          <w:b w:val="0"/>
          <w:i w:val="0"/>
          <w:iCs/>
          <w:spacing w:val="-2"/>
          <w:sz w:val="26"/>
          <w:lang w:val="vi-VN"/>
        </w:rPr>
        <w:t xml:space="preserve"> thải phát sinh </w:t>
      </w:r>
      <w:r>
        <w:rPr>
          <w:b w:val="0"/>
          <w:i w:val="0"/>
          <w:iCs/>
          <w:spacing w:val="-2"/>
          <w:sz w:val="26"/>
          <w:lang w:val="de-DE"/>
        </w:rPr>
        <w:t>khoảng 748,01 triệu m</w:t>
      </w:r>
      <w:r>
        <w:rPr>
          <w:b w:val="0"/>
          <w:i w:val="0"/>
          <w:iCs/>
          <w:spacing w:val="-2"/>
          <w:sz w:val="26"/>
          <w:vertAlign w:val="superscript"/>
          <w:lang w:val="de-DE"/>
        </w:rPr>
        <w:t>3</w:t>
      </w:r>
      <w:r>
        <w:rPr>
          <w:b w:val="0"/>
          <w:i w:val="0"/>
          <w:iCs/>
          <w:spacing w:val="-2"/>
          <w:sz w:val="26"/>
          <w:lang w:val="de-DE"/>
        </w:rPr>
        <w:t xml:space="preserve">, cụ thể </w:t>
      </w:r>
      <w:r>
        <w:rPr>
          <w:b w:val="0"/>
          <w:i w:val="0"/>
          <w:iCs/>
          <w:spacing w:val="-2"/>
          <w:sz w:val="26"/>
          <w:lang w:val="vi-VN"/>
        </w:rPr>
        <w:t>như sau:</w:t>
      </w:r>
    </w:p>
    <w:p w14:paraId="519C06CC" w14:textId="77777777" w:rsidR="00085789" w:rsidRDefault="00000000">
      <w:pPr>
        <w:pStyle w:val="-bac4"/>
        <w:spacing w:before="120" w:after="0" w:line="240" w:lineRule="auto"/>
        <w:rPr>
          <w:lang w:val="de-DE"/>
        </w:rPr>
      </w:pPr>
      <w:bookmarkStart w:id="336" w:name="_Toc205915684"/>
      <w:bookmarkStart w:id="337" w:name="_Toc213597379"/>
      <w:bookmarkStart w:id="338" w:name="_Toc213600746"/>
      <w:r>
        <w:rPr>
          <w:lang w:val="de-DE"/>
        </w:rPr>
        <w:t>Bảng 2.8.Tổng thể tích nước thải từ hoạt động NTTS từ năm 2020-2025</w:t>
      </w:r>
      <w:bookmarkEnd w:id="336"/>
      <w:bookmarkEnd w:id="337"/>
      <w:bookmarkEnd w:id="338"/>
    </w:p>
    <w:p w14:paraId="69BDA1E3" w14:textId="77777777" w:rsidR="00085789" w:rsidRDefault="00000000">
      <w:pPr>
        <w:spacing w:line="240" w:lineRule="auto"/>
        <w:ind w:firstLine="720"/>
        <w:jc w:val="right"/>
        <w:rPr>
          <w:i/>
          <w:iCs/>
          <w:sz w:val="26"/>
          <w:szCs w:val="26"/>
          <w:lang w:val="de-DE"/>
        </w:rPr>
      </w:pPr>
      <w:r>
        <w:rPr>
          <w:i/>
          <w:iCs/>
          <w:sz w:val="26"/>
          <w:szCs w:val="26"/>
        </w:rPr>
        <w:t xml:space="preserve">(triệu </w:t>
      </w:r>
      <w:r>
        <w:rPr>
          <w:i/>
          <w:iCs/>
          <w:sz w:val="26"/>
          <w:szCs w:val="26"/>
          <w:lang w:val="de-DE"/>
        </w:rPr>
        <w:t>m</w:t>
      </w:r>
      <w:r>
        <w:rPr>
          <w:i/>
          <w:iCs/>
          <w:sz w:val="26"/>
          <w:szCs w:val="26"/>
          <w:vertAlign w:val="superscript"/>
          <w:lang w:val="de-DE"/>
        </w:rPr>
        <w:t>3</w:t>
      </w:r>
      <w:r>
        <w:rPr>
          <w:i/>
          <w:iCs/>
          <w:sz w:val="26"/>
          <w:szCs w:val="26"/>
          <w:lang w:val="de-DE"/>
        </w:rPr>
        <w:t>/năm)</w:t>
      </w:r>
    </w:p>
    <w:tbl>
      <w:tblPr>
        <w:tblStyle w:val="TableGrid"/>
        <w:tblW w:w="9493" w:type="dxa"/>
        <w:jc w:val="center"/>
        <w:tblLook w:val="04A0" w:firstRow="1" w:lastRow="0" w:firstColumn="1" w:lastColumn="0" w:noHBand="0" w:noVBand="1"/>
      </w:tblPr>
      <w:tblGrid>
        <w:gridCol w:w="2680"/>
        <w:gridCol w:w="1125"/>
        <w:gridCol w:w="1125"/>
        <w:gridCol w:w="1076"/>
        <w:gridCol w:w="935"/>
        <w:gridCol w:w="1276"/>
        <w:gridCol w:w="1276"/>
      </w:tblGrid>
      <w:tr w:rsidR="00085789" w14:paraId="6ACE72B9" w14:textId="77777777">
        <w:trPr>
          <w:trHeight w:val="561"/>
          <w:tblHeader/>
          <w:jc w:val="center"/>
        </w:trPr>
        <w:tc>
          <w:tcPr>
            <w:tcW w:w="2680" w:type="dxa"/>
            <w:vAlign w:val="center"/>
          </w:tcPr>
          <w:p w14:paraId="2AF8833E"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STT</w:t>
            </w:r>
          </w:p>
        </w:tc>
        <w:tc>
          <w:tcPr>
            <w:tcW w:w="1125" w:type="dxa"/>
            <w:vAlign w:val="center"/>
          </w:tcPr>
          <w:p w14:paraId="1ACFAC14"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 2020</w:t>
            </w:r>
          </w:p>
        </w:tc>
        <w:tc>
          <w:tcPr>
            <w:tcW w:w="1125" w:type="dxa"/>
            <w:vAlign w:val="center"/>
          </w:tcPr>
          <w:p w14:paraId="2C094AD7"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b/>
                <w:sz w:val="24"/>
                <w:szCs w:val="24"/>
              </w:rPr>
              <w:t>Năm 2021</w:t>
            </w:r>
          </w:p>
        </w:tc>
        <w:tc>
          <w:tcPr>
            <w:tcW w:w="1076" w:type="dxa"/>
            <w:vAlign w:val="center"/>
          </w:tcPr>
          <w:p w14:paraId="7B88F032"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 2022</w:t>
            </w:r>
          </w:p>
        </w:tc>
        <w:tc>
          <w:tcPr>
            <w:tcW w:w="935" w:type="dxa"/>
            <w:vAlign w:val="center"/>
          </w:tcPr>
          <w:p w14:paraId="4F73A30D"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 2023</w:t>
            </w:r>
          </w:p>
        </w:tc>
        <w:tc>
          <w:tcPr>
            <w:tcW w:w="1276" w:type="dxa"/>
            <w:vAlign w:val="center"/>
          </w:tcPr>
          <w:p w14:paraId="2243115A"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Năm</w:t>
            </w:r>
          </w:p>
          <w:p w14:paraId="01FD6531" w14:textId="77777777" w:rsidR="00085789" w:rsidRDefault="00000000">
            <w:pPr>
              <w:spacing w:line="360" w:lineRule="exact"/>
              <w:jc w:val="center"/>
              <w:rPr>
                <w:rFonts w:asciiTheme="majorHAnsi" w:hAnsiTheme="majorHAnsi" w:cstheme="majorHAnsi"/>
                <w:b/>
                <w:sz w:val="24"/>
                <w:szCs w:val="24"/>
              </w:rPr>
            </w:pPr>
            <w:r>
              <w:rPr>
                <w:rFonts w:asciiTheme="majorHAnsi" w:hAnsiTheme="majorHAnsi" w:cstheme="majorHAnsi"/>
                <w:b/>
                <w:sz w:val="24"/>
                <w:szCs w:val="24"/>
              </w:rPr>
              <w:t xml:space="preserve"> 2024</w:t>
            </w:r>
          </w:p>
        </w:tc>
        <w:tc>
          <w:tcPr>
            <w:tcW w:w="1276" w:type="dxa"/>
            <w:vAlign w:val="center"/>
          </w:tcPr>
          <w:p w14:paraId="711FC4D1" w14:textId="77777777" w:rsidR="00085789" w:rsidRDefault="00000000">
            <w:pPr>
              <w:spacing w:line="240" w:lineRule="auto"/>
              <w:jc w:val="center"/>
              <w:rPr>
                <w:rFonts w:asciiTheme="majorHAnsi" w:hAnsiTheme="majorHAnsi" w:cstheme="majorHAnsi"/>
                <w:b/>
                <w:sz w:val="24"/>
                <w:szCs w:val="24"/>
              </w:rPr>
            </w:pPr>
            <w:r>
              <w:rPr>
                <w:rFonts w:asciiTheme="majorHAnsi" w:hAnsiTheme="majorHAnsi" w:cstheme="majorHAnsi"/>
                <w:b/>
                <w:sz w:val="24"/>
                <w:szCs w:val="24"/>
              </w:rPr>
              <w:t>Năm 2025 (ước cả năm)</w:t>
            </w:r>
          </w:p>
        </w:tc>
      </w:tr>
      <w:tr w:rsidR="00085789" w14:paraId="7D3E720D" w14:textId="77777777">
        <w:trPr>
          <w:jc w:val="center"/>
        </w:trPr>
        <w:tc>
          <w:tcPr>
            <w:tcW w:w="2680" w:type="dxa"/>
            <w:vAlign w:val="center"/>
          </w:tcPr>
          <w:p w14:paraId="0D140A3D" w14:textId="77777777" w:rsidR="00085789" w:rsidRDefault="00000000">
            <w:pPr>
              <w:pStyle w:val="111"/>
              <w:outlineLvl w:val="2"/>
              <w:rPr>
                <w:i w:val="0"/>
                <w:sz w:val="24"/>
                <w:szCs w:val="24"/>
              </w:rPr>
            </w:pPr>
            <w:bookmarkStart w:id="339" w:name="_Toc138943367"/>
            <w:bookmarkStart w:id="340" w:name="_Toc138944209"/>
            <w:bookmarkStart w:id="341" w:name="_Toc138977294"/>
            <w:bookmarkStart w:id="342" w:name="_Toc142915324"/>
            <w:r>
              <w:rPr>
                <w:i w:val="0"/>
                <w:sz w:val="24"/>
                <w:szCs w:val="24"/>
              </w:rPr>
              <w:t>Lưu lượng nước thải</w:t>
            </w:r>
            <w:bookmarkEnd w:id="339"/>
            <w:bookmarkEnd w:id="340"/>
            <w:bookmarkEnd w:id="341"/>
            <w:bookmarkEnd w:id="342"/>
            <w:r>
              <w:rPr>
                <w:i w:val="0"/>
                <w:sz w:val="24"/>
                <w:szCs w:val="24"/>
              </w:rPr>
              <w:t xml:space="preserve"> </w:t>
            </w:r>
          </w:p>
          <w:p w14:paraId="54D97058" w14:textId="77777777" w:rsidR="00085789" w:rsidRDefault="00000000">
            <w:pPr>
              <w:spacing w:line="360" w:lineRule="exact"/>
              <w:jc w:val="center"/>
              <w:rPr>
                <w:rFonts w:asciiTheme="majorHAnsi" w:hAnsiTheme="majorHAnsi" w:cstheme="majorHAnsi"/>
                <w:sz w:val="24"/>
                <w:szCs w:val="24"/>
              </w:rPr>
            </w:pPr>
            <w:bookmarkStart w:id="343" w:name="_Toc138943368"/>
            <w:bookmarkStart w:id="344" w:name="_Toc138944210"/>
            <w:bookmarkStart w:id="345" w:name="_Toc138977295"/>
            <w:bookmarkStart w:id="346" w:name="_Toc142915325"/>
            <w:r>
              <w:rPr>
                <w:i/>
                <w:sz w:val="24"/>
                <w:szCs w:val="24"/>
              </w:rPr>
              <w:t xml:space="preserve">(triệu </w:t>
            </w:r>
            <w:r>
              <w:rPr>
                <w:i/>
                <w:sz w:val="24"/>
                <w:szCs w:val="24"/>
                <w:lang w:val="vi-VN"/>
              </w:rPr>
              <w:t>m</w:t>
            </w:r>
            <w:r>
              <w:rPr>
                <w:i/>
                <w:sz w:val="24"/>
                <w:szCs w:val="24"/>
                <w:vertAlign w:val="superscript"/>
                <w:lang w:val="vi-VN"/>
              </w:rPr>
              <w:t>3</w:t>
            </w:r>
            <w:r>
              <w:rPr>
                <w:i/>
                <w:sz w:val="24"/>
                <w:szCs w:val="24"/>
                <w:lang w:val="vi-VN"/>
              </w:rPr>
              <w:t>/năm)</w:t>
            </w:r>
            <w:bookmarkEnd w:id="343"/>
            <w:bookmarkEnd w:id="344"/>
            <w:bookmarkEnd w:id="345"/>
            <w:bookmarkEnd w:id="346"/>
          </w:p>
        </w:tc>
        <w:tc>
          <w:tcPr>
            <w:tcW w:w="1125" w:type="dxa"/>
            <w:vAlign w:val="center"/>
          </w:tcPr>
          <w:p w14:paraId="34B7C3ED" w14:textId="77777777" w:rsidR="00085789" w:rsidRDefault="00000000">
            <w:pPr>
              <w:spacing w:line="240" w:lineRule="auto"/>
              <w:jc w:val="center"/>
              <w:rPr>
                <w:rFonts w:asciiTheme="majorHAnsi" w:hAnsiTheme="majorHAnsi" w:cstheme="majorHAnsi"/>
                <w:sz w:val="24"/>
                <w:szCs w:val="24"/>
              </w:rPr>
            </w:pPr>
            <w:r>
              <w:rPr>
                <w:sz w:val="24"/>
                <w:szCs w:val="24"/>
              </w:rPr>
              <w:t>148,29</w:t>
            </w:r>
          </w:p>
        </w:tc>
        <w:tc>
          <w:tcPr>
            <w:tcW w:w="1125" w:type="dxa"/>
            <w:vAlign w:val="center"/>
          </w:tcPr>
          <w:p w14:paraId="08E41A6A" w14:textId="77777777" w:rsidR="00085789" w:rsidRDefault="00000000">
            <w:pPr>
              <w:spacing w:line="240" w:lineRule="auto"/>
              <w:jc w:val="center"/>
              <w:rPr>
                <w:rFonts w:asciiTheme="majorHAnsi" w:hAnsiTheme="majorHAnsi" w:cstheme="majorHAnsi"/>
                <w:sz w:val="24"/>
                <w:szCs w:val="24"/>
              </w:rPr>
            </w:pPr>
            <w:r>
              <w:rPr>
                <w:sz w:val="24"/>
                <w:szCs w:val="24"/>
              </w:rPr>
              <w:t>123,42</w:t>
            </w:r>
          </w:p>
        </w:tc>
        <w:tc>
          <w:tcPr>
            <w:tcW w:w="1076" w:type="dxa"/>
            <w:vAlign w:val="center"/>
          </w:tcPr>
          <w:p w14:paraId="31D61AA4" w14:textId="77777777" w:rsidR="00085789" w:rsidRDefault="00000000">
            <w:pPr>
              <w:spacing w:line="360" w:lineRule="exact"/>
              <w:jc w:val="center"/>
              <w:rPr>
                <w:rFonts w:asciiTheme="majorHAnsi" w:hAnsiTheme="majorHAnsi" w:cstheme="majorHAnsi"/>
                <w:sz w:val="24"/>
                <w:szCs w:val="24"/>
              </w:rPr>
            </w:pPr>
            <w:r>
              <w:rPr>
                <w:sz w:val="24"/>
                <w:szCs w:val="24"/>
              </w:rPr>
              <w:t>124,87</w:t>
            </w:r>
          </w:p>
        </w:tc>
        <w:tc>
          <w:tcPr>
            <w:tcW w:w="935" w:type="dxa"/>
            <w:vAlign w:val="center"/>
          </w:tcPr>
          <w:p w14:paraId="7DC8E003" w14:textId="77777777" w:rsidR="00085789" w:rsidRDefault="00000000">
            <w:pPr>
              <w:spacing w:line="360" w:lineRule="exact"/>
              <w:jc w:val="center"/>
              <w:rPr>
                <w:rFonts w:asciiTheme="majorHAnsi" w:hAnsiTheme="majorHAnsi" w:cstheme="majorHAnsi"/>
                <w:sz w:val="24"/>
                <w:szCs w:val="24"/>
              </w:rPr>
            </w:pPr>
            <w:r>
              <w:rPr>
                <w:sz w:val="24"/>
                <w:szCs w:val="24"/>
              </w:rPr>
              <w:t>117,11</w:t>
            </w:r>
          </w:p>
        </w:tc>
        <w:tc>
          <w:tcPr>
            <w:tcW w:w="1276" w:type="dxa"/>
            <w:vAlign w:val="center"/>
          </w:tcPr>
          <w:p w14:paraId="1E46DC83"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 xml:space="preserve">117,16 </w:t>
            </w:r>
          </w:p>
        </w:tc>
        <w:tc>
          <w:tcPr>
            <w:tcW w:w="1276" w:type="dxa"/>
            <w:vAlign w:val="center"/>
          </w:tcPr>
          <w:p w14:paraId="1F86462A" w14:textId="77777777" w:rsidR="00085789" w:rsidRDefault="00000000">
            <w:pPr>
              <w:spacing w:line="360" w:lineRule="exact"/>
              <w:jc w:val="center"/>
              <w:rPr>
                <w:rFonts w:asciiTheme="majorHAnsi" w:hAnsiTheme="majorHAnsi" w:cstheme="majorHAnsi"/>
                <w:sz w:val="24"/>
                <w:szCs w:val="24"/>
              </w:rPr>
            </w:pPr>
            <w:r>
              <w:rPr>
                <w:rFonts w:asciiTheme="majorHAnsi" w:hAnsiTheme="majorHAnsi" w:cstheme="majorHAnsi"/>
                <w:sz w:val="24"/>
                <w:szCs w:val="24"/>
              </w:rPr>
              <w:t xml:space="preserve">117,16 </w:t>
            </w:r>
          </w:p>
        </w:tc>
      </w:tr>
    </w:tbl>
    <w:p w14:paraId="5FAA50C9" w14:textId="77777777" w:rsidR="00085789" w:rsidRDefault="00085789">
      <w:pPr>
        <w:spacing w:line="340" w:lineRule="exact"/>
        <w:jc w:val="both"/>
        <w:rPr>
          <w:rFonts w:asciiTheme="majorHAnsi" w:hAnsiTheme="majorHAnsi" w:cstheme="majorHAnsi"/>
          <w:bCs/>
          <w:i/>
          <w:iCs/>
          <w:sz w:val="24"/>
          <w:szCs w:val="24"/>
        </w:rPr>
      </w:pPr>
    </w:p>
    <w:p w14:paraId="23EA16CC" w14:textId="77777777" w:rsidR="00085789" w:rsidRDefault="00000000">
      <w:pPr>
        <w:pStyle w:val="-bac4"/>
        <w:jc w:val="left"/>
        <w:rPr>
          <w:bCs/>
          <w:lang w:val="de-DE"/>
        </w:rPr>
      </w:pPr>
      <w:bookmarkStart w:id="347" w:name="_Toc205915685"/>
      <w:bookmarkStart w:id="348" w:name="_Toc213597380"/>
      <w:bookmarkStart w:id="349" w:name="_Toc213600747"/>
      <w:r>
        <w:rPr>
          <w:bCs/>
          <w:noProof/>
        </w:rPr>
        <w:drawing>
          <wp:anchor distT="0" distB="0" distL="114300" distR="114300" simplePos="0" relativeHeight="251848192" behindDoc="1" locked="0" layoutInCell="1" allowOverlap="1" wp14:anchorId="1E850610" wp14:editId="558C5C49">
            <wp:simplePos x="0" y="0"/>
            <wp:positionH relativeFrom="margin">
              <wp:posOffset>445135</wp:posOffset>
            </wp:positionH>
            <wp:positionV relativeFrom="paragraph">
              <wp:posOffset>125730</wp:posOffset>
            </wp:positionV>
            <wp:extent cx="5124450" cy="2371725"/>
            <wp:effectExtent l="0" t="0" r="0" b="9525"/>
            <wp:wrapTight wrapText="bothSides">
              <wp:wrapPolygon edited="0">
                <wp:start x="0" y="0"/>
                <wp:lineTo x="0" y="21513"/>
                <wp:lineTo x="21520" y="21513"/>
                <wp:lineTo x="21520" y="0"/>
                <wp:lineTo x="0" y="0"/>
              </wp:wrapPolygon>
            </wp:wrapTight>
            <wp:docPr id="1683379078" name="Chart 1">
              <a:extLst xmlns:a="http://schemas.openxmlformats.org/drawingml/2006/main">
                <a:ext uri="{FF2B5EF4-FFF2-40B4-BE49-F238E27FC236}">
                  <a16:creationId xmlns:a16="http://schemas.microsoft.com/office/drawing/2014/main" id="{E98EA0D2-15BD-DEB7-322A-C1362868CE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bookmarkEnd w:id="347"/>
      <w:bookmarkEnd w:id="348"/>
      <w:bookmarkEnd w:id="349"/>
    </w:p>
    <w:p w14:paraId="66795989" w14:textId="77777777" w:rsidR="00085789" w:rsidRDefault="00000000">
      <w:pPr>
        <w:pStyle w:val="-bac4"/>
        <w:rPr>
          <w:lang w:val="de-DE"/>
        </w:rPr>
      </w:pPr>
      <w:bookmarkStart w:id="350" w:name="_Toc205915686"/>
      <w:bookmarkStart w:id="351" w:name="_Toc213597381"/>
      <w:bookmarkStart w:id="352" w:name="_Toc213600748"/>
      <w:r>
        <w:rPr>
          <w:lang w:val="de-DE"/>
        </w:rPr>
        <w:t xml:space="preserve">Hình 2.3. </w:t>
      </w:r>
      <w:r>
        <w:rPr>
          <w:rStyle w:val="11Char"/>
          <w:b/>
          <w:sz w:val="26"/>
          <w:lang w:val="de-DE"/>
        </w:rPr>
        <w:t>Diễn biến lượng phát sinh nước thải NTTS từ năm 2020-202</w:t>
      </w:r>
      <w:r>
        <w:rPr>
          <w:lang w:val="de-DE"/>
        </w:rPr>
        <w:t>5</w:t>
      </w:r>
      <w:bookmarkEnd w:id="350"/>
      <w:bookmarkEnd w:id="351"/>
      <w:bookmarkEnd w:id="352"/>
    </w:p>
    <w:p w14:paraId="586CDD45" w14:textId="77777777" w:rsidR="00085789" w:rsidRDefault="00000000">
      <w:pPr>
        <w:widowControl w:val="0"/>
        <w:spacing w:before="120" w:line="240" w:lineRule="auto"/>
        <w:ind w:firstLine="709"/>
        <w:jc w:val="both"/>
        <w:rPr>
          <w:sz w:val="26"/>
          <w:szCs w:val="26"/>
          <w:lang w:val="sq-AL"/>
        </w:rPr>
      </w:pPr>
      <w:r>
        <w:rPr>
          <w:sz w:val="26"/>
          <w:szCs w:val="26"/>
          <w:lang w:val="sq-AL"/>
        </w:rPr>
        <w:t xml:space="preserve">Từ bảng 2.8 và hình 2.3 cho thấy sự biến động của lưu lượng nước thải NTTS từ năm 2020-2025 thay đổi theo diện tích NTTS (chủ yếu là do NTTS nước mặn, lợ). Đối với NTTS nước mặn, lợ thường nuôi theo phương thức thâm canh hoặc bán thâm canh. Do vậy, chế độ thay nước nhiều hơn so với phương thức quảng canh và quảng canh cải tiến làm gia tăng lượng nước thải phát sinh. Năm 2020, lưu lượng nước thải phát sinh cao nhất với 148,29 triệu m³ (cao nhất trong giai đoạn). Giảm mạnh xuống còn 123,42 triệu m³ vào năm 2021, tức giảm khoảng 16,7 % so với năm 2020. Từ năm 2021-2022 lượng nước thải NTTS phát sinh tăng. Từ năm 2023 đến 2025, lưu lượng nước thải ổn định quanh mức 117,1 - 117,16 triệu m³. </w:t>
      </w:r>
    </w:p>
    <w:p w14:paraId="63718D9C" w14:textId="77777777" w:rsidR="00085789" w:rsidRDefault="00000000" w:rsidP="00A344D3">
      <w:pPr>
        <w:widowControl w:val="0"/>
        <w:spacing w:before="120" w:line="252" w:lineRule="auto"/>
        <w:ind w:firstLine="709"/>
        <w:jc w:val="both"/>
        <w:rPr>
          <w:b/>
          <w:bCs/>
          <w:sz w:val="26"/>
          <w:szCs w:val="26"/>
          <w:lang w:val="sq-AL"/>
        </w:rPr>
      </w:pPr>
      <w:r>
        <w:rPr>
          <w:b/>
          <w:bCs/>
          <w:sz w:val="26"/>
          <w:szCs w:val="26"/>
          <w:lang w:val="sq-AL"/>
        </w:rPr>
        <w:lastRenderedPageBreak/>
        <w:t>* Đối với CTR</w:t>
      </w:r>
      <w:bookmarkStart w:id="353" w:name="_Toc138943343"/>
      <w:bookmarkStart w:id="354" w:name="_Toc138944182"/>
      <w:bookmarkStart w:id="355" w:name="_Toc138977253"/>
      <w:bookmarkStart w:id="356" w:name="_Toc142915276"/>
      <w:r>
        <w:rPr>
          <w:b/>
          <w:bCs/>
          <w:sz w:val="26"/>
          <w:szCs w:val="26"/>
          <w:lang w:val="sq-AL"/>
        </w:rPr>
        <w:t xml:space="preserve">: </w:t>
      </w:r>
      <w:r>
        <w:rPr>
          <w:sz w:val="26"/>
          <w:szCs w:val="26"/>
          <w:lang w:val="nl-NL" w:eastAsia="ja-JP"/>
        </w:rPr>
        <w:t>CTR trong quá trình NTTS gồm CTR từ sinh hoạt của công nhân và CTR từ hoạt động sản xuất, trong đó CTR hoạt động sản xuất có khối lượng lớn và thành phần ô nhiễm cao hơn, cụ thể:</w:t>
      </w:r>
      <w:bookmarkEnd w:id="353"/>
      <w:bookmarkEnd w:id="354"/>
      <w:bookmarkEnd w:id="355"/>
      <w:bookmarkEnd w:id="356"/>
    </w:p>
    <w:p w14:paraId="165288F1" w14:textId="77777777" w:rsidR="00085789" w:rsidRDefault="00000000" w:rsidP="00A344D3">
      <w:pPr>
        <w:pStyle w:val="11"/>
        <w:spacing w:before="120" w:line="252" w:lineRule="auto"/>
        <w:ind w:firstLine="709"/>
        <w:jc w:val="both"/>
        <w:outlineLvl w:val="1"/>
        <w:rPr>
          <w:b w:val="0"/>
          <w:sz w:val="26"/>
          <w:szCs w:val="26"/>
          <w:lang w:val="nl-NL" w:eastAsia="ja-JP"/>
        </w:rPr>
      </w:pPr>
      <w:bookmarkStart w:id="357" w:name="_Toc138943344"/>
      <w:bookmarkStart w:id="358" w:name="_Toc138944183"/>
      <w:bookmarkStart w:id="359" w:name="_Toc138977254"/>
      <w:bookmarkStart w:id="360" w:name="_Toc142915277"/>
      <w:r>
        <w:rPr>
          <w:b w:val="0"/>
          <w:sz w:val="26"/>
          <w:szCs w:val="26"/>
          <w:lang w:val="nl-NL" w:eastAsia="ja-JP"/>
        </w:rPr>
        <w:t>- CTR từ sinh hoạt của công nhân gồm thực phẩm, giấy, bọc nylon, nhựa,... Bên cạnh đó trong hoạt động NTTS còn phát sinh lượng CTNH bao gồm: Vỏ hộp đựng hoá chất kháng sinh các loại, dầu nhớt cặn, bóng đèn huỳnh quang thải, giẻ lau dính dầu thải,... Tuy nhiên khối lượng không nhiều.</w:t>
      </w:r>
      <w:bookmarkEnd w:id="357"/>
      <w:bookmarkEnd w:id="358"/>
      <w:bookmarkEnd w:id="359"/>
      <w:bookmarkEnd w:id="360"/>
    </w:p>
    <w:p w14:paraId="775C5545" w14:textId="77777777" w:rsidR="00085789" w:rsidRDefault="00000000" w:rsidP="00A344D3">
      <w:pPr>
        <w:pStyle w:val="11"/>
        <w:spacing w:before="120" w:line="252" w:lineRule="auto"/>
        <w:ind w:firstLine="709"/>
        <w:jc w:val="both"/>
        <w:outlineLvl w:val="1"/>
        <w:rPr>
          <w:b w:val="0"/>
          <w:spacing w:val="-6"/>
          <w:sz w:val="26"/>
          <w:szCs w:val="26"/>
          <w:lang w:val="nl-NL"/>
        </w:rPr>
      </w:pPr>
      <w:bookmarkStart w:id="361" w:name="_Toc138943345"/>
      <w:bookmarkStart w:id="362" w:name="_Toc138944184"/>
      <w:bookmarkStart w:id="363" w:name="_Toc138977255"/>
      <w:bookmarkStart w:id="364" w:name="_Toc142915278"/>
      <w:r>
        <w:rPr>
          <w:b w:val="0"/>
          <w:sz w:val="26"/>
          <w:szCs w:val="26"/>
          <w:lang w:val="nl-NL" w:eastAsia="ja-JP"/>
        </w:rPr>
        <w:t xml:space="preserve">- CTR thông thường từ hoạt động NTTS chủ yếu là bùn đáy ao, phụ tùng thay thế trong quá trình sửa chữa, bảo trì hệ thống cung cấp oxy (giàn quạt, cánh quạt hư); bao bì </w:t>
      </w:r>
      <w:r>
        <w:rPr>
          <w:b w:val="0"/>
          <w:spacing w:val="-2"/>
          <w:sz w:val="26"/>
          <w:szCs w:val="26"/>
          <w:lang w:val="nl-NL" w:eastAsia="ja-JP"/>
        </w:rPr>
        <w:t xml:space="preserve">đựng thức ăn, </w:t>
      </w:r>
      <w:r>
        <w:rPr>
          <w:b w:val="0"/>
          <w:iCs/>
          <w:spacing w:val="-2"/>
          <w:sz w:val="26"/>
          <w:szCs w:val="26"/>
          <w:lang w:val="nl-NL"/>
        </w:rPr>
        <w:t>vỏ chai lọ, can đựng thức ăn,</w:t>
      </w:r>
      <w:r>
        <w:rPr>
          <w:b w:val="0"/>
          <w:spacing w:val="-2"/>
          <w:sz w:val="26"/>
          <w:szCs w:val="26"/>
          <w:lang w:val="nl-NL" w:eastAsia="ja-JP"/>
        </w:rPr>
        <w:t>....</w:t>
      </w:r>
      <w:bookmarkEnd w:id="361"/>
      <w:bookmarkEnd w:id="362"/>
      <w:bookmarkEnd w:id="363"/>
      <w:bookmarkEnd w:id="364"/>
      <w:r>
        <w:rPr>
          <w:b w:val="0"/>
          <w:spacing w:val="-2"/>
          <w:sz w:val="26"/>
          <w:szCs w:val="26"/>
          <w:lang w:val="nl-NL" w:eastAsia="ja-JP"/>
        </w:rPr>
        <w:t xml:space="preserve"> K</w:t>
      </w:r>
      <w:r>
        <w:rPr>
          <w:b w:val="0"/>
          <w:spacing w:val="-2"/>
          <w:sz w:val="26"/>
          <w:szCs w:val="26"/>
          <w:lang w:val="vi-VN"/>
        </w:rPr>
        <w:t xml:space="preserve">hối lượng </w:t>
      </w:r>
      <w:r>
        <w:rPr>
          <w:b w:val="0"/>
          <w:spacing w:val="-2"/>
          <w:sz w:val="26"/>
          <w:szCs w:val="26"/>
          <w:lang w:val="nl-NL"/>
        </w:rPr>
        <w:t>chất thải phát sinh tại các cơ sở NTTS như sau: CTRSH</w:t>
      </w:r>
      <w:r>
        <w:rPr>
          <w:b w:val="0"/>
          <w:spacing w:val="-2"/>
          <w:sz w:val="26"/>
          <w:szCs w:val="26"/>
          <w:lang w:val="vi-VN"/>
        </w:rPr>
        <w:t xml:space="preserve"> phát sinh</w:t>
      </w:r>
      <w:r>
        <w:rPr>
          <w:b w:val="0"/>
          <w:spacing w:val="-2"/>
          <w:sz w:val="26"/>
          <w:szCs w:val="26"/>
          <w:lang w:val="nl-NL"/>
        </w:rPr>
        <w:t xml:space="preserve"> trong 01 ngày khoảng 2,5 kg; </w:t>
      </w:r>
      <w:bookmarkStart w:id="365" w:name="_Toc142915281"/>
      <w:bookmarkStart w:id="366" w:name="_Toc132181971"/>
      <w:bookmarkStart w:id="367" w:name="_Toc138943347"/>
      <w:bookmarkStart w:id="368" w:name="_Toc138944186"/>
      <w:r>
        <w:rPr>
          <w:b w:val="0"/>
          <w:spacing w:val="-2"/>
          <w:sz w:val="26"/>
          <w:szCs w:val="26"/>
          <w:lang w:val="pt-BR"/>
        </w:rPr>
        <w:t xml:space="preserve">các bao bì phát sinh từ hoạt động NTTS phát sinh khoảng 10 -50 kg/ngày/cơ sở; </w:t>
      </w:r>
      <w:r>
        <w:rPr>
          <w:b w:val="0"/>
          <w:spacing w:val="-2"/>
          <w:sz w:val="26"/>
          <w:szCs w:val="26"/>
          <w:lang w:val="nl-NL"/>
        </w:rPr>
        <w:t xml:space="preserve">trang thiết bị đã qua sử dụng bị hư hỏng </w:t>
      </w:r>
      <w:r>
        <w:rPr>
          <w:b w:val="0"/>
          <w:spacing w:val="-2"/>
          <w:sz w:val="26"/>
          <w:szCs w:val="26"/>
          <w:lang w:val="pt-BR"/>
        </w:rPr>
        <w:t>phát sinh sau mỗi vụ nuôi</w:t>
      </w:r>
      <w:r>
        <w:rPr>
          <w:b w:val="0"/>
          <w:spacing w:val="-2"/>
          <w:sz w:val="26"/>
          <w:szCs w:val="26"/>
          <w:lang w:val="nl-NL"/>
        </w:rPr>
        <w:t xml:space="preserve"> như: quạt oxy, bạt </w:t>
      </w:r>
      <w:r>
        <w:rPr>
          <w:b w:val="0"/>
          <w:spacing w:val="-2"/>
          <w:sz w:val="26"/>
          <w:szCs w:val="26"/>
          <w:lang w:val="pt-BR"/>
        </w:rPr>
        <w:t>lót HDPE</w:t>
      </w:r>
      <w:r>
        <w:rPr>
          <w:b w:val="0"/>
          <w:spacing w:val="-2"/>
          <w:sz w:val="26"/>
          <w:szCs w:val="26"/>
          <w:lang w:val="nl-NL"/>
        </w:rPr>
        <w:t xml:space="preserve">,... </w:t>
      </w:r>
      <w:r>
        <w:rPr>
          <w:b w:val="0"/>
          <w:spacing w:val="-2"/>
          <w:sz w:val="26"/>
          <w:szCs w:val="26"/>
          <w:lang w:val="pt-BR"/>
        </w:rPr>
        <w:t xml:space="preserve">khoảng 100 kg/vụ; </w:t>
      </w:r>
      <w:r>
        <w:rPr>
          <w:b w:val="0"/>
          <w:spacing w:val="-2"/>
          <w:sz w:val="26"/>
          <w:szCs w:val="26"/>
          <w:lang w:val="nl-NL"/>
        </w:rPr>
        <w:t>lượng bùn phát sinh 100-140 m</w:t>
      </w:r>
      <w:r>
        <w:rPr>
          <w:b w:val="0"/>
          <w:spacing w:val="-2"/>
          <w:sz w:val="26"/>
          <w:szCs w:val="26"/>
          <w:vertAlign w:val="superscript"/>
          <w:lang w:val="nl-NL"/>
        </w:rPr>
        <w:t>3</w:t>
      </w:r>
      <w:r>
        <w:rPr>
          <w:b w:val="0"/>
          <w:spacing w:val="-2"/>
          <w:sz w:val="26"/>
          <w:szCs w:val="26"/>
          <w:lang w:val="nl-NL"/>
        </w:rPr>
        <w:t>/ha (đối với nuôi mặn, lợ), 200-300 m</w:t>
      </w:r>
      <w:r>
        <w:rPr>
          <w:b w:val="0"/>
          <w:spacing w:val="-2"/>
          <w:sz w:val="26"/>
          <w:szCs w:val="26"/>
          <w:vertAlign w:val="superscript"/>
          <w:lang w:val="nl-NL"/>
        </w:rPr>
        <w:t>3</w:t>
      </w:r>
      <w:r>
        <w:rPr>
          <w:b w:val="0"/>
          <w:spacing w:val="-2"/>
          <w:sz w:val="26"/>
          <w:szCs w:val="26"/>
          <w:lang w:val="nl-NL"/>
        </w:rPr>
        <w:t>/ha (đối với nuôi ngọt). Các biện pháp thu gom và xử lý CTR từ hoạt động NTTS của các cơ sở phổ biến như sau:</w:t>
      </w:r>
    </w:p>
    <w:p w14:paraId="2C404276" w14:textId="77777777" w:rsidR="00085789" w:rsidRDefault="00000000" w:rsidP="00A344D3">
      <w:pPr>
        <w:pStyle w:val="11"/>
        <w:spacing w:before="120" w:line="252" w:lineRule="auto"/>
        <w:ind w:firstLine="709"/>
        <w:jc w:val="both"/>
        <w:outlineLvl w:val="1"/>
        <w:rPr>
          <w:b w:val="0"/>
          <w:sz w:val="26"/>
          <w:szCs w:val="26"/>
          <w:lang w:val="nl-NL" w:eastAsia="ja-JP"/>
        </w:rPr>
      </w:pPr>
      <w:r>
        <w:rPr>
          <w:b w:val="0"/>
          <w:sz w:val="26"/>
          <w:szCs w:val="26"/>
          <w:lang w:val="nl-NL"/>
        </w:rPr>
        <w:t xml:space="preserve"> - Đối với </w:t>
      </w:r>
      <w:r>
        <w:rPr>
          <w:rFonts w:eastAsia="Calibri"/>
          <w:b w:val="0"/>
          <w:sz w:val="26"/>
          <w:szCs w:val="26"/>
          <w:lang w:val="fr-FR"/>
        </w:rPr>
        <w:t>CTRSH được thu gom, phân loại và xử lý, cụ thể:</w:t>
      </w:r>
      <w:bookmarkStart w:id="369" w:name="_Toc142915282"/>
      <w:bookmarkEnd w:id="365"/>
      <w:r>
        <w:rPr>
          <w:rFonts w:eastAsia="Calibri"/>
          <w:b w:val="0"/>
          <w:sz w:val="26"/>
          <w:szCs w:val="26"/>
          <w:lang w:val="fr-FR"/>
        </w:rPr>
        <w:t xml:space="preserve"> </w:t>
      </w:r>
      <w:r>
        <w:rPr>
          <w:b w:val="0"/>
          <w:sz w:val="26"/>
          <w:szCs w:val="26"/>
          <w:lang w:val="nl-NL" w:eastAsia="ja-JP"/>
        </w:rPr>
        <w:t>CTRSH</w:t>
      </w:r>
      <w:r>
        <w:rPr>
          <w:rFonts w:eastAsia="Calibri"/>
          <w:b w:val="0"/>
          <w:sz w:val="26"/>
          <w:szCs w:val="26"/>
          <w:lang w:val="fr-FR"/>
        </w:rPr>
        <w:t xml:space="preserve"> dễ phân huỷ như thực phẩm thừa, rau củ hỏng được tận dụng tối đa để làm phân bón hữu cơ hoặc thức ăn chăn nuôi; CTRSH có khả năng tái sử dụng được tái sử dụng hoặc chuyển giao cho tổ chức, cá nhân tái sử dụng, tái chế;</w:t>
      </w:r>
      <w:r>
        <w:rPr>
          <w:rFonts w:eastAsia="Calibri"/>
          <w:b w:val="0"/>
          <w:spacing w:val="-4"/>
          <w:sz w:val="26"/>
          <w:szCs w:val="26"/>
          <w:lang w:val="fr-FR"/>
        </w:rPr>
        <w:t xml:space="preserve"> CTRSH khác được thu gom trong bao bì hoặc các thùng đựng và</w:t>
      </w:r>
      <w:r>
        <w:rPr>
          <w:b w:val="0"/>
          <w:spacing w:val="-4"/>
          <w:sz w:val="26"/>
          <w:szCs w:val="26"/>
          <w:lang w:val="nl-NL" w:eastAsia="ja-JP"/>
        </w:rPr>
        <w:t xml:space="preserve"> được cơ sở hợp đồng với các đơn vị có chức năng thu gom để vận chuyển đi xử lý.</w:t>
      </w:r>
    </w:p>
    <w:p w14:paraId="38426F3A" w14:textId="77777777" w:rsidR="00085789" w:rsidRDefault="00000000" w:rsidP="00A344D3">
      <w:pPr>
        <w:pStyle w:val="J1"/>
        <w:widowControl w:val="0"/>
        <w:spacing w:before="120" w:after="0" w:line="252" w:lineRule="auto"/>
        <w:ind w:firstLine="709"/>
        <w:jc w:val="both"/>
        <w:rPr>
          <w:b w:val="0"/>
          <w:color w:val="auto"/>
          <w:lang w:val="nl-NL"/>
        </w:rPr>
      </w:pPr>
      <w:r>
        <w:rPr>
          <w:b w:val="0"/>
          <w:color w:val="auto"/>
          <w:lang w:val="nl-NL"/>
        </w:rPr>
        <w:t xml:space="preserve">- Đối với CTR thông thường: 35 % hợp đồng với đơn vị có chức năng đi xử lý; 35 % </w:t>
      </w:r>
      <w:r>
        <w:rPr>
          <w:b w:val="0"/>
          <w:color w:val="auto"/>
          <w:spacing w:val="-4"/>
          <w:lang w:val="nl-NL"/>
        </w:rPr>
        <w:t>lưu chứa, tái sử dụng; 30 % thu gom, chuyển giao cho tổ chức, cá nhân tái sử dụng, tái chế.</w:t>
      </w:r>
      <w:bookmarkEnd w:id="366"/>
      <w:bookmarkEnd w:id="367"/>
      <w:bookmarkEnd w:id="368"/>
      <w:bookmarkEnd w:id="369"/>
      <w:r>
        <w:rPr>
          <w:b w:val="0"/>
          <w:color w:val="auto"/>
          <w:spacing w:val="-4"/>
          <w:lang w:val="nl-NL"/>
        </w:rPr>
        <w:t xml:space="preserve">  </w:t>
      </w:r>
      <w:r>
        <w:rPr>
          <w:b w:val="0"/>
          <w:color w:val="auto"/>
          <w:spacing w:val="-4"/>
          <w:lang w:val="pt-BR"/>
        </w:rPr>
        <w:t>Bùn thải đáy hồ được nạo vét định kỳ, nạo vét sau thu hoạch tại các hồ nuôi và hồ xử lý nước thải; đ</w:t>
      </w:r>
      <w:r>
        <w:rPr>
          <w:b w:val="0"/>
          <w:bCs/>
          <w:color w:val="auto"/>
          <w:spacing w:val="-4"/>
          <w:lang w:val="pt-BR"/>
        </w:rPr>
        <w:t xml:space="preserve">ối với bùn phát sinh từ hoạt động nuôi cá khoảng 75 % bùn thải đáy ao nuôi sau vụ nuôi sẽ được nạo vét và gia cố bờ ao nuôi, 25 % còn lại bón cho cây xanh hoặc đắp nền; đối với hoạt động nuôi tôm, lượng bùn phát sinh được thu gom vào bể lưu chứa. </w:t>
      </w:r>
      <w:r>
        <w:rPr>
          <w:b w:val="0"/>
          <w:spacing w:val="-4"/>
          <w:lang w:val="vi-VN"/>
        </w:rPr>
        <w:t>Trong giai đoạn 20</w:t>
      </w:r>
      <w:r>
        <w:rPr>
          <w:b w:val="0"/>
          <w:spacing w:val="-4"/>
          <w:lang w:val="de-DE"/>
        </w:rPr>
        <w:t>20</w:t>
      </w:r>
      <w:r>
        <w:rPr>
          <w:b w:val="0"/>
          <w:lang w:val="vi-VN"/>
        </w:rPr>
        <w:t>-202</w:t>
      </w:r>
      <w:r>
        <w:rPr>
          <w:b w:val="0"/>
          <w:lang w:val="de-DE"/>
        </w:rPr>
        <w:t>5</w:t>
      </w:r>
      <w:r>
        <w:rPr>
          <w:b w:val="0"/>
          <w:lang w:val="vi-VN"/>
        </w:rPr>
        <w:t xml:space="preserve">, </w:t>
      </w:r>
      <w:r>
        <w:rPr>
          <w:b w:val="0"/>
          <w:lang w:val="pt-BR"/>
        </w:rPr>
        <w:t>khối lượng bùn thải</w:t>
      </w:r>
      <w:r>
        <w:rPr>
          <w:b w:val="0"/>
          <w:lang w:val="vi-VN"/>
        </w:rPr>
        <w:t xml:space="preserve"> phát sinh </w:t>
      </w:r>
      <w:r>
        <w:rPr>
          <w:b w:val="0"/>
          <w:lang w:val="pt-BR"/>
        </w:rPr>
        <w:t xml:space="preserve"> từ NTTS khoảng 6,312 triệu m</w:t>
      </w:r>
      <w:r>
        <w:rPr>
          <w:b w:val="0"/>
          <w:vertAlign w:val="superscript"/>
          <w:lang w:val="pt-BR"/>
        </w:rPr>
        <w:t>3</w:t>
      </w:r>
      <w:r>
        <w:rPr>
          <w:b w:val="0"/>
          <w:lang w:val="pt-BR"/>
        </w:rPr>
        <w:t xml:space="preserve">, cụ thể </w:t>
      </w:r>
      <w:r>
        <w:rPr>
          <w:b w:val="0"/>
          <w:lang w:val="vi-VN"/>
        </w:rPr>
        <w:t>như sau:</w:t>
      </w:r>
    </w:p>
    <w:p w14:paraId="67B1CD0C" w14:textId="77777777" w:rsidR="00085789" w:rsidRDefault="00000000">
      <w:pPr>
        <w:pStyle w:val="-bac4"/>
        <w:rPr>
          <w:lang w:val="pt-BR"/>
        </w:rPr>
      </w:pPr>
      <w:bookmarkStart w:id="370" w:name="_Toc79485184"/>
      <w:bookmarkStart w:id="371" w:name="_Toc79568195"/>
      <w:bookmarkStart w:id="372" w:name="_Toc85814213"/>
      <w:bookmarkStart w:id="373" w:name="_Toc90027013"/>
      <w:bookmarkStart w:id="374" w:name="_Toc138943377"/>
      <w:bookmarkStart w:id="375" w:name="_Toc138944219"/>
      <w:bookmarkStart w:id="376" w:name="_Toc138977304"/>
      <w:bookmarkStart w:id="377" w:name="_Toc142915333"/>
      <w:bookmarkStart w:id="378" w:name="_Toc142919525"/>
      <w:bookmarkStart w:id="379" w:name="_Toc205915687"/>
      <w:bookmarkStart w:id="380" w:name="_Toc213597382"/>
      <w:bookmarkStart w:id="381" w:name="_Toc213600749"/>
      <w:r>
        <w:rPr>
          <w:lang w:val="pt-BR"/>
        </w:rPr>
        <w:t>Bảng 2.9. Lượng bùn thải phát sinh từ NTTS năm 2020-202</w:t>
      </w:r>
      <w:bookmarkEnd w:id="370"/>
      <w:bookmarkEnd w:id="371"/>
      <w:bookmarkEnd w:id="372"/>
      <w:bookmarkEnd w:id="373"/>
      <w:bookmarkEnd w:id="374"/>
      <w:bookmarkEnd w:id="375"/>
      <w:bookmarkEnd w:id="376"/>
      <w:bookmarkEnd w:id="377"/>
      <w:bookmarkEnd w:id="378"/>
      <w:r>
        <w:rPr>
          <w:lang w:val="pt-BR"/>
        </w:rPr>
        <w:t>5</w:t>
      </w:r>
      <w:bookmarkEnd w:id="379"/>
      <w:bookmarkEnd w:id="380"/>
      <w:bookmarkEnd w:id="381"/>
    </w:p>
    <w:tbl>
      <w:tblPr>
        <w:tblStyle w:val="TableGrid"/>
        <w:tblpPr w:leftFromText="180" w:rightFromText="180" w:vertAnchor="text" w:horzAnchor="margin" w:tblpXSpec="center" w:tblpY="156"/>
        <w:tblW w:w="8926" w:type="dxa"/>
        <w:tblLook w:val="04A0" w:firstRow="1" w:lastRow="0" w:firstColumn="1" w:lastColumn="0" w:noHBand="0" w:noVBand="1"/>
      </w:tblPr>
      <w:tblGrid>
        <w:gridCol w:w="2402"/>
        <w:gridCol w:w="995"/>
        <w:gridCol w:w="993"/>
        <w:gridCol w:w="992"/>
        <w:gridCol w:w="1134"/>
        <w:gridCol w:w="1134"/>
        <w:gridCol w:w="1276"/>
      </w:tblGrid>
      <w:tr w:rsidR="00085789" w14:paraId="2B7EF373" w14:textId="77777777">
        <w:trPr>
          <w:trHeight w:val="420"/>
        </w:trPr>
        <w:tc>
          <w:tcPr>
            <w:tcW w:w="2402" w:type="dxa"/>
          </w:tcPr>
          <w:p w14:paraId="2B14426B" w14:textId="77777777" w:rsidR="00085789" w:rsidRDefault="00000000" w:rsidP="00A344D3">
            <w:pPr>
              <w:pStyle w:val="111"/>
              <w:spacing w:before="80" w:after="40"/>
              <w:jc w:val="center"/>
              <w:outlineLvl w:val="2"/>
              <w:rPr>
                <w:i w:val="0"/>
                <w:sz w:val="26"/>
              </w:rPr>
            </w:pPr>
            <w:bookmarkStart w:id="382" w:name="_Toc138943378"/>
            <w:bookmarkStart w:id="383" w:name="_Toc138944220"/>
            <w:bookmarkStart w:id="384" w:name="_Toc138977305"/>
            <w:bookmarkStart w:id="385" w:name="_Toc142915334"/>
            <w:r>
              <w:rPr>
                <w:i w:val="0"/>
                <w:sz w:val="26"/>
              </w:rPr>
              <w:t>Năm</w:t>
            </w:r>
            <w:bookmarkEnd w:id="382"/>
            <w:bookmarkEnd w:id="383"/>
            <w:bookmarkEnd w:id="384"/>
            <w:bookmarkEnd w:id="385"/>
          </w:p>
        </w:tc>
        <w:tc>
          <w:tcPr>
            <w:tcW w:w="995" w:type="dxa"/>
            <w:vAlign w:val="center"/>
          </w:tcPr>
          <w:p w14:paraId="4344BC6B" w14:textId="77777777" w:rsidR="00085789" w:rsidRDefault="00000000" w:rsidP="00A344D3">
            <w:pPr>
              <w:pStyle w:val="111"/>
              <w:spacing w:before="80" w:after="40"/>
              <w:jc w:val="center"/>
              <w:outlineLvl w:val="2"/>
              <w:rPr>
                <w:i w:val="0"/>
                <w:sz w:val="26"/>
              </w:rPr>
            </w:pPr>
            <w:bookmarkStart w:id="386" w:name="_Toc138943379"/>
            <w:bookmarkStart w:id="387" w:name="_Toc138944221"/>
            <w:bookmarkStart w:id="388" w:name="_Toc138977306"/>
            <w:bookmarkStart w:id="389" w:name="_Toc142915335"/>
            <w:r>
              <w:rPr>
                <w:i w:val="0"/>
                <w:sz w:val="26"/>
                <w:lang w:val="pt-BR" w:eastAsia="ja-JP"/>
              </w:rPr>
              <w:t>2020</w:t>
            </w:r>
            <w:bookmarkEnd w:id="386"/>
            <w:bookmarkEnd w:id="387"/>
            <w:bookmarkEnd w:id="388"/>
            <w:bookmarkEnd w:id="389"/>
          </w:p>
        </w:tc>
        <w:tc>
          <w:tcPr>
            <w:tcW w:w="993" w:type="dxa"/>
            <w:vAlign w:val="center"/>
          </w:tcPr>
          <w:p w14:paraId="3EFD1B87" w14:textId="77777777" w:rsidR="00085789" w:rsidRDefault="00000000" w:rsidP="00A344D3">
            <w:pPr>
              <w:pStyle w:val="111"/>
              <w:spacing w:before="80" w:after="40"/>
              <w:jc w:val="center"/>
              <w:outlineLvl w:val="2"/>
              <w:rPr>
                <w:i w:val="0"/>
                <w:sz w:val="26"/>
              </w:rPr>
            </w:pPr>
            <w:bookmarkStart w:id="390" w:name="_Toc138943380"/>
            <w:bookmarkStart w:id="391" w:name="_Toc138944222"/>
            <w:bookmarkStart w:id="392" w:name="_Toc138977307"/>
            <w:bookmarkStart w:id="393" w:name="_Toc142915336"/>
            <w:r>
              <w:rPr>
                <w:i w:val="0"/>
                <w:sz w:val="26"/>
                <w:lang w:val="pt-BR" w:eastAsia="ja-JP"/>
              </w:rPr>
              <w:t>2021</w:t>
            </w:r>
            <w:bookmarkEnd w:id="390"/>
            <w:bookmarkEnd w:id="391"/>
            <w:bookmarkEnd w:id="392"/>
            <w:bookmarkEnd w:id="393"/>
          </w:p>
        </w:tc>
        <w:tc>
          <w:tcPr>
            <w:tcW w:w="992" w:type="dxa"/>
            <w:vAlign w:val="center"/>
          </w:tcPr>
          <w:p w14:paraId="0F15EEE6" w14:textId="77777777" w:rsidR="00085789" w:rsidRDefault="00000000" w:rsidP="00A344D3">
            <w:pPr>
              <w:pStyle w:val="111"/>
              <w:spacing w:before="80" w:after="40"/>
              <w:jc w:val="center"/>
              <w:outlineLvl w:val="2"/>
              <w:rPr>
                <w:i w:val="0"/>
                <w:sz w:val="26"/>
              </w:rPr>
            </w:pPr>
            <w:bookmarkStart w:id="394" w:name="_Toc138943381"/>
            <w:bookmarkStart w:id="395" w:name="_Toc138944223"/>
            <w:bookmarkStart w:id="396" w:name="_Toc138977308"/>
            <w:bookmarkStart w:id="397" w:name="_Toc142915337"/>
            <w:r>
              <w:rPr>
                <w:i w:val="0"/>
                <w:sz w:val="26"/>
                <w:lang w:val="pt-BR" w:eastAsia="ja-JP"/>
              </w:rPr>
              <w:t>2022</w:t>
            </w:r>
            <w:bookmarkEnd w:id="394"/>
            <w:bookmarkEnd w:id="395"/>
            <w:bookmarkEnd w:id="396"/>
            <w:bookmarkEnd w:id="397"/>
          </w:p>
        </w:tc>
        <w:tc>
          <w:tcPr>
            <w:tcW w:w="1134" w:type="dxa"/>
            <w:vAlign w:val="center"/>
          </w:tcPr>
          <w:p w14:paraId="577AB3C3" w14:textId="77777777" w:rsidR="00085789" w:rsidRDefault="00000000" w:rsidP="00A344D3">
            <w:pPr>
              <w:pStyle w:val="111"/>
              <w:spacing w:before="80" w:after="40"/>
              <w:jc w:val="center"/>
              <w:outlineLvl w:val="2"/>
              <w:rPr>
                <w:i w:val="0"/>
                <w:sz w:val="26"/>
              </w:rPr>
            </w:pPr>
            <w:bookmarkStart w:id="398" w:name="_Toc138943382"/>
            <w:bookmarkStart w:id="399" w:name="_Toc138944224"/>
            <w:bookmarkStart w:id="400" w:name="_Toc138977309"/>
            <w:bookmarkStart w:id="401" w:name="_Toc142915338"/>
            <w:r>
              <w:rPr>
                <w:i w:val="0"/>
                <w:sz w:val="26"/>
                <w:lang w:val="pt-BR" w:eastAsia="ja-JP"/>
              </w:rPr>
              <w:t xml:space="preserve">2023 </w:t>
            </w:r>
            <w:bookmarkEnd w:id="398"/>
            <w:bookmarkEnd w:id="399"/>
            <w:bookmarkEnd w:id="400"/>
            <w:bookmarkEnd w:id="401"/>
            <w:r>
              <w:rPr>
                <w:i w:val="0"/>
                <w:sz w:val="26"/>
                <w:lang w:val="pt-BR" w:eastAsia="ja-JP"/>
              </w:rPr>
              <w:t>(*)</w:t>
            </w:r>
          </w:p>
        </w:tc>
        <w:tc>
          <w:tcPr>
            <w:tcW w:w="1134" w:type="dxa"/>
          </w:tcPr>
          <w:p w14:paraId="194F2140" w14:textId="77777777" w:rsidR="00085789" w:rsidRDefault="00000000" w:rsidP="00A344D3">
            <w:pPr>
              <w:pStyle w:val="111"/>
              <w:spacing w:before="80" w:after="40"/>
              <w:jc w:val="center"/>
              <w:outlineLvl w:val="2"/>
              <w:rPr>
                <w:i w:val="0"/>
                <w:sz w:val="26"/>
                <w:lang w:val="pt-BR" w:eastAsia="ja-JP"/>
              </w:rPr>
            </w:pPr>
            <w:r>
              <w:rPr>
                <w:i w:val="0"/>
                <w:sz w:val="26"/>
                <w:lang w:val="pt-BR" w:eastAsia="ja-JP"/>
              </w:rPr>
              <w:t>2024 (*)</w:t>
            </w:r>
          </w:p>
        </w:tc>
        <w:tc>
          <w:tcPr>
            <w:tcW w:w="1276" w:type="dxa"/>
          </w:tcPr>
          <w:p w14:paraId="0BBB4CD3" w14:textId="77777777" w:rsidR="00085789" w:rsidRDefault="00000000" w:rsidP="00A344D3">
            <w:pPr>
              <w:pStyle w:val="111"/>
              <w:spacing w:before="80" w:after="40"/>
              <w:jc w:val="center"/>
              <w:outlineLvl w:val="2"/>
              <w:rPr>
                <w:i w:val="0"/>
                <w:sz w:val="26"/>
                <w:lang w:val="pt-BR" w:eastAsia="ja-JP"/>
              </w:rPr>
            </w:pPr>
            <w:r>
              <w:rPr>
                <w:i w:val="0"/>
                <w:sz w:val="26"/>
                <w:lang w:val="pt-BR" w:eastAsia="ja-JP"/>
              </w:rPr>
              <w:t>2025 (*)</w:t>
            </w:r>
          </w:p>
        </w:tc>
      </w:tr>
      <w:tr w:rsidR="00085789" w14:paraId="5A4D84B7" w14:textId="77777777">
        <w:trPr>
          <w:trHeight w:val="699"/>
        </w:trPr>
        <w:tc>
          <w:tcPr>
            <w:tcW w:w="2402" w:type="dxa"/>
          </w:tcPr>
          <w:p w14:paraId="404E507A" w14:textId="77777777" w:rsidR="00085789" w:rsidRDefault="00000000" w:rsidP="00A344D3">
            <w:pPr>
              <w:pStyle w:val="111"/>
              <w:spacing w:before="80" w:after="40"/>
              <w:outlineLvl w:val="2"/>
              <w:rPr>
                <w:b w:val="0"/>
                <w:bCs/>
                <w:i w:val="0"/>
                <w:sz w:val="26"/>
              </w:rPr>
            </w:pPr>
            <w:bookmarkStart w:id="402" w:name="_Toc138943383"/>
            <w:bookmarkStart w:id="403" w:name="_Toc138944225"/>
            <w:bookmarkStart w:id="404" w:name="_Toc138977310"/>
            <w:bookmarkStart w:id="405" w:name="_Toc142915339"/>
            <w:r>
              <w:rPr>
                <w:b w:val="0"/>
                <w:bCs/>
                <w:i w:val="0"/>
                <w:sz w:val="26"/>
              </w:rPr>
              <w:t>Khối lượng bùn thải (</w:t>
            </w:r>
            <w:r>
              <w:rPr>
                <w:b w:val="0"/>
                <w:bCs/>
                <w:i w:val="0"/>
              </w:rPr>
              <w:t>triệu</w:t>
            </w:r>
            <w:r>
              <w:rPr>
                <w:b w:val="0"/>
                <w:bCs/>
                <w:i w:val="0"/>
                <w:sz w:val="26"/>
              </w:rPr>
              <w:t xml:space="preserve"> m</w:t>
            </w:r>
            <w:r>
              <w:rPr>
                <w:b w:val="0"/>
                <w:bCs/>
                <w:i w:val="0"/>
                <w:sz w:val="26"/>
                <w:vertAlign w:val="superscript"/>
              </w:rPr>
              <w:t>3</w:t>
            </w:r>
            <w:r>
              <w:rPr>
                <w:b w:val="0"/>
                <w:bCs/>
                <w:i w:val="0"/>
                <w:sz w:val="26"/>
              </w:rPr>
              <w:t>/năm)</w:t>
            </w:r>
            <w:bookmarkEnd w:id="402"/>
            <w:bookmarkEnd w:id="403"/>
            <w:bookmarkEnd w:id="404"/>
            <w:bookmarkEnd w:id="405"/>
          </w:p>
        </w:tc>
        <w:tc>
          <w:tcPr>
            <w:tcW w:w="995" w:type="dxa"/>
            <w:vAlign w:val="center"/>
          </w:tcPr>
          <w:p w14:paraId="17724006" w14:textId="77777777" w:rsidR="00085789" w:rsidRDefault="00000000" w:rsidP="00A344D3">
            <w:pPr>
              <w:spacing w:before="80" w:after="40"/>
              <w:jc w:val="center"/>
              <w:rPr>
                <w:sz w:val="26"/>
                <w:szCs w:val="26"/>
              </w:rPr>
            </w:pPr>
            <w:r>
              <w:rPr>
                <w:sz w:val="26"/>
                <w:szCs w:val="26"/>
              </w:rPr>
              <w:t>1,045</w:t>
            </w:r>
          </w:p>
        </w:tc>
        <w:tc>
          <w:tcPr>
            <w:tcW w:w="993" w:type="dxa"/>
            <w:vAlign w:val="center"/>
          </w:tcPr>
          <w:p w14:paraId="150EE8A5" w14:textId="77777777" w:rsidR="00085789" w:rsidRDefault="00000000" w:rsidP="00A344D3">
            <w:pPr>
              <w:spacing w:before="80" w:after="40"/>
              <w:jc w:val="center"/>
              <w:rPr>
                <w:sz w:val="26"/>
                <w:szCs w:val="26"/>
              </w:rPr>
            </w:pPr>
            <w:r>
              <w:rPr>
                <w:sz w:val="26"/>
                <w:szCs w:val="26"/>
              </w:rPr>
              <w:t>1,047</w:t>
            </w:r>
          </w:p>
        </w:tc>
        <w:tc>
          <w:tcPr>
            <w:tcW w:w="992" w:type="dxa"/>
            <w:vAlign w:val="center"/>
          </w:tcPr>
          <w:p w14:paraId="77FFB9D6" w14:textId="77777777" w:rsidR="00085789" w:rsidRDefault="00000000" w:rsidP="00A344D3">
            <w:pPr>
              <w:spacing w:before="80" w:after="40"/>
              <w:jc w:val="center"/>
              <w:rPr>
                <w:sz w:val="26"/>
                <w:szCs w:val="26"/>
              </w:rPr>
            </w:pPr>
            <w:r>
              <w:rPr>
                <w:sz w:val="26"/>
                <w:szCs w:val="26"/>
              </w:rPr>
              <w:t>1,062</w:t>
            </w:r>
          </w:p>
        </w:tc>
        <w:tc>
          <w:tcPr>
            <w:tcW w:w="1134" w:type="dxa"/>
            <w:vAlign w:val="center"/>
          </w:tcPr>
          <w:p w14:paraId="288933EA" w14:textId="77777777" w:rsidR="00085789" w:rsidRDefault="00000000" w:rsidP="00A344D3">
            <w:pPr>
              <w:spacing w:before="80" w:after="40"/>
              <w:jc w:val="center"/>
              <w:rPr>
                <w:sz w:val="26"/>
                <w:szCs w:val="26"/>
              </w:rPr>
            </w:pPr>
            <w:r>
              <w:rPr>
                <w:sz w:val="26"/>
                <w:szCs w:val="26"/>
              </w:rPr>
              <w:t>1,032</w:t>
            </w:r>
          </w:p>
        </w:tc>
        <w:tc>
          <w:tcPr>
            <w:tcW w:w="1134" w:type="dxa"/>
            <w:vAlign w:val="center"/>
          </w:tcPr>
          <w:p w14:paraId="32996483" w14:textId="77777777" w:rsidR="00085789" w:rsidRDefault="00000000" w:rsidP="00A344D3">
            <w:pPr>
              <w:spacing w:before="80" w:after="40"/>
              <w:jc w:val="center"/>
              <w:rPr>
                <w:sz w:val="26"/>
                <w:szCs w:val="26"/>
              </w:rPr>
            </w:pPr>
            <w:r>
              <w:rPr>
                <w:sz w:val="26"/>
                <w:szCs w:val="26"/>
              </w:rPr>
              <w:t>1,063</w:t>
            </w:r>
          </w:p>
        </w:tc>
        <w:tc>
          <w:tcPr>
            <w:tcW w:w="1276" w:type="dxa"/>
            <w:vAlign w:val="center"/>
          </w:tcPr>
          <w:p w14:paraId="41B1BA86" w14:textId="77777777" w:rsidR="00085789" w:rsidRDefault="00000000" w:rsidP="00A344D3">
            <w:pPr>
              <w:spacing w:before="80" w:after="40"/>
              <w:jc w:val="center"/>
              <w:rPr>
                <w:sz w:val="26"/>
                <w:szCs w:val="26"/>
              </w:rPr>
            </w:pPr>
            <w:r>
              <w:rPr>
                <w:sz w:val="26"/>
                <w:szCs w:val="26"/>
              </w:rPr>
              <w:t>1,063</w:t>
            </w:r>
          </w:p>
        </w:tc>
      </w:tr>
    </w:tbl>
    <w:p w14:paraId="6AE938BE" w14:textId="77777777" w:rsidR="00085789" w:rsidRDefault="00085789">
      <w:pPr>
        <w:spacing w:line="160" w:lineRule="exact"/>
        <w:ind w:firstLine="561"/>
        <w:jc w:val="center"/>
        <w:rPr>
          <w:rFonts w:asciiTheme="majorHAnsi" w:hAnsiTheme="majorHAnsi" w:cstheme="majorHAnsi"/>
          <w:bCs/>
          <w:i/>
          <w:iCs/>
          <w:sz w:val="18"/>
          <w:szCs w:val="18"/>
        </w:rPr>
      </w:pPr>
    </w:p>
    <w:p w14:paraId="1032D02E" w14:textId="77777777" w:rsidR="00085789" w:rsidRDefault="00000000">
      <w:pPr>
        <w:ind w:firstLine="562"/>
        <w:jc w:val="center"/>
        <w:rPr>
          <w:rFonts w:asciiTheme="majorHAnsi" w:hAnsiTheme="majorHAnsi"/>
          <w:i/>
          <w:spacing w:val="-6"/>
          <w:sz w:val="24"/>
          <w:szCs w:val="24"/>
          <w:lang w:val="nl-NL"/>
        </w:rPr>
      </w:pPr>
      <w:r>
        <w:rPr>
          <w:rFonts w:asciiTheme="majorHAnsi" w:hAnsiTheme="majorHAnsi" w:cstheme="majorHAnsi"/>
          <w:bCs/>
          <w:i/>
          <w:iCs/>
          <w:spacing w:val="-6"/>
          <w:sz w:val="24"/>
          <w:szCs w:val="24"/>
        </w:rPr>
        <w:t xml:space="preserve"> (*)</w:t>
      </w:r>
      <w:r>
        <w:rPr>
          <w:rFonts w:asciiTheme="majorHAnsi" w:hAnsiTheme="majorHAnsi"/>
          <w:i/>
          <w:iCs/>
          <w:spacing w:val="-6"/>
          <w:sz w:val="24"/>
          <w:szCs w:val="24"/>
        </w:rPr>
        <w:t xml:space="preserve">  Số liệu tính toán dựa vào diện tích NTTS năm 2024 và  theo kế hoạch năm 2025. </w:t>
      </w:r>
      <w:r>
        <w:rPr>
          <w:rFonts w:asciiTheme="majorHAnsi" w:hAnsiTheme="majorHAnsi"/>
          <w:bCs/>
          <w:i/>
          <w:spacing w:val="-6"/>
          <w:sz w:val="24"/>
          <w:szCs w:val="24"/>
          <w:lang w:eastAsia="ja-JP"/>
        </w:rPr>
        <w:t xml:space="preserve">Ước tính khối lượng bùn thải phát sinh </w:t>
      </w:r>
      <w:r>
        <w:rPr>
          <w:rFonts w:asciiTheme="majorHAnsi" w:hAnsiTheme="majorHAnsi"/>
          <w:i/>
          <w:spacing w:val="-6"/>
          <w:sz w:val="24"/>
          <w:szCs w:val="24"/>
          <w:lang w:val="nl-NL"/>
        </w:rPr>
        <w:t>100-140 m</w:t>
      </w:r>
      <w:r>
        <w:rPr>
          <w:rFonts w:asciiTheme="majorHAnsi" w:hAnsiTheme="majorHAnsi"/>
          <w:i/>
          <w:spacing w:val="-6"/>
          <w:sz w:val="24"/>
          <w:szCs w:val="24"/>
          <w:vertAlign w:val="superscript"/>
          <w:lang w:val="nl-NL"/>
        </w:rPr>
        <w:t>3</w:t>
      </w:r>
      <w:r>
        <w:rPr>
          <w:rFonts w:asciiTheme="majorHAnsi" w:hAnsiTheme="majorHAnsi"/>
          <w:i/>
          <w:spacing w:val="-6"/>
          <w:sz w:val="24"/>
          <w:szCs w:val="24"/>
          <w:lang w:val="nl-NL"/>
        </w:rPr>
        <w:t>/ha (đối với nuôi mặn, lợ), 200-300 m</w:t>
      </w:r>
      <w:r>
        <w:rPr>
          <w:rFonts w:asciiTheme="majorHAnsi" w:hAnsiTheme="majorHAnsi"/>
          <w:i/>
          <w:spacing w:val="-6"/>
          <w:sz w:val="24"/>
          <w:szCs w:val="24"/>
          <w:vertAlign w:val="superscript"/>
          <w:lang w:val="nl-NL"/>
        </w:rPr>
        <w:t>3</w:t>
      </w:r>
      <w:r>
        <w:rPr>
          <w:rFonts w:asciiTheme="majorHAnsi" w:hAnsiTheme="majorHAnsi"/>
          <w:i/>
          <w:spacing w:val="-6"/>
          <w:sz w:val="24"/>
          <w:szCs w:val="24"/>
          <w:lang w:val="nl-NL"/>
        </w:rPr>
        <w:t>/ha (đối với nuôi ngọt)</w:t>
      </w:r>
    </w:p>
    <w:p w14:paraId="086931A2" w14:textId="77777777" w:rsidR="00085789" w:rsidRDefault="00000000">
      <w:pPr>
        <w:spacing w:line="400" w:lineRule="exact"/>
        <w:jc w:val="both"/>
        <w:rPr>
          <w:spacing w:val="-4"/>
          <w:sz w:val="24"/>
          <w:szCs w:val="24"/>
        </w:rPr>
      </w:pPr>
      <w:r>
        <w:rPr>
          <w:noProof/>
        </w:rPr>
        <w:lastRenderedPageBreak/>
        <w:drawing>
          <wp:anchor distT="0" distB="0" distL="114300" distR="114300" simplePos="0" relativeHeight="251849216" behindDoc="1" locked="0" layoutInCell="1" allowOverlap="1" wp14:anchorId="53D06C0E" wp14:editId="6868640E">
            <wp:simplePos x="0" y="0"/>
            <wp:positionH relativeFrom="column">
              <wp:posOffset>728345</wp:posOffset>
            </wp:positionH>
            <wp:positionV relativeFrom="paragraph">
              <wp:posOffset>80010</wp:posOffset>
            </wp:positionV>
            <wp:extent cx="4437380" cy="2381250"/>
            <wp:effectExtent l="0" t="0" r="1270" b="0"/>
            <wp:wrapTight wrapText="bothSides">
              <wp:wrapPolygon edited="0">
                <wp:start x="0" y="0"/>
                <wp:lineTo x="0" y="21427"/>
                <wp:lineTo x="21513" y="21427"/>
                <wp:lineTo x="21513" y="0"/>
                <wp:lineTo x="0" y="0"/>
              </wp:wrapPolygon>
            </wp:wrapTight>
            <wp:docPr id="1617657848" name="Chart 1">
              <a:extLst xmlns:a="http://schemas.openxmlformats.org/drawingml/2006/main">
                <a:ext uri="{FF2B5EF4-FFF2-40B4-BE49-F238E27FC236}">
                  <a16:creationId xmlns:a16="http://schemas.microsoft.com/office/drawing/2014/main" id="{B8873CDE-4BE3-3D0B-346A-D0BC741A90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p>
    <w:p w14:paraId="46A1BAD0" w14:textId="77777777" w:rsidR="00085789" w:rsidRDefault="00085789">
      <w:pPr>
        <w:spacing w:line="400" w:lineRule="exact"/>
        <w:jc w:val="both"/>
        <w:rPr>
          <w:spacing w:val="-4"/>
          <w:sz w:val="24"/>
          <w:szCs w:val="24"/>
        </w:rPr>
      </w:pPr>
    </w:p>
    <w:p w14:paraId="4588A8C9" w14:textId="77777777" w:rsidR="00085789" w:rsidRDefault="00085789">
      <w:pPr>
        <w:spacing w:line="400" w:lineRule="exact"/>
        <w:jc w:val="both"/>
        <w:rPr>
          <w:spacing w:val="-4"/>
          <w:sz w:val="24"/>
          <w:szCs w:val="24"/>
        </w:rPr>
      </w:pPr>
    </w:p>
    <w:p w14:paraId="26BFFE17" w14:textId="77777777" w:rsidR="00085789" w:rsidRDefault="00085789">
      <w:pPr>
        <w:spacing w:line="400" w:lineRule="exact"/>
        <w:jc w:val="both"/>
        <w:rPr>
          <w:spacing w:val="-4"/>
          <w:sz w:val="24"/>
          <w:szCs w:val="24"/>
        </w:rPr>
      </w:pPr>
    </w:p>
    <w:p w14:paraId="2E836E61" w14:textId="77777777" w:rsidR="00085789" w:rsidRDefault="00085789">
      <w:pPr>
        <w:spacing w:line="400" w:lineRule="exact"/>
        <w:jc w:val="both"/>
        <w:rPr>
          <w:spacing w:val="-4"/>
          <w:sz w:val="24"/>
          <w:szCs w:val="24"/>
        </w:rPr>
      </w:pPr>
    </w:p>
    <w:p w14:paraId="032E57A8" w14:textId="77777777" w:rsidR="00085789" w:rsidRDefault="00085789">
      <w:pPr>
        <w:spacing w:line="400" w:lineRule="exact"/>
        <w:jc w:val="both"/>
        <w:rPr>
          <w:spacing w:val="-4"/>
          <w:sz w:val="24"/>
          <w:szCs w:val="24"/>
        </w:rPr>
      </w:pPr>
    </w:p>
    <w:p w14:paraId="23E58866" w14:textId="77777777" w:rsidR="00085789" w:rsidRDefault="00085789">
      <w:pPr>
        <w:spacing w:line="400" w:lineRule="exact"/>
        <w:jc w:val="both"/>
        <w:rPr>
          <w:spacing w:val="-4"/>
          <w:sz w:val="24"/>
          <w:szCs w:val="24"/>
        </w:rPr>
      </w:pPr>
    </w:p>
    <w:p w14:paraId="37AE65A8" w14:textId="0842E1F8" w:rsidR="00085789" w:rsidRDefault="00085789">
      <w:pPr>
        <w:spacing w:line="400" w:lineRule="exact"/>
        <w:jc w:val="both"/>
        <w:rPr>
          <w:spacing w:val="-4"/>
          <w:sz w:val="24"/>
          <w:szCs w:val="24"/>
        </w:rPr>
      </w:pPr>
    </w:p>
    <w:p w14:paraId="387EBC24" w14:textId="2030273A" w:rsidR="00085789" w:rsidRDefault="00085789">
      <w:pPr>
        <w:spacing w:line="400" w:lineRule="exact"/>
        <w:jc w:val="both"/>
        <w:rPr>
          <w:spacing w:val="-4"/>
          <w:sz w:val="20"/>
          <w:szCs w:val="20"/>
        </w:rPr>
      </w:pPr>
    </w:p>
    <w:p w14:paraId="7104904F" w14:textId="15ECDCA8" w:rsidR="00085789" w:rsidRDefault="00085789">
      <w:pPr>
        <w:pStyle w:val="-bac4"/>
      </w:pPr>
      <w:bookmarkStart w:id="406" w:name="_Toc205915688"/>
      <w:bookmarkStart w:id="407" w:name="_Toc213597383"/>
      <w:bookmarkStart w:id="408" w:name="_Toc213600750"/>
    </w:p>
    <w:p w14:paraId="572121BB" w14:textId="3D919ACF" w:rsidR="00085789" w:rsidRDefault="00000000">
      <w:pPr>
        <w:pStyle w:val="-bac4"/>
      </w:pPr>
      <w:r>
        <w:t>Hình 2.4. Diễn biến lượng phát sinh bùn thải NTTS từ năm 2020-2025</w:t>
      </w:r>
      <w:bookmarkEnd w:id="406"/>
      <w:bookmarkEnd w:id="407"/>
      <w:bookmarkEnd w:id="408"/>
    </w:p>
    <w:p w14:paraId="2D17E6AA" w14:textId="77777777" w:rsidR="00085789" w:rsidRDefault="00000000" w:rsidP="00C45DBD">
      <w:pPr>
        <w:spacing w:before="120" w:line="252" w:lineRule="auto"/>
        <w:ind w:firstLine="709"/>
        <w:jc w:val="both"/>
        <w:rPr>
          <w:sz w:val="26"/>
          <w:szCs w:val="26"/>
          <w:lang w:val="pt-BR"/>
        </w:rPr>
      </w:pPr>
      <w:r>
        <w:rPr>
          <w:sz w:val="26"/>
          <w:szCs w:val="26"/>
          <w:lang w:val="pt-BR"/>
        </w:rPr>
        <w:t>Từ bảng 2.9 và hình 2.4 cho thấy khối lượng bùn thải phát sinh từ NTTS tăng dần theo các năm. Từ năm 2020 - 2022 diện tích NTTS tăng làm tăng khối lượng bùn thải phát sinh, đến năm 2023 lượng bùn giảm xuống còn 1,032 triệu m</w:t>
      </w:r>
      <w:r>
        <w:rPr>
          <w:sz w:val="26"/>
          <w:szCs w:val="26"/>
          <w:vertAlign w:val="superscript"/>
          <w:lang w:val="pt-BR"/>
        </w:rPr>
        <w:t>3</w:t>
      </w:r>
      <w:r>
        <w:rPr>
          <w:sz w:val="26"/>
          <w:szCs w:val="26"/>
          <w:lang w:val="pt-BR"/>
        </w:rPr>
        <w:t>/năm và tăng trở lại giai đoạn 2024 - 2025. Ngoài ra hoạt động NTTS còn gây sức ép đến tài nguyên nước, cụ thể:</w:t>
      </w:r>
    </w:p>
    <w:p w14:paraId="08F8D889" w14:textId="77777777" w:rsidR="00085789" w:rsidRDefault="00000000" w:rsidP="00C45DBD">
      <w:pPr>
        <w:spacing w:before="120" w:line="252" w:lineRule="auto"/>
        <w:ind w:firstLine="709"/>
        <w:jc w:val="both"/>
        <w:rPr>
          <w:i/>
          <w:sz w:val="26"/>
          <w:szCs w:val="26"/>
          <w:lang w:val="pt-BR"/>
        </w:rPr>
      </w:pPr>
      <w:r>
        <w:rPr>
          <w:i/>
          <w:sz w:val="26"/>
          <w:szCs w:val="26"/>
          <w:lang w:val="pt-BR"/>
        </w:rPr>
        <w:t>- Tài nguyên nước mặt:</w:t>
      </w:r>
    </w:p>
    <w:p w14:paraId="4D97ABE7" w14:textId="77777777" w:rsidR="00085789" w:rsidRDefault="00000000" w:rsidP="00C45DBD">
      <w:pPr>
        <w:widowControl w:val="0"/>
        <w:spacing w:before="120" w:line="252" w:lineRule="auto"/>
        <w:ind w:firstLine="709"/>
        <w:jc w:val="both"/>
        <w:rPr>
          <w:sz w:val="26"/>
          <w:szCs w:val="26"/>
          <w:lang w:val="de-DE"/>
        </w:rPr>
      </w:pPr>
      <w:r>
        <w:rPr>
          <w:sz w:val="26"/>
          <w:szCs w:val="26"/>
          <w:lang w:val="pt-BR"/>
        </w:rPr>
        <w:t xml:space="preserve">Trong hoạt động NTTS nhu cầu sử dụng nước rất lớn, </w:t>
      </w:r>
      <w:r>
        <w:rPr>
          <w:sz w:val="26"/>
          <w:szCs w:val="26"/>
          <w:lang w:val="de-DE"/>
        </w:rPr>
        <w:t>ước tính nhu cầu nước dùng cho ngành thuỷ sản năm 2025 là 89 triệu m</w:t>
      </w:r>
      <w:r>
        <w:rPr>
          <w:sz w:val="26"/>
          <w:szCs w:val="26"/>
          <w:vertAlign w:val="superscript"/>
          <w:lang w:val="de-DE"/>
        </w:rPr>
        <w:t>3</w:t>
      </w:r>
      <w:r>
        <w:rPr>
          <w:sz w:val="26"/>
          <w:szCs w:val="26"/>
          <w:lang w:val="de-DE"/>
        </w:rPr>
        <w:t>, năm 2030 là 96,08 triệu m</w:t>
      </w:r>
      <w:r>
        <w:rPr>
          <w:sz w:val="26"/>
          <w:szCs w:val="26"/>
          <w:vertAlign w:val="superscript"/>
          <w:lang w:val="de-DE"/>
        </w:rPr>
        <w:t>3</w:t>
      </w:r>
      <w:r>
        <w:rPr>
          <w:sz w:val="26"/>
          <w:szCs w:val="26"/>
          <w:lang w:val="de-DE"/>
        </w:rPr>
        <w:t xml:space="preserve">. Với lưu lượng khai thác nước mặt nêu trên nếu các cơ sở NTTS khai thác cùng thời điểm sẽ gây áp lực đối với nguồn nước mặt của khu vực. Tuy nhiên tại các cơ sở NTTS quá trình khai thác nước phục vụ NTTS diễn ra vào từng thời điểm khác nhau nên mức độ ảnh hưởng thấp. </w:t>
      </w:r>
    </w:p>
    <w:p w14:paraId="4EAA963B" w14:textId="77777777" w:rsidR="00085789" w:rsidRDefault="00000000" w:rsidP="00C45DBD">
      <w:pPr>
        <w:spacing w:before="120" w:line="252" w:lineRule="auto"/>
        <w:ind w:firstLine="709"/>
        <w:jc w:val="both"/>
        <w:rPr>
          <w:i/>
          <w:sz w:val="26"/>
          <w:szCs w:val="26"/>
          <w:lang w:val="de-DE"/>
        </w:rPr>
      </w:pPr>
      <w:r>
        <w:rPr>
          <w:i/>
          <w:sz w:val="26"/>
          <w:szCs w:val="26"/>
          <w:lang w:val="de-DE"/>
        </w:rPr>
        <w:t>- Tài nguyên nước dưới đất:</w:t>
      </w:r>
    </w:p>
    <w:p w14:paraId="0152430F" w14:textId="77777777" w:rsidR="00085789" w:rsidRDefault="00000000" w:rsidP="00C45DBD">
      <w:pPr>
        <w:widowControl w:val="0"/>
        <w:spacing w:before="120" w:line="252" w:lineRule="auto"/>
        <w:ind w:firstLine="709"/>
        <w:jc w:val="both"/>
        <w:rPr>
          <w:sz w:val="26"/>
          <w:szCs w:val="26"/>
          <w:lang w:val="de-DE"/>
        </w:rPr>
      </w:pPr>
      <w:r>
        <w:rPr>
          <w:sz w:val="26"/>
          <w:szCs w:val="26"/>
          <w:lang w:val="de-DE"/>
        </w:rPr>
        <w:t>Đối với các vùng nuôi tôm nước lợ ven biển, hầu như chưa có nguồn nước ngọt để sử dụng cho sinh hoạt do vậy các cơ sở đã phải khai thác nước dưới đất để phục vụ cho sinh hoạt. Hệ quả của việc khai thác nước dưới đất có thể gây ra những tác động tiêu cực như hạ thấp mực nước dưới đất, ảnh hưởng chất lượng nước dưới đất; việc khai thác nước dưới đất với số lượng lớn sẽ làm giảm áp lực nước, điều này làm gia tăng khả năng thẩm thấu, xâm nhập nước mặn từ bên ngoài vào các tầng rỗng, gây ra hiện tượng nhiễm mặn tầng nước dưới đất.</w:t>
      </w:r>
    </w:p>
    <w:p w14:paraId="4BE33FF6" w14:textId="77777777" w:rsidR="00085789" w:rsidRDefault="00000000" w:rsidP="00C45DBD">
      <w:pPr>
        <w:pStyle w:val="bac2"/>
        <w:spacing w:before="120" w:after="0" w:line="252" w:lineRule="auto"/>
        <w:rPr>
          <w:lang w:val="de-DE"/>
        </w:rPr>
      </w:pPr>
      <w:bookmarkStart w:id="409" w:name="_Toc214311225"/>
      <w:r>
        <w:rPr>
          <w:lang w:val="de-DE"/>
        </w:rPr>
        <w:t>2.7. Sức ép hoạt động y tế</w:t>
      </w:r>
      <w:bookmarkEnd w:id="409"/>
    </w:p>
    <w:p w14:paraId="68198BF8" w14:textId="77777777" w:rsidR="00085789" w:rsidRDefault="00000000" w:rsidP="00C45DBD">
      <w:pPr>
        <w:widowControl w:val="0"/>
        <w:autoSpaceDE w:val="0"/>
        <w:autoSpaceDN w:val="0"/>
        <w:adjustRightInd w:val="0"/>
        <w:spacing w:before="120" w:line="252" w:lineRule="auto"/>
        <w:ind w:firstLine="709"/>
        <w:jc w:val="both"/>
        <w:rPr>
          <w:sz w:val="26"/>
          <w:szCs w:val="26"/>
          <w:lang w:val="de-DE"/>
        </w:rPr>
      </w:pPr>
      <w:r>
        <w:rPr>
          <w:sz w:val="26"/>
          <w:szCs w:val="26"/>
          <w:lang w:val="de-DE"/>
        </w:rPr>
        <w:t>Hiện nay trên địa bàn tỉnh có 22 bệnh viện/trung tâm, trong đó có 10 bệnh viện và 12 Trung tâm có chức năng khám chữa bệnh; 209 trạm y tế và 369 phòng khám và 03 cơ sở y tế cơ quan. Trong quá trình hoạt động y tế sẽ kèm theo nguồn thải vào môi trường những chất thải mang tính độc hại cao như nước thải và rác thải. Chất thải từ các cơ sở y tế gồm CTR thông thường, chất thải y tế nguy hại và nước thải y tế.  Nếu không được thu gom, phân loại và xử lý nghiêm ngặt, chất thải y tế sẽ tạo sức ép lớn lên môi trường đất, nước, không khí và hệ sinh thái, đồng thời đe dọa trực tiếp đến sức khỏe cộng đồng và sự phát triển bền vững.</w:t>
      </w:r>
    </w:p>
    <w:p w14:paraId="371B98F6" w14:textId="77777777" w:rsidR="00085789" w:rsidRDefault="00000000" w:rsidP="00C45DBD">
      <w:pPr>
        <w:widowControl w:val="0"/>
        <w:pBdr>
          <w:top w:val="dotted" w:sz="4" w:space="1" w:color="FFFFFF"/>
          <w:left w:val="dotted" w:sz="4" w:space="0" w:color="FFFFFF"/>
          <w:bottom w:val="dotted" w:sz="4" w:space="2" w:color="FFFFFF"/>
          <w:right w:val="dotted" w:sz="4" w:space="0" w:color="FFFFFF"/>
        </w:pBdr>
        <w:shd w:val="clear" w:color="auto" w:fill="FFFFFF"/>
        <w:spacing w:before="120" w:line="252" w:lineRule="auto"/>
        <w:ind w:firstLine="709"/>
        <w:jc w:val="both"/>
        <w:outlineLvl w:val="0"/>
        <w:rPr>
          <w:b/>
          <w:i/>
          <w:iCs/>
          <w:sz w:val="26"/>
          <w:szCs w:val="26"/>
          <w:lang w:val="de-DE"/>
        </w:rPr>
      </w:pPr>
      <w:r>
        <w:rPr>
          <w:b/>
          <w:i/>
          <w:iCs/>
          <w:sz w:val="26"/>
          <w:szCs w:val="26"/>
          <w:lang w:val="de-DE"/>
        </w:rPr>
        <w:t>* Đối với CTR:</w:t>
      </w:r>
    </w:p>
    <w:p w14:paraId="38C7F67A" w14:textId="77777777" w:rsidR="00085789" w:rsidRDefault="00000000" w:rsidP="00C45DBD">
      <w:pPr>
        <w:widowControl w:val="0"/>
        <w:pBdr>
          <w:top w:val="dotted" w:sz="4" w:space="1" w:color="FFFFFF"/>
          <w:left w:val="dotted" w:sz="4" w:space="0" w:color="FFFFFF"/>
          <w:bottom w:val="dotted" w:sz="4" w:space="2" w:color="FFFFFF"/>
          <w:right w:val="dotted" w:sz="4" w:space="0" w:color="FFFFFF"/>
        </w:pBdr>
        <w:shd w:val="clear" w:color="auto" w:fill="FFFFFF"/>
        <w:spacing w:before="120" w:line="252" w:lineRule="auto"/>
        <w:ind w:firstLine="709"/>
        <w:jc w:val="both"/>
        <w:outlineLvl w:val="0"/>
        <w:rPr>
          <w:b/>
          <w:i/>
          <w:iCs/>
          <w:sz w:val="26"/>
          <w:szCs w:val="26"/>
          <w:lang w:val="de-DE"/>
        </w:rPr>
      </w:pPr>
      <w:r>
        <w:rPr>
          <w:sz w:val="26"/>
          <w:szCs w:val="26"/>
          <w:lang w:val="hsb-DE"/>
        </w:rPr>
        <w:lastRenderedPageBreak/>
        <w:t>- Từ năm 2021-2025, lượng CTR thông thường phát sinh tại các cơ sở y tế trung bình khoảng 6.873kg/ngày (tương ứng 2.509 tấn/năm), chất thải y tế nguy hại khoảng 477 kg/ngày (tương ứng 174 tấn/năm).</w:t>
      </w:r>
    </w:p>
    <w:p w14:paraId="6A476961" w14:textId="77777777" w:rsidR="00085789" w:rsidRDefault="00000000" w:rsidP="00C45DBD">
      <w:pPr>
        <w:spacing w:before="120" w:line="252" w:lineRule="auto"/>
        <w:ind w:firstLine="720"/>
        <w:jc w:val="both"/>
        <w:rPr>
          <w:sz w:val="26"/>
          <w:szCs w:val="26"/>
          <w:lang w:val="hsb-DE"/>
        </w:rPr>
      </w:pPr>
      <w:r>
        <w:rPr>
          <w:sz w:val="26"/>
          <w:szCs w:val="26"/>
          <w:lang w:val="hsb-DE"/>
        </w:rPr>
        <w:t>- Việc thu gom, vận chuyển và xử lý chất thải y tế nguy hại trên địa bàn tỉnh đang thực hiện theo các Quyết định của UBND tỉnh: số 34/2023/QĐ-UBND ngày 31/7/2023, số 67/2025/QĐ-UBND ngày 16/10/2025 sửa đổi, bổ sung Quyết định số 34/2023/QĐ-UBND ngày 31/7/2023 quy định về thu gom, vận chuyển và xử lý chất thải y tế nguy hại trên địa bàn tỉnh</w:t>
      </w:r>
      <w:r>
        <w:rPr>
          <w:lang w:val="hsb-DE"/>
        </w:rPr>
        <w:t xml:space="preserve"> </w:t>
      </w:r>
      <w:r>
        <w:rPr>
          <w:sz w:val="26"/>
          <w:szCs w:val="26"/>
          <w:lang w:val="hsb-DE"/>
        </w:rPr>
        <w:t>và Thông tư số 20/2021/TT-BYT của Bộ Y tế về quản lý chất thải y tế trong phạm vi khuôn viên cơ sở y tế, trong đó:</w:t>
      </w:r>
    </w:p>
    <w:p w14:paraId="50A29DE1" w14:textId="77777777" w:rsidR="00085789" w:rsidRDefault="00000000" w:rsidP="00C45DBD">
      <w:pPr>
        <w:spacing w:before="120" w:line="252" w:lineRule="auto"/>
        <w:ind w:firstLine="720"/>
        <w:jc w:val="both"/>
        <w:rPr>
          <w:bCs/>
          <w:sz w:val="26"/>
          <w:szCs w:val="26"/>
          <w:lang w:val="hsb-DE"/>
        </w:rPr>
      </w:pPr>
      <w:r>
        <w:rPr>
          <w:sz w:val="26"/>
          <w:szCs w:val="26"/>
          <w:lang w:val="hsb-DE"/>
        </w:rPr>
        <w:t>+</w:t>
      </w:r>
      <w:r>
        <w:rPr>
          <w:sz w:val="26"/>
          <w:szCs w:val="26"/>
          <w:lang w:val="it-IT"/>
        </w:rPr>
        <w:t xml:space="preserve"> Tại </w:t>
      </w:r>
      <w:r>
        <w:rPr>
          <w:iCs/>
          <w:sz w:val="26"/>
          <w:szCs w:val="26"/>
          <w:lang w:val="hsb-DE"/>
        </w:rPr>
        <w:t xml:space="preserve">bệnh viện/trung tâm y tế: </w:t>
      </w:r>
      <w:r>
        <w:rPr>
          <w:sz w:val="26"/>
          <w:szCs w:val="26"/>
          <w:lang w:val="es-ES"/>
        </w:rPr>
        <w:t>18 Bệnh viện/Trung tâm y tế trên địa bàn tỉnh đã hợp đồng với đơn vị có chức năng để thu gom, xử lý chất thải y tế nguy hại phát sinh; 01 Trung tâm y tế</w:t>
      </w:r>
      <w:r>
        <w:rPr>
          <w:rStyle w:val="FootnoteReference"/>
          <w:sz w:val="26"/>
          <w:szCs w:val="26"/>
          <w:lang w:val="es-ES"/>
        </w:rPr>
        <w:footnoteReference w:id="33"/>
      </w:r>
      <w:r>
        <w:rPr>
          <w:sz w:val="26"/>
          <w:szCs w:val="26"/>
          <w:lang w:val="es-ES"/>
        </w:rPr>
        <w:t xml:space="preserve"> xử lý tại chỗ bằng lò đốt chất thải y tế; 03 Bệnh viện/Trung tâm</w:t>
      </w:r>
      <w:r>
        <w:rPr>
          <w:rStyle w:val="FootnoteReference"/>
          <w:sz w:val="26"/>
          <w:szCs w:val="26"/>
          <w:lang w:val="es-ES"/>
        </w:rPr>
        <w:footnoteReference w:id="34"/>
      </w:r>
      <w:r>
        <w:rPr>
          <w:sz w:val="26"/>
          <w:szCs w:val="26"/>
          <w:lang w:val="es-ES"/>
        </w:rPr>
        <w:t xml:space="preserve"> xử lý bằng công nghệ hấp ướt theo mô hình xử lý</w:t>
      </w:r>
      <w:r>
        <w:rPr>
          <w:bCs/>
          <w:sz w:val="26"/>
          <w:szCs w:val="26"/>
          <w:lang w:val="es-ES"/>
        </w:rPr>
        <w:t xml:space="preserve"> chất thải</w:t>
      </w:r>
      <w:r>
        <w:rPr>
          <w:bCs/>
          <w:sz w:val="26"/>
          <w:szCs w:val="26"/>
          <w:lang w:val="hsb-DE"/>
        </w:rPr>
        <w:t xml:space="preserve"> cụm cơ sở y tế. </w:t>
      </w:r>
    </w:p>
    <w:p w14:paraId="098FB34F" w14:textId="77777777" w:rsidR="00085789" w:rsidRDefault="00000000" w:rsidP="00C45DBD">
      <w:pPr>
        <w:spacing w:before="120" w:line="252" w:lineRule="auto"/>
        <w:ind w:firstLine="720"/>
        <w:jc w:val="both"/>
        <w:rPr>
          <w:bCs/>
          <w:sz w:val="26"/>
          <w:szCs w:val="26"/>
          <w:lang w:val="hsb-DE"/>
        </w:rPr>
      </w:pPr>
      <w:r>
        <w:rPr>
          <w:bCs/>
          <w:sz w:val="26"/>
          <w:szCs w:val="26"/>
          <w:lang w:val="hsb-DE"/>
        </w:rPr>
        <w:t>+ Tại trạm y tế xã vận chuyển chất thải y tế nguy hại về Trung tâm y tế để xử lý hoặc hợp đồng với đơn vị có chức năng xử lý theo quy định.</w:t>
      </w:r>
    </w:p>
    <w:p w14:paraId="68DE86C2" w14:textId="77777777" w:rsidR="00085789" w:rsidRDefault="00000000" w:rsidP="00C45DBD">
      <w:pPr>
        <w:spacing w:before="120" w:line="252" w:lineRule="auto"/>
        <w:ind w:firstLine="720"/>
        <w:jc w:val="both"/>
        <w:rPr>
          <w:sz w:val="26"/>
          <w:szCs w:val="26"/>
          <w:lang w:val="hsb-DE"/>
        </w:rPr>
      </w:pPr>
      <w:r>
        <w:rPr>
          <w:bCs/>
          <w:sz w:val="26"/>
          <w:szCs w:val="26"/>
          <w:lang w:val="hsb-DE"/>
        </w:rPr>
        <w:t xml:space="preserve">+ </w:t>
      </w:r>
      <w:r>
        <w:rPr>
          <w:sz w:val="26"/>
          <w:szCs w:val="26"/>
          <w:lang w:val="hsb-DE"/>
        </w:rPr>
        <w:t>Phòng khám tư nhân thực hiện vận chuyển chất thải y tế nguy hại về Bệnh viện đa khoa tỉnh hoặc Trung tâm Y tế để xử lý theo cụm hoặc hợp đồng với đơn vị có chức năng xử lý.</w:t>
      </w:r>
    </w:p>
    <w:p w14:paraId="3BE4AEFF" w14:textId="77777777" w:rsidR="00085789" w:rsidRDefault="00000000" w:rsidP="00C45DBD">
      <w:pPr>
        <w:spacing w:before="120" w:line="252" w:lineRule="auto"/>
        <w:ind w:firstLine="720"/>
        <w:jc w:val="both"/>
        <w:rPr>
          <w:i/>
          <w:iCs/>
          <w:sz w:val="26"/>
          <w:szCs w:val="26"/>
          <w:lang w:val="hsb-DE"/>
        </w:rPr>
      </w:pPr>
      <w:r>
        <w:rPr>
          <w:b/>
          <w:bCs/>
          <w:i/>
          <w:iCs/>
          <w:sz w:val="26"/>
          <w:szCs w:val="26"/>
          <w:lang w:val="hsb-DE"/>
        </w:rPr>
        <w:t>* Đối với nước thải</w:t>
      </w:r>
      <w:r>
        <w:rPr>
          <w:i/>
          <w:iCs/>
          <w:sz w:val="26"/>
          <w:szCs w:val="26"/>
          <w:lang w:val="hsb-DE"/>
        </w:rPr>
        <w:t xml:space="preserve">: </w:t>
      </w:r>
      <w:r>
        <w:rPr>
          <w:bCs/>
          <w:sz w:val="26"/>
          <w:szCs w:val="26"/>
          <w:lang w:val="hsb-DE"/>
        </w:rPr>
        <w:t>Nước thải y tế phát sinh tại các cơ sơ y tế trung bình khoảng 2.708 m</w:t>
      </w:r>
      <w:r>
        <w:rPr>
          <w:bCs/>
          <w:sz w:val="26"/>
          <w:szCs w:val="26"/>
          <w:vertAlign w:val="superscript"/>
          <w:lang w:val="hsb-DE"/>
        </w:rPr>
        <w:t>3</w:t>
      </w:r>
      <w:r>
        <w:rPr>
          <w:bCs/>
          <w:sz w:val="26"/>
          <w:szCs w:val="26"/>
          <w:lang w:val="hsb-DE"/>
        </w:rPr>
        <w:t>/ngày đêm. Hiện nay 22/22 bệnh viện/trung tâm y tế có hệ thống xử lý nước thải và thực hiện quan trắc môi trường nước thải theo quy định. Có 21/22 cơ sở có kết quả quan trắc các chỉ tiêu đầu ra của nước thải đạt quy chuẩn kỹ thuật cột B - Quy chuẩn QCVN 28:2010/BTNMT; 01 cơ sở đang thực hiện cải tạo, lắp đặt hệ thống xử lý nước thải y tế</w:t>
      </w:r>
      <w:r>
        <w:rPr>
          <w:rStyle w:val="FootnoteReference"/>
          <w:bCs/>
          <w:sz w:val="26"/>
          <w:szCs w:val="26"/>
        </w:rPr>
        <w:footnoteReference w:id="35"/>
      </w:r>
      <w:r>
        <w:rPr>
          <w:bCs/>
          <w:sz w:val="26"/>
          <w:szCs w:val="26"/>
          <w:lang w:val="hsb-DE"/>
        </w:rPr>
        <w:t xml:space="preserve">. </w:t>
      </w:r>
    </w:p>
    <w:p w14:paraId="4F1A4367" w14:textId="77777777" w:rsidR="00085789" w:rsidRDefault="00000000" w:rsidP="00C45DBD">
      <w:pPr>
        <w:pStyle w:val="bac2"/>
        <w:spacing w:before="120" w:after="0" w:line="252" w:lineRule="auto"/>
        <w:rPr>
          <w:spacing w:val="0"/>
          <w:lang w:val="hsb-DE"/>
        </w:rPr>
      </w:pPr>
      <w:bookmarkStart w:id="410" w:name="_Toc214311226"/>
      <w:r>
        <w:rPr>
          <w:spacing w:val="0"/>
          <w:lang w:val="hsb-DE"/>
        </w:rPr>
        <w:t>2.8. Sức ép hoạt động du lịch, dịch vụ, kinh doanh, thương mại và xuất nhập khẩu</w:t>
      </w:r>
      <w:bookmarkEnd w:id="410"/>
    </w:p>
    <w:p w14:paraId="3D98AD4C" w14:textId="77777777" w:rsidR="00085789" w:rsidRDefault="00000000" w:rsidP="00C45DBD">
      <w:pPr>
        <w:widowControl w:val="0"/>
        <w:autoSpaceDE w:val="0"/>
        <w:autoSpaceDN w:val="0"/>
        <w:adjustRightInd w:val="0"/>
        <w:spacing w:before="120" w:line="252" w:lineRule="auto"/>
        <w:ind w:firstLine="709"/>
        <w:jc w:val="both"/>
        <w:rPr>
          <w:b/>
          <w:bCs/>
          <w:i/>
          <w:iCs/>
          <w:sz w:val="26"/>
          <w:szCs w:val="26"/>
          <w:lang w:val="sv-SE"/>
        </w:rPr>
      </w:pPr>
      <w:r>
        <w:rPr>
          <w:b/>
          <w:bCs/>
          <w:i/>
          <w:iCs/>
          <w:sz w:val="26"/>
          <w:szCs w:val="26"/>
          <w:lang w:val="sv-SE"/>
        </w:rPr>
        <w:t>* Đối với hoạt động du lịch:</w:t>
      </w:r>
    </w:p>
    <w:p w14:paraId="253CFF26" w14:textId="77777777" w:rsidR="00085789" w:rsidRDefault="00000000" w:rsidP="00C45DBD">
      <w:pPr>
        <w:spacing w:before="120" w:line="252" w:lineRule="auto"/>
        <w:ind w:firstLine="720"/>
        <w:jc w:val="both"/>
        <w:rPr>
          <w:spacing w:val="-4"/>
          <w:sz w:val="26"/>
          <w:szCs w:val="26"/>
          <w:lang w:val="sv-SE"/>
        </w:rPr>
      </w:pPr>
      <w:r>
        <w:rPr>
          <w:sz w:val="26"/>
          <w:szCs w:val="26"/>
          <w:lang w:val="sv-SE"/>
        </w:rPr>
        <w:t>Hoạt động phát triển du lịch tạo điều kiện giải quyết việc làm cho người dân, kích thích sự phát triển các làng nghề thủ công truyền thống, cải thiện đời sống cộng đồng. Tuy nhiên, hoạt động phát triển du lịch đồng nghĩa với việc gia tăng lượng khách du lịch tới các địa điểm du lịch, tăng cường phát triển cơ sở hạ tầng, dịch vụ và gia tăng nhu cầu sử dụng tài nguyên,… từ đó dẫn đến sự gia tăng</w:t>
      </w:r>
      <w:r>
        <w:rPr>
          <w:spacing w:val="-4"/>
          <w:sz w:val="26"/>
          <w:szCs w:val="26"/>
          <w:lang w:val="sv-SE"/>
        </w:rPr>
        <w:t xml:space="preserve"> áp lực của phát triển du lịch đến môi trường, cụ thể như:</w:t>
      </w:r>
    </w:p>
    <w:p w14:paraId="301513AC" w14:textId="77777777" w:rsidR="00085789" w:rsidRDefault="00000000">
      <w:pPr>
        <w:spacing w:before="60" w:line="240" w:lineRule="auto"/>
        <w:ind w:firstLine="720"/>
        <w:jc w:val="both"/>
        <w:rPr>
          <w:sz w:val="26"/>
          <w:szCs w:val="26"/>
          <w:lang w:val="sv-SE"/>
        </w:rPr>
      </w:pPr>
      <w:r>
        <w:rPr>
          <w:noProof/>
          <w:sz w:val="26"/>
          <w:szCs w:val="26"/>
        </w:rPr>
        <w:lastRenderedPageBreak/>
        <w:drawing>
          <wp:anchor distT="0" distB="0" distL="114300" distR="114300" simplePos="0" relativeHeight="251850240" behindDoc="1" locked="0" layoutInCell="1" allowOverlap="1" wp14:anchorId="68869BCE" wp14:editId="0B68428C">
            <wp:simplePos x="0" y="0"/>
            <wp:positionH relativeFrom="margin">
              <wp:posOffset>3027045</wp:posOffset>
            </wp:positionH>
            <wp:positionV relativeFrom="paragraph">
              <wp:posOffset>1323076</wp:posOffset>
            </wp:positionV>
            <wp:extent cx="2897505" cy="2594610"/>
            <wp:effectExtent l="19050" t="19050" r="17145" b="15240"/>
            <wp:wrapTight wrapText="bothSides">
              <wp:wrapPolygon edited="0">
                <wp:start x="-142" y="-159"/>
                <wp:lineTo x="-142" y="21568"/>
                <wp:lineTo x="21586" y="21568"/>
                <wp:lineTo x="21586" y="-159"/>
                <wp:lineTo x="-142" y="-159"/>
              </wp:wrapPolygon>
            </wp:wrapTight>
            <wp:docPr id="16580533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053390" name=""/>
                    <pic:cNvPicPr/>
                  </pic:nvPicPr>
                  <pic:blipFill>
                    <a:blip r:embed="rId34">
                      <a:extLst>
                        <a:ext uri="{28A0092B-C50C-407E-A947-70E740481C1C}">
                          <a14:useLocalDpi xmlns:a14="http://schemas.microsoft.com/office/drawing/2010/main" val="0"/>
                        </a:ext>
                      </a:extLst>
                    </a:blip>
                    <a:stretch>
                      <a:fillRect/>
                    </a:stretch>
                  </pic:blipFill>
                  <pic:spPr>
                    <a:xfrm>
                      <a:off x="0" y="0"/>
                      <a:ext cx="2897505" cy="2594610"/>
                    </a:xfrm>
                    <a:prstGeom prst="rect">
                      <a:avLst/>
                    </a:prstGeom>
                    <a:ln>
                      <a:solidFill>
                        <a:schemeClr val="bg1"/>
                      </a:solidFill>
                    </a:ln>
                  </pic:spPr>
                </pic:pic>
              </a:graphicData>
            </a:graphic>
            <wp14:sizeRelH relativeFrom="page">
              <wp14:pctWidth>0</wp14:pctWidth>
            </wp14:sizeRelH>
            <wp14:sizeRelV relativeFrom="page">
              <wp14:pctHeight>0</wp14:pctHeight>
            </wp14:sizeRelV>
          </wp:anchor>
        </w:drawing>
      </w:r>
      <w:r>
        <w:rPr>
          <w:i/>
          <w:iCs/>
          <w:sz w:val="26"/>
          <w:szCs w:val="26"/>
          <w:lang w:val="sv-SE"/>
        </w:rPr>
        <w:t xml:space="preserve">- Tác động đến môi trường không khí: </w:t>
      </w:r>
      <w:r>
        <w:rPr>
          <w:sz w:val="26"/>
          <w:szCs w:val="26"/>
          <w:lang w:val="sv-SE"/>
        </w:rPr>
        <w:t xml:space="preserve">Ô nhiễm không khí do khí thải từ các loại máy xây dựng cơ sở hạ tầng phục vụ du lịch hoặc do tăng số lượng xe cộ và các phương tiện giải trí phục vụ du khách hoặc từ quá trình đốt các nguyên liệu năng lượng rắn (như củi, than...) để đáp ứng nhu cầu về năng lượng của các cơ sở dịch vụ du lịch. Ngoài ra, tăng số lượng xe cộ và các phương tiện vui chơi giải trí, do các hoạt động của du khách tập trung đông tại các điểm dịch vụ du lịch và hoạt động xây dựng các công trình du lịch gây tiếng ồn ảnh hưởng đến con người. </w:t>
      </w:r>
    </w:p>
    <w:p w14:paraId="33A0702C" w14:textId="77777777" w:rsidR="00085789" w:rsidRDefault="00000000">
      <w:pPr>
        <w:widowControl w:val="0"/>
        <w:autoSpaceDE w:val="0"/>
        <w:autoSpaceDN w:val="0"/>
        <w:adjustRightInd w:val="0"/>
        <w:spacing w:before="120" w:line="240" w:lineRule="auto"/>
        <w:ind w:firstLine="709"/>
        <w:jc w:val="both"/>
        <w:rPr>
          <w:sz w:val="26"/>
          <w:szCs w:val="26"/>
          <w:lang w:val="sv-SE"/>
        </w:rPr>
      </w:pPr>
      <w:r>
        <w:rPr>
          <w:noProof/>
          <w:sz w:val="26"/>
          <w:szCs w:val="26"/>
        </w:rPr>
        <mc:AlternateContent>
          <mc:Choice Requires="wps">
            <w:drawing>
              <wp:anchor distT="0" distB="0" distL="114300" distR="114300" simplePos="0" relativeHeight="251858432" behindDoc="1" locked="0" layoutInCell="1" allowOverlap="1" wp14:anchorId="104334D5" wp14:editId="7D4E7B35">
                <wp:simplePos x="0" y="0"/>
                <wp:positionH relativeFrom="margin">
                  <wp:align>right</wp:align>
                </wp:positionH>
                <wp:positionV relativeFrom="paragraph">
                  <wp:posOffset>2684123</wp:posOffset>
                </wp:positionV>
                <wp:extent cx="3096895" cy="700405"/>
                <wp:effectExtent l="0" t="0" r="27305" b="23495"/>
                <wp:wrapTight wrapText="bothSides">
                  <wp:wrapPolygon edited="0">
                    <wp:start x="0" y="0"/>
                    <wp:lineTo x="0" y="21737"/>
                    <wp:lineTo x="21658" y="21737"/>
                    <wp:lineTo x="21658" y="0"/>
                    <wp:lineTo x="0" y="0"/>
                  </wp:wrapPolygon>
                </wp:wrapTight>
                <wp:docPr id="2104776425" name="Text Box 9"/>
                <wp:cNvGraphicFramePr/>
                <a:graphic xmlns:a="http://schemas.openxmlformats.org/drawingml/2006/main">
                  <a:graphicData uri="http://schemas.microsoft.com/office/word/2010/wordprocessingShape">
                    <wps:wsp>
                      <wps:cNvSpPr txBox="1"/>
                      <wps:spPr>
                        <a:xfrm>
                          <a:off x="0" y="0"/>
                          <a:ext cx="3096895" cy="700405"/>
                        </a:xfrm>
                        <a:prstGeom prst="rect">
                          <a:avLst/>
                        </a:prstGeom>
                        <a:noFill/>
                        <a:ln w="6350">
                          <a:solidFill>
                            <a:schemeClr val="bg1"/>
                          </a:solidFill>
                        </a:ln>
                      </wps:spPr>
                      <wps:txbx>
                        <w:txbxContent>
                          <w:p w14:paraId="35153D7F" w14:textId="77777777" w:rsidR="00085789" w:rsidRDefault="00000000">
                            <w:pPr>
                              <w:pStyle w:val="-bac4"/>
                            </w:pPr>
                            <w:bookmarkStart w:id="411" w:name="_Toc205915691"/>
                            <w:bookmarkStart w:id="412" w:name="_Toc213597386"/>
                            <w:bookmarkStart w:id="413" w:name="_Toc213600751"/>
                            <w:r>
                              <w:t>Hình 2.5. Tác động môi trường của phát triển du lịch</w:t>
                            </w:r>
                            <w:bookmarkEnd w:id="411"/>
                            <w:bookmarkEnd w:id="412"/>
                            <w:bookmarkEnd w:id="413"/>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74E663" id="Text Box 9" o:spid="_x0000_s1033" type="#_x0000_t202" style="position:absolute;left:0;text-align:left;margin-left:192.65pt;margin-top:211.35pt;width:243.85pt;height:55.15pt;z-index:-2514580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" filled="f" strokecolor="white [3212]" strokeweight=".5pt">
                <v:textbox>
                  <w:txbxContent>
                    <w:p w14:paraId="5B8D9B9D" w14:textId="77777777" w:rsidR="000E0CEF" w:rsidRDefault="000E0CEF">
                      <w:pPr>
                        <w:pStyle w:val="-bac4"/>
                      </w:pPr>
                      <w:bookmarkStart w:id="446" w:name="_Toc205915691"/>
                      <w:bookmarkStart w:id="447" w:name="_Toc213597386"/>
                      <w:bookmarkStart w:id="448" w:name="_Toc213600751"/>
                      <w:r>
                        <w:t>Hình 2.5. Tác động môi trường của phát triển du lịch</w:t>
                      </w:r>
                      <w:bookmarkEnd w:id="446"/>
                      <w:bookmarkEnd w:id="447"/>
                      <w:bookmarkEnd w:id="448"/>
                    </w:p>
                  </w:txbxContent>
                </v:textbox>
                <w10:wrap type="tight" anchorx="margin"/>
              </v:shape>
            </w:pict>
          </mc:Fallback>
        </mc:AlternateContent>
      </w:r>
      <w:r>
        <w:rPr>
          <w:i/>
          <w:iCs/>
          <w:sz w:val="26"/>
          <w:szCs w:val="26"/>
          <w:lang w:val="sv-SE"/>
        </w:rPr>
        <w:t>- Tác động đến môi trường nước:</w:t>
      </w:r>
      <w:r>
        <w:rPr>
          <w:sz w:val="26"/>
          <w:szCs w:val="26"/>
          <w:lang w:val="sv-SE"/>
        </w:rPr>
        <w:t xml:space="preserve"> Ô nhiễm nước (nước mặt, nước dưới đất và vùng nước ven bờ) do chất thải, khai thác tài nguyên không hợp lý, không có các giải pháp khai thác tài nguyên phù hợp. Nước thải sinh hoạt từ du khách và cơ sở lưu trú (khách sạn, nhà hàng, khu nghỉ dưỡng, homestay,...) phát sinh lượng lớn chất dầu mỡ, chất tẩy rửa, vi sinh vật gây bệnh,…. Nếu hệ thống xử lý không đạt chuẩn sẽ thải trực tiếp ra sông, hồ, kênh mương, biển, làm suy giảm chất lượng nước. Hoạt động vui chơi giải trí dưới nước (tàu thuyền, ca nô, bơi lội, thể thao biển) có nguy cơ rò rỉ dầu, xăng, hóa chất từ phương tiện thủy gây ô nhiễm cục bộ. Khai thác nước ngầm quá mức để đáp ứng nhu cầu cho khách sạn, khu nghỉ dưỡng, khu vui chơi khiến mực nước ngầm hạ thấp, nguy cơ sụt lún và xâm nhập mặn (nhất là vùng ven biển). </w:t>
      </w:r>
    </w:p>
    <w:p w14:paraId="2CFC14CA" w14:textId="77777777" w:rsidR="00085789" w:rsidRDefault="00000000">
      <w:pPr>
        <w:widowControl w:val="0"/>
        <w:autoSpaceDE w:val="0"/>
        <w:autoSpaceDN w:val="0"/>
        <w:adjustRightInd w:val="0"/>
        <w:spacing w:before="120" w:line="240" w:lineRule="auto"/>
        <w:ind w:firstLine="709"/>
        <w:jc w:val="both"/>
        <w:rPr>
          <w:i/>
          <w:iCs/>
          <w:sz w:val="26"/>
          <w:szCs w:val="26"/>
          <w:lang w:val="sv-SE"/>
        </w:rPr>
      </w:pPr>
      <w:r>
        <w:rPr>
          <w:i/>
          <w:iCs/>
          <w:sz w:val="26"/>
          <w:szCs w:val="26"/>
          <w:lang w:val="sv-SE"/>
        </w:rPr>
        <w:t xml:space="preserve">- Tác động đến môi trường đất: </w:t>
      </w:r>
      <w:r>
        <w:rPr>
          <w:sz w:val="26"/>
          <w:szCs w:val="26"/>
          <w:lang w:val="sv-SE"/>
        </w:rPr>
        <w:t>Việc thay đổi mục đích sử dụng đất để dành xây dựng khách sạn và các công trình dịch vụ du lịch sẽ ảnh hưởng đến cảnh quan thiên nhiên và các cơ cấu sử dụng đất khác. Rác thải không được thu gom và xử lý sẽ gây ô nhiễm tầng đất bề mặt và làm suy thoái môi trường đất. Việc xây dựng các công trình du lịch hiện đại và kết cấu hạ tầng thường làm cho cảnh quan và các khu di tích xuống cấp về mặt thẩm mỹ và kiến trúc truyền thống. Lượng du khách quá đông đến thăm các danh lam thắng cảnh và di tích lịch sử cũng có tác động xấu đến môi trường đất tại đây do các hiện tượng giẫm đạp, sạt lở,....</w:t>
      </w:r>
    </w:p>
    <w:p w14:paraId="5DB643D3" w14:textId="77777777" w:rsidR="00085789" w:rsidRDefault="00000000">
      <w:pPr>
        <w:widowControl w:val="0"/>
        <w:autoSpaceDE w:val="0"/>
        <w:autoSpaceDN w:val="0"/>
        <w:adjustRightInd w:val="0"/>
        <w:spacing w:before="120" w:line="240" w:lineRule="auto"/>
        <w:ind w:firstLine="709"/>
        <w:jc w:val="both"/>
        <w:rPr>
          <w:sz w:val="26"/>
          <w:szCs w:val="26"/>
          <w:lang w:val="sv-SE"/>
        </w:rPr>
      </w:pPr>
      <w:r>
        <w:rPr>
          <w:i/>
          <w:iCs/>
          <w:sz w:val="26"/>
          <w:szCs w:val="26"/>
          <w:lang w:val="sv-SE"/>
        </w:rPr>
        <w:t>- Tác động đến hệ sinh thải:</w:t>
      </w:r>
      <w:r>
        <w:rPr>
          <w:sz w:val="26"/>
          <w:szCs w:val="26"/>
          <w:lang w:val="sv-SE"/>
        </w:rPr>
        <w:t xml:space="preserve"> Sự gia tăng lượng khách du lịch tại các khu, điểm du lịch như Thiên Cầm, Xuân Thành, Kẻ Gỗ, Vũ Quang,… làm phát sinh đáng kể lượng nước thải, CTR và tiếng ồn, gây ảnh hưởng trực tiếp đến các HST, đặc biệt là HST ven biển và dưới nước. Nhiều khu vực bãi tắm, cửa sông ven biển xuất hiện hiện tượng rác thải trôi nổi trên bề mặt, một số vị trí bị sụt lún làm tắc dòng chảy; trên vỉa hè và bãi biển vẫn còn phát sinh rác thải chưa được thu gom, quản lý,... gây suy giảm chất lượng nước, tác động xấu đến sinh vật đáy, nguồn lợi thủy sinh và ảnh hưởng tới hoạt động phát triển du lịch. Việc mở rộng cơ sở lưu trú, nhà hàng, khu nghỉ dưỡng ven biển và vùng hồ cũng làm thu hẹp diện tích thảm thực vật tự nhiên, rừng ngập mặn, thảm cỏ biển và sinh cảnh ven hồ - nơi cư trú của nhiều loài chim nước, lưỡng cư và thủy sinh đặc hữu. Nếu không được kiểm soát thì nguy cơ suy thoái HST ven biển, vùng đất ngập nước và ĐDSH đặc trưng của Hà Tĩnh sẽ tiếp tục gia tăng trong những năm tới.</w:t>
      </w:r>
    </w:p>
    <w:p w14:paraId="3454E991" w14:textId="77777777" w:rsidR="00085789" w:rsidRDefault="00000000">
      <w:pPr>
        <w:widowControl w:val="0"/>
        <w:autoSpaceDE w:val="0"/>
        <w:autoSpaceDN w:val="0"/>
        <w:adjustRightInd w:val="0"/>
        <w:spacing w:before="120" w:line="240" w:lineRule="auto"/>
        <w:ind w:firstLine="709"/>
        <w:jc w:val="both"/>
        <w:rPr>
          <w:b/>
          <w:bCs/>
          <w:sz w:val="26"/>
          <w:szCs w:val="26"/>
          <w:lang w:val="sv-SE"/>
        </w:rPr>
      </w:pPr>
      <w:r>
        <w:rPr>
          <w:b/>
          <w:bCs/>
          <w:sz w:val="26"/>
          <w:szCs w:val="26"/>
          <w:lang w:val="sv-SE"/>
        </w:rPr>
        <w:t xml:space="preserve">* Đối với hoạt động kinh doanh thương mại: </w:t>
      </w:r>
    </w:p>
    <w:p w14:paraId="38913971" w14:textId="77777777" w:rsidR="00085789" w:rsidRDefault="00000000">
      <w:pPr>
        <w:spacing w:before="120" w:line="240" w:lineRule="auto"/>
        <w:ind w:firstLine="709"/>
        <w:jc w:val="both"/>
        <w:rPr>
          <w:rStyle w:val="fontstyle21"/>
          <w:rFonts w:ascii="Times New Roman" w:hAnsi="Times New Roman"/>
          <w:color w:val="auto"/>
          <w:spacing w:val="-4"/>
          <w:sz w:val="26"/>
          <w:szCs w:val="26"/>
          <w:lang w:val="sv-SE"/>
        </w:rPr>
      </w:pPr>
      <w:r>
        <w:rPr>
          <w:spacing w:val="-4"/>
          <w:sz w:val="26"/>
          <w:szCs w:val="26"/>
          <w:lang w:val="sv-SE"/>
        </w:rPr>
        <w:lastRenderedPageBreak/>
        <w:t xml:space="preserve">Toàn tỉnh có 169 dự án chợ, trong đó 151 chợ đã được xây dựng và hoạt động, 18 dự án chợ được quy hoạch nhưng chưa đầu tư xây dựng; </w:t>
      </w:r>
      <w:r>
        <w:rPr>
          <w:rStyle w:val="fontstyle21"/>
          <w:rFonts w:ascii="Times New Roman" w:hAnsi="Times New Roman"/>
          <w:i w:val="0"/>
          <w:iCs w:val="0"/>
          <w:color w:val="auto"/>
          <w:spacing w:val="-4"/>
          <w:sz w:val="26"/>
          <w:szCs w:val="26"/>
          <w:lang w:val="sv-SE"/>
        </w:rPr>
        <w:t>02 trung tâm thương mại (Trung tâm thương mại BMC và Trung tâm thương mại Vincom Plaza); 05 siêu thị tổng hợp; trên 80 siêu thị mini</w:t>
      </w:r>
      <w:r>
        <w:rPr>
          <w:spacing w:val="-4"/>
          <w:sz w:val="26"/>
          <w:szCs w:val="26"/>
          <w:lang w:val="sv-SE"/>
        </w:rPr>
        <w:t>; 235 của hàng bán lẻ xăng dầu,....</w:t>
      </w:r>
    </w:p>
    <w:p w14:paraId="36556EC1" w14:textId="77777777" w:rsidR="00085789" w:rsidRDefault="00000000">
      <w:pPr>
        <w:widowControl w:val="0"/>
        <w:autoSpaceDE w:val="0"/>
        <w:autoSpaceDN w:val="0"/>
        <w:adjustRightInd w:val="0"/>
        <w:spacing w:before="120" w:line="240" w:lineRule="auto"/>
        <w:ind w:firstLine="709"/>
        <w:jc w:val="both"/>
        <w:rPr>
          <w:sz w:val="26"/>
          <w:szCs w:val="26"/>
          <w:lang w:val="sv-SE"/>
        </w:rPr>
      </w:pPr>
      <w:r>
        <w:rPr>
          <w:sz w:val="26"/>
          <w:szCs w:val="26"/>
          <w:lang w:val="sv-SE"/>
        </w:rPr>
        <w:t xml:space="preserve">Tại các siêu thị, chợ lớn đã được đầu tư các công trình bảo vệ môi trường như hệ thống xử lý nước thải, hệ thống thùng chứa rác thải và hợp đồng với đơn vị có chức năng đến thu gom, vận chuyển, xử lý. Đối với siêu thị nhỏ và các cơ sở kinh doanh nhỏ lẻ, lượng nước thải phát sinh ít, được xử lý sơ bộ bằng bể tự hoại 3 ngăn sau đó thải ra môi trường. </w:t>
      </w:r>
    </w:p>
    <w:p w14:paraId="0686BFA1" w14:textId="11408A58" w:rsidR="00085789" w:rsidRDefault="00000000">
      <w:pPr>
        <w:spacing w:before="120" w:line="240" w:lineRule="auto"/>
        <w:ind w:firstLine="709"/>
        <w:jc w:val="both"/>
        <w:rPr>
          <w:spacing w:val="2"/>
          <w:sz w:val="26"/>
          <w:szCs w:val="26"/>
          <w:shd w:val="clear" w:color="auto" w:fill="FFFFFF"/>
          <w:lang w:val="sv-SE"/>
        </w:rPr>
      </w:pPr>
      <w:r>
        <w:rPr>
          <w:rStyle w:val="fontstyle31"/>
          <w:rFonts w:ascii="Times New Roman" w:hAnsi="Times New Roman"/>
          <w:b w:val="0"/>
          <w:bCs w:val="0"/>
          <w:i w:val="0"/>
          <w:color w:val="auto"/>
          <w:sz w:val="26"/>
          <w:szCs w:val="26"/>
          <w:lang w:val="sv-SE"/>
        </w:rPr>
        <w:t>Nhìn chung, hạ tầng chợ đã</w:t>
      </w:r>
      <w:r>
        <w:rPr>
          <w:i/>
          <w:iCs/>
          <w:sz w:val="26"/>
          <w:szCs w:val="26"/>
          <w:lang w:val="sv-SE"/>
        </w:rPr>
        <w:t xml:space="preserve"> </w:t>
      </w:r>
      <w:r>
        <w:rPr>
          <w:rStyle w:val="fontstyle31"/>
          <w:rFonts w:ascii="Times New Roman" w:hAnsi="Times New Roman"/>
          <w:b w:val="0"/>
          <w:bCs w:val="0"/>
          <w:i w:val="0"/>
          <w:color w:val="auto"/>
          <w:sz w:val="26"/>
          <w:szCs w:val="26"/>
          <w:lang w:val="sv-SE"/>
        </w:rPr>
        <w:t>từng bước được đầu tư. Tuy nhiên, hệ thống hạ tầng cơ</w:t>
      </w:r>
      <w:r>
        <w:rPr>
          <w:i/>
          <w:iCs/>
          <w:sz w:val="26"/>
          <w:szCs w:val="26"/>
          <w:lang w:val="sv-SE"/>
        </w:rPr>
        <w:t xml:space="preserve"> </w:t>
      </w:r>
      <w:r>
        <w:rPr>
          <w:rStyle w:val="fontstyle31"/>
          <w:rFonts w:ascii="Times New Roman" w:hAnsi="Times New Roman"/>
          <w:b w:val="0"/>
          <w:bCs w:val="0"/>
          <w:i w:val="0"/>
          <w:color w:val="auto"/>
          <w:sz w:val="26"/>
          <w:szCs w:val="26"/>
          <w:lang w:val="sv-SE"/>
        </w:rPr>
        <w:t>sở được xây dựng khá lâu nên đã dần xuống cấp.</w:t>
      </w:r>
      <w:r>
        <w:rPr>
          <w:rStyle w:val="fontstyle31"/>
          <w:rFonts w:ascii="Times New Roman" w:hAnsi="Times New Roman"/>
          <w:b w:val="0"/>
          <w:bCs w:val="0"/>
          <w:i w:val="0"/>
          <w:iCs w:val="0"/>
          <w:color w:val="auto"/>
          <w:spacing w:val="2"/>
          <w:sz w:val="26"/>
          <w:szCs w:val="26"/>
          <w:shd w:val="clear" w:color="auto" w:fill="FFFFFF"/>
          <w:lang w:val="sv-SE"/>
        </w:rPr>
        <w:t xml:space="preserve"> </w:t>
      </w:r>
      <w:r>
        <w:rPr>
          <w:spacing w:val="2"/>
          <w:sz w:val="26"/>
          <w:szCs w:val="26"/>
          <w:shd w:val="clear" w:color="auto" w:fill="FFFFFF"/>
          <w:lang w:val="sv-SE"/>
        </w:rPr>
        <w:t xml:space="preserve">Hằng ngày, </w:t>
      </w:r>
      <w:r>
        <w:rPr>
          <w:sz w:val="26"/>
          <w:szCs w:val="26"/>
          <w:shd w:val="clear" w:color="auto" w:fill="FFFFFF"/>
          <w:lang w:val="sv-SE"/>
        </w:rPr>
        <w:t>lượng chất thải thải ra môi trường tại các khu chợ rất lớn</w:t>
      </w:r>
      <w:r>
        <w:rPr>
          <w:spacing w:val="2"/>
          <w:sz w:val="26"/>
          <w:szCs w:val="26"/>
          <w:shd w:val="clear" w:color="auto" w:fill="FFFFFF"/>
          <w:lang w:val="sv-SE"/>
        </w:rPr>
        <w:t xml:space="preserve">. Tuy nhiên, công tác thu gom và xử lý chất thải tại nhiều chợ vẫn chưa được thực hiện triệt để, dẫn đến nguy cơ gây ô nhiễm môi trường. Phần lớn chất thải tại các chợ là rác hữu cơ dễ phân hủy, thường bốc mùi hôi thối, gây suy giảm chất lượng không khí, tạo cảm giác khó chịu cho người dân và ảnh hưởng đến sức khỏe cộng đồng. Ngoài CTR, </w:t>
      </w:r>
      <w:r>
        <w:rPr>
          <w:rFonts w:asciiTheme="majorHAnsi" w:hAnsiTheme="majorHAnsi" w:cstheme="majorHAnsi"/>
          <w:bCs/>
          <w:iCs/>
          <w:sz w:val="26"/>
          <w:szCs w:val="26"/>
          <w:lang w:val="sv-SE"/>
        </w:rPr>
        <w:t xml:space="preserve">nước thải phát sinh ở các chợ tiềm ẩn rất nhiều nguyên nhân gây ô nhiễm môi trường bởi thành phần chứa nhiều </w:t>
      </w:r>
      <w:r>
        <w:rPr>
          <w:rFonts w:asciiTheme="majorHAnsi" w:hAnsiTheme="majorHAnsi" w:cstheme="majorHAnsi"/>
          <w:sz w:val="26"/>
          <w:szCs w:val="26"/>
          <w:shd w:val="clear" w:color="auto" w:fill="FFFFFF"/>
          <w:lang w:val="sv-SE"/>
        </w:rPr>
        <w:t xml:space="preserve">chất hữu cơ dễ phân hủy, thành phần vô cơ, vi sinh vật, vi trùng gây bệnh,…. Những chất thải này nếu không qua xử lý, mà xả trực tiếp ra môi trường sẽ gây ô nhiễm nguồn nước, làm ảnh hưởng tới mạch nước ngầm, không khí và kèm theo đó là những mầm bệnh ảnh hưởng đến sức khỏe người dân. </w:t>
      </w:r>
      <w:r>
        <w:rPr>
          <w:spacing w:val="2"/>
          <w:sz w:val="26"/>
          <w:szCs w:val="26"/>
          <w:shd w:val="clear" w:color="auto" w:fill="FFFFFF"/>
          <w:lang w:val="sv-SE"/>
        </w:rPr>
        <w:t>Tổng lượng nước thải phát sinh từ các chợ trên toàn tỉnh ước tính khoảng 539.000 m³/năm, tương đương 1.476 m³/ngày. Thực trạng này cho thấy công tác quản lý, thu gom và xử lý chất thải tại các chợ cần được quan tâm và đầu tư hơn nữa nhằm hạn chế nguy cơ ô nhiễm môi trường và bảo vệ sức khỏe người dân.</w:t>
      </w:r>
    </w:p>
    <w:p w14:paraId="7A722AF9" w14:textId="77777777" w:rsidR="00085789" w:rsidRDefault="00000000">
      <w:pPr>
        <w:widowControl w:val="0"/>
        <w:autoSpaceDE w:val="0"/>
        <w:autoSpaceDN w:val="0"/>
        <w:adjustRightInd w:val="0"/>
        <w:spacing w:before="120" w:line="240" w:lineRule="auto"/>
        <w:ind w:firstLine="709"/>
        <w:jc w:val="both"/>
        <w:rPr>
          <w:b/>
          <w:bCs/>
          <w:sz w:val="26"/>
          <w:szCs w:val="26"/>
          <w:lang w:val="sv-SE"/>
        </w:rPr>
      </w:pPr>
      <w:r>
        <w:rPr>
          <w:b/>
          <w:bCs/>
          <w:sz w:val="26"/>
          <w:szCs w:val="26"/>
          <w:lang w:val="sv-SE"/>
        </w:rPr>
        <w:t>* Đối với hoạt động xuất nhập khẩu:</w:t>
      </w:r>
    </w:p>
    <w:p w14:paraId="08E78819" w14:textId="77777777" w:rsidR="00085789" w:rsidRDefault="00000000">
      <w:pPr>
        <w:pStyle w:val="HD3"/>
        <w:spacing w:before="120" w:after="0" w:line="240" w:lineRule="auto"/>
        <w:ind w:firstLine="709"/>
        <w:rPr>
          <w:b w:val="0"/>
          <w:bCs/>
          <w:i w:val="0"/>
          <w:iCs/>
          <w:color w:val="auto"/>
          <w:spacing w:val="0"/>
          <w:lang w:val="sv-SE"/>
        </w:rPr>
      </w:pPr>
      <w:r>
        <w:rPr>
          <w:b w:val="0"/>
          <w:bCs/>
          <w:i w:val="0"/>
          <w:iCs/>
          <w:color w:val="auto"/>
          <w:spacing w:val="0"/>
          <w:sz w:val="26"/>
          <w:lang w:val="sv-SE"/>
        </w:rPr>
        <w:t>Tính chung 10 tháng đầu năm 2025, tổng giá trị xuất nhập khẩu ước đạt 3.671,62 triệu USD, giảm 26,24 % so với cùng kỳ. Nguyên nhân chính là do sản lượng xuất khẩu thép, mặt hàng xuất khẩu chủ lực nhiều năm qua bị sụt giảm mạnh vì khó khăn trong tìm kiếm thị trường nước ngoài. Việc mở rộng xuất khẩu cũng đang tiềm ẩn nguy cơ làm suy giảm nguồn tài nguyên, gây áp lực lên nguồn nước và đất đai, dẫn đến suy giảm ĐDSH và ô nhiễm môi trường, đặc biệt tại các khu công nghiệp và khu kinh tế ven biển như Vũng Áng.</w:t>
      </w:r>
    </w:p>
    <w:p w14:paraId="355CE174" w14:textId="77777777" w:rsidR="00085789" w:rsidRDefault="00085789">
      <w:pPr>
        <w:pStyle w:val="HD3"/>
        <w:ind w:firstLine="709"/>
        <w:rPr>
          <w:b w:val="0"/>
          <w:bCs/>
          <w:i w:val="0"/>
          <w:iCs/>
          <w:color w:val="auto"/>
          <w:sz w:val="26"/>
          <w:lang w:val="sv-SE"/>
        </w:rPr>
      </w:pPr>
    </w:p>
    <w:p w14:paraId="4741E5B9" w14:textId="77777777" w:rsidR="00085789" w:rsidRDefault="00085789">
      <w:pPr>
        <w:pStyle w:val="HD3"/>
        <w:ind w:firstLine="709"/>
        <w:rPr>
          <w:b w:val="0"/>
          <w:bCs/>
          <w:i w:val="0"/>
          <w:iCs/>
          <w:color w:val="auto"/>
          <w:sz w:val="26"/>
          <w:lang w:val="sv-SE"/>
        </w:rPr>
      </w:pPr>
    </w:p>
    <w:p w14:paraId="4616C818" w14:textId="77777777" w:rsidR="00085789" w:rsidRDefault="00085789">
      <w:pPr>
        <w:pStyle w:val="HD3"/>
        <w:rPr>
          <w:color w:val="auto"/>
          <w:lang w:val="sv-SE"/>
        </w:rPr>
      </w:pPr>
    </w:p>
    <w:p w14:paraId="73070B0B" w14:textId="77777777" w:rsidR="00085789" w:rsidRDefault="00085789">
      <w:pPr>
        <w:pStyle w:val="HD3"/>
        <w:rPr>
          <w:color w:val="auto"/>
          <w:lang w:val="sv-SE"/>
        </w:rPr>
      </w:pPr>
    </w:p>
    <w:p w14:paraId="703FAC64" w14:textId="77777777" w:rsidR="00085789" w:rsidRDefault="00085789">
      <w:pPr>
        <w:spacing w:line="360" w:lineRule="exact"/>
        <w:rPr>
          <w:b/>
          <w:sz w:val="26"/>
          <w:lang w:val="fr-FR"/>
        </w:rPr>
      </w:pPr>
      <w:bookmarkStart w:id="414" w:name="_Toc90027100"/>
      <w:bookmarkStart w:id="415" w:name="_Toc138943455"/>
      <w:bookmarkStart w:id="416" w:name="_Toc138977459"/>
      <w:bookmarkStart w:id="417" w:name="_Toc142915491"/>
      <w:bookmarkStart w:id="418" w:name="_Toc142919629"/>
      <w:bookmarkEnd w:id="285"/>
      <w:bookmarkEnd w:id="286"/>
      <w:bookmarkEnd w:id="287"/>
      <w:bookmarkEnd w:id="288"/>
      <w:bookmarkEnd w:id="289"/>
      <w:bookmarkEnd w:id="300"/>
      <w:bookmarkEnd w:id="301"/>
      <w:bookmarkEnd w:id="302"/>
    </w:p>
    <w:p w14:paraId="55C55ADC" w14:textId="77777777" w:rsidR="00085789" w:rsidRDefault="00085789">
      <w:pPr>
        <w:spacing w:line="360" w:lineRule="exact"/>
        <w:rPr>
          <w:b/>
          <w:sz w:val="26"/>
          <w:lang w:val="fr-FR"/>
        </w:rPr>
      </w:pPr>
    </w:p>
    <w:p w14:paraId="0F3B7E5F" w14:textId="77777777" w:rsidR="00085789" w:rsidRDefault="00000000">
      <w:pPr>
        <w:rPr>
          <w:szCs w:val="26"/>
          <w:lang w:val="nl-NL"/>
        </w:rPr>
      </w:pPr>
      <w:r>
        <w:rPr>
          <w:spacing w:val="-2"/>
          <w:szCs w:val="26"/>
          <w:lang w:val="nl-NL"/>
        </w:rPr>
        <w:br w:type="page"/>
      </w:r>
      <w:bookmarkStart w:id="419" w:name="_Toc138977438"/>
      <w:bookmarkStart w:id="420" w:name="_Toc142915470"/>
      <w:bookmarkStart w:id="421" w:name="_Toc142919612"/>
      <w:bookmarkStart w:id="422" w:name="_Toc90027086"/>
      <w:bookmarkStart w:id="423" w:name="_Toc107203439"/>
      <w:bookmarkStart w:id="424" w:name="_Toc107559791"/>
      <w:bookmarkStart w:id="425" w:name="_Toc116908060"/>
    </w:p>
    <w:p w14:paraId="786BAAD2" w14:textId="77777777" w:rsidR="00085789" w:rsidRDefault="00000000">
      <w:pPr>
        <w:pStyle w:val="-bac1"/>
        <w:spacing w:before="0" w:after="0" w:line="240" w:lineRule="auto"/>
        <w:rPr>
          <w:lang w:val="sv-SE"/>
        </w:rPr>
      </w:pPr>
      <w:bookmarkStart w:id="426" w:name="_Toc138977316"/>
      <w:bookmarkStart w:id="427" w:name="_Toc142915345"/>
      <w:bookmarkStart w:id="428" w:name="_Toc142919531"/>
      <w:bookmarkStart w:id="429" w:name="_Toc214311227"/>
      <w:bookmarkStart w:id="430" w:name="_Toc88491443"/>
      <w:bookmarkStart w:id="431" w:name="_Toc107203371"/>
      <w:bookmarkStart w:id="432" w:name="_Toc90027057"/>
      <w:bookmarkStart w:id="433" w:name="_Toc138943398"/>
      <w:bookmarkStart w:id="434" w:name="_Toc138977384"/>
      <w:bookmarkStart w:id="435" w:name="_Toc142915413"/>
      <w:bookmarkStart w:id="436" w:name="_Toc142919589"/>
      <w:r>
        <w:rPr>
          <w:lang w:val="sv-SE"/>
        </w:rPr>
        <w:lastRenderedPageBreak/>
        <w:t>CHƯƠNG III</w:t>
      </w:r>
      <w:bookmarkEnd w:id="426"/>
      <w:bookmarkEnd w:id="427"/>
      <w:bookmarkEnd w:id="428"/>
      <w:bookmarkEnd w:id="429"/>
    </w:p>
    <w:p w14:paraId="55852FDA" w14:textId="77777777" w:rsidR="00085789" w:rsidRDefault="00000000">
      <w:pPr>
        <w:pStyle w:val="H1"/>
        <w:spacing w:before="0" w:after="0" w:line="240" w:lineRule="auto"/>
        <w:rPr>
          <w:lang w:val="sv-SE"/>
        </w:rPr>
      </w:pPr>
      <w:bookmarkStart w:id="437" w:name="_Toc107203369"/>
      <w:bookmarkStart w:id="438" w:name="_Toc107559724"/>
      <w:bookmarkStart w:id="439" w:name="_Toc116907994"/>
      <w:bookmarkStart w:id="440" w:name="_Toc138977317"/>
      <w:bookmarkStart w:id="441" w:name="_Toc142915346"/>
      <w:bookmarkStart w:id="442" w:name="_Toc142919532"/>
      <w:r>
        <w:rPr>
          <w:lang w:val="sv-SE"/>
        </w:rPr>
        <w:t xml:space="preserve">HIỆN TRẠNG MÔI TRƯỜNG </w:t>
      </w:r>
      <w:bookmarkEnd w:id="437"/>
      <w:bookmarkEnd w:id="438"/>
      <w:bookmarkEnd w:id="439"/>
      <w:bookmarkEnd w:id="440"/>
      <w:bookmarkEnd w:id="441"/>
      <w:bookmarkEnd w:id="442"/>
      <w:r>
        <w:rPr>
          <w:lang w:val="sv-SE"/>
        </w:rPr>
        <w:t>NƯỚC</w:t>
      </w:r>
    </w:p>
    <w:p w14:paraId="718997E2" w14:textId="77777777" w:rsidR="00085789" w:rsidRDefault="00000000">
      <w:pPr>
        <w:pStyle w:val="bac2"/>
        <w:spacing w:before="80" w:after="0" w:line="240" w:lineRule="auto"/>
        <w:rPr>
          <w:lang w:val="sv-SE"/>
        </w:rPr>
      </w:pPr>
      <w:bookmarkStart w:id="443" w:name="_Toc107559726"/>
      <w:bookmarkStart w:id="444" w:name="_Toc116907996"/>
      <w:bookmarkStart w:id="445" w:name="_Toc138977318"/>
      <w:bookmarkStart w:id="446" w:name="_Toc142915347"/>
      <w:bookmarkStart w:id="447" w:name="_Toc142919533"/>
      <w:bookmarkStart w:id="448" w:name="_Toc181861377"/>
      <w:bookmarkStart w:id="449" w:name="_Toc181861948"/>
      <w:bookmarkStart w:id="450" w:name="_Toc184097477"/>
      <w:bookmarkStart w:id="451" w:name="_Toc214311228"/>
      <w:r>
        <w:rPr>
          <w:lang w:val="sv-SE"/>
        </w:rPr>
        <w:t xml:space="preserve">3.1. </w:t>
      </w:r>
      <w:bookmarkEnd w:id="443"/>
      <w:bookmarkEnd w:id="444"/>
      <w:bookmarkEnd w:id="445"/>
      <w:bookmarkEnd w:id="446"/>
      <w:bookmarkEnd w:id="447"/>
      <w:bookmarkEnd w:id="448"/>
      <w:bookmarkEnd w:id="449"/>
      <w:bookmarkEnd w:id="450"/>
      <w:r>
        <w:rPr>
          <w:lang w:val="sv-SE"/>
        </w:rPr>
        <w:t>Nước mặt lục địa</w:t>
      </w:r>
      <w:bookmarkEnd w:id="451"/>
    </w:p>
    <w:p w14:paraId="4694A333" w14:textId="77777777" w:rsidR="00085789" w:rsidRDefault="00000000">
      <w:pPr>
        <w:pStyle w:val="bac2"/>
        <w:spacing w:before="80" w:after="0" w:line="240" w:lineRule="auto"/>
        <w:rPr>
          <w:bCs/>
          <w:smallCaps/>
          <w:lang w:val="sv-SE"/>
        </w:rPr>
      </w:pPr>
      <w:bookmarkStart w:id="452" w:name="_Toc181861378"/>
      <w:bookmarkStart w:id="453" w:name="_Toc181861949"/>
      <w:bookmarkStart w:id="454" w:name="_Toc184097478"/>
      <w:bookmarkStart w:id="455" w:name="_Toc214311229"/>
      <w:r>
        <w:rPr>
          <w:lang w:val="sv-SE"/>
        </w:rPr>
        <w:t xml:space="preserve">3.1.1. </w:t>
      </w:r>
      <w:bookmarkEnd w:id="452"/>
      <w:bookmarkEnd w:id="453"/>
      <w:bookmarkEnd w:id="454"/>
      <w:r>
        <w:rPr>
          <w:lang w:val="sv-SE"/>
        </w:rPr>
        <w:t>Tài nguyên nước mặt lục địa</w:t>
      </w:r>
      <w:bookmarkEnd w:id="455"/>
    </w:p>
    <w:p w14:paraId="4F45BD29" w14:textId="77777777" w:rsidR="00085789" w:rsidRDefault="00000000">
      <w:pPr>
        <w:spacing w:before="80" w:line="240" w:lineRule="auto"/>
        <w:ind w:firstLine="720"/>
        <w:jc w:val="both"/>
        <w:rPr>
          <w:spacing w:val="-4"/>
          <w:sz w:val="26"/>
          <w:szCs w:val="26"/>
          <w:lang w:val="vi-VN"/>
        </w:rPr>
      </w:pPr>
      <w:bookmarkStart w:id="456" w:name="_Toc107559728"/>
      <w:r>
        <w:rPr>
          <w:spacing w:val="-4"/>
          <w:sz w:val="26"/>
          <w:szCs w:val="26"/>
          <w:lang w:val="vi-VN"/>
        </w:rPr>
        <w:t>Hà Tĩnh có</w:t>
      </w:r>
      <w:r>
        <w:rPr>
          <w:spacing w:val="-4"/>
          <w:sz w:val="26"/>
          <w:szCs w:val="26"/>
          <w:lang w:val="sv-SE"/>
        </w:rPr>
        <w:t xml:space="preserve"> nguồn</w:t>
      </w:r>
      <w:r>
        <w:rPr>
          <w:spacing w:val="-4"/>
          <w:sz w:val="26"/>
          <w:szCs w:val="26"/>
          <w:lang w:val="vi-VN"/>
        </w:rPr>
        <w:t xml:space="preserve"> </w:t>
      </w:r>
      <w:r>
        <w:rPr>
          <w:spacing w:val="-4"/>
          <w:sz w:val="26"/>
          <w:szCs w:val="26"/>
          <w:lang w:val="sv-SE"/>
        </w:rPr>
        <w:t>tài nguyên</w:t>
      </w:r>
      <w:r>
        <w:rPr>
          <w:spacing w:val="-4"/>
          <w:sz w:val="26"/>
          <w:szCs w:val="26"/>
          <w:lang w:val="vi-VN"/>
        </w:rPr>
        <w:t xml:space="preserve"> nước mặt phong phú nhờ hệ thống sông suối, hồ đập khá dày đặc. Các hồ, đập phục vụ cung cấp nước sinh hoạt, nông nghiệp, công nghiệp và các hoạt động phát triển KT-XH khác. Đồng thời, các hồ chứa và đập dâng cũng là nơi giữ nước trong mùa mưa và điều tiết nước trong mùa khô. Do có nhiều cửa sông, cửa lạch đã tạo ra những bãi triều rộng lớn, tạo thuận lợi cho Hà Tĩnh trong phát triển NTTS nước mặn lợ cũng như nước ngọt. Ngoài ra, ở vùng cửa sông và các eo vịnh cũng có khả năng phát triển NTTS lồng bè. Nguồn lợi thủy sản nước lợ ở Hà Tĩnh khá phong phú về cả số lượng và thành phần loài như: tôm sú, tôm he, tôm rảo, tôm gai và cá nước lợ</w:t>
      </w:r>
      <w:r>
        <w:rPr>
          <w:spacing w:val="-4"/>
          <w:sz w:val="26"/>
          <w:szCs w:val="26"/>
        </w:rPr>
        <w:t>,</w:t>
      </w:r>
      <w:r>
        <w:rPr>
          <w:spacing w:val="-4"/>
          <w:sz w:val="26"/>
          <w:szCs w:val="26"/>
          <w:lang w:val="vi-VN"/>
        </w:rPr>
        <w:t xml:space="preserve"> có nhiều loài có giá trị kinh tế cao như: cá đối, cá sú vàng,cua ghẹ rong biển,các loài nhiễm thể,…. </w:t>
      </w:r>
    </w:p>
    <w:p w14:paraId="41769B5F" w14:textId="77777777" w:rsidR="00085789" w:rsidRDefault="00000000">
      <w:pPr>
        <w:spacing w:before="80" w:line="240" w:lineRule="auto"/>
        <w:ind w:firstLine="720"/>
        <w:jc w:val="both"/>
        <w:rPr>
          <w:b/>
          <w:bCs/>
          <w:i/>
          <w:iCs/>
          <w:spacing w:val="-4"/>
          <w:sz w:val="26"/>
          <w:szCs w:val="26"/>
          <w:lang w:val="vi-VN"/>
        </w:rPr>
      </w:pPr>
      <w:r>
        <w:rPr>
          <w:b/>
          <w:bCs/>
          <w:i/>
          <w:iCs/>
          <w:spacing w:val="-4"/>
          <w:sz w:val="26"/>
          <w:szCs w:val="26"/>
          <w:lang w:val="vi-VN"/>
        </w:rPr>
        <w:t>a) Đối với hệ thống sông, suối:</w:t>
      </w:r>
    </w:p>
    <w:p w14:paraId="7E335E4E" w14:textId="77777777" w:rsidR="00085789" w:rsidRDefault="00000000">
      <w:pPr>
        <w:widowControl w:val="0"/>
        <w:spacing w:before="80" w:line="240" w:lineRule="auto"/>
        <w:ind w:firstLine="720"/>
        <w:jc w:val="both"/>
        <w:rPr>
          <w:sz w:val="26"/>
          <w:szCs w:val="26"/>
          <w:lang w:val="vi-VN"/>
        </w:rPr>
      </w:pPr>
      <w:r>
        <w:rPr>
          <w:sz w:val="26"/>
          <w:szCs w:val="26"/>
          <w:lang w:val="vi-VN"/>
        </w:rPr>
        <w:t>Toàn tỉnh có trên 30 con sông lớn nhỏ với tổng chiều dài trên 400</w:t>
      </w:r>
      <w:r>
        <w:rPr>
          <w:sz w:val="26"/>
          <w:szCs w:val="26"/>
        </w:rPr>
        <w:t xml:space="preserve"> </w:t>
      </w:r>
      <w:r>
        <w:rPr>
          <w:sz w:val="26"/>
          <w:szCs w:val="26"/>
          <w:lang w:val="vi-VN"/>
        </w:rPr>
        <w:t xml:space="preserve">km, </w:t>
      </w:r>
      <w:r>
        <w:rPr>
          <w:sz w:val="26"/>
          <w:szCs w:val="26"/>
          <w:shd w:val="clear" w:color="auto" w:fill="FFFFFF"/>
          <w:lang w:val="vi-VN"/>
        </w:rPr>
        <w:t>trữ lượng khoảng 9-10 tỷ m</w:t>
      </w:r>
      <w:r>
        <w:rPr>
          <w:sz w:val="26"/>
          <w:szCs w:val="26"/>
          <w:shd w:val="clear" w:color="auto" w:fill="FFFFFF"/>
          <w:vertAlign w:val="superscript"/>
          <w:lang w:val="vi-VN"/>
        </w:rPr>
        <w:t>3</w:t>
      </w:r>
      <w:r>
        <w:rPr>
          <w:sz w:val="26"/>
          <w:szCs w:val="26"/>
          <w:shd w:val="clear" w:color="auto" w:fill="FFFFFF"/>
          <w:lang w:val="vi-VN"/>
        </w:rPr>
        <w:t>/năm, tổng lưu vực khoảng 5.924</w:t>
      </w:r>
      <w:r>
        <w:rPr>
          <w:sz w:val="26"/>
          <w:szCs w:val="26"/>
          <w:shd w:val="clear" w:color="auto" w:fill="FFFFFF"/>
        </w:rPr>
        <w:t xml:space="preserve"> </w:t>
      </w:r>
      <w:r>
        <w:rPr>
          <w:sz w:val="26"/>
          <w:szCs w:val="26"/>
          <w:shd w:val="clear" w:color="auto" w:fill="FFFFFF"/>
          <w:lang w:val="vi-VN"/>
        </w:rPr>
        <w:t>km</w:t>
      </w:r>
      <w:r>
        <w:rPr>
          <w:sz w:val="26"/>
          <w:szCs w:val="26"/>
          <w:shd w:val="clear" w:color="auto" w:fill="FFFFFF"/>
          <w:vertAlign w:val="superscript"/>
          <w:lang w:val="vi-VN"/>
        </w:rPr>
        <w:t>2</w:t>
      </w:r>
      <w:r>
        <w:rPr>
          <w:sz w:val="26"/>
          <w:szCs w:val="26"/>
          <w:shd w:val="clear" w:color="auto" w:fill="FFFFFF"/>
          <w:lang w:val="vi-VN"/>
        </w:rPr>
        <w:t xml:space="preserve">. Trong đó, có những lưu vực sông lớn như: Sông La do </w:t>
      </w:r>
      <w:r>
        <w:rPr>
          <w:sz w:val="26"/>
          <w:szCs w:val="26"/>
          <w:lang w:val="vi-VN"/>
        </w:rPr>
        <w:t>hai con sông Ngàn Sâu và sông Ngàn Phố hợp thành; sông Cửa Sót là hợp lưu của sông Nghèn và sông Rào Cái; sông Cửa Nhượng là hợp lưu của sông Gia Hội và sông Rác; sông Cửa Khẩu là hợp lưu của sông Kênh, sông Trí và sông Quyền; sông Rào Trổ. Trữ lượng nước mặt trên địa bàn tỉnh Hà Tĩnh khá lớn nhưng việc khai thác, sử dụng còn bị hạn chế do bị khô cạn vùng thượng lưu và nhiễm mặn ở vùng hạ lưu</w:t>
      </w:r>
      <w:r>
        <w:rPr>
          <w:sz w:val="26"/>
          <w:szCs w:val="26"/>
        </w:rPr>
        <w:t xml:space="preserve"> vào màu khô</w:t>
      </w:r>
      <w:r>
        <w:rPr>
          <w:sz w:val="26"/>
          <w:szCs w:val="26"/>
          <w:lang w:val="vi-VN"/>
        </w:rPr>
        <w:t>. Các sông chính cụ thể:</w:t>
      </w:r>
    </w:p>
    <w:p w14:paraId="13B5CB87" w14:textId="77777777" w:rsidR="00085789" w:rsidRDefault="00000000">
      <w:pPr>
        <w:pStyle w:val="TableParagraph"/>
        <w:spacing w:before="80"/>
        <w:ind w:left="18" w:right="11" w:firstLine="720"/>
        <w:jc w:val="both"/>
        <w:rPr>
          <w:sz w:val="26"/>
          <w:szCs w:val="26"/>
          <w:lang w:val="vi-VN"/>
        </w:rPr>
      </w:pPr>
      <w:r>
        <w:rPr>
          <w:sz w:val="26"/>
          <w:szCs w:val="26"/>
          <w:lang w:val="vi-VN"/>
        </w:rPr>
        <w:t xml:space="preserve">- Sông Lam </w:t>
      </w:r>
      <w:r>
        <w:rPr>
          <w:spacing w:val="-2"/>
          <w:sz w:val="26"/>
          <w:szCs w:val="26"/>
          <w:lang w:val="vi-VN"/>
        </w:rPr>
        <w:t>(đoạn cuối của hệ thống sông Cả ra biển Đông qua khu vực Cửa Hội) là một trong hai con sông lớn nhất ở Bắc Trung Bộ. Sông Lam bắt nguồn từ cao nguyên Xiengkhuang của CHDCND Lào, phần chính của sông chảy qua địa phận tỉnh Nghệ An, phần cuối của sông Lam hợp lưu với sông La từ Hà Tĩnh tạo thành ranh giới của Nghệ An và Hà Tĩnh. Trên lãnh thổ Việt Nam, sông Lam chủ yếu chảy qua địa phận tỉnh Nghệ An, phần hạ lưu giáp tỉnh Hà Tĩnh trước khi đổ ra biển Đông tại khu vực Cửa Hội. Trong đó, đoạn qua xã Đức Thọ hợp lưu với sông La trước khi chảy về hạ lưu. Đoạn cuối của sông Lam còn có 2 nhánh sông nhỏ là sông Cửa Tiền và sông Rào Đông nhập vào, 2 nhánh sông nhỏ này đều từ địa phận tỉnh Nghệ An. Tổng cộng chiều dài của sông khoảng 513</w:t>
      </w:r>
      <w:r>
        <w:rPr>
          <w:spacing w:val="-2"/>
          <w:sz w:val="26"/>
          <w:szCs w:val="26"/>
        </w:rPr>
        <w:t xml:space="preserve"> </w:t>
      </w:r>
      <w:r>
        <w:rPr>
          <w:spacing w:val="-2"/>
          <w:sz w:val="26"/>
          <w:szCs w:val="26"/>
          <w:lang w:val="vi-VN"/>
        </w:rPr>
        <w:t>km, đoạn chảy trong địa phận Việt Nam khoảng 361</w:t>
      </w:r>
      <w:r>
        <w:rPr>
          <w:spacing w:val="-2"/>
          <w:sz w:val="26"/>
          <w:szCs w:val="26"/>
        </w:rPr>
        <w:t xml:space="preserve"> </w:t>
      </w:r>
      <w:r>
        <w:rPr>
          <w:spacing w:val="-2"/>
          <w:sz w:val="26"/>
          <w:szCs w:val="26"/>
          <w:lang w:val="vi-VN"/>
        </w:rPr>
        <w:t>km, diện tích lưu vực sông Lam là 27.200</w:t>
      </w:r>
      <w:r>
        <w:rPr>
          <w:spacing w:val="-2"/>
          <w:sz w:val="26"/>
          <w:szCs w:val="26"/>
        </w:rPr>
        <w:t xml:space="preserve"> </w:t>
      </w:r>
      <w:r>
        <w:rPr>
          <w:spacing w:val="-2"/>
          <w:sz w:val="26"/>
          <w:szCs w:val="26"/>
          <w:lang w:val="vi-VN"/>
        </w:rPr>
        <w:t>km</w:t>
      </w:r>
      <w:r>
        <w:rPr>
          <w:spacing w:val="-2"/>
          <w:sz w:val="26"/>
          <w:szCs w:val="26"/>
          <w:vertAlign w:val="superscript"/>
          <w:lang w:val="vi-VN"/>
        </w:rPr>
        <w:t>2</w:t>
      </w:r>
      <w:r>
        <w:rPr>
          <w:spacing w:val="-2"/>
          <w:sz w:val="26"/>
          <w:szCs w:val="26"/>
          <w:lang w:val="vi-VN"/>
        </w:rPr>
        <w:t>, trong đó có 17.730</w:t>
      </w:r>
      <w:r>
        <w:rPr>
          <w:spacing w:val="-2"/>
          <w:sz w:val="26"/>
          <w:szCs w:val="26"/>
        </w:rPr>
        <w:t xml:space="preserve"> </w:t>
      </w:r>
      <w:r>
        <w:rPr>
          <w:spacing w:val="-2"/>
          <w:sz w:val="26"/>
          <w:szCs w:val="26"/>
          <w:lang w:val="vi-VN"/>
        </w:rPr>
        <w:t>km thuộc Việt Nam. Tổng lượng nước là 21,9</w:t>
      </w:r>
      <w:r>
        <w:rPr>
          <w:spacing w:val="-2"/>
          <w:sz w:val="26"/>
          <w:szCs w:val="26"/>
        </w:rPr>
        <w:t xml:space="preserve"> </w:t>
      </w:r>
      <w:r>
        <w:rPr>
          <w:spacing w:val="-2"/>
          <w:sz w:val="26"/>
          <w:szCs w:val="26"/>
          <w:lang w:val="vi-VN"/>
        </w:rPr>
        <w:t>km</w:t>
      </w:r>
      <w:r>
        <w:rPr>
          <w:spacing w:val="-2"/>
          <w:sz w:val="26"/>
          <w:szCs w:val="26"/>
          <w:vertAlign w:val="superscript"/>
          <w:lang w:val="vi-VN"/>
        </w:rPr>
        <w:t>3</w:t>
      </w:r>
      <w:r>
        <w:rPr>
          <w:spacing w:val="-2"/>
          <w:sz w:val="26"/>
          <w:szCs w:val="26"/>
          <w:lang w:val="vi-VN"/>
        </w:rPr>
        <w:t xml:space="preserve"> tương ứng với lưu lượng trung bình năm là 688</w:t>
      </w:r>
      <w:r>
        <w:rPr>
          <w:spacing w:val="-2"/>
          <w:sz w:val="26"/>
          <w:szCs w:val="26"/>
        </w:rPr>
        <w:t xml:space="preserve"> </w:t>
      </w:r>
      <w:r>
        <w:rPr>
          <w:spacing w:val="-2"/>
          <w:sz w:val="26"/>
          <w:szCs w:val="26"/>
          <w:lang w:val="vi-VN"/>
        </w:rPr>
        <w:t>m</w:t>
      </w:r>
      <w:r>
        <w:rPr>
          <w:spacing w:val="-2"/>
          <w:sz w:val="26"/>
          <w:szCs w:val="26"/>
          <w:vertAlign w:val="superscript"/>
          <w:lang w:val="vi-VN"/>
        </w:rPr>
        <w:t>3</w:t>
      </w:r>
      <w:r>
        <w:rPr>
          <w:spacing w:val="-2"/>
          <w:sz w:val="26"/>
          <w:szCs w:val="26"/>
          <w:lang w:val="vi-VN"/>
        </w:rPr>
        <w:t>/s và mô đun dòng chảy năm là 25,3 l/s.km</w:t>
      </w:r>
      <w:r>
        <w:rPr>
          <w:spacing w:val="-2"/>
          <w:sz w:val="26"/>
          <w:szCs w:val="26"/>
          <w:vertAlign w:val="superscript"/>
          <w:lang w:val="vi-VN"/>
        </w:rPr>
        <w:t>2</w:t>
      </w:r>
      <w:r>
        <w:rPr>
          <w:spacing w:val="-2"/>
          <w:sz w:val="26"/>
          <w:szCs w:val="26"/>
          <w:lang w:val="vi-VN"/>
        </w:rPr>
        <w:t xml:space="preserve">. Theo </w:t>
      </w:r>
      <w:r>
        <w:rPr>
          <w:sz w:val="26"/>
          <w:szCs w:val="26"/>
          <w:lang w:val="vi-VN"/>
        </w:rPr>
        <w:t>Báo cáo Quy hoạch tỉnh Hà Tĩnh thời kỳ 2021-2030, tầm nhìn đến năm 2050, sông có chức năng cấp nước cho sinh hoạt, nông nghiệp, công nghiệp, thủy sản và giao thông thủy (đoạn từ Ngã</w:t>
      </w:r>
      <w:r>
        <w:rPr>
          <w:spacing w:val="-7"/>
          <w:sz w:val="26"/>
          <w:szCs w:val="26"/>
          <w:lang w:val="vi-VN"/>
        </w:rPr>
        <w:t xml:space="preserve"> </w:t>
      </w:r>
      <w:r>
        <w:rPr>
          <w:sz w:val="26"/>
          <w:szCs w:val="26"/>
          <w:lang w:val="vi-VN"/>
        </w:rPr>
        <w:t>3</w:t>
      </w:r>
      <w:r>
        <w:rPr>
          <w:spacing w:val="-7"/>
          <w:sz w:val="26"/>
          <w:szCs w:val="26"/>
          <w:lang w:val="vi-VN"/>
        </w:rPr>
        <w:t xml:space="preserve"> </w:t>
      </w:r>
      <w:r>
        <w:rPr>
          <w:sz w:val="26"/>
          <w:szCs w:val="26"/>
          <w:lang w:val="vi-VN"/>
        </w:rPr>
        <w:t>chợ</w:t>
      </w:r>
      <w:r>
        <w:rPr>
          <w:spacing w:val="-5"/>
          <w:sz w:val="26"/>
          <w:szCs w:val="26"/>
          <w:lang w:val="vi-VN"/>
        </w:rPr>
        <w:t xml:space="preserve"> </w:t>
      </w:r>
      <w:r>
        <w:rPr>
          <w:sz w:val="26"/>
          <w:szCs w:val="26"/>
          <w:lang w:val="vi-VN"/>
        </w:rPr>
        <w:t>Tràng</w:t>
      </w:r>
      <w:r>
        <w:rPr>
          <w:spacing w:val="-62"/>
          <w:sz w:val="26"/>
          <w:szCs w:val="26"/>
          <w:lang w:val="vi-VN"/>
        </w:rPr>
        <w:t xml:space="preserve">          </w:t>
      </w:r>
      <w:r>
        <w:rPr>
          <w:sz w:val="26"/>
          <w:szCs w:val="26"/>
          <w:lang w:val="vi-VN"/>
        </w:rPr>
        <w:t>(sông</w:t>
      </w:r>
      <w:r>
        <w:rPr>
          <w:spacing w:val="-2"/>
          <w:sz w:val="26"/>
          <w:szCs w:val="26"/>
          <w:lang w:val="vi-VN"/>
        </w:rPr>
        <w:t xml:space="preserve"> </w:t>
      </w:r>
      <w:r>
        <w:rPr>
          <w:sz w:val="26"/>
          <w:szCs w:val="26"/>
          <w:lang w:val="vi-VN"/>
        </w:rPr>
        <w:t>La</w:t>
      </w:r>
      <w:r>
        <w:rPr>
          <w:spacing w:val="-2"/>
          <w:sz w:val="26"/>
          <w:szCs w:val="26"/>
          <w:lang w:val="vi-VN"/>
        </w:rPr>
        <w:t xml:space="preserve"> </w:t>
      </w:r>
      <w:r>
        <w:rPr>
          <w:sz w:val="26"/>
          <w:szCs w:val="26"/>
          <w:lang w:val="vi-VN"/>
        </w:rPr>
        <w:t>đổ</w:t>
      </w:r>
      <w:r>
        <w:rPr>
          <w:spacing w:val="-1"/>
          <w:sz w:val="26"/>
          <w:szCs w:val="26"/>
          <w:lang w:val="vi-VN"/>
        </w:rPr>
        <w:t xml:space="preserve"> </w:t>
      </w:r>
      <w:r>
        <w:rPr>
          <w:sz w:val="26"/>
          <w:szCs w:val="26"/>
          <w:lang w:val="vi-VN"/>
        </w:rPr>
        <w:t>vào sông</w:t>
      </w:r>
      <w:r>
        <w:rPr>
          <w:spacing w:val="-4"/>
          <w:sz w:val="26"/>
          <w:szCs w:val="26"/>
          <w:lang w:val="vi-VN"/>
        </w:rPr>
        <w:t xml:space="preserve"> </w:t>
      </w:r>
      <w:r>
        <w:rPr>
          <w:sz w:val="26"/>
          <w:szCs w:val="26"/>
          <w:lang w:val="vi-VN"/>
        </w:rPr>
        <w:t>Cả) đến Cửa Hội).</w:t>
      </w:r>
    </w:p>
    <w:p w14:paraId="404DB0D1" w14:textId="77777777" w:rsidR="00085789" w:rsidRDefault="00000000">
      <w:pPr>
        <w:widowControl w:val="0"/>
        <w:spacing w:before="80" w:line="240" w:lineRule="auto"/>
        <w:ind w:firstLine="720"/>
        <w:jc w:val="both"/>
        <w:rPr>
          <w:sz w:val="26"/>
          <w:szCs w:val="26"/>
          <w:lang w:val="vi-VN"/>
        </w:rPr>
      </w:pPr>
      <w:r>
        <w:rPr>
          <w:sz w:val="26"/>
          <w:szCs w:val="26"/>
          <w:lang w:val="vi-VN"/>
        </w:rPr>
        <w:t>- Sông Ngàn Phố: Sông có chiều dài 87</w:t>
      </w:r>
      <w:r>
        <w:rPr>
          <w:sz w:val="26"/>
          <w:szCs w:val="26"/>
        </w:rPr>
        <w:t xml:space="preserve"> </w:t>
      </w:r>
      <w:r>
        <w:rPr>
          <w:sz w:val="26"/>
          <w:szCs w:val="26"/>
          <w:lang w:val="vi-VN"/>
        </w:rPr>
        <w:t>km, bắt nguồn từ núi Giăng Màn, núi Bành ở độ cao khoảng 700m, chảy qua các xã Sơn Kim 1, Sơn Kim 2, Sơn Tây, Sơn Giang, Hương Sơn, Tứ Mỹ hợp lưu với sông Ngàn Sâu tại bến Tam Soa (Linh Cảm), sông có diện tích lưu vực 1.091</w:t>
      </w:r>
      <w:r>
        <w:rPr>
          <w:sz w:val="26"/>
          <w:szCs w:val="26"/>
        </w:rPr>
        <w:t xml:space="preserve"> </w:t>
      </w:r>
      <w:r>
        <w:rPr>
          <w:sz w:val="26"/>
          <w:szCs w:val="26"/>
          <w:lang w:val="vi-VN"/>
        </w:rPr>
        <w:t>km</w:t>
      </w:r>
      <w:r>
        <w:rPr>
          <w:sz w:val="26"/>
          <w:szCs w:val="26"/>
          <w:vertAlign w:val="superscript"/>
          <w:lang w:val="vi-VN"/>
        </w:rPr>
        <w:t>2</w:t>
      </w:r>
      <w:r>
        <w:rPr>
          <w:sz w:val="26"/>
          <w:szCs w:val="26"/>
          <w:lang w:val="vi-VN"/>
        </w:rPr>
        <w:t xml:space="preserve">. </w:t>
      </w:r>
      <w:r>
        <w:rPr>
          <w:spacing w:val="-2"/>
          <w:sz w:val="26"/>
          <w:szCs w:val="26"/>
          <w:lang w:val="vi-VN"/>
        </w:rPr>
        <w:t xml:space="preserve">Theo </w:t>
      </w:r>
      <w:r>
        <w:rPr>
          <w:sz w:val="26"/>
          <w:szCs w:val="26"/>
          <w:lang w:val="vi-VN"/>
        </w:rPr>
        <w:t>Báo cáo Quy hoạch tỉnh Hà Tĩnh thời kỳ 2021-2030, tầm nhìn đến năm 2050, Sông Ngàn Phố có chức năng cấp nước cho sinh hoạt, nông nghiệp, công nghiệp, thủy sản, giao thông thủy và thủy điện.</w:t>
      </w:r>
    </w:p>
    <w:p w14:paraId="7F85134B" w14:textId="77777777" w:rsidR="00085789" w:rsidRDefault="00000000">
      <w:pPr>
        <w:widowControl w:val="0"/>
        <w:spacing w:before="120" w:line="240" w:lineRule="auto"/>
        <w:ind w:firstLine="720"/>
        <w:jc w:val="both"/>
        <w:rPr>
          <w:sz w:val="26"/>
          <w:szCs w:val="26"/>
          <w:lang w:val="vi-VN"/>
        </w:rPr>
      </w:pPr>
      <w:r>
        <w:rPr>
          <w:sz w:val="26"/>
          <w:szCs w:val="26"/>
          <w:lang w:val="vi-VN"/>
        </w:rPr>
        <w:t>- Sông Ngàn Sâu: Sông có chiều dài 31</w:t>
      </w:r>
      <w:r>
        <w:rPr>
          <w:sz w:val="26"/>
          <w:szCs w:val="26"/>
        </w:rPr>
        <w:t xml:space="preserve"> </w:t>
      </w:r>
      <w:r>
        <w:rPr>
          <w:sz w:val="26"/>
          <w:szCs w:val="26"/>
          <w:lang w:val="vi-VN"/>
        </w:rPr>
        <w:t>km, bắt nguồn từ núi Ông Giao, ở độ cao 1.100</w:t>
      </w:r>
      <w:r>
        <w:rPr>
          <w:sz w:val="26"/>
          <w:szCs w:val="26"/>
        </w:rPr>
        <w:t xml:space="preserve"> </w:t>
      </w:r>
      <w:r>
        <w:rPr>
          <w:sz w:val="26"/>
          <w:szCs w:val="26"/>
          <w:lang w:val="vi-VN"/>
        </w:rPr>
        <w:t>m, có 3 phụ lưu lớn: Sông Tiêm, sông Rào Nổ, sông Ngàn Trươi và nhiều phụ lưu nhỏ khác. Sông có diện tích lưu vực 2.064</w:t>
      </w:r>
      <w:r>
        <w:rPr>
          <w:sz w:val="26"/>
          <w:szCs w:val="26"/>
        </w:rPr>
        <w:t xml:space="preserve"> </w:t>
      </w:r>
      <w:r>
        <w:rPr>
          <w:sz w:val="26"/>
          <w:szCs w:val="26"/>
          <w:lang w:val="vi-VN"/>
        </w:rPr>
        <w:t>km</w:t>
      </w:r>
      <w:r>
        <w:rPr>
          <w:sz w:val="26"/>
          <w:szCs w:val="26"/>
          <w:vertAlign w:val="superscript"/>
          <w:lang w:val="vi-VN"/>
        </w:rPr>
        <w:t>2</w:t>
      </w:r>
      <w:r>
        <w:rPr>
          <w:sz w:val="26"/>
          <w:szCs w:val="26"/>
          <w:lang w:val="vi-VN"/>
        </w:rPr>
        <w:t>, trong đó: Có 54</w:t>
      </w:r>
      <w:r>
        <w:rPr>
          <w:sz w:val="26"/>
          <w:szCs w:val="26"/>
        </w:rPr>
        <w:t xml:space="preserve"> </w:t>
      </w:r>
      <w:r>
        <w:rPr>
          <w:sz w:val="26"/>
          <w:szCs w:val="26"/>
          <w:lang w:val="vi-VN"/>
        </w:rPr>
        <w:t>km</w:t>
      </w:r>
      <w:r>
        <w:rPr>
          <w:sz w:val="26"/>
          <w:szCs w:val="26"/>
          <w:vertAlign w:val="superscript"/>
          <w:lang w:val="vi-VN"/>
        </w:rPr>
        <w:t>2</w:t>
      </w:r>
      <w:r>
        <w:rPr>
          <w:sz w:val="26"/>
          <w:szCs w:val="26"/>
          <w:lang w:val="vi-VN"/>
        </w:rPr>
        <w:t xml:space="preserve"> thuộc địa phận tỉnh </w:t>
      </w:r>
      <w:r>
        <w:rPr>
          <w:sz w:val="26"/>
          <w:szCs w:val="26"/>
          <w:lang w:val="vi-VN"/>
        </w:rPr>
        <w:lastRenderedPageBreak/>
        <w:t>Quảng Bình. Sông Ngàn Sâu bắt nguồn từ biên giới Việt - Lào, chảy dọc giữa Đông Trường Sơn và dãy Trà Sơn có độ uốn khúc lớn, đi qua nhiều xã như Phúc Trạch, Hương Xuân, Hà Linh, Thượng Đức, Đức Thọ,... hợp lưu với Sông La tại bến Tam Soa (Linh Cảm). Theo Báo cáo Quy hoạch tỉnh Hà Tĩnh thời kỳ 2021-2030, tầm nhìn đến năm 2050, sông Ngàn Sâu có chức năng cấp nước cho sinh hoạt, nông nghiệp, công nghiệp, thủy sản, giao thông thủy và thủy điện.</w:t>
      </w:r>
    </w:p>
    <w:p w14:paraId="2F422E7D" w14:textId="77777777" w:rsidR="00085789" w:rsidRDefault="00000000">
      <w:pPr>
        <w:widowControl w:val="0"/>
        <w:spacing w:before="120" w:line="240" w:lineRule="auto"/>
        <w:ind w:firstLine="720"/>
        <w:jc w:val="both"/>
        <w:rPr>
          <w:sz w:val="26"/>
          <w:szCs w:val="26"/>
          <w:lang w:val="vi-VN"/>
        </w:rPr>
      </w:pPr>
      <w:r>
        <w:rPr>
          <w:sz w:val="26"/>
          <w:szCs w:val="26"/>
          <w:lang w:val="vi-VN"/>
        </w:rPr>
        <w:t>- Sông La là một phụ lưu của sông Lam, sông có chiều dài 12,5</w:t>
      </w:r>
      <w:r>
        <w:rPr>
          <w:sz w:val="26"/>
          <w:szCs w:val="26"/>
        </w:rPr>
        <w:t xml:space="preserve"> </w:t>
      </w:r>
      <w:r>
        <w:rPr>
          <w:sz w:val="26"/>
          <w:szCs w:val="26"/>
          <w:lang w:val="vi-VN"/>
        </w:rPr>
        <w:t>km là hợp lưu của sông Ngàn Sâu và sông Ngàn Phố bắt đầu từ bến Tam Soa, diện tích lưu vực 3.221 km</w:t>
      </w:r>
      <w:r>
        <w:rPr>
          <w:sz w:val="26"/>
          <w:szCs w:val="26"/>
          <w:vertAlign w:val="superscript"/>
          <w:lang w:val="vi-VN"/>
        </w:rPr>
        <w:t>2</w:t>
      </w:r>
      <w:r>
        <w:rPr>
          <w:sz w:val="26"/>
          <w:szCs w:val="26"/>
          <w:lang w:val="vi-VN"/>
        </w:rPr>
        <w:t>. Cuối dòng chảy, sông La hợp lưu với sông Lam (tại khu vực bãi Nghén, xã Đức Quang, tỉnh Hà Tĩnh). Sông có chức năng cấp nước cho sinh hoạt, nông nghiệp, công nghiệp, thủy sản và giao thông thủy.</w:t>
      </w:r>
    </w:p>
    <w:p w14:paraId="18FE5032" w14:textId="77777777" w:rsidR="00085789" w:rsidRDefault="00000000">
      <w:pPr>
        <w:widowControl w:val="0"/>
        <w:spacing w:before="120" w:line="240" w:lineRule="auto"/>
        <w:ind w:firstLine="720"/>
        <w:jc w:val="both"/>
        <w:rPr>
          <w:sz w:val="26"/>
          <w:szCs w:val="26"/>
          <w:lang w:val="vi-VN"/>
        </w:rPr>
      </w:pPr>
      <w:r>
        <w:rPr>
          <w:sz w:val="26"/>
          <w:szCs w:val="26"/>
          <w:lang w:val="vi-VN"/>
        </w:rPr>
        <w:t>- Sông Ngàn Trươi: Sông trước đây bắt nguồn từ vùng núi cao (độ cao trung bình từ 800÷1.000m) chảy qua địa bàn xã Vũ Quang rồi nhập vào sông Ngàn Sâu tại Cửa Rào (giáp ranh giữa xã Vũ Quang và xã Thượng Đức) có chiều dài sông chính là 62</w:t>
      </w:r>
      <w:r>
        <w:rPr>
          <w:sz w:val="26"/>
          <w:szCs w:val="26"/>
        </w:rPr>
        <w:t xml:space="preserve"> </w:t>
      </w:r>
      <w:r>
        <w:rPr>
          <w:sz w:val="26"/>
          <w:szCs w:val="26"/>
          <w:lang w:val="vi-VN"/>
        </w:rPr>
        <w:t>km với diện tích toàn bộ lưu vực là 560</w:t>
      </w:r>
      <w:r>
        <w:rPr>
          <w:sz w:val="26"/>
          <w:szCs w:val="26"/>
        </w:rPr>
        <w:t xml:space="preserve"> </w:t>
      </w:r>
      <w:r>
        <w:rPr>
          <w:sz w:val="26"/>
          <w:szCs w:val="26"/>
          <w:lang w:val="vi-VN"/>
        </w:rPr>
        <w:t>km</w:t>
      </w:r>
      <w:r>
        <w:rPr>
          <w:sz w:val="26"/>
          <w:szCs w:val="26"/>
          <w:vertAlign w:val="superscript"/>
          <w:lang w:val="vi-VN"/>
        </w:rPr>
        <w:t>2</w:t>
      </w:r>
      <w:r>
        <w:rPr>
          <w:sz w:val="26"/>
          <w:szCs w:val="26"/>
          <w:lang w:val="vi-VN"/>
        </w:rPr>
        <w:t>, mật độ lưới sông là 0,73</w:t>
      </w:r>
      <w:r>
        <w:rPr>
          <w:sz w:val="26"/>
          <w:szCs w:val="26"/>
        </w:rPr>
        <w:t xml:space="preserve"> </w:t>
      </w:r>
      <w:r>
        <w:rPr>
          <w:sz w:val="26"/>
          <w:szCs w:val="26"/>
          <w:lang w:val="vi-VN"/>
        </w:rPr>
        <w:t>km/km</w:t>
      </w:r>
      <w:r>
        <w:rPr>
          <w:sz w:val="26"/>
          <w:szCs w:val="26"/>
          <w:vertAlign w:val="superscript"/>
          <w:lang w:val="vi-VN"/>
        </w:rPr>
        <w:t>2</w:t>
      </w:r>
      <w:r>
        <w:rPr>
          <w:sz w:val="26"/>
          <w:szCs w:val="26"/>
          <w:lang w:val="vi-VN"/>
        </w:rPr>
        <w:t>, chiều rộng bình quân lưu vực là 123,3</w:t>
      </w:r>
      <w:r>
        <w:rPr>
          <w:sz w:val="26"/>
          <w:szCs w:val="26"/>
        </w:rPr>
        <w:t xml:space="preserve"> </w:t>
      </w:r>
      <w:r>
        <w:rPr>
          <w:sz w:val="26"/>
          <w:szCs w:val="26"/>
          <w:lang w:val="vi-VN"/>
        </w:rPr>
        <w:t>km, độ cao bình quân lưu vực là 422</w:t>
      </w:r>
      <w:r>
        <w:rPr>
          <w:sz w:val="26"/>
          <w:szCs w:val="26"/>
        </w:rPr>
        <w:t xml:space="preserve"> </w:t>
      </w:r>
      <w:r>
        <w:rPr>
          <w:sz w:val="26"/>
          <w:szCs w:val="26"/>
          <w:lang w:val="vi-VN"/>
        </w:rPr>
        <w:t xml:space="preserve">m. Sau khi công trình hồ Ngàn Trươi hoàn thành (thuộc Hệ thống thủy lợi Ngàn Trươi - Cẩm Trang), chế độ thủy văn sông Ngàn Trươi phụ thuộc nhiều vào chế độ vận hành của hồ Ngàn Trươi, lưu lượng nước cung cấp cho hạ lưu sông chủ yếu từ hồ Ngàn Trươi thông qua công trình lấy nước số 1 (Tuy nen TN1). Ngoài ra, nước sông Ngàn Trươi còn được cung cấp bởi hệ thống khe suối như khe Trươi, khe Vang, khe Trí,... phía thượng nguồn tạo thành dòng chảy ổn định cung cấp nguồn nước cho vùng hạ lưu sông Ngàn Trươi. Đoạn sông qua địa phận xã Vũ Quang được ngăn bởi đập </w:t>
      </w:r>
      <w:r>
        <w:rPr>
          <w:sz w:val="26"/>
          <w:szCs w:val="26"/>
        </w:rPr>
        <w:t>d</w:t>
      </w:r>
      <w:r>
        <w:rPr>
          <w:sz w:val="26"/>
          <w:szCs w:val="26"/>
          <w:lang w:val="vi-VN"/>
        </w:rPr>
        <w:t>âng Vũ Quang để dẫn nước cho kênh chính Ngàn Trươi cũng góp phần ổn định nguồn nước cho các mục đích phát triển KT-XH vùng phía Bắc của tỉnh Hà Tĩnh. Sông có chức năng cấp nước cho nông nghiệp, công nghiệp, thủy sản và giao thông thủy.</w:t>
      </w:r>
    </w:p>
    <w:p w14:paraId="6F575F62" w14:textId="77777777" w:rsidR="00085789" w:rsidRDefault="00000000">
      <w:pPr>
        <w:widowControl w:val="0"/>
        <w:spacing w:before="120" w:line="240" w:lineRule="auto"/>
        <w:ind w:firstLine="720"/>
        <w:jc w:val="both"/>
        <w:rPr>
          <w:rFonts w:asciiTheme="majorHAnsi" w:hAnsiTheme="majorHAnsi"/>
          <w:sz w:val="26"/>
          <w:szCs w:val="26"/>
          <w:lang w:val="vi-VN"/>
        </w:rPr>
      </w:pPr>
      <w:r>
        <w:rPr>
          <w:rFonts w:asciiTheme="majorHAnsi" w:hAnsiTheme="majorHAnsi" w:cstheme="majorHAnsi"/>
          <w:sz w:val="26"/>
          <w:szCs w:val="26"/>
          <w:lang w:val="vi-VN"/>
        </w:rPr>
        <w:t>- Sông Nghèn: Sông bắt nguồn từ cống Trung Lương (thuộc đê La Giang trên địa bàn phường Bắc Hồng Lĩnh) nhập vào sông Rào Cái tại phường Trần Phú có chiều dài 60</w:t>
      </w:r>
      <w:r>
        <w:rPr>
          <w:rFonts w:asciiTheme="majorHAnsi" w:hAnsiTheme="majorHAnsi" w:cstheme="majorHAnsi"/>
          <w:sz w:val="26"/>
          <w:szCs w:val="26"/>
        </w:rPr>
        <w:t xml:space="preserve"> </w:t>
      </w:r>
      <w:r>
        <w:rPr>
          <w:rFonts w:asciiTheme="majorHAnsi" w:hAnsiTheme="majorHAnsi" w:cstheme="majorHAnsi"/>
          <w:sz w:val="26"/>
          <w:szCs w:val="26"/>
          <w:lang w:val="vi-VN"/>
        </w:rPr>
        <w:t xml:space="preserve">km, diện tích </w:t>
      </w:r>
      <w:r>
        <w:rPr>
          <w:rFonts w:asciiTheme="majorHAnsi" w:hAnsiTheme="majorHAnsi"/>
          <w:sz w:val="26"/>
          <w:szCs w:val="26"/>
          <w:lang w:val="vi-VN"/>
          <w14:props3d w14:extrusionH="0" w14:contourW="0" w14:prstMaterial="matte"/>
        </w:rPr>
        <w:t>lưu vực 556</w:t>
      </w:r>
      <w:r>
        <w:rPr>
          <w:rFonts w:asciiTheme="majorHAnsi" w:hAnsiTheme="majorHAnsi"/>
          <w:sz w:val="26"/>
          <w:szCs w:val="26"/>
          <w14:props3d w14:extrusionH="0" w14:contourW="0" w14:prstMaterial="matte"/>
        </w:rPr>
        <w:t xml:space="preserve"> </w:t>
      </w:r>
      <w:r>
        <w:rPr>
          <w:rFonts w:asciiTheme="majorHAnsi" w:hAnsiTheme="majorHAnsi"/>
          <w:sz w:val="26"/>
          <w:szCs w:val="26"/>
          <w:lang w:val="vi-VN"/>
          <w14:props3d w14:extrusionH="0" w14:contourW="0" w14:prstMaterial="matte"/>
        </w:rPr>
        <w:t>km</w:t>
      </w:r>
      <w:r>
        <w:rPr>
          <w:rFonts w:asciiTheme="majorHAnsi" w:hAnsiTheme="majorHAnsi"/>
          <w:sz w:val="26"/>
          <w:szCs w:val="26"/>
          <w:vertAlign w:val="superscript"/>
          <w:lang w:val="vi-VN"/>
          <w14:props3d w14:extrusionH="0" w14:contourW="0" w14:prstMaterial="matte"/>
        </w:rPr>
        <w:t>2</w:t>
      </w:r>
      <w:r>
        <w:rPr>
          <w:rFonts w:asciiTheme="majorHAnsi" w:hAnsiTheme="majorHAnsi"/>
          <w:sz w:val="26"/>
          <w:szCs w:val="26"/>
          <w:lang w:val="vi-VN"/>
          <w14:props3d w14:extrusionH="0" w14:contourW="0" w14:prstMaterial="matte"/>
        </w:rPr>
        <w:t>. Sông Nghèn được hợp lưu bởi nhiều khe, suối nhỏ. Hiện nay tại Đò Điệm đã xây dựng đập ngăn mặn giữ ngọt, tạo nguồn nước phục vụ sản xuất nông nghiệp và các nhu cầu khác. Theo Báo cáo Quy hoạch tỉnh Hà Tĩnh thời kỳ 2021-2030, tầm nhìn đến năm 2050, sông Nghèn đoạn từ cống Đò Điệm đến thượng nguồn cống Trung Lương có chức năng cấp nước cho sinh hoạt, nông nghiệp, công nghiệp, thủy sản, giao thông thủy và thủy điện.</w:t>
      </w:r>
    </w:p>
    <w:p w14:paraId="05F32EE9" w14:textId="77777777" w:rsidR="00085789" w:rsidRDefault="00000000">
      <w:pPr>
        <w:widowControl w:val="0"/>
        <w:spacing w:before="120" w:line="240" w:lineRule="auto"/>
        <w:ind w:firstLine="720"/>
        <w:jc w:val="both"/>
        <w:rPr>
          <w:sz w:val="26"/>
          <w:szCs w:val="26"/>
          <w:lang w:val="vi-VN"/>
        </w:rPr>
      </w:pPr>
      <w:r>
        <w:rPr>
          <w:sz w:val="26"/>
          <w:szCs w:val="26"/>
          <w:lang w:val="vi-VN"/>
        </w:rPr>
        <w:t>- Sông Già: Chủ yếu nằm trên địa phận xã Xuân Lộc, xã Đông Kinh; sông dài 34km, diện tích lưu vực 118</w:t>
      </w:r>
      <w:r>
        <w:rPr>
          <w:sz w:val="26"/>
          <w:szCs w:val="26"/>
        </w:rPr>
        <w:t xml:space="preserve"> </w:t>
      </w:r>
      <w:r>
        <w:rPr>
          <w:sz w:val="26"/>
          <w:szCs w:val="26"/>
          <w:lang w:val="vi-VN"/>
        </w:rPr>
        <w:t>km</w:t>
      </w:r>
      <w:r>
        <w:rPr>
          <w:sz w:val="26"/>
          <w:szCs w:val="26"/>
          <w:vertAlign w:val="superscript"/>
          <w:lang w:val="vi-VN"/>
        </w:rPr>
        <w:t>2</w:t>
      </w:r>
      <w:r>
        <w:rPr>
          <w:sz w:val="26"/>
          <w:szCs w:val="26"/>
          <w:lang w:val="vi-VN"/>
        </w:rPr>
        <w:t>, bắt nguồn từ núi Động Bút.</w:t>
      </w:r>
      <w:r>
        <w:rPr>
          <w:rFonts w:asciiTheme="majorHAnsi" w:hAnsiTheme="majorHAnsi" w:cstheme="majorHAnsi"/>
          <w:sz w:val="26"/>
          <w:szCs w:val="26"/>
          <w:lang w:val="vi-VN"/>
        </w:rPr>
        <w:t xml:space="preserve"> Theo Báo cáo Quy hoạch tỉnh Hà Tĩnh thời kỳ 2021-2030, tầm nhìn đến năm 2050, sông Già có chức năng cấp nước cho nông nghiệp, thủy sản.</w:t>
      </w:r>
    </w:p>
    <w:p w14:paraId="5D5B614E" w14:textId="77777777" w:rsidR="00085789" w:rsidRDefault="00000000">
      <w:pPr>
        <w:widowControl w:val="0"/>
        <w:spacing w:before="120" w:line="240" w:lineRule="auto"/>
        <w:ind w:firstLine="720"/>
        <w:jc w:val="both"/>
        <w:rPr>
          <w:spacing w:val="-2"/>
          <w:sz w:val="26"/>
          <w:szCs w:val="26"/>
          <w:lang w:val="pt-BR"/>
        </w:rPr>
      </w:pPr>
      <w:r>
        <w:rPr>
          <w:sz w:val="26"/>
          <w:szCs w:val="26"/>
          <w:lang w:val="vi-VN"/>
        </w:rPr>
        <w:t>- Sông Cày: Sông Cày b</w:t>
      </w:r>
      <w:r>
        <w:rPr>
          <w:sz w:val="26"/>
          <w:szCs w:val="26"/>
          <w:lang w:val="pt-BR"/>
        </w:rPr>
        <w:t>ắt nguồn từ dãy Trà Sơn, theo hướng Tây Nam - Đông Bắc qua xã Thạch Hà rồi đổ về sông Nghèn. Phần từ cầu Sú trở lên qua cầu Đông, ngược thượng nguồn, dân địa phương quen gọi là sông Cầu Đông. Sông Cầu Đông (thượng lưu sông Cày) bắt nguồn từ các con khe, suối nhỏ trên dãy Trà Sơn. Lưu vực sông Cày với diện tích 94 km² có chiều dài 24 km, hợp lưu với sông Nghèn và  sông Phủ (một nhánh của sông Rào Cái) tại phường Trần Phú, tạo thành sông Cửa Sót trước khi đổ ra biển qua cửa Sót. Sông Cày chảy ra biển theo hướng Tây Nam - Đông Bắc tại cửa Sót. Sông Cày cùng với sông Rào Cái là những lưu vực thoát nước của phường Thành Sen, phường Trần Phú, phường Hà Huy Tập và vùng lân cận.</w:t>
      </w:r>
    </w:p>
    <w:p w14:paraId="15B0E42D" w14:textId="77777777" w:rsidR="00085789" w:rsidRDefault="00000000">
      <w:pPr>
        <w:widowControl w:val="0"/>
        <w:spacing w:before="120" w:line="240" w:lineRule="auto"/>
        <w:ind w:firstLine="720"/>
        <w:jc w:val="both"/>
        <w:rPr>
          <w:sz w:val="26"/>
          <w:szCs w:val="26"/>
          <w:lang w:val="vi-VN"/>
        </w:rPr>
      </w:pPr>
      <w:r>
        <w:rPr>
          <w:sz w:val="26"/>
          <w:szCs w:val="26"/>
          <w:lang w:val="pt-BR"/>
        </w:rPr>
        <w:lastRenderedPageBreak/>
        <w:t>- Sông Rào Cái (còn gọi là sông Ngàn Mọ): Sông có chiều dài 63 km, diện tích lưu vực 1.090 km</w:t>
      </w:r>
      <w:r>
        <w:rPr>
          <w:sz w:val="26"/>
          <w:szCs w:val="26"/>
          <w:vertAlign w:val="superscript"/>
          <w:lang w:val="pt-BR"/>
        </w:rPr>
        <w:t>2</w:t>
      </w:r>
      <w:r>
        <w:rPr>
          <w:sz w:val="26"/>
          <w:szCs w:val="26"/>
          <w:lang w:val="pt-BR"/>
        </w:rPr>
        <w:t xml:space="preserve"> bắt nguồn từ núi Cục Thao thuộc xã Cẩm Duệ và Cẩm Hưng, đoạn thượng nguồn là những khe nhỏ ở độ cao khoảng 500m, chảy theo hướng Tây Bắc - Đông Nam, sau đó chuyển dần về theo hướng Bắc - Nam. Phần thượng nguồn sông Rào Cái là hồ Kẻ Gỗ. Đến xã Cẩm Bình, sông Rào Cái phân làm hai nhánh lớn: Một nhánh chảy về hướng bắc, đầu nguồn gọi là sông Quý Vịnh nối với Sông Phủ, hợp lưu với sông Cửa Sót tại phường Trần Phú, một nhánh chảy theo hướng Đông Nam hợp lưu với sông Cửa Nhượng tại xã Cẩm Trung, nhánh này thường được gọi là sông Gia Hội</w:t>
      </w:r>
      <w:r>
        <w:rPr>
          <w:noProof/>
          <w:sz w:val="26"/>
          <w:szCs w:val="26"/>
          <w:lang w:val="pt-BR"/>
        </w:rPr>
        <w:t>.</w:t>
      </w:r>
    </w:p>
    <w:p w14:paraId="3E2E48F9" w14:textId="77777777" w:rsidR="00085789" w:rsidRDefault="00000000">
      <w:pPr>
        <w:widowControl w:val="0"/>
        <w:spacing w:before="120" w:line="240" w:lineRule="auto"/>
        <w:ind w:firstLine="720"/>
        <w:jc w:val="both"/>
        <w:rPr>
          <w:sz w:val="26"/>
          <w:szCs w:val="26"/>
          <w:lang w:val="pl-PL"/>
        </w:rPr>
      </w:pPr>
      <w:r>
        <w:rPr>
          <w:sz w:val="26"/>
          <w:szCs w:val="26"/>
          <w:lang w:val="pt-BR"/>
        </w:rPr>
        <w:t>- Sông Gia Hội:</w:t>
      </w:r>
      <w:r>
        <w:rPr>
          <w:sz w:val="26"/>
          <w:szCs w:val="26"/>
          <w:lang w:val="pl-PL"/>
        </w:rPr>
        <w:t xml:space="preserve"> Là nhánh sông phân lưu của hệ thống sông Rào Cái c</w:t>
      </w:r>
      <w:r>
        <w:rPr>
          <w:sz w:val="26"/>
          <w:szCs w:val="26"/>
          <w:lang w:val="pt-BR"/>
        </w:rPr>
        <w:t>ó lưu vực 290 km</w:t>
      </w:r>
      <w:r>
        <w:rPr>
          <w:sz w:val="26"/>
          <w:szCs w:val="26"/>
          <w:vertAlign w:val="superscript"/>
          <w:lang w:val="pt-BR"/>
        </w:rPr>
        <w:t>2</w:t>
      </w:r>
      <w:r>
        <w:rPr>
          <w:sz w:val="26"/>
          <w:szCs w:val="26"/>
          <w:lang w:val="pt-BR"/>
        </w:rPr>
        <w:t xml:space="preserve">, chiều dài dòng chính 29,5 km </w:t>
      </w:r>
      <w:r>
        <w:rPr>
          <w:sz w:val="26"/>
          <w:szCs w:val="26"/>
          <w:lang w:val="pl-PL"/>
        </w:rPr>
        <w:t>bắt nguồn từ xã Cẩm Duệ chảy qua các xã: Cẩm Bình, Cẩm Xuyên, Thiên Cầm và Cẩm Trung rồi đổ ra biển Đông qua khu vực Cửa Nhượng. Sông Gia Hội chảy trên khu vực vùng đồng bằng, gần biển nên thường xuyên chịu tác động của dòng triều làm dòng chảy trên sông chuyển động hai chiều, mực nước lên xuống thường xuyên theo dòng thủy triều. Hiện nay sông đang có chức năng cấp nước cho tưới tiêu nông nghiệp và NTTS.</w:t>
      </w:r>
    </w:p>
    <w:p w14:paraId="10B23BE5" w14:textId="77777777" w:rsidR="00085789" w:rsidRDefault="00000000">
      <w:pPr>
        <w:widowControl w:val="0"/>
        <w:spacing w:before="120" w:line="240" w:lineRule="auto"/>
        <w:ind w:firstLine="720"/>
        <w:jc w:val="both"/>
        <w:rPr>
          <w:sz w:val="26"/>
          <w:szCs w:val="26"/>
          <w:lang w:val="vi-VN"/>
        </w:rPr>
      </w:pPr>
      <w:r>
        <w:rPr>
          <w:sz w:val="26"/>
          <w:szCs w:val="26"/>
          <w:lang w:val="pl-PL"/>
        </w:rPr>
        <w:t>- Sông Cửa Sót: Sông Cửa Sót là hợp lưu của sông Rào Cái và Sông Nghèn tại phường Trần Phú. Đoạn sông từ phường Trần Phú chảy ra Cửa Sót dài 8 km, diện tích lưu vực 205 km</w:t>
      </w:r>
      <w:r>
        <w:rPr>
          <w:sz w:val="26"/>
          <w:szCs w:val="26"/>
          <w:vertAlign w:val="superscript"/>
          <w:lang w:val="pl-PL"/>
        </w:rPr>
        <w:t>2</w:t>
      </w:r>
      <w:r>
        <w:rPr>
          <w:sz w:val="26"/>
          <w:szCs w:val="26"/>
          <w:lang w:val="pl-PL"/>
        </w:rPr>
        <w:t xml:space="preserve"> và chịu tác động rất lớn của thuỷ triều. Hiện nay sông đang có chức năng cấp nước cho NTTS và giao thông thủy.</w:t>
      </w:r>
    </w:p>
    <w:p w14:paraId="20B085F4" w14:textId="77777777" w:rsidR="00085789" w:rsidRDefault="00000000">
      <w:pPr>
        <w:widowControl w:val="0"/>
        <w:spacing w:before="120" w:line="240" w:lineRule="auto"/>
        <w:ind w:firstLine="720"/>
        <w:jc w:val="both"/>
        <w:rPr>
          <w:spacing w:val="-2"/>
          <w:sz w:val="26"/>
          <w:szCs w:val="26"/>
          <w:lang w:val="vi-VN"/>
        </w:rPr>
      </w:pPr>
      <w:r>
        <w:rPr>
          <w:spacing w:val="-2"/>
          <w:sz w:val="26"/>
          <w:szCs w:val="26"/>
          <w:lang w:val="pl-PL"/>
        </w:rPr>
        <w:t>- Sông Rác: Sông có chiều dài 38 km, bắt nguồn từ dãy Vĩnh Yên chảy qua địa bàn các xã: Kỳ Văn, Kỳ Xuân, Cẩm lạc, Cẩm Trung; sông có diện tích lưu vực 619 km</w:t>
      </w:r>
      <w:r>
        <w:rPr>
          <w:spacing w:val="-2"/>
          <w:sz w:val="26"/>
          <w:szCs w:val="26"/>
          <w:vertAlign w:val="superscript"/>
          <w:lang w:val="pl-PL"/>
        </w:rPr>
        <w:t>2</w:t>
      </w:r>
      <w:r>
        <w:rPr>
          <w:spacing w:val="-2"/>
          <w:sz w:val="26"/>
          <w:szCs w:val="26"/>
          <w:lang w:val="pl-PL"/>
        </w:rPr>
        <w:t>, thượng nguồn có hồ Sông Rác. Sông Rác được hợp lưu với sông Cửa Nhượng tại núi Hòn Du xã Cẩm Trung cách Cửa Nhượng khoảng 3 km. Hiện nay, sông đang có chức năng cấp nước cho tưới tiêu nông nghiệp, công nghiệp và NTTS.</w:t>
      </w:r>
    </w:p>
    <w:p w14:paraId="2F0F993D" w14:textId="77777777" w:rsidR="00085789" w:rsidRDefault="00000000">
      <w:pPr>
        <w:widowControl w:val="0"/>
        <w:spacing w:before="120" w:line="240" w:lineRule="auto"/>
        <w:ind w:firstLine="720"/>
        <w:jc w:val="both"/>
        <w:rPr>
          <w:sz w:val="26"/>
          <w:szCs w:val="26"/>
          <w:lang w:val="vi-VN"/>
        </w:rPr>
      </w:pPr>
      <w:r>
        <w:rPr>
          <w:sz w:val="26"/>
          <w:szCs w:val="26"/>
          <w:lang w:val="pl-PL"/>
        </w:rPr>
        <w:t>- Sông Trí: Sông Trí bắt nguồn từ núi Động Chùa, có chiều dài 33 km, chảy len lỏi giữa hai dãy núi Yên Mã, Đá Bạc và Núi Bá, hợp lưu vào Cửa Khẩu tại phường Hải Ninh. Sông có diện tích lưu vực 57 km</w:t>
      </w:r>
      <w:r>
        <w:rPr>
          <w:sz w:val="26"/>
          <w:szCs w:val="26"/>
          <w:vertAlign w:val="superscript"/>
          <w:lang w:val="pl-PL"/>
        </w:rPr>
        <w:t>2</w:t>
      </w:r>
      <w:r>
        <w:rPr>
          <w:sz w:val="26"/>
          <w:szCs w:val="26"/>
          <w:lang w:val="pl-PL"/>
        </w:rPr>
        <w:t>, thượng nguồn của sông Trí có đập dâng Sông Trí và hồ chứa nước Thượng Sông Trí thuộc xã Kỳ Hoa có chức năng cấp nước sinh hoạt. Sông Trí phía hạ lưu đập dâng Sông Trí chảy ra sông Quyền đang có chức năng cấp nước tưới tiêu nông nghiệp, công nghiệp và NTTS.</w:t>
      </w:r>
    </w:p>
    <w:p w14:paraId="04768A76" w14:textId="77777777" w:rsidR="00085789" w:rsidRDefault="00000000">
      <w:pPr>
        <w:widowControl w:val="0"/>
        <w:spacing w:before="120" w:line="240" w:lineRule="auto"/>
        <w:ind w:firstLine="720"/>
        <w:jc w:val="both"/>
        <w:rPr>
          <w:sz w:val="26"/>
          <w:szCs w:val="26"/>
          <w:lang w:val="pl-PL"/>
        </w:rPr>
      </w:pPr>
      <w:r>
        <w:rPr>
          <w:sz w:val="26"/>
          <w:szCs w:val="26"/>
          <w:lang w:val="pl-PL"/>
        </w:rPr>
        <w:t>- Sông Quyền: Sông bắt nguồn từ dãy Hoành Sơn ở độ cao 1.040 m, dài 70 km. Đoạn thượng nguồn gọi là khe Đá Hát, chảy theo hướng Tây - Nam, với diện tích lưu vực 295 km</w:t>
      </w:r>
      <w:r>
        <w:rPr>
          <w:sz w:val="26"/>
          <w:szCs w:val="26"/>
          <w:vertAlign w:val="superscript"/>
          <w:lang w:val="pl-PL"/>
        </w:rPr>
        <w:t>2</w:t>
      </w:r>
      <w:r>
        <w:rPr>
          <w:sz w:val="26"/>
          <w:szCs w:val="26"/>
          <w:lang w:val="pl-PL"/>
        </w:rPr>
        <w:t>, sông đổ ra Cửa Khẩu tại phường Hải Ninh. Hạ lưu sông có cống ngăn mặn giữ ngọt Tây Yên. Hiện nay, sông đang có chức năng cấp nước cho tưới tiêu nông nghiệp, công nghiệp, NTTS và giao thông thủy.</w:t>
      </w:r>
    </w:p>
    <w:p w14:paraId="52AA876A" w14:textId="77777777" w:rsidR="00085789" w:rsidRDefault="00000000">
      <w:pPr>
        <w:widowControl w:val="0"/>
        <w:spacing w:before="120" w:line="240" w:lineRule="auto"/>
        <w:ind w:firstLine="720"/>
        <w:jc w:val="both"/>
        <w:rPr>
          <w:sz w:val="26"/>
          <w:szCs w:val="26"/>
          <w:lang w:val="pl-PL"/>
        </w:rPr>
      </w:pPr>
      <w:r>
        <w:rPr>
          <w:sz w:val="26"/>
          <w:szCs w:val="26"/>
          <w:lang w:val="pl-PL"/>
        </w:rPr>
        <w:t>- Sông Rào Trổ: Sông Rào Trổ thuộc lưu vực sông Gianh là sông liên tỉnh độc lập chảy qua địa bàn xã Kỳ Thượng, xã Kỳ Lạc thuộc tỉnh Hà Tĩnh và hợp lưu vào sông Gianh tại xã Tuyên Bình thuộc tỉnh Quảng Bình, đây cũng là nguồn cung cấp nước chính cho vùng đồng bằng rộng lớn ven sông. Hai phụ lưu của nó là sông Khe Canh (bắt nguồn từ xã Cẩm Duệ) và sông Rào Mộc (bắt nguồn từ xã Kỳ Thượng) hợp lưu thành sông Rào Trổ chảy trên địa bàn xã Kỳ Thượng và xã Kỳ Lạc. Sông Rào Trổ hợp lưu với sông Gianh ở khu vực gần ga Lạc Sơn thuộc địa phận xã Tuyên Bình. Sông có chiều dài 73 km, diện tích lưu vực 563 km</w:t>
      </w:r>
      <w:r>
        <w:rPr>
          <w:sz w:val="26"/>
          <w:szCs w:val="26"/>
          <w:vertAlign w:val="superscript"/>
          <w:lang w:val="pl-PL"/>
        </w:rPr>
        <w:t>2</w:t>
      </w:r>
      <w:r>
        <w:rPr>
          <w:sz w:val="26"/>
          <w:szCs w:val="26"/>
          <w:lang w:val="pl-PL"/>
        </w:rPr>
        <w:t>. Trong đó: Phần chảy qua địa phận tỉnh Hà Tĩnh có chiều dài là 54 km, diện tích lưu vực là 488 km</w:t>
      </w:r>
      <w:r>
        <w:rPr>
          <w:sz w:val="26"/>
          <w:szCs w:val="26"/>
          <w:vertAlign w:val="superscript"/>
          <w:lang w:val="pl-PL"/>
        </w:rPr>
        <w:t>2</w:t>
      </w:r>
      <w:r>
        <w:rPr>
          <w:sz w:val="26"/>
          <w:szCs w:val="26"/>
          <w:lang w:val="pl-PL"/>
        </w:rPr>
        <w:t xml:space="preserve">; phần còn lại thuộc tỉnh Quảng Bình. Sông Rào Trổ có trữ lượng nước mặt dồi dào. Đây chính là tiềm năng để cung cấp nguồn nước ngọt cho khu kinh tế Vũng Áng. Hiện nay, sông đang có chức năng cấp nước sinh hoạt, nông nghiệp, </w:t>
      </w:r>
      <w:r>
        <w:rPr>
          <w:sz w:val="26"/>
          <w:szCs w:val="26"/>
          <w:lang w:val="pl-PL"/>
        </w:rPr>
        <w:lastRenderedPageBreak/>
        <w:t>công nghiệp và NTTS.</w:t>
      </w:r>
    </w:p>
    <w:p w14:paraId="7319D056" w14:textId="77777777" w:rsidR="00085789" w:rsidRDefault="00000000">
      <w:pPr>
        <w:widowControl w:val="0"/>
        <w:spacing w:before="120" w:line="240" w:lineRule="auto"/>
        <w:ind w:firstLine="720"/>
        <w:jc w:val="both"/>
        <w:rPr>
          <w:sz w:val="26"/>
          <w:szCs w:val="26"/>
          <w:lang w:val="pl-PL"/>
        </w:rPr>
      </w:pPr>
      <w:r>
        <w:rPr>
          <w:sz w:val="26"/>
          <w:szCs w:val="26"/>
          <w:lang w:val="pl-PL"/>
        </w:rPr>
        <w:t>Ngoài các sông tự nhiên chính nói trên, trên địa bàn tỉnh còn có các kênh, mương nhân tạo có quy mô lớn được xây dựng để phục vụ phát triển KT-XH gồm:</w:t>
      </w:r>
    </w:p>
    <w:p w14:paraId="405A637C" w14:textId="77777777" w:rsidR="00085789" w:rsidRDefault="00000000">
      <w:pPr>
        <w:widowControl w:val="0"/>
        <w:spacing w:before="120" w:line="240" w:lineRule="auto"/>
        <w:ind w:firstLine="720"/>
        <w:jc w:val="both"/>
        <w:rPr>
          <w:sz w:val="26"/>
          <w:szCs w:val="26"/>
          <w:lang w:val="pl-PL"/>
        </w:rPr>
      </w:pPr>
      <w:r>
        <w:rPr>
          <w:sz w:val="26"/>
          <w:szCs w:val="26"/>
          <w:lang w:val="pl-PL"/>
        </w:rPr>
        <w:t>- Kênh Linh Cảm: Chiều dài 34,017 km đi qua địa bàn các xã: Đức Thọ, Đức Thịnh, Trường Lưu, Gia Hanh, Đồng Lộc, Xuân Lộc, Việt Xuyên, cuối kênh kết nối vào sông Vách Nam.</w:t>
      </w:r>
    </w:p>
    <w:p w14:paraId="66A769C8" w14:textId="77777777" w:rsidR="00085789" w:rsidRDefault="00000000">
      <w:pPr>
        <w:widowControl w:val="0"/>
        <w:spacing w:before="120" w:line="240" w:lineRule="auto"/>
        <w:ind w:firstLine="720"/>
        <w:jc w:val="both"/>
        <w:rPr>
          <w:sz w:val="26"/>
          <w:szCs w:val="26"/>
          <w:lang w:val="pl-PL"/>
        </w:rPr>
      </w:pPr>
      <w:r>
        <w:rPr>
          <w:sz w:val="26"/>
          <w:szCs w:val="26"/>
          <w:lang w:val="pl-PL"/>
        </w:rPr>
        <w:t>- Kênh Ngàn Trươi: Kênh Ngàn Trươi là tuyến kênh chính quan trọng trong Hệ thống thủy lợi Ngàn Trươi - Cẩm Trang có điểm đầu lấy nước tại đập dâng Vũ Quang và nhập lưu cung cấp nước cho kênh Linh Cảm tại xã Đức Thọ. Kênh có lưu lượng thiết kế 49,60 m</w:t>
      </w:r>
      <w:r>
        <w:rPr>
          <w:sz w:val="26"/>
          <w:szCs w:val="26"/>
          <w:vertAlign w:val="superscript"/>
          <w:lang w:val="pl-PL"/>
        </w:rPr>
        <w:t>3</w:t>
      </w:r>
      <w:r>
        <w:rPr>
          <w:sz w:val="26"/>
          <w:szCs w:val="26"/>
          <w:lang w:val="pl-PL"/>
        </w:rPr>
        <w:t>/s; chiều dài kênh 16,7 km với chức năng cung cấp nước tưới cho khoảng 29.662 ha đất sản xuất nông nghiệp, sinh hoạt, công nghiệp và NTTS.</w:t>
      </w:r>
    </w:p>
    <w:p w14:paraId="3F920069" w14:textId="77777777" w:rsidR="00085789" w:rsidRDefault="00000000">
      <w:pPr>
        <w:widowControl w:val="0"/>
        <w:spacing w:before="120" w:line="240" w:lineRule="auto"/>
        <w:ind w:firstLine="720"/>
        <w:jc w:val="both"/>
        <w:rPr>
          <w:sz w:val="26"/>
          <w:szCs w:val="26"/>
          <w:lang w:val="pl-PL"/>
        </w:rPr>
      </w:pPr>
      <w:r>
        <w:rPr>
          <w:sz w:val="26"/>
          <w:szCs w:val="26"/>
          <w:lang w:val="pl-PL"/>
        </w:rPr>
        <w:t xml:space="preserve">- Kênh 19-5: Nối từ cống Đức Xá đổ về sông Nghèn tại ngã ba Giao Tác, có nhiệm vụ chuyển nước từ Sông La qua cống Đức Xá vào Sông Nghèn phục vụ các trạm bơm và các hình thức lấy nước khác phục vụ cho một số xã như: Đức Quang, Đức Thịnh, Trường Lưu và phường Nam Hồng Lĩnh. </w:t>
      </w:r>
    </w:p>
    <w:p w14:paraId="5F26A56B" w14:textId="77777777" w:rsidR="00085789" w:rsidRDefault="00000000">
      <w:pPr>
        <w:widowControl w:val="0"/>
        <w:spacing w:before="120" w:line="240" w:lineRule="auto"/>
        <w:ind w:firstLine="720"/>
        <w:jc w:val="both"/>
        <w:rPr>
          <w:sz w:val="26"/>
          <w:szCs w:val="26"/>
          <w:lang w:val="pl-PL"/>
        </w:rPr>
      </w:pPr>
      <w:r>
        <w:rPr>
          <w:sz w:val="26"/>
          <w:szCs w:val="26"/>
          <w:lang w:val="pl-PL"/>
        </w:rPr>
        <w:t>- Kênh Vách Nam (còn gọi là sông Vách Nam): Chảy dọc dưới dãy Trà Sơn từ xã Xuân Lộc đổ vào Sông Cày, phía hạ lưu có cống Vọc Sim làm nhiệm vụ ngăn mặn giữ ngọt, kênh Vách Nam có nhiệm vụ cấp nước tưới một số xã như: Xuân Lộc, Việt Xuyên, Thạch Hà. Đây cũng là trục tiêu nước chính trong vùng.</w:t>
      </w:r>
    </w:p>
    <w:p w14:paraId="68A4DB93" w14:textId="77777777" w:rsidR="00085789" w:rsidRDefault="00000000">
      <w:pPr>
        <w:widowControl w:val="0"/>
        <w:spacing w:before="120" w:line="240" w:lineRule="auto"/>
        <w:ind w:firstLine="720"/>
        <w:jc w:val="both"/>
        <w:rPr>
          <w:sz w:val="26"/>
          <w:szCs w:val="26"/>
          <w:lang w:val="vi-VN"/>
        </w:rPr>
      </w:pPr>
      <w:r>
        <w:rPr>
          <w:sz w:val="26"/>
          <w:szCs w:val="26"/>
          <w:lang w:val="pl-PL"/>
        </w:rPr>
        <w:t>- Kênh Xô Viết: Bắt nguồn từ xã Cẩm Hưng đổ vào hói Nổ rồi chảy vào sông Gia Hội tại xã Cẩm Xuyên.</w:t>
      </w:r>
    </w:p>
    <w:p w14:paraId="17889136" w14:textId="77777777" w:rsidR="00085789" w:rsidRDefault="00000000">
      <w:pPr>
        <w:spacing w:before="120" w:line="240" w:lineRule="auto"/>
        <w:ind w:firstLine="709"/>
        <w:jc w:val="both"/>
        <w:rPr>
          <w:b/>
          <w:bCs/>
          <w:i/>
          <w:iCs/>
          <w:spacing w:val="-4"/>
          <w:sz w:val="26"/>
          <w:szCs w:val="26"/>
          <w:lang w:val="vi-VN"/>
        </w:rPr>
      </w:pPr>
      <w:r>
        <w:rPr>
          <w:b/>
          <w:bCs/>
          <w:i/>
          <w:iCs/>
          <w:spacing w:val="-4"/>
          <w:sz w:val="26"/>
          <w:szCs w:val="26"/>
          <w:lang w:val="vi-VN"/>
        </w:rPr>
        <w:t>b) Đối với hệ thống hồ, đập:</w:t>
      </w:r>
    </w:p>
    <w:p w14:paraId="6D37934A" w14:textId="77777777" w:rsidR="00085789" w:rsidRDefault="00000000">
      <w:pPr>
        <w:spacing w:before="120" w:line="240" w:lineRule="auto"/>
        <w:ind w:firstLine="720"/>
        <w:jc w:val="both"/>
        <w:rPr>
          <w:spacing w:val="-2"/>
          <w:sz w:val="26"/>
          <w:szCs w:val="26"/>
          <w:shd w:val="clear" w:color="auto" w:fill="FFFFFF"/>
          <w:lang w:val="vi-VN"/>
        </w:rPr>
      </w:pPr>
      <w:r>
        <w:rPr>
          <w:spacing w:val="-2"/>
          <w:sz w:val="26"/>
          <w:szCs w:val="26"/>
          <w:lang w:val="vi-VN"/>
        </w:rPr>
        <w:t>H</w:t>
      </w:r>
      <w:r>
        <w:rPr>
          <w:spacing w:val="-2"/>
          <w:sz w:val="26"/>
          <w:szCs w:val="26"/>
          <w:shd w:val="clear" w:color="auto" w:fill="FFFFFF"/>
          <w:lang w:val="vi-VN"/>
        </w:rPr>
        <w:t>ệ thống hồ chứa và đập dâng trên địa bàn tỉnh có số lượng lớn. Với 348 hồ chứa có trữ lượng lớn so với cả nước (gần 1,6 tỷ m</w:t>
      </w:r>
      <w:r>
        <w:rPr>
          <w:spacing w:val="-2"/>
          <w:sz w:val="26"/>
          <w:szCs w:val="26"/>
          <w:shd w:val="clear" w:color="auto" w:fill="FFFFFF"/>
          <w:vertAlign w:val="superscript"/>
          <w:lang w:val="vi-VN"/>
        </w:rPr>
        <w:t>3</w:t>
      </w:r>
      <w:r>
        <w:rPr>
          <w:spacing w:val="-2"/>
          <w:sz w:val="26"/>
          <w:szCs w:val="26"/>
          <w:shd w:val="clear" w:color="auto" w:fill="FFFFFF"/>
          <w:lang w:val="vi-VN"/>
        </w:rPr>
        <w:t xml:space="preserve"> nước) và 86 đập dâng (lưu lượng thiết kế hơn 5.780</w:t>
      </w:r>
      <w:r>
        <w:rPr>
          <w:spacing w:val="-2"/>
          <w:sz w:val="26"/>
          <w:szCs w:val="26"/>
          <w:shd w:val="clear" w:color="auto" w:fill="FFFFFF"/>
        </w:rPr>
        <w:t xml:space="preserve"> </w:t>
      </w:r>
      <w:r>
        <w:rPr>
          <w:spacing w:val="-2"/>
          <w:sz w:val="26"/>
          <w:szCs w:val="26"/>
          <w:shd w:val="clear" w:color="auto" w:fill="FFFFFF"/>
          <w:lang w:val="vi-VN"/>
        </w:rPr>
        <w:t>m</w:t>
      </w:r>
      <w:r>
        <w:rPr>
          <w:spacing w:val="-2"/>
          <w:sz w:val="26"/>
          <w:szCs w:val="26"/>
          <w:shd w:val="clear" w:color="auto" w:fill="FFFFFF"/>
          <w:vertAlign w:val="superscript"/>
          <w:lang w:val="vi-VN"/>
        </w:rPr>
        <w:t>3</w:t>
      </w:r>
      <w:r>
        <w:rPr>
          <w:spacing w:val="-2"/>
          <w:sz w:val="26"/>
          <w:szCs w:val="26"/>
          <w:shd w:val="clear" w:color="auto" w:fill="FFFFFF"/>
          <w:lang w:val="vi-VN"/>
        </w:rPr>
        <w:t xml:space="preserve"> nước), trong đó có các hồ chứa lớn như: Hồ Ngàn Trươi là hồ chứa lớn nhất có trữ lượng lên đến 775,7 triệu m</w:t>
      </w:r>
      <w:r>
        <w:rPr>
          <w:spacing w:val="-2"/>
          <w:sz w:val="26"/>
          <w:szCs w:val="26"/>
          <w:shd w:val="clear" w:color="auto" w:fill="FFFFFF"/>
          <w:vertAlign w:val="superscript"/>
          <w:lang w:val="vi-VN"/>
        </w:rPr>
        <w:t>3</w:t>
      </w:r>
      <w:r>
        <w:rPr>
          <w:spacing w:val="-2"/>
          <w:sz w:val="26"/>
          <w:szCs w:val="26"/>
          <w:shd w:val="clear" w:color="auto" w:fill="FFFFFF"/>
          <w:lang w:val="vi-VN"/>
        </w:rPr>
        <w:t xml:space="preserve"> nước; hồ Kẻ gỗ có trữ lượng 345 triệu m</w:t>
      </w:r>
      <w:r>
        <w:rPr>
          <w:spacing w:val="-2"/>
          <w:sz w:val="26"/>
          <w:szCs w:val="26"/>
          <w:shd w:val="clear" w:color="auto" w:fill="FFFFFF"/>
          <w:vertAlign w:val="superscript"/>
          <w:lang w:val="vi-VN"/>
        </w:rPr>
        <w:t>3</w:t>
      </w:r>
      <w:r>
        <w:rPr>
          <w:spacing w:val="-2"/>
          <w:sz w:val="26"/>
          <w:szCs w:val="26"/>
          <w:shd w:val="clear" w:color="auto" w:fill="FFFFFF"/>
          <w:lang w:val="vi-VN"/>
        </w:rPr>
        <w:t xml:space="preserve">,.... Các hồ chứa, đập dâng có chức năng rất quan trọng trong việc duy trì nguồn nước mặt ổn định cung cấp cho các hoạt động KT-XH, an ninh - quốc phòng và ứng phó với thiên tai bão lũ. </w:t>
      </w:r>
    </w:p>
    <w:p w14:paraId="081A7373" w14:textId="77777777" w:rsidR="00085789" w:rsidRDefault="00000000">
      <w:pPr>
        <w:spacing w:before="120" w:line="240" w:lineRule="auto"/>
        <w:ind w:firstLine="720"/>
        <w:jc w:val="both"/>
        <w:rPr>
          <w:sz w:val="26"/>
          <w:szCs w:val="26"/>
          <w:lang w:val="vi-VN"/>
        </w:rPr>
      </w:pPr>
      <w:r>
        <w:rPr>
          <w:sz w:val="26"/>
          <w:szCs w:val="26"/>
          <w:lang w:val="vi-VN"/>
        </w:rPr>
        <w:t>Toàn tỉnh có 323 hồ chứa có dung tích toàn bộ từ 50.000 m</w:t>
      </w:r>
      <w:r>
        <w:rPr>
          <w:sz w:val="26"/>
          <w:szCs w:val="26"/>
          <w:vertAlign w:val="superscript"/>
          <w:lang w:val="vi-VN"/>
        </w:rPr>
        <w:t>3</w:t>
      </w:r>
      <w:r>
        <w:rPr>
          <w:sz w:val="26"/>
          <w:szCs w:val="26"/>
          <w:lang w:val="vi-VN"/>
        </w:rPr>
        <w:t xml:space="preserve"> trở lên hoặc hồ chứa có chiều cao đập từ 5m trở lên (như: hồ Ngàn Trươi tại xã Vũ Quang, hồ Sông Rác tại xã Cẩm Lạc, hồ Kẻ Gỗ tại xã Cẩm Duệ,...); có 19 đập dâng có chiều cao từ 5m trở lên (như: Đẩm dâng Vũ Quang tại xã Vũ Quang, đập Hố Hô tại xã Phúc Trạch,...).</w:t>
      </w:r>
    </w:p>
    <w:p w14:paraId="79CBB61A" w14:textId="77777777" w:rsidR="00085789" w:rsidRDefault="00000000">
      <w:pPr>
        <w:pStyle w:val="-bac4"/>
        <w:rPr>
          <w:lang w:val="vi-VN"/>
        </w:rPr>
      </w:pPr>
      <w:bookmarkStart w:id="457" w:name="_Toc142915238"/>
      <w:bookmarkStart w:id="458" w:name="_Toc142919473"/>
      <w:bookmarkStart w:id="459" w:name="_Toc518380239"/>
      <w:bookmarkStart w:id="460" w:name="_Toc138977205"/>
      <w:bookmarkStart w:id="461" w:name="_Toc181861340"/>
      <w:bookmarkStart w:id="462" w:name="_Toc184097433"/>
      <w:bookmarkStart w:id="463" w:name="_Toc205915695"/>
      <w:bookmarkStart w:id="464" w:name="_Toc213597390"/>
      <w:bookmarkStart w:id="465" w:name="_Toc213600752"/>
      <w:r>
        <w:rPr>
          <w:lang w:val="vi-VN"/>
        </w:rPr>
        <w:t>Bảng 3.1. Các hồ chứa nước lớn, vừa trên địa bàn tỉnh</w:t>
      </w:r>
      <w:bookmarkEnd w:id="457"/>
      <w:bookmarkEnd w:id="458"/>
      <w:r>
        <w:rPr>
          <w:lang w:val="vi-VN"/>
        </w:rPr>
        <w:t xml:space="preserve"> </w:t>
      </w:r>
      <w:bookmarkEnd w:id="459"/>
      <w:bookmarkEnd w:id="460"/>
      <w:r>
        <w:rPr>
          <w:lang w:val="vi-VN"/>
        </w:rPr>
        <w:t>Hà Tĩnh</w:t>
      </w:r>
      <w:bookmarkEnd w:id="461"/>
      <w:bookmarkEnd w:id="462"/>
      <w:bookmarkEnd w:id="463"/>
      <w:bookmarkEnd w:id="464"/>
      <w:bookmarkEnd w:id="465"/>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
        <w:gridCol w:w="2293"/>
        <w:gridCol w:w="3840"/>
        <w:gridCol w:w="2618"/>
      </w:tblGrid>
      <w:tr w:rsidR="00085789" w14:paraId="092CE55F" w14:textId="77777777">
        <w:trPr>
          <w:trHeight w:val="365"/>
          <w:tblHeader/>
          <w:jc w:val="center"/>
        </w:trPr>
        <w:tc>
          <w:tcPr>
            <w:tcW w:w="289" w:type="pct"/>
            <w:noWrap/>
            <w:vAlign w:val="center"/>
          </w:tcPr>
          <w:p w14:paraId="1715ED8C" w14:textId="77777777" w:rsidR="00085789" w:rsidRDefault="00000000">
            <w:pPr>
              <w:spacing w:before="20" w:after="20" w:line="240" w:lineRule="auto"/>
              <w:jc w:val="center"/>
              <w:rPr>
                <w:b/>
                <w:sz w:val="24"/>
                <w:szCs w:val="24"/>
              </w:rPr>
            </w:pPr>
            <w:r>
              <w:rPr>
                <w:b/>
                <w:sz w:val="24"/>
                <w:szCs w:val="24"/>
              </w:rPr>
              <w:t>TT</w:t>
            </w:r>
          </w:p>
        </w:tc>
        <w:tc>
          <w:tcPr>
            <w:tcW w:w="1234" w:type="pct"/>
            <w:noWrap/>
            <w:vAlign w:val="center"/>
          </w:tcPr>
          <w:p w14:paraId="3F46CF21" w14:textId="77777777" w:rsidR="00085789" w:rsidRDefault="00000000">
            <w:pPr>
              <w:spacing w:before="20" w:after="20" w:line="240" w:lineRule="auto"/>
              <w:jc w:val="center"/>
              <w:rPr>
                <w:b/>
                <w:sz w:val="24"/>
                <w:szCs w:val="24"/>
              </w:rPr>
            </w:pPr>
            <w:r>
              <w:rPr>
                <w:b/>
                <w:sz w:val="24"/>
                <w:szCs w:val="24"/>
              </w:rPr>
              <w:t>Địa phương</w:t>
            </w:r>
          </w:p>
        </w:tc>
        <w:tc>
          <w:tcPr>
            <w:tcW w:w="2067" w:type="pct"/>
            <w:noWrap/>
            <w:vAlign w:val="center"/>
          </w:tcPr>
          <w:p w14:paraId="1A84F277" w14:textId="77777777" w:rsidR="00085789" w:rsidRDefault="00000000">
            <w:pPr>
              <w:spacing w:before="20" w:after="20" w:line="240" w:lineRule="auto"/>
              <w:jc w:val="center"/>
              <w:rPr>
                <w:b/>
                <w:sz w:val="24"/>
                <w:szCs w:val="24"/>
              </w:rPr>
            </w:pPr>
            <w:r>
              <w:rPr>
                <w:b/>
                <w:sz w:val="24"/>
                <w:szCs w:val="24"/>
              </w:rPr>
              <w:t>Danh mục các nguồn nước (*)</w:t>
            </w:r>
          </w:p>
        </w:tc>
        <w:tc>
          <w:tcPr>
            <w:tcW w:w="1409" w:type="pct"/>
            <w:noWrap/>
            <w:vAlign w:val="center"/>
          </w:tcPr>
          <w:p w14:paraId="79569206" w14:textId="77777777" w:rsidR="00085789" w:rsidRDefault="00000000">
            <w:pPr>
              <w:spacing w:before="20" w:after="20" w:line="240" w:lineRule="auto"/>
              <w:jc w:val="center"/>
              <w:rPr>
                <w:b/>
                <w:sz w:val="24"/>
                <w:szCs w:val="24"/>
              </w:rPr>
            </w:pPr>
            <w:r>
              <w:rPr>
                <w:b/>
                <w:sz w:val="24"/>
                <w:szCs w:val="24"/>
              </w:rPr>
              <w:t>Chức năng hồ chứa(**)</w:t>
            </w:r>
          </w:p>
        </w:tc>
      </w:tr>
      <w:tr w:rsidR="00085789" w14:paraId="0E620C7D" w14:textId="77777777">
        <w:trPr>
          <w:trHeight w:val="70"/>
          <w:jc w:val="center"/>
        </w:trPr>
        <w:tc>
          <w:tcPr>
            <w:tcW w:w="289" w:type="pct"/>
            <w:noWrap/>
            <w:vAlign w:val="center"/>
          </w:tcPr>
          <w:p w14:paraId="1A682449" w14:textId="77777777" w:rsidR="00085789" w:rsidRDefault="00000000">
            <w:pPr>
              <w:spacing w:before="20" w:after="20" w:line="240" w:lineRule="auto"/>
              <w:jc w:val="center"/>
              <w:rPr>
                <w:sz w:val="24"/>
                <w:szCs w:val="24"/>
              </w:rPr>
            </w:pPr>
            <w:r>
              <w:rPr>
                <w:sz w:val="24"/>
                <w:szCs w:val="24"/>
              </w:rPr>
              <w:t>1</w:t>
            </w:r>
          </w:p>
        </w:tc>
        <w:tc>
          <w:tcPr>
            <w:tcW w:w="1234" w:type="pct"/>
            <w:vAlign w:val="center"/>
          </w:tcPr>
          <w:p w14:paraId="2844D5E5" w14:textId="77777777" w:rsidR="00085789" w:rsidRDefault="00000000">
            <w:pPr>
              <w:spacing w:before="20" w:after="20" w:line="240" w:lineRule="auto"/>
              <w:rPr>
                <w:sz w:val="24"/>
                <w:szCs w:val="24"/>
              </w:rPr>
            </w:pPr>
            <w:r>
              <w:rPr>
                <w:sz w:val="24"/>
                <w:szCs w:val="24"/>
              </w:rPr>
              <w:t xml:space="preserve">P. Nam Hồng Lĩnh </w:t>
            </w:r>
          </w:p>
        </w:tc>
        <w:tc>
          <w:tcPr>
            <w:tcW w:w="2067" w:type="pct"/>
            <w:vAlign w:val="center"/>
          </w:tcPr>
          <w:p w14:paraId="73CE6FB4" w14:textId="77777777" w:rsidR="00085789" w:rsidRDefault="00000000">
            <w:pPr>
              <w:spacing w:before="20" w:after="20" w:line="240" w:lineRule="auto"/>
              <w:jc w:val="both"/>
              <w:rPr>
                <w:sz w:val="24"/>
                <w:szCs w:val="24"/>
              </w:rPr>
            </w:pPr>
            <w:r>
              <w:rPr>
                <w:i/>
                <w:sz w:val="24"/>
                <w:szCs w:val="24"/>
                <w:u w:val="single"/>
              </w:rPr>
              <w:t>Đá Bạc</w:t>
            </w:r>
          </w:p>
        </w:tc>
        <w:tc>
          <w:tcPr>
            <w:tcW w:w="1409" w:type="pct"/>
            <w:vMerge w:val="restart"/>
            <w:vAlign w:val="center"/>
          </w:tcPr>
          <w:p w14:paraId="51A05176" w14:textId="77777777" w:rsidR="00085789" w:rsidRDefault="00000000">
            <w:pPr>
              <w:spacing w:before="20" w:after="20" w:line="240" w:lineRule="auto"/>
              <w:rPr>
                <w:sz w:val="24"/>
                <w:szCs w:val="24"/>
              </w:rPr>
            </w:pPr>
            <w:r>
              <w:rPr>
                <w:sz w:val="24"/>
                <w:szCs w:val="24"/>
              </w:rPr>
              <w:t> </w:t>
            </w:r>
            <w:r>
              <w:rPr>
                <w:i/>
                <w:sz w:val="24"/>
                <w:szCs w:val="24"/>
                <w:u w:val="single"/>
              </w:rPr>
              <w:t>Cấp nước sinh hoạt</w:t>
            </w:r>
            <w:r>
              <w:rPr>
                <w:sz w:val="24"/>
                <w:szCs w:val="24"/>
              </w:rPr>
              <w:t>, nông nghiệp, thủy sản</w:t>
            </w:r>
          </w:p>
        </w:tc>
      </w:tr>
      <w:tr w:rsidR="00085789" w14:paraId="0DF2CD22" w14:textId="77777777">
        <w:trPr>
          <w:trHeight w:val="109"/>
          <w:jc w:val="center"/>
        </w:trPr>
        <w:tc>
          <w:tcPr>
            <w:tcW w:w="289" w:type="pct"/>
            <w:noWrap/>
            <w:vAlign w:val="center"/>
          </w:tcPr>
          <w:p w14:paraId="6285CB1C" w14:textId="77777777" w:rsidR="00085789" w:rsidRDefault="00000000">
            <w:pPr>
              <w:spacing w:before="20" w:after="20" w:line="240" w:lineRule="auto"/>
              <w:jc w:val="center"/>
              <w:rPr>
                <w:sz w:val="24"/>
                <w:szCs w:val="24"/>
              </w:rPr>
            </w:pPr>
            <w:r>
              <w:rPr>
                <w:sz w:val="24"/>
                <w:szCs w:val="24"/>
              </w:rPr>
              <w:t>2</w:t>
            </w:r>
          </w:p>
        </w:tc>
        <w:tc>
          <w:tcPr>
            <w:tcW w:w="1234" w:type="pct"/>
            <w:vAlign w:val="center"/>
          </w:tcPr>
          <w:p w14:paraId="41CDD7C0" w14:textId="77777777" w:rsidR="00085789" w:rsidRDefault="00000000">
            <w:pPr>
              <w:spacing w:before="20" w:after="20" w:line="240" w:lineRule="auto"/>
              <w:rPr>
                <w:sz w:val="24"/>
                <w:szCs w:val="24"/>
              </w:rPr>
            </w:pPr>
            <w:r>
              <w:rPr>
                <w:sz w:val="24"/>
                <w:szCs w:val="24"/>
              </w:rPr>
              <w:t>P. Bắc Hồng Lĩnh</w:t>
            </w:r>
          </w:p>
        </w:tc>
        <w:tc>
          <w:tcPr>
            <w:tcW w:w="2067" w:type="pct"/>
            <w:vAlign w:val="center"/>
          </w:tcPr>
          <w:p w14:paraId="10DAADC8" w14:textId="77777777" w:rsidR="00085789" w:rsidRDefault="00000000">
            <w:pPr>
              <w:spacing w:before="20" w:after="20" w:line="240" w:lineRule="auto"/>
              <w:jc w:val="both"/>
              <w:rPr>
                <w:i/>
                <w:sz w:val="24"/>
                <w:szCs w:val="24"/>
                <w:u w:val="single"/>
              </w:rPr>
            </w:pPr>
            <w:r>
              <w:rPr>
                <w:i/>
                <w:sz w:val="24"/>
                <w:szCs w:val="24"/>
                <w:u w:val="single"/>
              </w:rPr>
              <w:t>Thiên Tượng, Khe Dọc</w:t>
            </w:r>
          </w:p>
        </w:tc>
        <w:tc>
          <w:tcPr>
            <w:tcW w:w="1409" w:type="pct"/>
            <w:vMerge/>
            <w:vAlign w:val="center"/>
          </w:tcPr>
          <w:p w14:paraId="30497AA5" w14:textId="77777777" w:rsidR="00085789" w:rsidRDefault="00085789">
            <w:pPr>
              <w:spacing w:before="20" w:after="20" w:line="240" w:lineRule="auto"/>
              <w:rPr>
                <w:sz w:val="24"/>
                <w:szCs w:val="24"/>
              </w:rPr>
            </w:pPr>
          </w:p>
        </w:tc>
      </w:tr>
      <w:tr w:rsidR="00085789" w14:paraId="127D92F2" w14:textId="77777777">
        <w:trPr>
          <w:trHeight w:val="20"/>
          <w:jc w:val="center"/>
        </w:trPr>
        <w:tc>
          <w:tcPr>
            <w:tcW w:w="289" w:type="pct"/>
            <w:noWrap/>
            <w:vAlign w:val="center"/>
          </w:tcPr>
          <w:p w14:paraId="36B445E1" w14:textId="77777777" w:rsidR="00085789" w:rsidRDefault="00000000">
            <w:pPr>
              <w:spacing w:before="20" w:after="20" w:line="240" w:lineRule="auto"/>
              <w:jc w:val="center"/>
              <w:rPr>
                <w:sz w:val="24"/>
                <w:szCs w:val="24"/>
              </w:rPr>
            </w:pPr>
            <w:r>
              <w:rPr>
                <w:sz w:val="24"/>
                <w:szCs w:val="24"/>
              </w:rPr>
              <w:t>3</w:t>
            </w:r>
          </w:p>
        </w:tc>
        <w:tc>
          <w:tcPr>
            <w:tcW w:w="1234" w:type="pct"/>
            <w:vAlign w:val="center"/>
          </w:tcPr>
          <w:p w14:paraId="3CE988E1" w14:textId="77777777" w:rsidR="00085789" w:rsidRDefault="00000000">
            <w:pPr>
              <w:spacing w:before="20" w:after="20" w:line="240" w:lineRule="auto"/>
              <w:rPr>
                <w:sz w:val="24"/>
                <w:szCs w:val="24"/>
              </w:rPr>
            </w:pPr>
            <w:r>
              <w:rPr>
                <w:sz w:val="24"/>
                <w:szCs w:val="24"/>
              </w:rPr>
              <w:t>Xã Cổ Đạm</w:t>
            </w:r>
          </w:p>
        </w:tc>
        <w:tc>
          <w:tcPr>
            <w:tcW w:w="2067" w:type="pct"/>
            <w:vAlign w:val="center"/>
          </w:tcPr>
          <w:p w14:paraId="6634E5CB" w14:textId="77777777" w:rsidR="00085789" w:rsidRDefault="00000000">
            <w:pPr>
              <w:spacing w:before="20" w:after="20" w:line="240" w:lineRule="auto"/>
              <w:jc w:val="both"/>
              <w:rPr>
                <w:sz w:val="24"/>
                <w:szCs w:val="24"/>
              </w:rPr>
            </w:pPr>
            <w:r>
              <w:rPr>
                <w:i/>
                <w:sz w:val="24"/>
                <w:szCs w:val="24"/>
                <w:u w:val="single"/>
              </w:rPr>
              <w:t>Xuân Hoa</w:t>
            </w:r>
            <w:r>
              <w:rPr>
                <w:sz w:val="24"/>
                <w:szCs w:val="24"/>
              </w:rPr>
              <w:t>, Cồn Tranh</w:t>
            </w:r>
          </w:p>
        </w:tc>
        <w:tc>
          <w:tcPr>
            <w:tcW w:w="1409" w:type="pct"/>
            <w:vAlign w:val="center"/>
          </w:tcPr>
          <w:p w14:paraId="16609695" w14:textId="77777777" w:rsidR="00085789" w:rsidRDefault="00000000">
            <w:pPr>
              <w:spacing w:before="20" w:after="20" w:line="240" w:lineRule="auto"/>
              <w:rPr>
                <w:sz w:val="24"/>
                <w:szCs w:val="24"/>
              </w:rPr>
            </w:pPr>
            <w:r>
              <w:rPr>
                <w:i/>
                <w:sz w:val="24"/>
                <w:szCs w:val="24"/>
                <w:u w:val="single"/>
              </w:rPr>
              <w:t>Cấp nước sinh hoạt</w:t>
            </w:r>
            <w:r>
              <w:rPr>
                <w:sz w:val="24"/>
                <w:szCs w:val="24"/>
              </w:rPr>
              <w:t>, nông nghiệp, thủy sản, thủy lợi</w:t>
            </w:r>
          </w:p>
        </w:tc>
      </w:tr>
      <w:tr w:rsidR="00085789" w14:paraId="196968E4" w14:textId="77777777">
        <w:trPr>
          <w:trHeight w:val="70"/>
          <w:jc w:val="center"/>
        </w:trPr>
        <w:tc>
          <w:tcPr>
            <w:tcW w:w="289" w:type="pct"/>
            <w:noWrap/>
            <w:vAlign w:val="center"/>
          </w:tcPr>
          <w:p w14:paraId="767B05F5" w14:textId="77777777" w:rsidR="00085789" w:rsidRDefault="00000000">
            <w:pPr>
              <w:spacing w:before="20" w:after="20" w:line="240" w:lineRule="auto"/>
              <w:jc w:val="center"/>
              <w:rPr>
                <w:sz w:val="24"/>
                <w:szCs w:val="24"/>
              </w:rPr>
            </w:pPr>
            <w:r>
              <w:rPr>
                <w:sz w:val="24"/>
                <w:szCs w:val="24"/>
              </w:rPr>
              <w:t>4</w:t>
            </w:r>
          </w:p>
        </w:tc>
        <w:tc>
          <w:tcPr>
            <w:tcW w:w="1234" w:type="pct"/>
            <w:vAlign w:val="center"/>
          </w:tcPr>
          <w:p w14:paraId="68A0831C" w14:textId="77777777" w:rsidR="00085789" w:rsidRDefault="00000000">
            <w:pPr>
              <w:spacing w:before="20" w:after="20" w:line="240" w:lineRule="auto"/>
              <w:rPr>
                <w:sz w:val="24"/>
                <w:szCs w:val="24"/>
              </w:rPr>
            </w:pPr>
            <w:r>
              <w:rPr>
                <w:sz w:val="24"/>
                <w:szCs w:val="24"/>
              </w:rPr>
              <w:t>Xã Đức Thọ</w:t>
            </w:r>
          </w:p>
        </w:tc>
        <w:tc>
          <w:tcPr>
            <w:tcW w:w="2067" w:type="pct"/>
            <w:vAlign w:val="center"/>
          </w:tcPr>
          <w:p w14:paraId="70D2B3CB" w14:textId="77777777" w:rsidR="00085789" w:rsidRDefault="00000000">
            <w:pPr>
              <w:spacing w:before="20" w:after="20" w:line="240" w:lineRule="auto"/>
              <w:jc w:val="both"/>
              <w:rPr>
                <w:sz w:val="24"/>
                <w:szCs w:val="24"/>
              </w:rPr>
            </w:pPr>
            <w:r>
              <w:rPr>
                <w:sz w:val="24"/>
                <w:szCs w:val="24"/>
              </w:rPr>
              <w:t>Phượng Thành</w:t>
            </w:r>
          </w:p>
        </w:tc>
        <w:tc>
          <w:tcPr>
            <w:tcW w:w="1409" w:type="pct"/>
            <w:vMerge w:val="restart"/>
            <w:vAlign w:val="center"/>
          </w:tcPr>
          <w:p w14:paraId="5E485ECB" w14:textId="77777777" w:rsidR="00085789" w:rsidRDefault="00000000">
            <w:pPr>
              <w:spacing w:before="20" w:after="20" w:line="240" w:lineRule="auto"/>
              <w:rPr>
                <w:sz w:val="24"/>
                <w:szCs w:val="24"/>
              </w:rPr>
            </w:pPr>
            <w:r>
              <w:rPr>
                <w:sz w:val="24"/>
                <w:szCs w:val="24"/>
              </w:rPr>
              <w:t>Cấp nước nông nghiệp, thủy sản</w:t>
            </w:r>
          </w:p>
        </w:tc>
      </w:tr>
      <w:tr w:rsidR="00085789" w14:paraId="44CFB821" w14:textId="77777777">
        <w:trPr>
          <w:trHeight w:val="70"/>
          <w:jc w:val="center"/>
        </w:trPr>
        <w:tc>
          <w:tcPr>
            <w:tcW w:w="289" w:type="pct"/>
            <w:noWrap/>
            <w:vAlign w:val="center"/>
          </w:tcPr>
          <w:p w14:paraId="7BE9AFD1" w14:textId="77777777" w:rsidR="00085789" w:rsidRDefault="00000000">
            <w:pPr>
              <w:spacing w:before="20" w:after="20" w:line="240" w:lineRule="auto"/>
              <w:jc w:val="center"/>
              <w:rPr>
                <w:sz w:val="24"/>
                <w:szCs w:val="24"/>
              </w:rPr>
            </w:pPr>
            <w:r>
              <w:rPr>
                <w:sz w:val="24"/>
                <w:szCs w:val="24"/>
              </w:rPr>
              <w:t>5</w:t>
            </w:r>
          </w:p>
        </w:tc>
        <w:tc>
          <w:tcPr>
            <w:tcW w:w="1234" w:type="pct"/>
            <w:vAlign w:val="center"/>
          </w:tcPr>
          <w:p w14:paraId="4F0ADF95" w14:textId="77777777" w:rsidR="00085789" w:rsidRDefault="00000000">
            <w:pPr>
              <w:spacing w:before="20" w:after="20" w:line="240" w:lineRule="auto"/>
              <w:rPr>
                <w:sz w:val="24"/>
                <w:szCs w:val="24"/>
              </w:rPr>
            </w:pPr>
            <w:r>
              <w:rPr>
                <w:sz w:val="24"/>
                <w:szCs w:val="24"/>
              </w:rPr>
              <w:t>Xã Đức Đồng</w:t>
            </w:r>
          </w:p>
        </w:tc>
        <w:tc>
          <w:tcPr>
            <w:tcW w:w="2067" w:type="pct"/>
            <w:vAlign w:val="center"/>
          </w:tcPr>
          <w:p w14:paraId="6F303E4D" w14:textId="77777777" w:rsidR="00085789" w:rsidRDefault="00000000">
            <w:pPr>
              <w:spacing w:before="20" w:after="20" w:line="240" w:lineRule="auto"/>
              <w:jc w:val="both"/>
              <w:rPr>
                <w:sz w:val="24"/>
                <w:szCs w:val="24"/>
              </w:rPr>
            </w:pPr>
            <w:r>
              <w:rPr>
                <w:sz w:val="24"/>
                <w:szCs w:val="24"/>
              </w:rPr>
              <w:t>Đập Am, Thanh niên</w:t>
            </w:r>
          </w:p>
        </w:tc>
        <w:tc>
          <w:tcPr>
            <w:tcW w:w="1409" w:type="pct"/>
            <w:vMerge/>
            <w:vAlign w:val="center"/>
          </w:tcPr>
          <w:p w14:paraId="28D314BF" w14:textId="77777777" w:rsidR="00085789" w:rsidRDefault="00085789">
            <w:pPr>
              <w:spacing w:before="20" w:after="20" w:line="240" w:lineRule="auto"/>
              <w:rPr>
                <w:sz w:val="24"/>
                <w:szCs w:val="24"/>
              </w:rPr>
            </w:pPr>
          </w:p>
        </w:tc>
      </w:tr>
      <w:tr w:rsidR="00085789" w14:paraId="2B2D5FF4" w14:textId="77777777">
        <w:trPr>
          <w:trHeight w:val="70"/>
          <w:jc w:val="center"/>
        </w:trPr>
        <w:tc>
          <w:tcPr>
            <w:tcW w:w="289" w:type="pct"/>
            <w:noWrap/>
            <w:vAlign w:val="center"/>
          </w:tcPr>
          <w:p w14:paraId="6FD7B489" w14:textId="77777777" w:rsidR="00085789" w:rsidRDefault="00000000">
            <w:pPr>
              <w:spacing w:before="20" w:after="20" w:line="240" w:lineRule="auto"/>
              <w:jc w:val="center"/>
              <w:rPr>
                <w:sz w:val="24"/>
                <w:szCs w:val="24"/>
              </w:rPr>
            </w:pPr>
            <w:r>
              <w:rPr>
                <w:sz w:val="24"/>
                <w:szCs w:val="24"/>
              </w:rPr>
              <w:t>6</w:t>
            </w:r>
          </w:p>
        </w:tc>
        <w:tc>
          <w:tcPr>
            <w:tcW w:w="1234" w:type="pct"/>
            <w:vAlign w:val="center"/>
          </w:tcPr>
          <w:p w14:paraId="4135D0D9" w14:textId="77777777" w:rsidR="00085789" w:rsidRDefault="00000000">
            <w:pPr>
              <w:spacing w:before="20" w:after="20" w:line="240" w:lineRule="auto"/>
              <w:rPr>
                <w:sz w:val="24"/>
                <w:szCs w:val="24"/>
              </w:rPr>
            </w:pPr>
            <w:r>
              <w:rPr>
                <w:sz w:val="24"/>
                <w:szCs w:val="24"/>
              </w:rPr>
              <w:t>Xã Sơn Tiến</w:t>
            </w:r>
          </w:p>
        </w:tc>
        <w:tc>
          <w:tcPr>
            <w:tcW w:w="2067" w:type="pct"/>
            <w:vAlign w:val="center"/>
          </w:tcPr>
          <w:p w14:paraId="4899F005" w14:textId="77777777" w:rsidR="00085789" w:rsidRDefault="00000000">
            <w:pPr>
              <w:spacing w:before="20" w:after="20" w:line="240" w:lineRule="auto"/>
              <w:jc w:val="both"/>
              <w:rPr>
                <w:sz w:val="24"/>
                <w:szCs w:val="24"/>
              </w:rPr>
            </w:pPr>
            <w:r>
              <w:rPr>
                <w:sz w:val="24"/>
                <w:szCs w:val="24"/>
              </w:rPr>
              <w:t>Khe Cò, Vực Rồng, Nồi Tranh Thượng, Nồi Tranh Hạ, Nồi Nậy</w:t>
            </w:r>
          </w:p>
        </w:tc>
        <w:tc>
          <w:tcPr>
            <w:tcW w:w="1409" w:type="pct"/>
            <w:vMerge w:val="restart"/>
            <w:vAlign w:val="center"/>
          </w:tcPr>
          <w:p w14:paraId="5499CBD4" w14:textId="77777777" w:rsidR="00085789" w:rsidRDefault="00000000">
            <w:pPr>
              <w:spacing w:before="20" w:after="20" w:line="240" w:lineRule="auto"/>
              <w:rPr>
                <w:sz w:val="24"/>
                <w:szCs w:val="24"/>
              </w:rPr>
            </w:pPr>
            <w:r>
              <w:rPr>
                <w:sz w:val="24"/>
                <w:szCs w:val="24"/>
              </w:rPr>
              <w:t>Cấp nước nông nghiệp, thủy sản.</w:t>
            </w:r>
          </w:p>
        </w:tc>
      </w:tr>
      <w:tr w:rsidR="00085789" w14:paraId="7851FE21" w14:textId="77777777">
        <w:trPr>
          <w:trHeight w:val="70"/>
          <w:jc w:val="center"/>
        </w:trPr>
        <w:tc>
          <w:tcPr>
            <w:tcW w:w="289" w:type="pct"/>
            <w:noWrap/>
            <w:vAlign w:val="center"/>
          </w:tcPr>
          <w:p w14:paraId="06C6E89D" w14:textId="77777777" w:rsidR="00085789" w:rsidRDefault="00000000">
            <w:pPr>
              <w:spacing w:before="20" w:after="20" w:line="240" w:lineRule="auto"/>
              <w:jc w:val="center"/>
              <w:rPr>
                <w:sz w:val="24"/>
                <w:szCs w:val="24"/>
              </w:rPr>
            </w:pPr>
            <w:r>
              <w:rPr>
                <w:sz w:val="24"/>
                <w:szCs w:val="24"/>
              </w:rPr>
              <w:lastRenderedPageBreak/>
              <w:t>7</w:t>
            </w:r>
          </w:p>
        </w:tc>
        <w:tc>
          <w:tcPr>
            <w:tcW w:w="1234" w:type="pct"/>
            <w:vAlign w:val="center"/>
          </w:tcPr>
          <w:p w14:paraId="17D681C4" w14:textId="77777777" w:rsidR="00085789" w:rsidRDefault="00000000">
            <w:pPr>
              <w:spacing w:before="20" w:after="20" w:line="240" w:lineRule="auto"/>
              <w:rPr>
                <w:sz w:val="24"/>
                <w:szCs w:val="24"/>
              </w:rPr>
            </w:pPr>
            <w:r>
              <w:rPr>
                <w:sz w:val="24"/>
                <w:szCs w:val="24"/>
              </w:rPr>
              <w:t>Xã Sơn Giang</w:t>
            </w:r>
          </w:p>
        </w:tc>
        <w:tc>
          <w:tcPr>
            <w:tcW w:w="2067" w:type="pct"/>
            <w:vAlign w:val="center"/>
          </w:tcPr>
          <w:p w14:paraId="1B3CEE8F" w14:textId="77777777" w:rsidR="00085789" w:rsidRDefault="00000000">
            <w:pPr>
              <w:spacing w:before="20" w:after="20" w:line="240" w:lineRule="auto"/>
              <w:jc w:val="both"/>
              <w:rPr>
                <w:sz w:val="24"/>
                <w:szCs w:val="24"/>
              </w:rPr>
            </w:pPr>
            <w:r>
              <w:rPr>
                <w:sz w:val="24"/>
                <w:szCs w:val="24"/>
              </w:rPr>
              <w:t>Cao Thắng, Cơn Trường, Cầu Cậy</w:t>
            </w:r>
          </w:p>
        </w:tc>
        <w:tc>
          <w:tcPr>
            <w:tcW w:w="1409" w:type="pct"/>
            <w:vMerge/>
            <w:vAlign w:val="center"/>
          </w:tcPr>
          <w:p w14:paraId="0B9899D4" w14:textId="77777777" w:rsidR="00085789" w:rsidRDefault="00085789">
            <w:pPr>
              <w:spacing w:before="20" w:after="20" w:line="240" w:lineRule="auto"/>
              <w:rPr>
                <w:sz w:val="24"/>
                <w:szCs w:val="24"/>
              </w:rPr>
            </w:pPr>
          </w:p>
        </w:tc>
      </w:tr>
      <w:tr w:rsidR="00085789" w14:paraId="248E20EE" w14:textId="77777777">
        <w:trPr>
          <w:trHeight w:val="70"/>
          <w:jc w:val="center"/>
        </w:trPr>
        <w:tc>
          <w:tcPr>
            <w:tcW w:w="289" w:type="pct"/>
            <w:noWrap/>
            <w:vAlign w:val="center"/>
          </w:tcPr>
          <w:p w14:paraId="7C8F26F4" w14:textId="77777777" w:rsidR="00085789" w:rsidRDefault="00000000">
            <w:pPr>
              <w:spacing w:before="20" w:after="20" w:line="240" w:lineRule="auto"/>
              <w:jc w:val="center"/>
              <w:rPr>
                <w:sz w:val="24"/>
                <w:szCs w:val="24"/>
              </w:rPr>
            </w:pPr>
            <w:r>
              <w:rPr>
                <w:sz w:val="24"/>
                <w:szCs w:val="24"/>
              </w:rPr>
              <w:t>8</w:t>
            </w:r>
          </w:p>
        </w:tc>
        <w:tc>
          <w:tcPr>
            <w:tcW w:w="1234" w:type="pct"/>
            <w:vAlign w:val="center"/>
          </w:tcPr>
          <w:p w14:paraId="1AD65F4C" w14:textId="77777777" w:rsidR="00085789" w:rsidRDefault="00000000">
            <w:pPr>
              <w:spacing w:before="20" w:after="20" w:line="240" w:lineRule="auto"/>
              <w:rPr>
                <w:sz w:val="24"/>
                <w:szCs w:val="24"/>
              </w:rPr>
            </w:pPr>
            <w:r>
              <w:rPr>
                <w:sz w:val="24"/>
                <w:szCs w:val="24"/>
              </w:rPr>
              <w:t>Xã Kim Hoa</w:t>
            </w:r>
          </w:p>
        </w:tc>
        <w:tc>
          <w:tcPr>
            <w:tcW w:w="2067" w:type="pct"/>
            <w:vAlign w:val="center"/>
          </w:tcPr>
          <w:p w14:paraId="2D129571" w14:textId="77777777" w:rsidR="00085789" w:rsidRDefault="00000000">
            <w:pPr>
              <w:spacing w:before="20" w:after="20" w:line="240" w:lineRule="auto"/>
              <w:jc w:val="both"/>
              <w:rPr>
                <w:sz w:val="24"/>
                <w:szCs w:val="24"/>
              </w:rPr>
            </w:pPr>
            <w:r>
              <w:rPr>
                <w:sz w:val="24"/>
                <w:szCs w:val="24"/>
              </w:rPr>
              <w:t>Khe Mơ, Khe Dẻ, Khe Kẽm, Bãi Sậy</w:t>
            </w:r>
          </w:p>
        </w:tc>
        <w:tc>
          <w:tcPr>
            <w:tcW w:w="1409" w:type="pct"/>
            <w:vMerge/>
            <w:vAlign w:val="center"/>
          </w:tcPr>
          <w:p w14:paraId="3CFBD7AF" w14:textId="77777777" w:rsidR="00085789" w:rsidRDefault="00085789">
            <w:pPr>
              <w:spacing w:before="20" w:after="20" w:line="240" w:lineRule="auto"/>
              <w:rPr>
                <w:sz w:val="24"/>
                <w:szCs w:val="24"/>
              </w:rPr>
            </w:pPr>
          </w:p>
        </w:tc>
      </w:tr>
      <w:tr w:rsidR="00085789" w14:paraId="1B7E23DF" w14:textId="77777777">
        <w:trPr>
          <w:trHeight w:val="70"/>
          <w:jc w:val="center"/>
        </w:trPr>
        <w:tc>
          <w:tcPr>
            <w:tcW w:w="289" w:type="pct"/>
            <w:noWrap/>
            <w:vAlign w:val="center"/>
          </w:tcPr>
          <w:p w14:paraId="7B920174" w14:textId="77777777" w:rsidR="00085789" w:rsidRDefault="00000000">
            <w:pPr>
              <w:spacing w:before="20" w:after="20" w:line="240" w:lineRule="auto"/>
              <w:jc w:val="center"/>
              <w:rPr>
                <w:sz w:val="24"/>
                <w:szCs w:val="24"/>
              </w:rPr>
            </w:pPr>
            <w:r>
              <w:rPr>
                <w:sz w:val="24"/>
                <w:szCs w:val="24"/>
              </w:rPr>
              <w:t>9</w:t>
            </w:r>
          </w:p>
        </w:tc>
        <w:tc>
          <w:tcPr>
            <w:tcW w:w="1234" w:type="pct"/>
            <w:vAlign w:val="center"/>
          </w:tcPr>
          <w:p w14:paraId="2B4ECBC8" w14:textId="77777777" w:rsidR="00085789" w:rsidRDefault="00000000">
            <w:pPr>
              <w:spacing w:before="20" w:after="20" w:line="240" w:lineRule="auto"/>
              <w:rPr>
                <w:sz w:val="24"/>
                <w:szCs w:val="24"/>
              </w:rPr>
            </w:pPr>
            <w:r>
              <w:rPr>
                <w:sz w:val="24"/>
                <w:szCs w:val="24"/>
              </w:rPr>
              <w:t>Xã Sơn Tây</w:t>
            </w:r>
          </w:p>
        </w:tc>
        <w:tc>
          <w:tcPr>
            <w:tcW w:w="2067" w:type="pct"/>
            <w:vAlign w:val="center"/>
          </w:tcPr>
          <w:p w14:paraId="08EC8F40" w14:textId="77777777" w:rsidR="00085789" w:rsidRDefault="00000000">
            <w:pPr>
              <w:spacing w:before="20" w:after="20" w:line="240" w:lineRule="auto"/>
              <w:jc w:val="both"/>
              <w:rPr>
                <w:sz w:val="24"/>
                <w:szCs w:val="24"/>
              </w:rPr>
            </w:pPr>
            <w:r>
              <w:rPr>
                <w:sz w:val="24"/>
                <w:szCs w:val="24"/>
              </w:rPr>
              <w:t>Kim Thành, Trại Lưu, Vậy</w:t>
            </w:r>
          </w:p>
        </w:tc>
        <w:tc>
          <w:tcPr>
            <w:tcW w:w="1409" w:type="pct"/>
            <w:vMerge/>
            <w:vAlign w:val="center"/>
          </w:tcPr>
          <w:p w14:paraId="76404AAF" w14:textId="77777777" w:rsidR="00085789" w:rsidRDefault="00085789">
            <w:pPr>
              <w:spacing w:before="20" w:after="20" w:line="240" w:lineRule="auto"/>
              <w:rPr>
                <w:sz w:val="24"/>
                <w:szCs w:val="24"/>
              </w:rPr>
            </w:pPr>
          </w:p>
        </w:tc>
      </w:tr>
      <w:tr w:rsidR="00085789" w14:paraId="6788E17F" w14:textId="77777777">
        <w:trPr>
          <w:trHeight w:val="70"/>
          <w:jc w:val="center"/>
        </w:trPr>
        <w:tc>
          <w:tcPr>
            <w:tcW w:w="289" w:type="pct"/>
            <w:noWrap/>
            <w:vAlign w:val="center"/>
          </w:tcPr>
          <w:p w14:paraId="5132E512" w14:textId="77777777" w:rsidR="00085789" w:rsidRDefault="00000000">
            <w:pPr>
              <w:spacing w:before="20" w:after="20" w:line="240" w:lineRule="auto"/>
              <w:jc w:val="center"/>
              <w:rPr>
                <w:sz w:val="24"/>
                <w:szCs w:val="24"/>
              </w:rPr>
            </w:pPr>
            <w:r>
              <w:rPr>
                <w:sz w:val="24"/>
                <w:szCs w:val="24"/>
              </w:rPr>
              <w:t>10</w:t>
            </w:r>
          </w:p>
        </w:tc>
        <w:tc>
          <w:tcPr>
            <w:tcW w:w="1234" w:type="pct"/>
            <w:vAlign w:val="center"/>
          </w:tcPr>
          <w:p w14:paraId="288AD32F" w14:textId="77777777" w:rsidR="00085789" w:rsidRDefault="00000000">
            <w:pPr>
              <w:spacing w:before="20" w:after="20" w:line="240" w:lineRule="auto"/>
              <w:rPr>
                <w:sz w:val="24"/>
                <w:szCs w:val="24"/>
              </w:rPr>
            </w:pPr>
            <w:r>
              <w:rPr>
                <w:sz w:val="24"/>
                <w:szCs w:val="24"/>
              </w:rPr>
              <w:t>Xã Sơn Kim 1</w:t>
            </w:r>
          </w:p>
        </w:tc>
        <w:tc>
          <w:tcPr>
            <w:tcW w:w="2067" w:type="pct"/>
            <w:vAlign w:val="center"/>
          </w:tcPr>
          <w:p w14:paraId="70D47E46" w14:textId="77777777" w:rsidR="00085789" w:rsidRDefault="00000000">
            <w:pPr>
              <w:spacing w:before="20" w:after="20" w:line="240" w:lineRule="auto"/>
              <w:jc w:val="both"/>
              <w:rPr>
                <w:sz w:val="24"/>
                <w:szCs w:val="24"/>
              </w:rPr>
            </w:pPr>
            <w:r>
              <w:rPr>
                <w:sz w:val="24"/>
                <w:szCs w:val="24"/>
              </w:rPr>
              <w:t>Nước Lạnh</w:t>
            </w:r>
          </w:p>
        </w:tc>
        <w:tc>
          <w:tcPr>
            <w:tcW w:w="1409" w:type="pct"/>
            <w:vMerge/>
            <w:vAlign w:val="center"/>
          </w:tcPr>
          <w:p w14:paraId="22FD3938" w14:textId="77777777" w:rsidR="00085789" w:rsidRDefault="00085789">
            <w:pPr>
              <w:spacing w:before="20" w:after="20" w:line="240" w:lineRule="auto"/>
              <w:rPr>
                <w:sz w:val="24"/>
                <w:szCs w:val="24"/>
              </w:rPr>
            </w:pPr>
          </w:p>
        </w:tc>
      </w:tr>
      <w:tr w:rsidR="00085789" w14:paraId="4467EDAC" w14:textId="77777777">
        <w:trPr>
          <w:trHeight w:val="70"/>
          <w:jc w:val="center"/>
        </w:trPr>
        <w:tc>
          <w:tcPr>
            <w:tcW w:w="289" w:type="pct"/>
            <w:noWrap/>
            <w:vAlign w:val="center"/>
          </w:tcPr>
          <w:p w14:paraId="093FC245" w14:textId="77777777" w:rsidR="00085789" w:rsidRDefault="00000000">
            <w:pPr>
              <w:spacing w:before="20" w:after="20" w:line="240" w:lineRule="auto"/>
              <w:jc w:val="center"/>
              <w:rPr>
                <w:sz w:val="24"/>
                <w:szCs w:val="24"/>
              </w:rPr>
            </w:pPr>
            <w:r>
              <w:rPr>
                <w:sz w:val="24"/>
                <w:szCs w:val="24"/>
              </w:rPr>
              <w:t>11</w:t>
            </w:r>
          </w:p>
        </w:tc>
        <w:tc>
          <w:tcPr>
            <w:tcW w:w="1234" w:type="pct"/>
            <w:vAlign w:val="center"/>
          </w:tcPr>
          <w:p w14:paraId="6E0C9194" w14:textId="77777777" w:rsidR="00085789" w:rsidRDefault="00000000">
            <w:pPr>
              <w:spacing w:before="20" w:after="20" w:line="240" w:lineRule="auto"/>
              <w:rPr>
                <w:sz w:val="24"/>
                <w:szCs w:val="24"/>
              </w:rPr>
            </w:pPr>
            <w:r>
              <w:rPr>
                <w:sz w:val="24"/>
                <w:szCs w:val="24"/>
              </w:rPr>
              <w:t>Xã Đồng Lộc</w:t>
            </w:r>
          </w:p>
        </w:tc>
        <w:tc>
          <w:tcPr>
            <w:tcW w:w="2067" w:type="pct"/>
            <w:vAlign w:val="center"/>
          </w:tcPr>
          <w:p w14:paraId="7339C3AA" w14:textId="77777777" w:rsidR="00085789" w:rsidRDefault="00000000">
            <w:pPr>
              <w:spacing w:before="20" w:after="20" w:line="240" w:lineRule="auto"/>
              <w:jc w:val="both"/>
              <w:rPr>
                <w:sz w:val="24"/>
                <w:szCs w:val="24"/>
              </w:rPr>
            </w:pPr>
            <w:r>
              <w:rPr>
                <w:i/>
                <w:sz w:val="24"/>
                <w:szCs w:val="24"/>
                <w:u w:val="single"/>
              </w:rPr>
              <w:t xml:space="preserve">Cửa Thờ - Trại Tiểu, </w:t>
            </w:r>
            <w:r>
              <w:rPr>
                <w:sz w:val="24"/>
                <w:szCs w:val="24"/>
              </w:rPr>
              <w:t>An Hùng</w:t>
            </w:r>
          </w:p>
        </w:tc>
        <w:tc>
          <w:tcPr>
            <w:tcW w:w="1409" w:type="pct"/>
            <w:vMerge w:val="restart"/>
            <w:vAlign w:val="center"/>
          </w:tcPr>
          <w:p w14:paraId="0A1435FD" w14:textId="77777777" w:rsidR="00085789" w:rsidRDefault="00000000">
            <w:pPr>
              <w:spacing w:before="20" w:after="20" w:line="240" w:lineRule="auto"/>
              <w:rPr>
                <w:sz w:val="24"/>
                <w:szCs w:val="24"/>
              </w:rPr>
            </w:pPr>
            <w:r>
              <w:rPr>
                <w:i/>
                <w:sz w:val="24"/>
                <w:szCs w:val="24"/>
                <w:u w:val="single"/>
              </w:rPr>
              <w:t>Cấp nước sinh hoạt</w:t>
            </w:r>
            <w:r>
              <w:rPr>
                <w:sz w:val="24"/>
                <w:szCs w:val="24"/>
              </w:rPr>
              <w:t>, nông nghiệp, thủy sản</w:t>
            </w:r>
          </w:p>
        </w:tc>
      </w:tr>
      <w:tr w:rsidR="00085789" w14:paraId="749CDB91" w14:textId="77777777">
        <w:trPr>
          <w:trHeight w:val="70"/>
          <w:jc w:val="center"/>
        </w:trPr>
        <w:tc>
          <w:tcPr>
            <w:tcW w:w="289" w:type="pct"/>
            <w:noWrap/>
            <w:vAlign w:val="center"/>
          </w:tcPr>
          <w:p w14:paraId="6215B341" w14:textId="77777777" w:rsidR="00085789" w:rsidRDefault="00000000">
            <w:pPr>
              <w:spacing w:before="20" w:after="20" w:line="240" w:lineRule="auto"/>
              <w:jc w:val="center"/>
              <w:rPr>
                <w:sz w:val="24"/>
                <w:szCs w:val="24"/>
              </w:rPr>
            </w:pPr>
            <w:r>
              <w:rPr>
                <w:sz w:val="24"/>
                <w:szCs w:val="24"/>
              </w:rPr>
              <w:t>12</w:t>
            </w:r>
          </w:p>
        </w:tc>
        <w:tc>
          <w:tcPr>
            <w:tcW w:w="1234" w:type="pct"/>
            <w:vAlign w:val="center"/>
          </w:tcPr>
          <w:p w14:paraId="758AA14C" w14:textId="77777777" w:rsidR="00085789" w:rsidRDefault="00000000">
            <w:pPr>
              <w:spacing w:before="20" w:after="20" w:line="240" w:lineRule="auto"/>
              <w:rPr>
                <w:sz w:val="24"/>
                <w:szCs w:val="24"/>
              </w:rPr>
            </w:pPr>
            <w:r>
              <w:rPr>
                <w:sz w:val="24"/>
                <w:szCs w:val="24"/>
              </w:rPr>
              <w:t>Xã Trường Lưu</w:t>
            </w:r>
          </w:p>
        </w:tc>
        <w:tc>
          <w:tcPr>
            <w:tcW w:w="2067" w:type="pct"/>
            <w:vAlign w:val="center"/>
          </w:tcPr>
          <w:p w14:paraId="625AD4E5" w14:textId="77777777" w:rsidR="00085789" w:rsidRDefault="00000000">
            <w:pPr>
              <w:spacing w:before="20" w:after="20" w:line="240" w:lineRule="auto"/>
              <w:jc w:val="both"/>
              <w:rPr>
                <w:sz w:val="24"/>
                <w:szCs w:val="24"/>
              </w:rPr>
            </w:pPr>
            <w:r>
              <w:rPr>
                <w:sz w:val="24"/>
                <w:szCs w:val="24"/>
              </w:rPr>
              <w:t xml:space="preserve">Vực Trống, </w:t>
            </w:r>
            <w:r>
              <w:rPr>
                <w:i/>
                <w:sz w:val="24"/>
                <w:szCs w:val="24"/>
                <w:u w:val="single"/>
              </w:rPr>
              <w:t xml:space="preserve">Cu Lây - Trường Lão, </w:t>
            </w:r>
            <w:r>
              <w:rPr>
                <w:sz w:val="24"/>
                <w:szCs w:val="24"/>
              </w:rPr>
              <w:t>Bình Hà</w:t>
            </w:r>
          </w:p>
        </w:tc>
        <w:tc>
          <w:tcPr>
            <w:tcW w:w="1409" w:type="pct"/>
            <w:vMerge/>
            <w:vAlign w:val="center"/>
          </w:tcPr>
          <w:p w14:paraId="51A651CC" w14:textId="77777777" w:rsidR="00085789" w:rsidRDefault="00085789">
            <w:pPr>
              <w:spacing w:before="20" w:after="20" w:line="240" w:lineRule="auto"/>
              <w:rPr>
                <w:sz w:val="24"/>
                <w:szCs w:val="24"/>
              </w:rPr>
            </w:pPr>
          </w:p>
        </w:tc>
      </w:tr>
      <w:tr w:rsidR="00085789" w14:paraId="1354B7E7" w14:textId="77777777">
        <w:trPr>
          <w:trHeight w:val="70"/>
          <w:jc w:val="center"/>
        </w:trPr>
        <w:tc>
          <w:tcPr>
            <w:tcW w:w="289" w:type="pct"/>
            <w:noWrap/>
            <w:vAlign w:val="center"/>
          </w:tcPr>
          <w:p w14:paraId="40A04F6C" w14:textId="77777777" w:rsidR="00085789" w:rsidRDefault="00000000">
            <w:pPr>
              <w:spacing w:before="20" w:after="20" w:line="240" w:lineRule="auto"/>
              <w:jc w:val="center"/>
              <w:rPr>
                <w:sz w:val="24"/>
                <w:szCs w:val="24"/>
              </w:rPr>
            </w:pPr>
            <w:r>
              <w:rPr>
                <w:sz w:val="24"/>
                <w:szCs w:val="24"/>
              </w:rPr>
              <w:t>13</w:t>
            </w:r>
          </w:p>
        </w:tc>
        <w:tc>
          <w:tcPr>
            <w:tcW w:w="1234" w:type="pct"/>
            <w:vAlign w:val="center"/>
          </w:tcPr>
          <w:p w14:paraId="6113C4EA" w14:textId="77777777" w:rsidR="00085789" w:rsidRDefault="00000000">
            <w:pPr>
              <w:spacing w:before="20" w:after="20" w:line="240" w:lineRule="auto"/>
              <w:rPr>
                <w:sz w:val="24"/>
                <w:szCs w:val="24"/>
              </w:rPr>
            </w:pPr>
            <w:r>
              <w:rPr>
                <w:sz w:val="24"/>
                <w:szCs w:val="24"/>
              </w:rPr>
              <w:t>Xã Can Lộc</w:t>
            </w:r>
          </w:p>
        </w:tc>
        <w:tc>
          <w:tcPr>
            <w:tcW w:w="2067" w:type="pct"/>
            <w:vAlign w:val="center"/>
          </w:tcPr>
          <w:p w14:paraId="4E762750" w14:textId="77777777" w:rsidR="00085789" w:rsidRDefault="00000000">
            <w:pPr>
              <w:spacing w:before="20" w:after="20" w:line="240" w:lineRule="auto"/>
              <w:jc w:val="both"/>
              <w:rPr>
                <w:sz w:val="24"/>
                <w:szCs w:val="24"/>
              </w:rPr>
            </w:pPr>
            <w:r>
              <w:rPr>
                <w:sz w:val="24"/>
                <w:szCs w:val="24"/>
              </w:rPr>
              <w:t xml:space="preserve">Nhà Đường, </w:t>
            </w:r>
            <w:r>
              <w:rPr>
                <w:i/>
                <w:sz w:val="24"/>
                <w:szCs w:val="24"/>
                <w:u w:val="single"/>
              </w:rPr>
              <w:t>Khe Trúc</w:t>
            </w:r>
            <w:r>
              <w:rPr>
                <w:sz w:val="24"/>
                <w:szCs w:val="24"/>
              </w:rPr>
              <w:t>,</w:t>
            </w:r>
          </w:p>
        </w:tc>
        <w:tc>
          <w:tcPr>
            <w:tcW w:w="1409" w:type="pct"/>
            <w:vMerge/>
            <w:vAlign w:val="center"/>
          </w:tcPr>
          <w:p w14:paraId="25CF0DE4" w14:textId="77777777" w:rsidR="00085789" w:rsidRDefault="00085789">
            <w:pPr>
              <w:spacing w:before="20" w:after="20" w:line="240" w:lineRule="auto"/>
              <w:rPr>
                <w:sz w:val="24"/>
                <w:szCs w:val="24"/>
              </w:rPr>
            </w:pPr>
          </w:p>
        </w:tc>
      </w:tr>
      <w:tr w:rsidR="00085789" w14:paraId="0C910085" w14:textId="77777777">
        <w:trPr>
          <w:trHeight w:val="70"/>
          <w:jc w:val="center"/>
        </w:trPr>
        <w:tc>
          <w:tcPr>
            <w:tcW w:w="289" w:type="pct"/>
            <w:noWrap/>
            <w:vAlign w:val="center"/>
          </w:tcPr>
          <w:p w14:paraId="341FC4C1" w14:textId="77777777" w:rsidR="00085789" w:rsidRDefault="00000000">
            <w:pPr>
              <w:spacing w:before="20" w:after="20" w:line="240" w:lineRule="auto"/>
              <w:jc w:val="center"/>
              <w:rPr>
                <w:sz w:val="24"/>
                <w:szCs w:val="24"/>
              </w:rPr>
            </w:pPr>
            <w:r>
              <w:rPr>
                <w:sz w:val="24"/>
                <w:szCs w:val="24"/>
              </w:rPr>
              <w:t>14</w:t>
            </w:r>
          </w:p>
        </w:tc>
        <w:tc>
          <w:tcPr>
            <w:tcW w:w="1234" w:type="pct"/>
            <w:vAlign w:val="center"/>
          </w:tcPr>
          <w:p w14:paraId="41CBDD8E" w14:textId="77777777" w:rsidR="00085789" w:rsidRDefault="00000000">
            <w:pPr>
              <w:spacing w:before="20" w:after="20" w:line="240" w:lineRule="auto"/>
              <w:rPr>
                <w:sz w:val="24"/>
                <w:szCs w:val="24"/>
              </w:rPr>
            </w:pPr>
            <w:r>
              <w:rPr>
                <w:sz w:val="24"/>
                <w:szCs w:val="24"/>
              </w:rPr>
              <w:t>Xã Gia Hanh</w:t>
            </w:r>
          </w:p>
        </w:tc>
        <w:tc>
          <w:tcPr>
            <w:tcW w:w="2067" w:type="pct"/>
            <w:vAlign w:val="center"/>
          </w:tcPr>
          <w:p w14:paraId="44FF6854" w14:textId="77777777" w:rsidR="00085789" w:rsidRDefault="00000000">
            <w:pPr>
              <w:spacing w:before="20" w:after="20" w:line="240" w:lineRule="auto"/>
              <w:jc w:val="both"/>
              <w:rPr>
                <w:sz w:val="24"/>
                <w:szCs w:val="24"/>
              </w:rPr>
            </w:pPr>
            <w:r>
              <w:rPr>
                <w:sz w:val="24"/>
                <w:szCs w:val="24"/>
              </w:rPr>
              <w:t>Cố Châu</w:t>
            </w:r>
          </w:p>
        </w:tc>
        <w:tc>
          <w:tcPr>
            <w:tcW w:w="1409" w:type="pct"/>
            <w:vMerge/>
            <w:vAlign w:val="center"/>
          </w:tcPr>
          <w:p w14:paraId="15522CE5" w14:textId="77777777" w:rsidR="00085789" w:rsidRDefault="00085789">
            <w:pPr>
              <w:spacing w:before="20" w:after="20" w:line="240" w:lineRule="auto"/>
              <w:rPr>
                <w:sz w:val="24"/>
                <w:szCs w:val="24"/>
              </w:rPr>
            </w:pPr>
          </w:p>
        </w:tc>
      </w:tr>
      <w:tr w:rsidR="00085789" w14:paraId="4A84A180" w14:textId="77777777">
        <w:trPr>
          <w:trHeight w:val="68"/>
          <w:jc w:val="center"/>
        </w:trPr>
        <w:tc>
          <w:tcPr>
            <w:tcW w:w="289" w:type="pct"/>
            <w:noWrap/>
            <w:vAlign w:val="center"/>
          </w:tcPr>
          <w:p w14:paraId="31CDB20E" w14:textId="77777777" w:rsidR="00085789" w:rsidRDefault="00000000">
            <w:pPr>
              <w:spacing w:before="20" w:after="20" w:line="240" w:lineRule="auto"/>
              <w:jc w:val="center"/>
              <w:rPr>
                <w:sz w:val="24"/>
                <w:szCs w:val="24"/>
              </w:rPr>
            </w:pPr>
            <w:r>
              <w:rPr>
                <w:sz w:val="24"/>
                <w:szCs w:val="24"/>
              </w:rPr>
              <w:t>15</w:t>
            </w:r>
          </w:p>
        </w:tc>
        <w:tc>
          <w:tcPr>
            <w:tcW w:w="1234" w:type="pct"/>
            <w:vAlign w:val="center"/>
          </w:tcPr>
          <w:p w14:paraId="3B347E5B" w14:textId="77777777" w:rsidR="00085789" w:rsidRDefault="00000000">
            <w:pPr>
              <w:spacing w:before="20" w:after="20" w:line="240" w:lineRule="auto"/>
              <w:rPr>
                <w:sz w:val="24"/>
                <w:szCs w:val="24"/>
              </w:rPr>
            </w:pPr>
            <w:r>
              <w:rPr>
                <w:sz w:val="24"/>
                <w:szCs w:val="24"/>
              </w:rPr>
              <w:t>Xã Hương Bình</w:t>
            </w:r>
          </w:p>
        </w:tc>
        <w:tc>
          <w:tcPr>
            <w:tcW w:w="2067" w:type="pct"/>
            <w:vAlign w:val="center"/>
          </w:tcPr>
          <w:p w14:paraId="67E03688" w14:textId="77777777" w:rsidR="00085789" w:rsidRDefault="00000000">
            <w:pPr>
              <w:spacing w:before="20" w:after="20" w:line="240" w:lineRule="auto"/>
              <w:jc w:val="both"/>
              <w:rPr>
                <w:sz w:val="24"/>
                <w:szCs w:val="24"/>
              </w:rPr>
            </w:pPr>
            <w:r>
              <w:rPr>
                <w:i/>
                <w:sz w:val="24"/>
                <w:szCs w:val="24"/>
                <w:u w:val="single"/>
              </w:rPr>
              <w:t xml:space="preserve">Đá Hàn, </w:t>
            </w:r>
            <w:r>
              <w:rPr>
                <w:sz w:val="24"/>
                <w:szCs w:val="24"/>
              </w:rPr>
              <w:t>Đá Bạc, Khe Nậy</w:t>
            </w:r>
          </w:p>
        </w:tc>
        <w:tc>
          <w:tcPr>
            <w:tcW w:w="1409" w:type="pct"/>
            <w:vMerge w:val="restart"/>
            <w:vAlign w:val="center"/>
          </w:tcPr>
          <w:p w14:paraId="1F98F891" w14:textId="77777777" w:rsidR="00085789" w:rsidRDefault="00000000">
            <w:pPr>
              <w:spacing w:before="20" w:after="20" w:line="240" w:lineRule="auto"/>
              <w:jc w:val="both"/>
              <w:rPr>
                <w:sz w:val="24"/>
                <w:szCs w:val="24"/>
              </w:rPr>
            </w:pPr>
            <w:r>
              <w:rPr>
                <w:i/>
                <w:sz w:val="24"/>
                <w:szCs w:val="24"/>
                <w:u w:val="single"/>
              </w:rPr>
              <w:t>Cấp nước sinh hoạt</w:t>
            </w:r>
            <w:r>
              <w:rPr>
                <w:sz w:val="24"/>
                <w:szCs w:val="24"/>
              </w:rPr>
              <w:t>, nông nghiệp, thủy sản, thủy điện</w:t>
            </w:r>
          </w:p>
        </w:tc>
      </w:tr>
      <w:tr w:rsidR="00085789" w14:paraId="7BE02FF5" w14:textId="77777777">
        <w:trPr>
          <w:trHeight w:val="68"/>
          <w:jc w:val="center"/>
        </w:trPr>
        <w:tc>
          <w:tcPr>
            <w:tcW w:w="289" w:type="pct"/>
            <w:noWrap/>
            <w:vAlign w:val="center"/>
          </w:tcPr>
          <w:p w14:paraId="5D3488A2" w14:textId="77777777" w:rsidR="00085789" w:rsidRDefault="00000000">
            <w:pPr>
              <w:spacing w:before="20" w:after="20" w:line="240" w:lineRule="auto"/>
              <w:jc w:val="center"/>
              <w:rPr>
                <w:sz w:val="24"/>
                <w:szCs w:val="24"/>
              </w:rPr>
            </w:pPr>
            <w:r>
              <w:rPr>
                <w:sz w:val="24"/>
                <w:szCs w:val="24"/>
              </w:rPr>
              <w:t>16</w:t>
            </w:r>
          </w:p>
        </w:tc>
        <w:tc>
          <w:tcPr>
            <w:tcW w:w="1234" w:type="pct"/>
            <w:vAlign w:val="center"/>
          </w:tcPr>
          <w:p w14:paraId="436AA696" w14:textId="77777777" w:rsidR="00085789" w:rsidRDefault="00000000">
            <w:pPr>
              <w:spacing w:before="20" w:after="20" w:line="240" w:lineRule="auto"/>
              <w:rPr>
                <w:sz w:val="24"/>
                <w:szCs w:val="24"/>
              </w:rPr>
            </w:pPr>
            <w:r>
              <w:rPr>
                <w:sz w:val="24"/>
                <w:szCs w:val="24"/>
              </w:rPr>
              <w:t>Xã Hương Phố</w:t>
            </w:r>
          </w:p>
        </w:tc>
        <w:tc>
          <w:tcPr>
            <w:tcW w:w="2067" w:type="pct"/>
            <w:vAlign w:val="center"/>
          </w:tcPr>
          <w:p w14:paraId="6D85AC5F" w14:textId="77777777" w:rsidR="00085789" w:rsidRDefault="00000000">
            <w:pPr>
              <w:spacing w:before="20" w:after="20" w:line="240" w:lineRule="auto"/>
              <w:jc w:val="both"/>
              <w:rPr>
                <w:sz w:val="24"/>
                <w:szCs w:val="24"/>
              </w:rPr>
            </w:pPr>
            <w:r>
              <w:rPr>
                <w:sz w:val="24"/>
                <w:szCs w:val="24"/>
              </w:rPr>
              <w:t>Đập Làng, Họ Võ, Khe Con, Đập Dài, Đập Trạng, Cha Chạm</w:t>
            </w:r>
          </w:p>
        </w:tc>
        <w:tc>
          <w:tcPr>
            <w:tcW w:w="1409" w:type="pct"/>
            <w:vMerge/>
            <w:vAlign w:val="center"/>
          </w:tcPr>
          <w:p w14:paraId="3C329739" w14:textId="77777777" w:rsidR="00085789" w:rsidRDefault="00085789">
            <w:pPr>
              <w:spacing w:before="20" w:after="20" w:line="240" w:lineRule="auto"/>
              <w:jc w:val="both"/>
              <w:rPr>
                <w:sz w:val="24"/>
                <w:szCs w:val="24"/>
              </w:rPr>
            </w:pPr>
          </w:p>
        </w:tc>
      </w:tr>
      <w:tr w:rsidR="00085789" w14:paraId="2B4BDD7B" w14:textId="77777777">
        <w:trPr>
          <w:trHeight w:val="68"/>
          <w:jc w:val="center"/>
        </w:trPr>
        <w:tc>
          <w:tcPr>
            <w:tcW w:w="289" w:type="pct"/>
            <w:noWrap/>
            <w:vAlign w:val="center"/>
          </w:tcPr>
          <w:p w14:paraId="629CCA6E" w14:textId="77777777" w:rsidR="00085789" w:rsidRDefault="00000000">
            <w:pPr>
              <w:spacing w:before="20" w:after="20" w:line="240" w:lineRule="auto"/>
              <w:jc w:val="center"/>
              <w:rPr>
                <w:sz w:val="24"/>
                <w:szCs w:val="24"/>
              </w:rPr>
            </w:pPr>
            <w:r>
              <w:rPr>
                <w:sz w:val="24"/>
                <w:szCs w:val="24"/>
              </w:rPr>
              <w:t>17</w:t>
            </w:r>
          </w:p>
        </w:tc>
        <w:tc>
          <w:tcPr>
            <w:tcW w:w="1234" w:type="pct"/>
            <w:vAlign w:val="center"/>
          </w:tcPr>
          <w:p w14:paraId="340EC4B0" w14:textId="77777777" w:rsidR="00085789" w:rsidRDefault="00000000">
            <w:pPr>
              <w:spacing w:before="20" w:after="20" w:line="240" w:lineRule="auto"/>
              <w:rPr>
                <w:sz w:val="24"/>
                <w:szCs w:val="24"/>
              </w:rPr>
            </w:pPr>
            <w:r>
              <w:rPr>
                <w:sz w:val="24"/>
                <w:szCs w:val="24"/>
              </w:rPr>
              <w:t>Xã Phúc Trạch</w:t>
            </w:r>
          </w:p>
        </w:tc>
        <w:tc>
          <w:tcPr>
            <w:tcW w:w="2067" w:type="pct"/>
            <w:vAlign w:val="center"/>
          </w:tcPr>
          <w:p w14:paraId="359C6EE7" w14:textId="77777777" w:rsidR="00085789" w:rsidRDefault="00000000">
            <w:pPr>
              <w:spacing w:before="20" w:after="20" w:line="240" w:lineRule="auto"/>
              <w:jc w:val="both"/>
              <w:rPr>
                <w:sz w:val="24"/>
                <w:szCs w:val="24"/>
              </w:rPr>
            </w:pPr>
            <w:r>
              <w:rPr>
                <w:sz w:val="24"/>
                <w:szCs w:val="24"/>
              </w:rPr>
              <w:t>Cơn Trồi, Cơn Song, Nước Vàng, Ma Leng, Đập Hội</w:t>
            </w:r>
          </w:p>
        </w:tc>
        <w:tc>
          <w:tcPr>
            <w:tcW w:w="1409" w:type="pct"/>
            <w:vMerge/>
            <w:vAlign w:val="center"/>
          </w:tcPr>
          <w:p w14:paraId="4D575B06" w14:textId="77777777" w:rsidR="00085789" w:rsidRDefault="00085789">
            <w:pPr>
              <w:spacing w:before="20" w:after="20" w:line="240" w:lineRule="auto"/>
              <w:jc w:val="both"/>
              <w:rPr>
                <w:sz w:val="24"/>
                <w:szCs w:val="24"/>
              </w:rPr>
            </w:pPr>
          </w:p>
        </w:tc>
      </w:tr>
      <w:tr w:rsidR="00085789" w14:paraId="2E139973" w14:textId="77777777">
        <w:trPr>
          <w:trHeight w:val="68"/>
          <w:jc w:val="center"/>
        </w:trPr>
        <w:tc>
          <w:tcPr>
            <w:tcW w:w="289" w:type="pct"/>
            <w:noWrap/>
            <w:vAlign w:val="center"/>
          </w:tcPr>
          <w:p w14:paraId="187C8B88" w14:textId="77777777" w:rsidR="00085789" w:rsidRDefault="00000000">
            <w:pPr>
              <w:spacing w:before="20" w:after="20" w:line="240" w:lineRule="auto"/>
              <w:jc w:val="center"/>
              <w:rPr>
                <w:sz w:val="24"/>
                <w:szCs w:val="24"/>
              </w:rPr>
            </w:pPr>
            <w:r>
              <w:rPr>
                <w:sz w:val="24"/>
                <w:szCs w:val="24"/>
              </w:rPr>
              <w:t>18</w:t>
            </w:r>
          </w:p>
        </w:tc>
        <w:tc>
          <w:tcPr>
            <w:tcW w:w="1234" w:type="pct"/>
            <w:vAlign w:val="center"/>
          </w:tcPr>
          <w:p w14:paraId="7D019DB2" w14:textId="77777777" w:rsidR="00085789" w:rsidRDefault="00000000">
            <w:pPr>
              <w:spacing w:before="20" w:after="20" w:line="240" w:lineRule="auto"/>
              <w:rPr>
                <w:sz w:val="24"/>
                <w:szCs w:val="24"/>
              </w:rPr>
            </w:pPr>
            <w:r>
              <w:rPr>
                <w:sz w:val="24"/>
                <w:szCs w:val="24"/>
              </w:rPr>
              <w:t>Xã Hương Xuân</w:t>
            </w:r>
          </w:p>
        </w:tc>
        <w:tc>
          <w:tcPr>
            <w:tcW w:w="2067" w:type="pct"/>
            <w:vAlign w:val="center"/>
          </w:tcPr>
          <w:p w14:paraId="420BA5D5" w14:textId="77777777" w:rsidR="00085789" w:rsidRDefault="00000000">
            <w:pPr>
              <w:spacing w:before="20" w:after="20" w:line="240" w:lineRule="auto"/>
              <w:jc w:val="both"/>
              <w:rPr>
                <w:sz w:val="24"/>
                <w:szCs w:val="24"/>
              </w:rPr>
            </w:pPr>
            <w:r>
              <w:rPr>
                <w:sz w:val="24"/>
                <w:szCs w:val="24"/>
              </w:rPr>
              <w:t>Mục Bài</w:t>
            </w:r>
          </w:p>
        </w:tc>
        <w:tc>
          <w:tcPr>
            <w:tcW w:w="1409" w:type="pct"/>
            <w:vMerge/>
            <w:vAlign w:val="center"/>
          </w:tcPr>
          <w:p w14:paraId="53E5B312" w14:textId="77777777" w:rsidR="00085789" w:rsidRDefault="00085789">
            <w:pPr>
              <w:spacing w:before="20" w:after="20" w:line="240" w:lineRule="auto"/>
              <w:jc w:val="both"/>
              <w:rPr>
                <w:sz w:val="24"/>
                <w:szCs w:val="24"/>
              </w:rPr>
            </w:pPr>
          </w:p>
        </w:tc>
      </w:tr>
      <w:tr w:rsidR="00085789" w14:paraId="1AFFCD3B" w14:textId="77777777">
        <w:trPr>
          <w:trHeight w:val="68"/>
          <w:jc w:val="center"/>
        </w:trPr>
        <w:tc>
          <w:tcPr>
            <w:tcW w:w="289" w:type="pct"/>
            <w:noWrap/>
            <w:vAlign w:val="center"/>
          </w:tcPr>
          <w:p w14:paraId="40F2976F" w14:textId="77777777" w:rsidR="00085789" w:rsidRDefault="00000000">
            <w:pPr>
              <w:spacing w:before="20" w:after="20" w:line="240" w:lineRule="auto"/>
              <w:jc w:val="center"/>
              <w:rPr>
                <w:sz w:val="24"/>
                <w:szCs w:val="24"/>
              </w:rPr>
            </w:pPr>
            <w:r>
              <w:rPr>
                <w:sz w:val="24"/>
                <w:szCs w:val="24"/>
              </w:rPr>
              <w:t>19</w:t>
            </w:r>
          </w:p>
        </w:tc>
        <w:tc>
          <w:tcPr>
            <w:tcW w:w="1234" w:type="pct"/>
            <w:vAlign w:val="center"/>
          </w:tcPr>
          <w:p w14:paraId="35A8622E" w14:textId="77777777" w:rsidR="00085789" w:rsidRDefault="00000000">
            <w:pPr>
              <w:spacing w:before="20" w:after="20" w:line="240" w:lineRule="auto"/>
              <w:rPr>
                <w:sz w:val="24"/>
                <w:szCs w:val="24"/>
              </w:rPr>
            </w:pPr>
            <w:r>
              <w:rPr>
                <w:sz w:val="24"/>
                <w:szCs w:val="24"/>
              </w:rPr>
              <w:t>Xã Hương Khê</w:t>
            </w:r>
          </w:p>
        </w:tc>
        <w:tc>
          <w:tcPr>
            <w:tcW w:w="2067" w:type="pct"/>
            <w:vAlign w:val="center"/>
          </w:tcPr>
          <w:p w14:paraId="17CB44EC" w14:textId="77777777" w:rsidR="00085789" w:rsidRDefault="00000000">
            <w:pPr>
              <w:spacing w:before="20" w:after="20" w:line="240" w:lineRule="auto"/>
              <w:jc w:val="both"/>
              <w:rPr>
                <w:sz w:val="24"/>
                <w:szCs w:val="24"/>
              </w:rPr>
            </w:pPr>
            <w:r>
              <w:rPr>
                <w:sz w:val="24"/>
                <w:szCs w:val="24"/>
              </w:rPr>
              <w:t>Đập Họ, Nhà Lào</w:t>
            </w:r>
          </w:p>
        </w:tc>
        <w:tc>
          <w:tcPr>
            <w:tcW w:w="1409" w:type="pct"/>
            <w:vMerge/>
            <w:vAlign w:val="center"/>
          </w:tcPr>
          <w:p w14:paraId="6C1FCCC7" w14:textId="77777777" w:rsidR="00085789" w:rsidRDefault="00085789">
            <w:pPr>
              <w:spacing w:before="20" w:after="20" w:line="240" w:lineRule="auto"/>
              <w:jc w:val="both"/>
              <w:rPr>
                <w:sz w:val="24"/>
                <w:szCs w:val="24"/>
              </w:rPr>
            </w:pPr>
          </w:p>
        </w:tc>
      </w:tr>
      <w:tr w:rsidR="00085789" w14:paraId="1E07D17E" w14:textId="77777777">
        <w:trPr>
          <w:trHeight w:val="68"/>
          <w:jc w:val="center"/>
        </w:trPr>
        <w:tc>
          <w:tcPr>
            <w:tcW w:w="289" w:type="pct"/>
            <w:noWrap/>
            <w:vAlign w:val="center"/>
          </w:tcPr>
          <w:p w14:paraId="6271094D" w14:textId="77777777" w:rsidR="00085789" w:rsidRDefault="00000000">
            <w:pPr>
              <w:spacing w:before="20" w:after="20" w:line="240" w:lineRule="auto"/>
              <w:jc w:val="center"/>
              <w:rPr>
                <w:sz w:val="24"/>
                <w:szCs w:val="24"/>
              </w:rPr>
            </w:pPr>
            <w:r>
              <w:rPr>
                <w:sz w:val="24"/>
                <w:szCs w:val="24"/>
              </w:rPr>
              <w:t>20</w:t>
            </w:r>
          </w:p>
        </w:tc>
        <w:tc>
          <w:tcPr>
            <w:tcW w:w="1234" w:type="pct"/>
            <w:vAlign w:val="center"/>
          </w:tcPr>
          <w:p w14:paraId="257ECA02" w14:textId="77777777" w:rsidR="00085789" w:rsidRDefault="00000000">
            <w:pPr>
              <w:spacing w:before="20" w:after="20" w:line="240" w:lineRule="auto"/>
              <w:rPr>
                <w:sz w:val="24"/>
                <w:szCs w:val="24"/>
              </w:rPr>
            </w:pPr>
            <w:r>
              <w:rPr>
                <w:sz w:val="24"/>
                <w:szCs w:val="24"/>
              </w:rPr>
              <w:t>Xã Hà Linh</w:t>
            </w:r>
          </w:p>
        </w:tc>
        <w:tc>
          <w:tcPr>
            <w:tcW w:w="2067" w:type="pct"/>
            <w:vAlign w:val="center"/>
          </w:tcPr>
          <w:p w14:paraId="0C186BF2" w14:textId="77777777" w:rsidR="00085789" w:rsidRDefault="00000000">
            <w:pPr>
              <w:spacing w:before="20" w:after="20" w:line="240" w:lineRule="auto"/>
              <w:jc w:val="both"/>
              <w:rPr>
                <w:sz w:val="24"/>
                <w:szCs w:val="24"/>
              </w:rPr>
            </w:pPr>
            <w:r>
              <w:rPr>
                <w:sz w:val="24"/>
                <w:szCs w:val="24"/>
              </w:rPr>
              <w:t>Đập Mưng, Khe Tráng, Khe Sông</w:t>
            </w:r>
          </w:p>
        </w:tc>
        <w:tc>
          <w:tcPr>
            <w:tcW w:w="1409" w:type="pct"/>
            <w:vMerge/>
            <w:vAlign w:val="center"/>
          </w:tcPr>
          <w:p w14:paraId="1FF1E5C1" w14:textId="77777777" w:rsidR="00085789" w:rsidRDefault="00085789">
            <w:pPr>
              <w:spacing w:before="20" w:after="20" w:line="240" w:lineRule="auto"/>
              <w:jc w:val="both"/>
              <w:rPr>
                <w:sz w:val="24"/>
                <w:szCs w:val="24"/>
              </w:rPr>
            </w:pPr>
          </w:p>
        </w:tc>
      </w:tr>
      <w:tr w:rsidR="00085789" w14:paraId="6A3417AC" w14:textId="77777777">
        <w:trPr>
          <w:trHeight w:val="68"/>
          <w:jc w:val="center"/>
        </w:trPr>
        <w:tc>
          <w:tcPr>
            <w:tcW w:w="289" w:type="pct"/>
            <w:noWrap/>
            <w:vAlign w:val="center"/>
          </w:tcPr>
          <w:p w14:paraId="2CFC80FA" w14:textId="77777777" w:rsidR="00085789" w:rsidRDefault="00000000">
            <w:pPr>
              <w:spacing w:before="20" w:after="20" w:line="240" w:lineRule="auto"/>
              <w:jc w:val="center"/>
              <w:rPr>
                <w:sz w:val="24"/>
                <w:szCs w:val="24"/>
              </w:rPr>
            </w:pPr>
            <w:r>
              <w:rPr>
                <w:sz w:val="24"/>
                <w:szCs w:val="24"/>
              </w:rPr>
              <w:t>21</w:t>
            </w:r>
          </w:p>
        </w:tc>
        <w:tc>
          <w:tcPr>
            <w:tcW w:w="1234" w:type="pct"/>
            <w:vAlign w:val="center"/>
          </w:tcPr>
          <w:p w14:paraId="6DECC51E" w14:textId="77777777" w:rsidR="00085789" w:rsidRDefault="00000000">
            <w:pPr>
              <w:spacing w:before="20" w:after="20" w:line="240" w:lineRule="auto"/>
              <w:rPr>
                <w:sz w:val="24"/>
                <w:szCs w:val="24"/>
              </w:rPr>
            </w:pPr>
            <w:r>
              <w:rPr>
                <w:sz w:val="24"/>
                <w:szCs w:val="24"/>
              </w:rPr>
              <w:t>Xã Hương Đô</w:t>
            </w:r>
          </w:p>
        </w:tc>
        <w:tc>
          <w:tcPr>
            <w:tcW w:w="2067" w:type="pct"/>
            <w:vAlign w:val="center"/>
          </w:tcPr>
          <w:p w14:paraId="2F5308FC" w14:textId="77777777" w:rsidR="00085789" w:rsidRDefault="00000000">
            <w:pPr>
              <w:spacing w:before="20" w:after="20" w:line="240" w:lineRule="auto"/>
              <w:jc w:val="both"/>
              <w:rPr>
                <w:sz w:val="24"/>
                <w:szCs w:val="24"/>
              </w:rPr>
            </w:pPr>
            <w:r>
              <w:rPr>
                <w:sz w:val="24"/>
                <w:szCs w:val="24"/>
              </w:rPr>
              <w:t>Nước Đỏ</w:t>
            </w:r>
          </w:p>
        </w:tc>
        <w:tc>
          <w:tcPr>
            <w:tcW w:w="1409" w:type="pct"/>
            <w:vMerge/>
            <w:vAlign w:val="center"/>
          </w:tcPr>
          <w:p w14:paraId="1F8C7368" w14:textId="77777777" w:rsidR="00085789" w:rsidRDefault="00085789">
            <w:pPr>
              <w:spacing w:before="20" w:after="20" w:line="240" w:lineRule="auto"/>
              <w:jc w:val="both"/>
              <w:rPr>
                <w:sz w:val="24"/>
                <w:szCs w:val="24"/>
              </w:rPr>
            </w:pPr>
          </w:p>
        </w:tc>
      </w:tr>
      <w:tr w:rsidR="00085789" w14:paraId="39E759D8" w14:textId="77777777">
        <w:trPr>
          <w:trHeight w:val="68"/>
          <w:jc w:val="center"/>
        </w:trPr>
        <w:tc>
          <w:tcPr>
            <w:tcW w:w="289" w:type="pct"/>
            <w:noWrap/>
            <w:vAlign w:val="center"/>
          </w:tcPr>
          <w:p w14:paraId="6B7D18D8" w14:textId="77777777" w:rsidR="00085789" w:rsidRDefault="00000000">
            <w:pPr>
              <w:spacing w:before="20" w:after="20" w:line="240" w:lineRule="auto"/>
              <w:jc w:val="center"/>
              <w:rPr>
                <w:sz w:val="24"/>
                <w:szCs w:val="24"/>
              </w:rPr>
            </w:pPr>
            <w:r>
              <w:rPr>
                <w:sz w:val="24"/>
                <w:szCs w:val="24"/>
              </w:rPr>
              <w:t>22</w:t>
            </w:r>
          </w:p>
        </w:tc>
        <w:tc>
          <w:tcPr>
            <w:tcW w:w="1234" w:type="pct"/>
            <w:vAlign w:val="center"/>
          </w:tcPr>
          <w:p w14:paraId="392EFDDF" w14:textId="77777777" w:rsidR="00085789" w:rsidRDefault="00000000">
            <w:pPr>
              <w:spacing w:before="20" w:after="20" w:line="240" w:lineRule="auto"/>
              <w:rPr>
                <w:sz w:val="24"/>
                <w:szCs w:val="24"/>
              </w:rPr>
            </w:pPr>
            <w:r>
              <w:rPr>
                <w:sz w:val="24"/>
                <w:szCs w:val="24"/>
              </w:rPr>
              <w:t>Xã Vũ Quang</w:t>
            </w:r>
          </w:p>
        </w:tc>
        <w:tc>
          <w:tcPr>
            <w:tcW w:w="2067" w:type="pct"/>
            <w:vAlign w:val="center"/>
          </w:tcPr>
          <w:p w14:paraId="5ACE20F6" w14:textId="77777777" w:rsidR="00085789" w:rsidRDefault="00000000">
            <w:pPr>
              <w:spacing w:before="20" w:after="20" w:line="240" w:lineRule="auto"/>
              <w:jc w:val="both"/>
              <w:rPr>
                <w:sz w:val="24"/>
                <w:szCs w:val="24"/>
              </w:rPr>
            </w:pPr>
            <w:r>
              <w:rPr>
                <w:i/>
                <w:sz w:val="24"/>
                <w:szCs w:val="24"/>
                <w:u w:val="single"/>
              </w:rPr>
              <w:t xml:space="preserve">Ngàn Trươi, </w:t>
            </w:r>
            <w:r>
              <w:rPr>
                <w:sz w:val="24"/>
                <w:szCs w:val="24"/>
              </w:rPr>
              <w:t>Khe Gỗ, Hói Trung, Bệ, Đập Bượm, Khe Trảy, Nguyễn Văn Trỗi, Cây Mả, Khe Xai, Khe Chẹt</w:t>
            </w:r>
          </w:p>
        </w:tc>
        <w:tc>
          <w:tcPr>
            <w:tcW w:w="1409" w:type="pct"/>
            <w:vMerge w:val="restart"/>
            <w:vAlign w:val="center"/>
          </w:tcPr>
          <w:p w14:paraId="30D36C1D" w14:textId="77777777" w:rsidR="00085789" w:rsidRDefault="00000000">
            <w:pPr>
              <w:spacing w:before="20" w:after="20" w:line="240" w:lineRule="auto"/>
              <w:jc w:val="both"/>
              <w:rPr>
                <w:sz w:val="24"/>
                <w:szCs w:val="24"/>
              </w:rPr>
            </w:pPr>
            <w:r>
              <w:rPr>
                <w:i/>
                <w:sz w:val="24"/>
                <w:szCs w:val="24"/>
                <w:u w:val="single"/>
              </w:rPr>
              <w:t>Cấp nước sinh hoạt,</w:t>
            </w:r>
            <w:r>
              <w:rPr>
                <w:sz w:val="24"/>
                <w:szCs w:val="24"/>
              </w:rPr>
              <w:t xml:space="preserve"> công nghiệp, nông nghiệp, thủy sản, thủy điện</w:t>
            </w:r>
          </w:p>
        </w:tc>
      </w:tr>
      <w:tr w:rsidR="00085789" w14:paraId="43BE7168" w14:textId="77777777">
        <w:trPr>
          <w:trHeight w:val="68"/>
          <w:jc w:val="center"/>
        </w:trPr>
        <w:tc>
          <w:tcPr>
            <w:tcW w:w="289" w:type="pct"/>
            <w:noWrap/>
            <w:vAlign w:val="center"/>
          </w:tcPr>
          <w:p w14:paraId="7B6E8DFB" w14:textId="77777777" w:rsidR="00085789" w:rsidRDefault="00000000">
            <w:pPr>
              <w:spacing w:before="20" w:after="20" w:line="240" w:lineRule="auto"/>
              <w:jc w:val="center"/>
              <w:rPr>
                <w:sz w:val="24"/>
                <w:szCs w:val="24"/>
              </w:rPr>
            </w:pPr>
            <w:r>
              <w:rPr>
                <w:sz w:val="24"/>
                <w:szCs w:val="24"/>
              </w:rPr>
              <w:t>23</w:t>
            </w:r>
          </w:p>
        </w:tc>
        <w:tc>
          <w:tcPr>
            <w:tcW w:w="1234" w:type="pct"/>
            <w:vAlign w:val="center"/>
          </w:tcPr>
          <w:p w14:paraId="5B49C035" w14:textId="77777777" w:rsidR="00085789" w:rsidRDefault="00000000">
            <w:pPr>
              <w:spacing w:before="20" w:after="20" w:line="240" w:lineRule="auto"/>
              <w:rPr>
                <w:sz w:val="24"/>
                <w:szCs w:val="24"/>
              </w:rPr>
            </w:pPr>
            <w:r>
              <w:rPr>
                <w:sz w:val="24"/>
                <w:szCs w:val="24"/>
              </w:rPr>
              <w:t>Xã Mai Hoa</w:t>
            </w:r>
          </w:p>
        </w:tc>
        <w:tc>
          <w:tcPr>
            <w:tcW w:w="2067" w:type="pct"/>
            <w:vAlign w:val="center"/>
          </w:tcPr>
          <w:p w14:paraId="375F8BFE" w14:textId="77777777" w:rsidR="00085789" w:rsidRDefault="00000000">
            <w:pPr>
              <w:spacing w:before="20" w:after="20" w:line="240" w:lineRule="auto"/>
              <w:jc w:val="both"/>
              <w:rPr>
                <w:sz w:val="24"/>
                <w:szCs w:val="24"/>
              </w:rPr>
            </w:pPr>
            <w:r>
              <w:rPr>
                <w:sz w:val="24"/>
                <w:szCs w:val="24"/>
              </w:rPr>
              <w:t>Hộp Trổ, Chọ Mít, Khe Rắn</w:t>
            </w:r>
          </w:p>
        </w:tc>
        <w:tc>
          <w:tcPr>
            <w:tcW w:w="1409" w:type="pct"/>
            <w:vMerge/>
            <w:vAlign w:val="center"/>
          </w:tcPr>
          <w:p w14:paraId="678A67D6" w14:textId="77777777" w:rsidR="00085789" w:rsidRDefault="00085789">
            <w:pPr>
              <w:spacing w:before="20" w:after="20" w:line="240" w:lineRule="auto"/>
              <w:jc w:val="both"/>
              <w:rPr>
                <w:sz w:val="24"/>
                <w:szCs w:val="24"/>
              </w:rPr>
            </w:pPr>
          </w:p>
        </w:tc>
      </w:tr>
      <w:tr w:rsidR="00085789" w14:paraId="37B58358" w14:textId="77777777">
        <w:trPr>
          <w:trHeight w:val="70"/>
          <w:jc w:val="center"/>
        </w:trPr>
        <w:tc>
          <w:tcPr>
            <w:tcW w:w="289" w:type="pct"/>
            <w:noWrap/>
            <w:vAlign w:val="center"/>
          </w:tcPr>
          <w:p w14:paraId="7C117580" w14:textId="77777777" w:rsidR="00085789" w:rsidRDefault="00000000">
            <w:pPr>
              <w:spacing w:before="20" w:after="20" w:line="240" w:lineRule="auto"/>
              <w:jc w:val="center"/>
              <w:rPr>
                <w:sz w:val="24"/>
                <w:szCs w:val="24"/>
              </w:rPr>
            </w:pPr>
            <w:r>
              <w:rPr>
                <w:sz w:val="24"/>
                <w:szCs w:val="24"/>
              </w:rPr>
              <w:t>24</w:t>
            </w:r>
          </w:p>
        </w:tc>
        <w:tc>
          <w:tcPr>
            <w:tcW w:w="1234" w:type="pct"/>
            <w:vAlign w:val="center"/>
          </w:tcPr>
          <w:p w14:paraId="44D59DB8" w14:textId="77777777" w:rsidR="00085789" w:rsidRDefault="00000000">
            <w:pPr>
              <w:spacing w:before="20" w:after="20" w:line="240" w:lineRule="auto"/>
              <w:rPr>
                <w:sz w:val="24"/>
                <w:szCs w:val="24"/>
              </w:rPr>
            </w:pPr>
            <w:r>
              <w:rPr>
                <w:sz w:val="24"/>
                <w:szCs w:val="24"/>
              </w:rPr>
              <w:t>Xã Cẩm Duệ</w:t>
            </w:r>
          </w:p>
        </w:tc>
        <w:tc>
          <w:tcPr>
            <w:tcW w:w="2067" w:type="pct"/>
            <w:vAlign w:val="center"/>
          </w:tcPr>
          <w:p w14:paraId="52107D2D" w14:textId="77777777" w:rsidR="00085789" w:rsidRDefault="00000000">
            <w:pPr>
              <w:spacing w:before="20" w:after="20" w:line="240" w:lineRule="auto"/>
              <w:jc w:val="both"/>
              <w:rPr>
                <w:sz w:val="24"/>
                <w:szCs w:val="24"/>
              </w:rPr>
            </w:pPr>
            <w:r>
              <w:rPr>
                <w:i/>
                <w:sz w:val="24"/>
                <w:szCs w:val="24"/>
                <w:u w:val="single"/>
              </w:rPr>
              <w:t>Kẻ Gỗ, Bộc Nguyên</w:t>
            </w:r>
          </w:p>
        </w:tc>
        <w:tc>
          <w:tcPr>
            <w:tcW w:w="1409" w:type="pct"/>
            <w:vMerge w:val="restart"/>
            <w:vAlign w:val="center"/>
          </w:tcPr>
          <w:p w14:paraId="5D9EFF50" w14:textId="77777777" w:rsidR="00085789" w:rsidRDefault="00000000">
            <w:pPr>
              <w:spacing w:before="20" w:after="20" w:line="240" w:lineRule="auto"/>
              <w:jc w:val="both"/>
              <w:rPr>
                <w:sz w:val="24"/>
                <w:szCs w:val="24"/>
              </w:rPr>
            </w:pPr>
            <w:r>
              <w:rPr>
                <w:i/>
                <w:sz w:val="24"/>
                <w:szCs w:val="24"/>
                <w:u w:val="single"/>
              </w:rPr>
              <w:t>Cấp nước sinh hoạt</w:t>
            </w:r>
            <w:r>
              <w:rPr>
                <w:sz w:val="24"/>
                <w:szCs w:val="24"/>
              </w:rPr>
              <w:t>, nông nghiệp, thủy sản, công nghiệp, thủy điện</w:t>
            </w:r>
          </w:p>
        </w:tc>
      </w:tr>
      <w:tr w:rsidR="00085789" w14:paraId="5A3A6212" w14:textId="77777777">
        <w:trPr>
          <w:trHeight w:val="70"/>
          <w:jc w:val="center"/>
        </w:trPr>
        <w:tc>
          <w:tcPr>
            <w:tcW w:w="289" w:type="pct"/>
            <w:noWrap/>
            <w:vAlign w:val="center"/>
          </w:tcPr>
          <w:p w14:paraId="497C944B" w14:textId="77777777" w:rsidR="00085789" w:rsidRDefault="00000000">
            <w:pPr>
              <w:spacing w:before="20" w:after="20" w:line="240" w:lineRule="auto"/>
              <w:jc w:val="center"/>
              <w:rPr>
                <w:sz w:val="24"/>
                <w:szCs w:val="24"/>
              </w:rPr>
            </w:pPr>
            <w:r>
              <w:rPr>
                <w:sz w:val="24"/>
                <w:szCs w:val="24"/>
              </w:rPr>
              <w:t>25</w:t>
            </w:r>
          </w:p>
        </w:tc>
        <w:tc>
          <w:tcPr>
            <w:tcW w:w="1234" w:type="pct"/>
            <w:vAlign w:val="center"/>
          </w:tcPr>
          <w:p w14:paraId="4B51EC78" w14:textId="77777777" w:rsidR="00085789" w:rsidRDefault="00000000">
            <w:pPr>
              <w:spacing w:before="20" w:after="20" w:line="240" w:lineRule="auto"/>
              <w:rPr>
                <w:sz w:val="24"/>
                <w:szCs w:val="24"/>
              </w:rPr>
            </w:pPr>
            <w:r>
              <w:rPr>
                <w:sz w:val="24"/>
                <w:szCs w:val="24"/>
              </w:rPr>
              <w:t>Xã Cẩm Lạc</w:t>
            </w:r>
          </w:p>
        </w:tc>
        <w:tc>
          <w:tcPr>
            <w:tcW w:w="2067" w:type="pct"/>
            <w:vAlign w:val="center"/>
          </w:tcPr>
          <w:p w14:paraId="20E98EAA" w14:textId="77777777" w:rsidR="00085789" w:rsidRDefault="00000000">
            <w:pPr>
              <w:spacing w:before="20" w:after="20" w:line="240" w:lineRule="auto"/>
              <w:jc w:val="both"/>
              <w:rPr>
                <w:sz w:val="24"/>
                <w:szCs w:val="24"/>
              </w:rPr>
            </w:pPr>
            <w:r>
              <w:rPr>
                <w:i/>
                <w:sz w:val="24"/>
                <w:szCs w:val="24"/>
                <w:u w:val="single"/>
              </w:rPr>
              <w:t xml:space="preserve">Sông Rác, </w:t>
            </w:r>
            <w:r>
              <w:rPr>
                <w:sz w:val="24"/>
                <w:szCs w:val="24"/>
              </w:rPr>
              <w:t>Thượng Tuy</w:t>
            </w:r>
          </w:p>
        </w:tc>
        <w:tc>
          <w:tcPr>
            <w:tcW w:w="1409" w:type="pct"/>
            <w:vMerge/>
            <w:vAlign w:val="center"/>
          </w:tcPr>
          <w:p w14:paraId="3B12C5C8" w14:textId="77777777" w:rsidR="00085789" w:rsidRDefault="00085789">
            <w:pPr>
              <w:spacing w:before="20" w:after="20" w:line="240" w:lineRule="auto"/>
              <w:jc w:val="both"/>
              <w:rPr>
                <w:sz w:val="24"/>
                <w:szCs w:val="24"/>
              </w:rPr>
            </w:pPr>
          </w:p>
        </w:tc>
      </w:tr>
      <w:tr w:rsidR="00085789" w14:paraId="46365E5B" w14:textId="77777777">
        <w:trPr>
          <w:trHeight w:val="70"/>
          <w:jc w:val="center"/>
        </w:trPr>
        <w:tc>
          <w:tcPr>
            <w:tcW w:w="289" w:type="pct"/>
            <w:noWrap/>
            <w:vAlign w:val="center"/>
          </w:tcPr>
          <w:p w14:paraId="0CD13345" w14:textId="77777777" w:rsidR="00085789" w:rsidRDefault="00000000">
            <w:pPr>
              <w:spacing w:before="20" w:after="20" w:line="240" w:lineRule="auto"/>
              <w:jc w:val="center"/>
              <w:rPr>
                <w:sz w:val="24"/>
                <w:szCs w:val="24"/>
              </w:rPr>
            </w:pPr>
            <w:r>
              <w:rPr>
                <w:sz w:val="24"/>
                <w:szCs w:val="24"/>
              </w:rPr>
              <w:t>26</w:t>
            </w:r>
          </w:p>
        </w:tc>
        <w:tc>
          <w:tcPr>
            <w:tcW w:w="1234" w:type="pct"/>
            <w:vAlign w:val="center"/>
          </w:tcPr>
          <w:p w14:paraId="50A892AA" w14:textId="77777777" w:rsidR="00085789" w:rsidRDefault="00000000">
            <w:pPr>
              <w:spacing w:before="20" w:after="20" w:line="240" w:lineRule="auto"/>
              <w:rPr>
                <w:sz w:val="24"/>
                <w:szCs w:val="24"/>
              </w:rPr>
            </w:pPr>
            <w:r>
              <w:rPr>
                <w:sz w:val="24"/>
                <w:szCs w:val="24"/>
              </w:rPr>
              <w:t>Xã Kỳ Anh</w:t>
            </w:r>
          </w:p>
        </w:tc>
        <w:tc>
          <w:tcPr>
            <w:tcW w:w="2067" w:type="pct"/>
            <w:vAlign w:val="center"/>
          </w:tcPr>
          <w:p w14:paraId="6E0F713A" w14:textId="77777777" w:rsidR="00085789" w:rsidRDefault="00000000">
            <w:pPr>
              <w:spacing w:before="20" w:after="20" w:line="240" w:lineRule="auto"/>
              <w:jc w:val="both"/>
              <w:rPr>
                <w:i/>
                <w:sz w:val="24"/>
                <w:szCs w:val="24"/>
                <w:u w:val="single"/>
              </w:rPr>
            </w:pPr>
            <w:r>
              <w:rPr>
                <w:spacing w:val="-6"/>
                <w:sz w:val="24"/>
                <w:szCs w:val="24"/>
              </w:rPr>
              <w:t>Mạc Khê</w:t>
            </w:r>
          </w:p>
        </w:tc>
        <w:tc>
          <w:tcPr>
            <w:tcW w:w="1409" w:type="pct"/>
            <w:vMerge w:val="restart"/>
            <w:vAlign w:val="center"/>
          </w:tcPr>
          <w:p w14:paraId="6177A65E" w14:textId="77777777" w:rsidR="00085789" w:rsidRDefault="00000000">
            <w:pPr>
              <w:spacing w:before="20" w:after="20" w:line="240" w:lineRule="auto"/>
              <w:jc w:val="both"/>
              <w:rPr>
                <w:sz w:val="24"/>
                <w:szCs w:val="24"/>
              </w:rPr>
            </w:pPr>
            <w:r>
              <w:rPr>
                <w:i/>
                <w:sz w:val="24"/>
                <w:szCs w:val="24"/>
                <w:u w:val="single"/>
              </w:rPr>
              <w:t>Cấp nước sinh hoạt</w:t>
            </w:r>
            <w:r>
              <w:rPr>
                <w:sz w:val="24"/>
                <w:szCs w:val="24"/>
              </w:rPr>
              <w:t>, công nghiệp, nông nghiệp, thủy sản</w:t>
            </w:r>
          </w:p>
        </w:tc>
      </w:tr>
      <w:tr w:rsidR="00085789" w14:paraId="3EA00BCF" w14:textId="77777777">
        <w:trPr>
          <w:trHeight w:val="70"/>
          <w:jc w:val="center"/>
        </w:trPr>
        <w:tc>
          <w:tcPr>
            <w:tcW w:w="289" w:type="pct"/>
            <w:noWrap/>
            <w:vAlign w:val="center"/>
          </w:tcPr>
          <w:p w14:paraId="2ECEACB7" w14:textId="77777777" w:rsidR="00085789" w:rsidRDefault="00000000">
            <w:pPr>
              <w:spacing w:before="20" w:after="20" w:line="240" w:lineRule="auto"/>
              <w:jc w:val="center"/>
              <w:rPr>
                <w:sz w:val="24"/>
                <w:szCs w:val="24"/>
              </w:rPr>
            </w:pPr>
            <w:r>
              <w:rPr>
                <w:sz w:val="24"/>
                <w:szCs w:val="24"/>
              </w:rPr>
              <w:t>27</w:t>
            </w:r>
          </w:p>
        </w:tc>
        <w:tc>
          <w:tcPr>
            <w:tcW w:w="1234" w:type="pct"/>
            <w:vAlign w:val="center"/>
          </w:tcPr>
          <w:p w14:paraId="49C4B249" w14:textId="77777777" w:rsidR="00085789" w:rsidRDefault="00000000">
            <w:pPr>
              <w:spacing w:before="20" w:after="20" w:line="240" w:lineRule="auto"/>
              <w:rPr>
                <w:sz w:val="24"/>
                <w:szCs w:val="24"/>
              </w:rPr>
            </w:pPr>
            <w:r>
              <w:rPr>
                <w:sz w:val="24"/>
                <w:szCs w:val="24"/>
              </w:rPr>
              <w:t>Xã Kỳ Hoa</w:t>
            </w:r>
          </w:p>
        </w:tc>
        <w:tc>
          <w:tcPr>
            <w:tcW w:w="2067" w:type="pct"/>
            <w:vAlign w:val="center"/>
          </w:tcPr>
          <w:p w14:paraId="19F87124" w14:textId="77777777" w:rsidR="00085789" w:rsidRDefault="00000000">
            <w:pPr>
              <w:spacing w:before="20" w:after="20" w:line="240" w:lineRule="auto"/>
              <w:jc w:val="both"/>
              <w:rPr>
                <w:i/>
                <w:sz w:val="24"/>
                <w:szCs w:val="24"/>
                <w:u w:val="single"/>
              </w:rPr>
            </w:pPr>
            <w:r>
              <w:rPr>
                <w:spacing w:val="-6"/>
                <w:sz w:val="24"/>
                <w:szCs w:val="24"/>
              </w:rPr>
              <w:t>Đá Cát</w:t>
            </w:r>
          </w:p>
        </w:tc>
        <w:tc>
          <w:tcPr>
            <w:tcW w:w="1409" w:type="pct"/>
            <w:vMerge/>
            <w:vAlign w:val="center"/>
          </w:tcPr>
          <w:p w14:paraId="6B1924A7" w14:textId="77777777" w:rsidR="00085789" w:rsidRDefault="00085789">
            <w:pPr>
              <w:spacing w:before="20" w:after="20" w:line="240" w:lineRule="auto"/>
              <w:jc w:val="both"/>
              <w:rPr>
                <w:sz w:val="24"/>
                <w:szCs w:val="24"/>
              </w:rPr>
            </w:pPr>
          </w:p>
        </w:tc>
      </w:tr>
      <w:tr w:rsidR="00085789" w14:paraId="02D9C000" w14:textId="77777777">
        <w:trPr>
          <w:trHeight w:val="70"/>
          <w:jc w:val="center"/>
        </w:trPr>
        <w:tc>
          <w:tcPr>
            <w:tcW w:w="289" w:type="pct"/>
            <w:noWrap/>
            <w:vAlign w:val="center"/>
          </w:tcPr>
          <w:p w14:paraId="1CF1E8D5" w14:textId="77777777" w:rsidR="00085789" w:rsidRDefault="00000000">
            <w:pPr>
              <w:spacing w:before="20" w:after="20" w:line="240" w:lineRule="auto"/>
              <w:jc w:val="center"/>
              <w:rPr>
                <w:sz w:val="24"/>
                <w:szCs w:val="24"/>
              </w:rPr>
            </w:pPr>
            <w:r>
              <w:rPr>
                <w:sz w:val="24"/>
                <w:szCs w:val="24"/>
              </w:rPr>
              <w:t>28</w:t>
            </w:r>
          </w:p>
        </w:tc>
        <w:tc>
          <w:tcPr>
            <w:tcW w:w="1234" w:type="pct"/>
            <w:vAlign w:val="center"/>
          </w:tcPr>
          <w:p w14:paraId="077DE4AF" w14:textId="77777777" w:rsidR="00085789" w:rsidRDefault="00000000">
            <w:pPr>
              <w:spacing w:before="20" w:after="20" w:line="240" w:lineRule="auto"/>
              <w:rPr>
                <w:sz w:val="24"/>
                <w:szCs w:val="24"/>
              </w:rPr>
            </w:pPr>
            <w:r>
              <w:rPr>
                <w:sz w:val="24"/>
                <w:szCs w:val="24"/>
              </w:rPr>
              <w:t>Xã Kỳ Xuân</w:t>
            </w:r>
          </w:p>
        </w:tc>
        <w:tc>
          <w:tcPr>
            <w:tcW w:w="2067" w:type="pct"/>
            <w:vAlign w:val="center"/>
          </w:tcPr>
          <w:p w14:paraId="03BAD4FC" w14:textId="77777777" w:rsidR="00085789" w:rsidRDefault="00000000">
            <w:pPr>
              <w:spacing w:before="20" w:after="20" w:line="240" w:lineRule="auto"/>
              <w:jc w:val="both"/>
              <w:rPr>
                <w:sz w:val="24"/>
                <w:szCs w:val="24"/>
              </w:rPr>
            </w:pPr>
            <w:r>
              <w:rPr>
                <w:spacing w:val="-6"/>
                <w:sz w:val="24"/>
                <w:szCs w:val="24"/>
              </w:rPr>
              <w:t>Nước Xanh, Ba Khe, Khe Còi</w:t>
            </w:r>
          </w:p>
        </w:tc>
        <w:tc>
          <w:tcPr>
            <w:tcW w:w="1409" w:type="pct"/>
            <w:vMerge/>
            <w:vAlign w:val="center"/>
          </w:tcPr>
          <w:p w14:paraId="31897EFF" w14:textId="77777777" w:rsidR="00085789" w:rsidRDefault="00085789">
            <w:pPr>
              <w:spacing w:before="20" w:after="20" w:line="240" w:lineRule="auto"/>
              <w:jc w:val="both"/>
              <w:rPr>
                <w:sz w:val="24"/>
                <w:szCs w:val="24"/>
              </w:rPr>
            </w:pPr>
          </w:p>
        </w:tc>
      </w:tr>
      <w:tr w:rsidR="00085789" w14:paraId="220FB074" w14:textId="77777777">
        <w:trPr>
          <w:trHeight w:val="70"/>
          <w:jc w:val="center"/>
        </w:trPr>
        <w:tc>
          <w:tcPr>
            <w:tcW w:w="289" w:type="pct"/>
            <w:noWrap/>
            <w:vAlign w:val="center"/>
          </w:tcPr>
          <w:p w14:paraId="76A77EC9" w14:textId="77777777" w:rsidR="00085789" w:rsidRDefault="00000000">
            <w:pPr>
              <w:spacing w:before="20" w:after="20" w:line="240" w:lineRule="auto"/>
              <w:jc w:val="center"/>
              <w:rPr>
                <w:sz w:val="24"/>
                <w:szCs w:val="24"/>
              </w:rPr>
            </w:pPr>
            <w:r>
              <w:rPr>
                <w:sz w:val="24"/>
                <w:szCs w:val="24"/>
              </w:rPr>
              <w:t>29</w:t>
            </w:r>
          </w:p>
        </w:tc>
        <w:tc>
          <w:tcPr>
            <w:tcW w:w="1234" w:type="pct"/>
            <w:vAlign w:val="center"/>
          </w:tcPr>
          <w:p w14:paraId="12B7ED78" w14:textId="77777777" w:rsidR="00085789" w:rsidRDefault="00000000">
            <w:pPr>
              <w:spacing w:before="20" w:after="20" w:line="240" w:lineRule="auto"/>
              <w:rPr>
                <w:sz w:val="24"/>
                <w:szCs w:val="24"/>
              </w:rPr>
            </w:pPr>
            <w:r>
              <w:rPr>
                <w:sz w:val="24"/>
                <w:szCs w:val="24"/>
              </w:rPr>
              <w:t>Xã Kỳ Văn</w:t>
            </w:r>
          </w:p>
        </w:tc>
        <w:tc>
          <w:tcPr>
            <w:tcW w:w="2067" w:type="pct"/>
            <w:vAlign w:val="center"/>
          </w:tcPr>
          <w:p w14:paraId="351DD628" w14:textId="77777777" w:rsidR="00085789" w:rsidRDefault="00000000">
            <w:pPr>
              <w:spacing w:before="20" w:after="20" w:line="240" w:lineRule="auto"/>
              <w:jc w:val="both"/>
              <w:rPr>
                <w:spacing w:val="-6"/>
                <w:sz w:val="24"/>
                <w:szCs w:val="24"/>
              </w:rPr>
            </w:pPr>
            <w:r>
              <w:rPr>
                <w:spacing w:val="-6"/>
                <w:sz w:val="24"/>
                <w:szCs w:val="24"/>
              </w:rPr>
              <w:t>Văn Võ</w:t>
            </w:r>
          </w:p>
        </w:tc>
        <w:tc>
          <w:tcPr>
            <w:tcW w:w="1409" w:type="pct"/>
            <w:vMerge/>
            <w:vAlign w:val="center"/>
          </w:tcPr>
          <w:p w14:paraId="54AD93E6" w14:textId="77777777" w:rsidR="00085789" w:rsidRDefault="00085789">
            <w:pPr>
              <w:spacing w:before="20" w:after="20" w:line="240" w:lineRule="auto"/>
              <w:jc w:val="both"/>
              <w:rPr>
                <w:sz w:val="24"/>
                <w:szCs w:val="24"/>
              </w:rPr>
            </w:pPr>
          </w:p>
        </w:tc>
      </w:tr>
      <w:tr w:rsidR="00085789" w14:paraId="70A2226C" w14:textId="77777777">
        <w:trPr>
          <w:trHeight w:val="70"/>
          <w:jc w:val="center"/>
        </w:trPr>
        <w:tc>
          <w:tcPr>
            <w:tcW w:w="289" w:type="pct"/>
            <w:noWrap/>
            <w:vAlign w:val="center"/>
          </w:tcPr>
          <w:p w14:paraId="4EF11A12" w14:textId="77777777" w:rsidR="00085789" w:rsidRDefault="00000000">
            <w:pPr>
              <w:spacing w:before="20" w:after="20" w:line="240" w:lineRule="auto"/>
              <w:jc w:val="center"/>
              <w:rPr>
                <w:sz w:val="24"/>
                <w:szCs w:val="24"/>
              </w:rPr>
            </w:pPr>
            <w:r>
              <w:rPr>
                <w:sz w:val="24"/>
                <w:szCs w:val="24"/>
              </w:rPr>
              <w:t>30</w:t>
            </w:r>
          </w:p>
        </w:tc>
        <w:tc>
          <w:tcPr>
            <w:tcW w:w="1234" w:type="pct"/>
            <w:vAlign w:val="center"/>
          </w:tcPr>
          <w:p w14:paraId="12820CC4" w14:textId="77777777" w:rsidR="00085789" w:rsidRDefault="00000000">
            <w:pPr>
              <w:spacing w:before="20" w:after="20" w:line="240" w:lineRule="auto"/>
              <w:rPr>
                <w:sz w:val="24"/>
                <w:szCs w:val="24"/>
              </w:rPr>
            </w:pPr>
            <w:r>
              <w:rPr>
                <w:sz w:val="24"/>
                <w:szCs w:val="24"/>
              </w:rPr>
              <w:t>Xã Kỳ Thượng</w:t>
            </w:r>
          </w:p>
        </w:tc>
        <w:tc>
          <w:tcPr>
            <w:tcW w:w="2067" w:type="pct"/>
            <w:vAlign w:val="center"/>
          </w:tcPr>
          <w:p w14:paraId="22308815" w14:textId="77777777" w:rsidR="00085789" w:rsidRDefault="00000000">
            <w:pPr>
              <w:spacing w:before="20" w:after="20" w:line="240" w:lineRule="auto"/>
              <w:jc w:val="both"/>
              <w:rPr>
                <w:spacing w:val="-6"/>
                <w:sz w:val="24"/>
                <w:szCs w:val="24"/>
              </w:rPr>
            </w:pPr>
            <w:r>
              <w:rPr>
                <w:i/>
                <w:spacing w:val="-6"/>
                <w:sz w:val="24"/>
                <w:szCs w:val="24"/>
                <w:u w:val="single"/>
              </w:rPr>
              <w:t>Rào Trổ</w:t>
            </w:r>
          </w:p>
        </w:tc>
        <w:tc>
          <w:tcPr>
            <w:tcW w:w="1409" w:type="pct"/>
            <w:vMerge/>
            <w:vAlign w:val="center"/>
          </w:tcPr>
          <w:p w14:paraId="3AE14F0B" w14:textId="77777777" w:rsidR="00085789" w:rsidRDefault="00085789">
            <w:pPr>
              <w:spacing w:before="20" w:after="20" w:line="240" w:lineRule="auto"/>
              <w:jc w:val="both"/>
              <w:rPr>
                <w:sz w:val="24"/>
                <w:szCs w:val="24"/>
              </w:rPr>
            </w:pPr>
          </w:p>
        </w:tc>
      </w:tr>
      <w:tr w:rsidR="00085789" w14:paraId="381F40D1" w14:textId="77777777">
        <w:trPr>
          <w:trHeight w:val="70"/>
          <w:jc w:val="center"/>
        </w:trPr>
        <w:tc>
          <w:tcPr>
            <w:tcW w:w="289" w:type="pct"/>
            <w:noWrap/>
            <w:vAlign w:val="center"/>
          </w:tcPr>
          <w:p w14:paraId="170F89BD" w14:textId="77777777" w:rsidR="00085789" w:rsidRDefault="00000000">
            <w:pPr>
              <w:spacing w:before="20" w:after="20" w:line="240" w:lineRule="auto"/>
              <w:jc w:val="center"/>
              <w:rPr>
                <w:sz w:val="24"/>
                <w:szCs w:val="24"/>
              </w:rPr>
            </w:pPr>
            <w:r>
              <w:rPr>
                <w:sz w:val="24"/>
                <w:szCs w:val="24"/>
              </w:rPr>
              <w:t>31</w:t>
            </w:r>
          </w:p>
        </w:tc>
        <w:tc>
          <w:tcPr>
            <w:tcW w:w="1234" w:type="pct"/>
            <w:vAlign w:val="center"/>
          </w:tcPr>
          <w:p w14:paraId="4A23DEEB" w14:textId="77777777" w:rsidR="00085789" w:rsidRDefault="00000000">
            <w:pPr>
              <w:spacing w:before="20" w:after="20" w:line="240" w:lineRule="auto"/>
              <w:rPr>
                <w:sz w:val="24"/>
                <w:szCs w:val="24"/>
              </w:rPr>
            </w:pPr>
            <w:r>
              <w:rPr>
                <w:sz w:val="24"/>
                <w:szCs w:val="24"/>
              </w:rPr>
              <w:t>Xã Kỳ Lạc</w:t>
            </w:r>
          </w:p>
        </w:tc>
        <w:tc>
          <w:tcPr>
            <w:tcW w:w="2067" w:type="pct"/>
            <w:vAlign w:val="center"/>
          </w:tcPr>
          <w:p w14:paraId="5D2BAD3E" w14:textId="77777777" w:rsidR="00085789" w:rsidRDefault="00000000">
            <w:pPr>
              <w:spacing w:before="20" w:after="20" w:line="240" w:lineRule="auto"/>
              <w:jc w:val="both"/>
              <w:rPr>
                <w:i/>
                <w:spacing w:val="-6"/>
                <w:sz w:val="24"/>
                <w:szCs w:val="24"/>
                <w:u w:val="single"/>
              </w:rPr>
            </w:pPr>
            <w:r>
              <w:rPr>
                <w:i/>
                <w:spacing w:val="-6"/>
                <w:sz w:val="24"/>
                <w:szCs w:val="24"/>
                <w:u w:val="single"/>
              </w:rPr>
              <w:t>Khe Sung</w:t>
            </w:r>
          </w:p>
        </w:tc>
        <w:tc>
          <w:tcPr>
            <w:tcW w:w="1409" w:type="pct"/>
            <w:vMerge/>
            <w:vAlign w:val="center"/>
          </w:tcPr>
          <w:p w14:paraId="6FA2157D" w14:textId="77777777" w:rsidR="00085789" w:rsidRDefault="00085789">
            <w:pPr>
              <w:spacing w:before="20" w:after="20" w:line="240" w:lineRule="auto"/>
              <w:jc w:val="both"/>
              <w:rPr>
                <w:sz w:val="24"/>
                <w:szCs w:val="24"/>
              </w:rPr>
            </w:pPr>
          </w:p>
        </w:tc>
      </w:tr>
      <w:tr w:rsidR="00085789" w14:paraId="3DEB0810" w14:textId="77777777">
        <w:trPr>
          <w:trHeight w:val="70"/>
          <w:jc w:val="center"/>
        </w:trPr>
        <w:tc>
          <w:tcPr>
            <w:tcW w:w="289" w:type="pct"/>
            <w:noWrap/>
            <w:vAlign w:val="center"/>
          </w:tcPr>
          <w:p w14:paraId="220654B0" w14:textId="77777777" w:rsidR="00085789" w:rsidRDefault="00000000">
            <w:pPr>
              <w:spacing w:before="20" w:after="20" w:line="240" w:lineRule="auto"/>
              <w:jc w:val="center"/>
              <w:rPr>
                <w:sz w:val="24"/>
                <w:szCs w:val="24"/>
              </w:rPr>
            </w:pPr>
            <w:r>
              <w:rPr>
                <w:sz w:val="24"/>
                <w:szCs w:val="24"/>
              </w:rPr>
              <w:t>32</w:t>
            </w:r>
          </w:p>
        </w:tc>
        <w:tc>
          <w:tcPr>
            <w:tcW w:w="1234" w:type="pct"/>
            <w:vAlign w:val="center"/>
          </w:tcPr>
          <w:p w14:paraId="67EBB7B5" w14:textId="77777777" w:rsidR="00085789" w:rsidRDefault="00000000">
            <w:pPr>
              <w:spacing w:before="20" w:after="20" w:line="240" w:lineRule="auto"/>
              <w:rPr>
                <w:sz w:val="24"/>
                <w:szCs w:val="24"/>
              </w:rPr>
            </w:pPr>
            <w:r>
              <w:rPr>
                <w:sz w:val="24"/>
                <w:szCs w:val="24"/>
              </w:rPr>
              <w:t>Xã Kỳ Hoa</w:t>
            </w:r>
          </w:p>
        </w:tc>
        <w:tc>
          <w:tcPr>
            <w:tcW w:w="2067" w:type="pct"/>
            <w:vAlign w:val="center"/>
          </w:tcPr>
          <w:p w14:paraId="58F37770" w14:textId="77777777" w:rsidR="00085789" w:rsidRDefault="00000000">
            <w:pPr>
              <w:spacing w:before="20" w:after="20" w:line="240" w:lineRule="auto"/>
              <w:jc w:val="both"/>
              <w:rPr>
                <w:i/>
                <w:spacing w:val="-6"/>
                <w:sz w:val="24"/>
                <w:szCs w:val="24"/>
                <w:u w:val="single"/>
              </w:rPr>
            </w:pPr>
            <w:r>
              <w:rPr>
                <w:sz w:val="24"/>
                <w:szCs w:val="24"/>
              </w:rPr>
              <w:t xml:space="preserve">Thượng sông Trí, </w:t>
            </w:r>
            <w:r>
              <w:rPr>
                <w:i/>
                <w:sz w:val="24"/>
                <w:szCs w:val="24"/>
                <w:u w:val="single"/>
              </w:rPr>
              <w:t xml:space="preserve">Kim Sơn, </w:t>
            </w:r>
          </w:p>
        </w:tc>
        <w:tc>
          <w:tcPr>
            <w:tcW w:w="1409" w:type="pct"/>
            <w:vMerge/>
            <w:vAlign w:val="center"/>
          </w:tcPr>
          <w:p w14:paraId="0F39F7FB" w14:textId="77777777" w:rsidR="00085789" w:rsidRDefault="00085789">
            <w:pPr>
              <w:spacing w:before="20" w:after="20" w:line="240" w:lineRule="auto"/>
              <w:jc w:val="both"/>
              <w:rPr>
                <w:sz w:val="24"/>
                <w:szCs w:val="24"/>
              </w:rPr>
            </w:pPr>
          </w:p>
        </w:tc>
      </w:tr>
      <w:tr w:rsidR="00085789" w14:paraId="7D7DBAD7" w14:textId="77777777">
        <w:trPr>
          <w:trHeight w:val="70"/>
          <w:jc w:val="center"/>
        </w:trPr>
        <w:tc>
          <w:tcPr>
            <w:tcW w:w="289" w:type="pct"/>
            <w:noWrap/>
            <w:vAlign w:val="center"/>
          </w:tcPr>
          <w:p w14:paraId="7CA12A45" w14:textId="77777777" w:rsidR="00085789" w:rsidRDefault="00000000">
            <w:pPr>
              <w:spacing w:before="20" w:after="20" w:line="240" w:lineRule="auto"/>
              <w:jc w:val="center"/>
              <w:rPr>
                <w:sz w:val="24"/>
                <w:szCs w:val="24"/>
              </w:rPr>
            </w:pPr>
            <w:r>
              <w:rPr>
                <w:sz w:val="24"/>
                <w:szCs w:val="24"/>
              </w:rPr>
              <w:t>33</w:t>
            </w:r>
          </w:p>
        </w:tc>
        <w:tc>
          <w:tcPr>
            <w:tcW w:w="1234" w:type="pct"/>
            <w:vAlign w:val="center"/>
          </w:tcPr>
          <w:p w14:paraId="4DDF9ED0" w14:textId="77777777" w:rsidR="00085789" w:rsidRDefault="00000000">
            <w:pPr>
              <w:spacing w:before="20" w:after="20" w:line="240" w:lineRule="auto"/>
              <w:rPr>
                <w:sz w:val="24"/>
                <w:szCs w:val="24"/>
              </w:rPr>
            </w:pPr>
            <w:r>
              <w:rPr>
                <w:sz w:val="24"/>
                <w:szCs w:val="24"/>
              </w:rPr>
              <w:t>Phường Vũng Áng</w:t>
            </w:r>
          </w:p>
        </w:tc>
        <w:tc>
          <w:tcPr>
            <w:tcW w:w="2067" w:type="pct"/>
            <w:vAlign w:val="center"/>
          </w:tcPr>
          <w:p w14:paraId="16DC743F" w14:textId="77777777" w:rsidR="00085789" w:rsidRDefault="00000000">
            <w:pPr>
              <w:spacing w:before="20" w:after="20" w:line="240" w:lineRule="auto"/>
              <w:jc w:val="both"/>
              <w:rPr>
                <w:i/>
                <w:spacing w:val="-6"/>
                <w:sz w:val="24"/>
                <w:szCs w:val="24"/>
                <w:u w:val="single"/>
              </w:rPr>
            </w:pPr>
            <w:r>
              <w:rPr>
                <w:i/>
                <w:sz w:val="24"/>
                <w:szCs w:val="24"/>
                <w:u w:val="single"/>
              </w:rPr>
              <w:t>Tàu Voi</w:t>
            </w:r>
          </w:p>
        </w:tc>
        <w:tc>
          <w:tcPr>
            <w:tcW w:w="1409" w:type="pct"/>
            <w:vMerge w:val="restart"/>
            <w:vAlign w:val="center"/>
          </w:tcPr>
          <w:p w14:paraId="226450D5" w14:textId="77777777" w:rsidR="00085789" w:rsidRDefault="00000000">
            <w:pPr>
              <w:spacing w:before="20" w:after="20" w:line="240" w:lineRule="auto"/>
              <w:jc w:val="both"/>
              <w:rPr>
                <w:sz w:val="24"/>
                <w:szCs w:val="24"/>
              </w:rPr>
            </w:pPr>
            <w:r>
              <w:rPr>
                <w:i/>
                <w:spacing w:val="-4"/>
                <w:sz w:val="24"/>
                <w:szCs w:val="24"/>
                <w:u w:val="single"/>
              </w:rPr>
              <w:t>Cấp nước sinh hoạt</w:t>
            </w:r>
            <w:r>
              <w:rPr>
                <w:spacing w:val="-4"/>
                <w:sz w:val="24"/>
                <w:szCs w:val="24"/>
              </w:rPr>
              <w:t>, công nghiệp, nông nghiệp, thủy sản</w:t>
            </w:r>
          </w:p>
        </w:tc>
      </w:tr>
      <w:tr w:rsidR="00085789" w14:paraId="117C1B44" w14:textId="77777777">
        <w:trPr>
          <w:trHeight w:val="70"/>
          <w:jc w:val="center"/>
        </w:trPr>
        <w:tc>
          <w:tcPr>
            <w:tcW w:w="289" w:type="pct"/>
            <w:noWrap/>
            <w:vAlign w:val="center"/>
          </w:tcPr>
          <w:p w14:paraId="5B75C489" w14:textId="77777777" w:rsidR="00085789" w:rsidRDefault="00000000">
            <w:pPr>
              <w:spacing w:before="20" w:after="20" w:line="240" w:lineRule="auto"/>
              <w:jc w:val="center"/>
              <w:rPr>
                <w:sz w:val="24"/>
                <w:szCs w:val="24"/>
              </w:rPr>
            </w:pPr>
            <w:r>
              <w:rPr>
                <w:sz w:val="24"/>
                <w:szCs w:val="24"/>
              </w:rPr>
              <w:t>34</w:t>
            </w:r>
          </w:p>
        </w:tc>
        <w:tc>
          <w:tcPr>
            <w:tcW w:w="1234" w:type="pct"/>
            <w:vAlign w:val="center"/>
          </w:tcPr>
          <w:p w14:paraId="5001B47A" w14:textId="77777777" w:rsidR="00085789" w:rsidRDefault="00000000">
            <w:pPr>
              <w:spacing w:before="20" w:after="20" w:line="240" w:lineRule="auto"/>
              <w:rPr>
                <w:sz w:val="24"/>
                <w:szCs w:val="24"/>
              </w:rPr>
            </w:pPr>
            <w:r>
              <w:rPr>
                <w:sz w:val="24"/>
                <w:szCs w:val="24"/>
              </w:rPr>
              <w:t>Phường Sông Trí</w:t>
            </w:r>
          </w:p>
        </w:tc>
        <w:tc>
          <w:tcPr>
            <w:tcW w:w="2067" w:type="pct"/>
            <w:vAlign w:val="center"/>
          </w:tcPr>
          <w:p w14:paraId="6C759E0F" w14:textId="77777777" w:rsidR="00085789" w:rsidRDefault="00000000">
            <w:pPr>
              <w:spacing w:before="20" w:after="20" w:line="240" w:lineRule="auto"/>
              <w:jc w:val="both"/>
              <w:rPr>
                <w:spacing w:val="-6"/>
                <w:sz w:val="24"/>
                <w:szCs w:val="24"/>
              </w:rPr>
            </w:pPr>
            <w:r>
              <w:rPr>
                <w:sz w:val="24"/>
                <w:szCs w:val="24"/>
              </w:rPr>
              <w:t>Mộc Hương</w:t>
            </w:r>
          </w:p>
        </w:tc>
        <w:tc>
          <w:tcPr>
            <w:tcW w:w="1409" w:type="pct"/>
            <w:vMerge/>
            <w:vAlign w:val="center"/>
          </w:tcPr>
          <w:p w14:paraId="773D9B4F" w14:textId="77777777" w:rsidR="00085789" w:rsidRDefault="00085789">
            <w:pPr>
              <w:spacing w:before="20" w:after="20" w:line="240" w:lineRule="auto"/>
              <w:jc w:val="both"/>
              <w:rPr>
                <w:sz w:val="24"/>
                <w:szCs w:val="24"/>
              </w:rPr>
            </w:pPr>
          </w:p>
        </w:tc>
      </w:tr>
      <w:tr w:rsidR="00085789" w14:paraId="010A6A85" w14:textId="77777777">
        <w:trPr>
          <w:trHeight w:val="70"/>
          <w:jc w:val="center"/>
        </w:trPr>
        <w:tc>
          <w:tcPr>
            <w:tcW w:w="289" w:type="pct"/>
            <w:noWrap/>
            <w:vAlign w:val="center"/>
          </w:tcPr>
          <w:p w14:paraId="612EB307" w14:textId="77777777" w:rsidR="00085789" w:rsidRDefault="00000000">
            <w:pPr>
              <w:spacing w:before="20" w:after="20" w:line="240" w:lineRule="auto"/>
              <w:jc w:val="center"/>
              <w:rPr>
                <w:sz w:val="24"/>
                <w:szCs w:val="24"/>
              </w:rPr>
            </w:pPr>
            <w:r>
              <w:rPr>
                <w:sz w:val="24"/>
                <w:szCs w:val="24"/>
              </w:rPr>
              <w:t>35</w:t>
            </w:r>
          </w:p>
        </w:tc>
        <w:tc>
          <w:tcPr>
            <w:tcW w:w="1234" w:type="pct"/>
            <w:vAlign w:val="center"/>
          </w:tcPr>
          <w:p w14:paraId="5796FDA4" w14:textId="77777777" w:rsidR="00085789" w:rsidRDefault="00000000">
            <w:pPr>
              <w:spacing w:before="20" w:after="20" w:line="240" w:lineRule="auto"/>
              <w:rPr>
                <w:sz w:val="24"/>
                <w:szCs w:val="24"/>
              </w:rPr>
            </w:pPr>
            <w:r>
              <w:rPr>
                <w:sz w:val="24"/>
                <w:szCs w:val="24"/>
              </w:rPr>
              <w:t>Phường Hoành Sơn</w:t>
            </w:r>
          </w:p>
        </w:tc>
        <w:tc>
          <w:tcPr>
            <w:tcW w:w="2067" w:type="pct"/>
            <w:vAlign w:val="center"/>
          </w:tcPr>
          <w:p w14:paraId="568D5E35" w14:textId="77777777" w:rsidR="00085789" w:rsidRDefault="00000000">
            <w:pPr>
              <w:spacing w:before="20" w:after="20" w:line="240" w:lineRule="auto"/>
              <w:jc w:val="both"/>
              <w:rPr>
                <w:sz w:val="24"/>
                <w:szCs w:val="24"/>
              </w:rPr>
            </w:pPr>
            <w:r>
              <w:rPr>
                <w:sz w:val="24"/>
                <w:szCs w:val="24"/>
              </w:rPr>
              <w:t>Khe Bò</w:t>
            </w:r>
          </w:p>
        </w:tc>
        <w:tc>
          <w:tcPr>
            <w:tcW w:w="1409" w:type="pct"/>
            <w:vMerge/>
            <w:vAlign w:val="center"/>
          </w:tcPr>
          <w:p w14:paraId="08640B19" w14:textId="77777777" w:rsidR="00085789" w:rsidRDefault="00085789">
            <w:pPr>
              <w:spacing w:before="20" w:after="20" w:line="240" w:lineRule="auto"/>
              <w:jc w:val="both"/>
              <w:rPr>
                <w:sz w:val="24"/>
                <w:szCs w:val="24"/>
              </w:rPr>
            </w:pPr>
          </w:p>
        </w:tc>
      </w:tr>
      <w:tr w:rsidR="00085789" w14:paraId="07489779" w14:textId="77777777">
        <w:trPr>
          <w:trHeight w:val="70"/>
          <w:jc w:val="center"/>
        </w:trPr>
        <w:tc>
          <w:tcPr>
            <w:tcW w:w="289" w:type="pct"/>
            <w:noWrap/>
            <w:vAlign w:val="center"/>
          </w:tcPr>
          <w:p w14:paraId="07A518C8" w14:textId="77777777" w:rsidR="00085789" w:rsidRDefault="00000000">
            <w:pPr>
              <w:spacing w:before="20" w:after="20" w:line="240" w:lineRule="auto"/>
              <w:jc w:val="center"/>
              <w:rPr>
                <w:sz w:val="24"/>
                <w:szCs w:val="24"/>
              </w:rPr>
            </w:pPr>
            <w:r>
              <w:rPr>
                <w:sz w:val="24"/>
                <w:szCs w:val="24"/>
              </w:rPr>
              <w:t>36</w:t>
            </w:r>
          </w:p>
        </w:tc>
        <w:tc>
          <w:tcPr>
            <w:tcW w:w="1234" w:type="pct"/>
            <w:vAlign w:val="center"/>
          </w:tcPr>
          <w:p w14:paraId="63B4676E" w14:textId="77777777" w:rsidR="00085789" w:rsidRDefault="00000000">
            <w:pPr>
              <w:spacing w:before="20" w:after="20" w:line="240" w:lineRule="auto"/>
              <w:rPr>
                <w:sz w:val="24"/>
                <w:szCs w:val="24"/>
              </w:rPr>
            </w:pPr>
            <w:r>
              <w:rPr>
                <w:sz w:val="24"/>
                <w:szCs w:val="24"/>
              </w:rPr>
              <w:t>Xã Hồng Lộc</w:t>
            </w:r>
          </w:p>
        </w:tc>
        <w:tc>
          <w:tcPr>
            <w:tcW w:w="2067" w:type="pct"/>
            <w:vAlign w:val="center"/>
          </w:tcPr>
          <w:p w14:paraId="1AF0C3D6" w14:textId="77777777" w:rsidR="00085789" w:rsidRDefault="00000000">
            <w:pPr>
              <w:spacing w:before="20" w:after="20" w:line="240" w:lineRule="auto"/>
              <w:jc w:val="both"/>
              <w:rPr>
                <w:spacing w:val="-6"/>
                <w:sz w:val="24"/>
                <w:szCs w:val="24"/>
              </w:rPr>
            </w:pPr>
            <w:r>
              <w:rPr>
                <w:spacing w:val="-6"/>
                <w:sz w:val="24"/>
                <w:szCs w:val="24"/>
                <w:u w:val="single"/>
              </w:rPr>
              <w:t>Khe Hao trên</w:t>
            </w:r>
            <w:r>
              <w:rPr>
                <w:spacing w:val="-6"/>
                <w:sz w:val="24"/>
                <w:szCs w:val="24"/>
              </w:rPr>
              <w:t xml:space="preserve">, </w:t>
            </w:r>
            <w:r>
              <w:rPr>
                <w:spacing w:val="-6"/>
                <w:sz w:val="24"/>
                <w:szCs w:val="24"/>
                <w:u w:val="single"/>
              </w:rPr>
              <w:t>Khe Hao dưới,</w:t>
            </w:r>
            <w:r>
              <w:rPr>
                <w:i/>
                <w:spacing w:val="-6"/>
                <w:sz w:val="24"/>
                <w:szCs w:val="24"/>
                <w:u w:val="single"/>
              </w:rPr>
              <w:t xml:space="preserve"> </w:t>
            </w:r>
            <w:r>
              <w:rPr>
                <w:spacing w:val="-6"/>
                <w:sz w:val="24"/>
                <w:szCs w:val="24"/>
              </w:rPr>
              <w:t>Đồng Hố</w:t>
            </w:r>
          </w:p>
        </w:tc>
        <w:tc>
          <w:tcPr>
            <w:tcW w:w="1409" w:type="pct"/>
            <w:vAlign w:val="center"/>
          </w:tcPr>
          <w:p w14:paraId="2195B4DF" w14:textId="77777777" w:rsidR="00085789" w:rsidRDefault="00000000">
            <w:pPr>
              <w:spacing w:before="20" w:after="20" w:line="240" w:lineRule="auto"/>
              <w:jc w:val="both"/>
              <w:rPr>
                <w:spacing w:val="-4"/>
                <w:sz w:val="24"/>
                <w:szCs w:val="24"/>
              </w:rPr>
            </w:pPr>
            <w:r>
              <w:rPr>
                <w:i/>
                <w:sz w:val="24"/>
                <w:szCs w:val="24"/>
                <w:u w:val="single"/>
              </w:rPr>
              <w:t>Cấp nước sinh hoạt</w:t>
            </w:r>
            <w:r>
              <w:rPr>
                <w:sz w:val="24"/>
                <w:szCs w:val="24"/>
              </w:rPr>
              <w:t>, nông nghiệp, thủy sản</w:t>
            </w:r>
          </w:p>
        </w:tc>
      </w:tr>
      <w:tr w:rsidR="00085789" w14:paraId="791FBC87" w14:textId="77777777">
        <w:trPr>
          <w:trHeight w:val="70"/>
          <w:jc w:val="center"/>
        </w:trPr>
        <w:tc>
          <w:tcPr>
            <w:tcW w:w="289" w:type="pct"/>
            <w:noWrap/>
            <w:vAlign w:val="center"/>
          </w:tcPr>
          <w:p w14:paraId="06E7A2E0" w14:textId="77777777" w:rsidR="00085789" w:rsidRDefault="00000000">
            <w:pPr>
              <w:spacing w:before="20" w:after="20" w:line="240" w:lineRule="auto"/>
              <w:jc w:val="center"/>
              <w:rPr>
                <w:sz w:val="24"/>
                <w:szCs w:val="24"/>
              </w:rPr>
            </w:pPr>
            <w:r>
              <w:rPr>
                <w:sz w:val="24"/>
                <w:szCs w:val="24"/>
              </w:rPr>
              <w:t>37</w:t>
            </w:r>
          </w:p>
        </w:tc>
        <w:tc>
          <w:tcPr>
            <w:tcW w:w="1234" w:type="pct"/>
            <w:vAlign w:val="center"/>
          </w:tcPr>
          <w:p w14:paraId="7F601B67" w14:textId="77777777" w:rsidR="00085789" w:rsidRDefault="00000000">
            <w:pPr>
              <w:spacing w:before="20" w:after="20" w:line="240" w:lineRule="auto"/>
              <w:rPr>
                <w:sz w:val="24"/>
                <w:szCs w:val="24"/>
              </w:rPr>
            </w:pPr>
            <w:r>
              <w:rPr>
                <w:sz w:val="24"/>
                <w:szCs w:val="24"/>
              </w:rPr>
              <w:t>Xã Thạch Xuân</w:t>
            </w:r>
          </w:p>
        </w:tc>
        <w:tc>
          <w:tcPr>
            <w:tcW w:w="2067" w:type="pct"/>
            <w:vAlign w:val="center"/>
          </w:tcPr>
          <w:p w14:paraId="250828D1" w14:textId="77777777" w:rsidR="00085789" w:rsidRDefault="00000000">
            <w:pPr>
              <w:spacing w:before="20" w:after="20" w:line="240" w:lineRule="auto"/>
              <w:jc w:val="both"/>
              <w:rPr>
                <w:sz w:val="24"/>
                <w:szCs w:val="24"/>
              </w:rPr>
            </w:pPr>
            <w:r>
              <w:rPr>
                <w:sz w:val="24"/>
                <w:szCs w:val="24"/>
              </w:rPr>
              <w:t>Khe Xai</w:t>
            </w:r>
          </w:p>
        </w:tc>
        <w:tc>
          <w:tcPr>
            <w:tcW w:w="1409" w:type="pct"/>
            <w:vMerge w:val="restart"/>
            <w:vAlign w:val="center"/>
          </w:tcPr>
          <w:p w14:paraId="4512B111" w14:textId="77777777" w:rsidR="00085789" w:rsidRDefault="00000000">
            <w:pPr>
              <w:spacing w:before="20" w:after="20" w:line="240" w:lineRule="auto"/>
              <w:jc w:val="both"/>
              <w:rPr>
                <w:sz w:val="24"/>
                <w:szCs w:val="24"/>
              </w:rPr>
            </w:pPr>
            <w:r>
              <w:rPr>
                <w:sz w:val="24"/>
                <w:szCs w:val="24"/>
              </w:rPr>
              <w:t>Cấp nước nông nghiệp, thủy sản</w:t>
            </w:r>
          </w:p>
        </w:tc>
      </w:tr>
      <w:tr w:rsidR="00085789" w14:paraId="65EB2107" w14:textId="77777777">
        <w:trPr>
          <w:trHeight w:val="70"/>
          <w:jc w:val="center"/>
        </w:trPr>
        <w:tc>
          <w:tcPr>
            <w:tcW w:w="289" w:type="pct"/>
            <w:noWrap/>
            <w:vAlign w:val="center"/>
          </w:tcPr>
          <w:p w14:paraId="519081B3" w14:textId="77777777" w:rsidR="00085789" w:rsidRDefault="00000000">
            <w:pPr>
              <w:spacing w:before="20" w:after="20" w:line="240" w:lineRule="auto"/>
              <w:jc w:val="center"/>
              <w:rPr>
                <w:sz w:val="24"/>
                <w:szCs w:val="24"/>
              </w:rPr>
            </w:pPr>
            <w:r>
              <w:rPr>
                <w:sz w:val="24"/>
                <w:szCs w:val="24"/>
              </w:rPr>
              <w:t>38</w:t>
            </w:r>
          </w:p>
        </w:tc>
        <w:tc>
          <w:tcPr>
            <w:tcW w:w="1234" w:type="pct"/>
            <w:vAlign w:val="center"/>
          </w:tcPr>
          <w:p w14:paraId="2FCC9734" w14:textId="77777777" w:rsidR="00085789" w:rsidRDefault="00000000">
            <w:pPr>
              <w:spacing w:before="20" w:after="20" w:line="240" w:lineRule="auto"/>
              <w:rPr>
                <w:sz w:val="24"/>
                <w:szCs w:val="24"/>
              </w:rPr>
            </w:pPr>
            <w:r>
              <w:rPr>
                <w:sz w:val="24"/>
                <w:szCs w:val="24"/>
              </w:rPr>
              <w:t>Xã Toàn Lưu</w:t>
            </w:r>
          </w:p>
        </w:tc>
        <w:tc>
          <w:tcPr>
            <w:tcW w:w="2067" w:type="pct"/>
            <w:vAlign w:val="center"/>
          </w:tcPr>
          <w:p w14:paraId="56D1844D" w14:textId="77777777" w:rsidR="00085789" w:rsidRDefault="00000000">
            <w:pPr>
              <w:spacing w:before="20" w:after="20" w:line="240" w:lineRule="auto"/>
              <w:jc w:val="both"/>
              <w:rPr>
                <w:sz w:val="24"/>
                <w:szCs w:val="24"/>
              </w:rPr>
            </w:pPr>
            <w:r>
              <w:rPr>
                <w:sz w:val="24"/>
                <w:szCs w:val="24"/>
              </w:rPr>
              <w:t>Đập Bún, Đá Đen</w:t>
            </w:r>
          </w:p>
        </w:tc>
        <w:tc>
          <w:tcPr>
            <w:tcW w:w="1409" w:type="pct"/>
            <w:vMerge/>
            <w:vAlign w:val="center"/>
          </w:tcPr>
          <w:p w14:paraId="3ECD52B8" w14:textId="77777777" w:rsidR="00085789" w:rsidRDefault="00085789">
            <w:pPr>
              <w:spacing w:before="20" w:after="20" w:line="240" w:lineRule="auto"/>
              <w:jc w:val="both"/>
              <w:rPr>
                <w:sz w:val="24"/>
                <w:szCs w:val="24"/>
              </w:rPr>
            </w:pPr>
          </w:p>
        </w:tc>
      </w:tr>
    </w:tbl>
    <w:p w14:paraId="085EEEA0" w14:textId="77777777" w:rsidR="00085789" w:rsidRDefault="00000000">
      <w:pPr>
        <w:pStyle w:val="bac2"/>
        <w:spacing w:before="120" w:after="0" w:line="240" w:lineRule="auto"/>
        <w:rPr>
          <w:smallCaps/>
          <w:lang w:val="vi-VN"/>
        </w:rPr>
      </w:pPr>
      <w:bookmarkStart w:id="466" w:name="_Toc214311230"/>
      <w:r>
        <w:rPr>
          <w:lang w:val="vi-VN"/>
        </w:rPr>
        <w:t>3.1.2. Diễn biến ô nhiễm</w:t>
      </w:r>
      <w:bookmarkEnd w:id="466"/>
    </w:p>
    <w:p w14:paraId="3CF524E0" w14:textId="77777777" w:rsidR="00085789" w:rsidRDefault="00000000">
      <w:pPr>
        <w:pStyle w:val="-bac3"/>
        <w:spacing w:before="120" w:after="0" w:line="240" w:lineRule="auto"/>
        <w:rPr>
          <w:smallCaps/>
          <w:lang w:val="vi-VN"/>
        </w:rPr>
      </w:pPr>
      <w:bookmarkStart w:id="467" w:name="_Toc214311231"/>
      <w:r>
        <w:rPr>
          <w:lang w:val="vi-VN"/>
        </w:rPr>
        <w:t>3.1.2.1. Khái quát diễn biến chất lượng nước mặt theo các thông số đặc trưng</w:t>
      </w:r>
      <w:bookmarkEnd w:id="467"/>
    </w:p>
    <w:p w14:paraId="23947A6C" w14:textId="77777777" w:rsidR="00085789" w:rsidRDefault="00000000">
      <w:pPr>
        <w:widowControl w:val="0"/>
        <w:spacing w:before="120" w:line="240" w:lineRule="auto"/>
        <w:ind w:firstLine="720"/>
        <w:jc w:val="both"/>
        <w:rPr>
          <w:spacing w:val="-2"/>
          <w:sz w:val="26"/>
          <w:szCs w:val="26"/>
          <w:lang w:val="vi-VN"/>
        </w:rPr>
      </w:pPr>
      <w:r>
        <w:rPr>
          <w:spacing w:val="-2"/>
          <w:sz w:val="26"/>
          <w:szCs w:val="26"/>
          <w:lang w:val="vi-VN"/>
        </w:rPr>
        <w:t xml:space="preserve">Diễn biến chất lượng môi trường nước mặt trên địa bàn Hà Tĩnh được đánh giá trên cơ sở kết quả quan trắc giai đoạn từ năm 2021 đến Quý II/2025. Chất lượng môi trường nước được </w:t>
      </w:r>
      <w:r>
        <w:rPr>
          <w:spacing w:val="-4"/>
          <w:sz w:val="26"/>
          <w:szCs w:val="26"/>
          <w:lang w:val="vi-VN"/>
        </w:rPr>
        <w:t>đánh giá trên cơ sở so sánh, đối chiếu với giá trị giới hạn được quy định tại QCVN 08-</w:t>
      </w:r>
      <w:r>
        <w:rPr>
          <w:spacing w:val="-4"/>
          <w:sz w:val="26"/>
          <w:szCs w:val="26"/>
          <w:lang w:val="vi-VN"/>
        </w:rPr>
        <w:lastRenderedPageBreak/>
        <w:t xml:space="preserve">MT:2015/BTNMT (giai đoạn từ năm 2021-2022), QCVN 08:2023/BTNMT (từ năm 2023 đến nay) và dựa theo chỉ số chất lượng nước (VN_WQI, gọi tắt là WQI) </w:t>
      </w:r>
      <w:hyperlink r:id="rId35" w:history="1">
        <w:r w:rsidR="00085789">
          <w:rPr>
            <w:spacing w:val="-4"/>
            <w:sz w:val="26"/>
            <w:szCs w:val="26"/>
            <w:lang w:val="vi-VN"/>
          </w:rPr>
          <w:t>do</w:t>
        </w:r>
      </w:hyperlink>
      <w:r>
        <w:rPr>
          <w:spacing w:val="-4"/>
          <w:sz w:val="26"/>
          <w:szCs w:val="26"/>
          <w:lang w:val="vi-VN"/>
        </w:rPr>
        <w:t xml:space="preserve"> Tổng cục Môi trường xây dựng và ban hành</w:t>
      </w:r>
      <w:r>
        <w:rPr>
          <w:rStyle w:val="FootnoteReference"/>
          <w:spacing w:val="-4"/>
          <w:sz w:val="26"/>
          <w:szCs w:val="26"/>
        </w:rPr>
        <w:footnoteReference w:id="36"/>
      </w:r>
      <w:r>
        <w:rPr>
          <w:spacing w:val="-4"/>
          <w:sz w:val="26"/>
          <w:szCs w:val="26"/>
          <w:lang w:val="vi-VN"/>
        </w:rPr>
        <w:t>. VN_WQI là chỉ số được tính toán từ các thông số quan trắc chất lượng nước mặt ở Việt Nam, dùng để mô tả định lượng về chất lượng nước và khả năng sử dụng của nguồn nước đó, được biểu diễn qua các thang điểm (khoảng giá trị WQI) tương ứng với biểu tượng và các màu sắc để đánh giá chất lượng nước đáp ứng cho nhu cầu sử dụng, cụ thể như sau:</w:t>
      </w:r>
    </w:p>
    <w:p w14:paraId="12293AEF" w14:textId="77777777" w:rsidR="00085789" w:rsidRDefault="00000000">
      <w:pPr>
        <w:pStyle w:val="-bac4"/>
        <w:rPr>
          <w:lang w:val="vi-VN"/>
        </w:rPr>
      </w:pPr>
      <w:bookmarkStart w:id="468" w:name="_Toc205915698"/>
      <w:bookmarkStart w:id="469" w:name="_Toc213597393"/>
      <w:bookmarkStart w:id="470" w:name="_Toc213600753"/>
      <w:r>
        <w:rPr>
          <w:lang w:val="vi-VN"/>
        </w:rPr>
        <w:t>Bảng 3.2. Khoảng giá trị WQI đánh giá chất lượng nước mặt</w:t>
      </w:r>
      <w:bookmarkEnd w:id="468"/>
      <w:bookmarkEnd w:id="469"/>
      <w:bookmarkEnd w:id="470"/>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42"/>
        <w:gridCol w:w="1388"/>
        <w:gridCol w:w="6379"/>
      </w:tblGrid>
      <w:tr w:rsidR="00085789" w14:paraId="301364E9" w14:textId="77777777">
        <w:trPr>
          <w:trHeight w:val="440"/>
          <w:tblHeader/>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52C6910E" w14:textId="77777777" w:rsidR="00085789" w:rsidRDefault="00000000">
            <w:pPr>
              <w:spacing w:line="320" w:lineRule="exact"/>
              <w:jc w:val="center"/>
              <w:rPr>
                <w:b/>
                <w:sz w:val="24"/>
                <w:szCs w:val="24"/>
              </w:rPr>
            </w:pPr>
            <w:r>
              <w:rPr>
                <w:b/>
                <w:bCs/>
                <w:sz w:val="24"/>
                <w:szCs w:val="24"/>
              </w:rPr>
              <w:t>Khoảng giá trị</w:t>
            </w:r>
            <w:r>
              <w:rPr>
                <w:sz w:val="24"/>
                <w:szCs w:val="24"/>
              </w:rPr>
              <w:t> </w:t>
            </w:r>
            <w:r>
              <w:rPr>
                <w:b/>
                <w:bCs/>
                <w:sz w:val="24"/>
                <w:szCs w:val="24"/>
              </w:rPr>
              <w:t>WQI</w:t>
            </w:r>
          </w:p>
        </w:tc>
        <w:tc>
          <w:tcPr>
            <w:tcW w:w="1388" w:type="dxa"/>
            <w:tcBorders>
              <w:top w:val="single" w:sz="4" w:space="0" w:color="000000"/>
              <w:left w:val="single" w:sz="4" w:space="0" w:color="000000"/>
              <w:bottom w:val="single" w:sz="4" w:space="0" w:color="000000"/>
              <w:right w:val="single" w:sz="4" w:space="0" w:color="auto"/>
            </w:tcBorders>
            <w:vAlign w:val="center"/>
          </w:tcPr>
          <w:p w14:paraId="26B7A2B3" w14:textId="77777777" w:rsidR="00085789" w:rsidRDefault="00000000">
            <w:pPr>
              <w:spacing w:line="320" w:lineRule="exact"/>
              <w:jc w:val="center"/>
              <w:rPr>
                <w:b/>
                <w:sz w:val="24"/>
                <w:szCs w:val="24"/>
              </w:rPr>
            </w:pPr>
            <w:r>
              <w:rPr>
                <w:b/>
                <w:bCs/>
                <w:sz w:val="24"/>
                <w:szCs w:val="24"/>
              </w:rPr>
              <w:t>Chất lượng nước</w:t>
            </w:r>
          </w:p>
        </w:tc>
        <w:tc>
          <w:tcPr>
            <w:tcW w:w="6379" w:type="dxa"/>
            <w:tcBorders>
              <w:top w:val="single" w:sz="4" w:space="0" w:color="000000"/>
              <w:left w:val="single" w:sz="4" w:space="0" w:color="auto"/>
              <w:bottom w:val="single" w:sz="4" w:space="0" w:color="000000"/>
              <w:right w:val="single" w:sz="4" w:space="0" w:color="000000"/>
            </w:tcBorders>
            <w:vAlign w:val="center"/>
          </w:tcPr>
          <w:p w14:paraId="6DE973FB" w14:textId="77777777" w:rsidR="00085789" w:rsidRDefault="00000000">
            <w:pPr>
              <w:spacing w:line="320" w:lineRule="exact"/>
              <w:jc w:val="center"/>
              <w:rPr>
                <w:b/>
                <w:sz w:val="24"/>
                <w:szCs w:val="24"/>
              </w:rPr>
            </w:pPr>
            <w:r>
              <w:rPr>
                <w:b/>
                <w:bCs/>
                <w:sz w:val="24"/>
                <w:szCs w:val="24"/>
              </w:rPr>
              <w:t>Phù hợp với mục đích sử dụng</w:t>
            </w:r>
          </w:p>
        </w:tc>
      </w:tr>
      <w:tr w:rsidR="00085789" w14:paraId="68715C40"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73131AE1" w14:textId="77777777" w:rsidR="00085789" w:rsidRDefault="00000000">
            <w:pPr>
              <w:spacing w:line="320" w:lineRule="exact"/>
              <w:jc w:val="center"/>
              <w:rPr>
                <w:sz w:val="24"/>
                <w:szCs w:val="24"/>
              </w:rPr>
            </w:pPr>
            <w:r>
              <w:rPr>
                <w:sz w:val="24"/>
                <w:szCs w:val="24"/>
              </w:rPr>
              <w:t>91 - 100</w:t>
            </w:r>
          </w:p>
        </w:tc>
        <w:tc>
          <w:tcPr>
            <w:tcW w:w="1388" w:type="dxa"/>
            <w:tcBorders>
              <w:top w:val="single" w:sz="4" w:space="0" w:color="000000"/>
              <w:left w:val="single" w:sz="4" w:space="0" w:color="000000"/>
              <w:bottom w:val="single" w:sz="4" w:space="0" w:color="000000"/>
              <w:right w:val="single" w:sz="4" w:space="0" w:color="auto"/>
            </w:tcBorders>
            <w:vAlign w:val="center"/>
          </w:tcPr>
          <w:p w14:paraId="3EFB1A95" w14:textId="77777777" w:rsidR="00085789" w:rsidRDefault="00000000">
            <w:pPr>
              <w:spacing w:line="320" w:lineRule="exact"/>
              <w:jc w:val="center"/>
              <w:rPr>
                <w:sz w:val="24"/>
                <w:szCs w:val="24"/>
              </w:rPr>
            </w:pPr>
            <w:r>
              <w:rPr>
                <w:sz w:val="24"/>
                <w:szCs w:val="24"/>
              </w:rPr>
              <w:t>Rất tốt</w:t>
            </w:r>
          </w:p>
        </w:tc>
        <w:tc>
          <w:tcPr>
            <w:tcW w:w="6379" w:type="dxa"/>
            <w:tcBorders>
              <w:top w:val="single" w:sz="4" w:space="0" w:color="000000"/>
              <w:left w:val="single" w:sz="4" w:space="0" w:color="auto"/>
              <w:bottom w:val="single" w:sz="4" w:space="0" w:color="000000"/>
              <w:right w:val="single" w:sz="4" w:space="0" w:color="000000"/>
            </w:tcBorders>
            <w:vAlign w:val="center"/>
          </w:tcPr>
          <w:p w14:paraId="42378EE2" w14:textId="77777777" w:rsidR="00085789" w:rsidRDefault="00000000">
            <w:pPr>
              <w:spacing w:line="320" w:lineRule="exact"/>
              <w:jc w:val="both"/>
              <w:rPr>
                <w:sz w:val="24"/>
                <w:szCs w:val="24"/>
              </w:rPr>
            </w:pPr>
            <w:r>
              <w:rPr>
                <w:sz w:val="24"/>
                <w:szCs w:val="24"/>
              </w:rPr>
              <w:t>Sử dụng tốt cho mục đích cấp nước sinh hoạt</w:t>
            </w:r>
          </w:p>
        </w:tc>
      </w:tr>
      <w:tr w:rsidR="00085789" w14:paraId="3BD196EE"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5FECEF85" w14:textId="77777777" w:rsidR="00085789" w:rsidRDefault="00000000">
            <w:pPr>
              <w:spacing w:line="320" w:lineRule="exact"/>
              <w:jc w:val="center"/>
              <w:rPr>
                <w:sz w:val="24"/>
                <w:szCs w:val="24"/>
              </w:rPr>
            </w:pPr>
            <w:r>
              <w:rPr>
                <w:sz w:val="24"/>
                <w:szCs w:val="24"/>
              </w:rPr>
              <w:t>76 - 90</w:t>
            </w:r>
          </w:p>
        </w:tc>
        <w:tc>
          <w:tcPr>
            <w:tcW w:w="1388" w:type="dxa"/>
            <w:tcBorders>
              <w:top w:val="single" w:sz="4" w:space="0" w:color="000000"/>
              <w:left w:val="single" w:sz="4" w:space="0" w:color="000000"/>
              <w:bottom w:val="single" w:sz="4" w:space="0" w:color="000000"/>
              <w:right w:val="single" w:sz="4" w:space="0" w:color="auto"/>
            </w:tcBorders>
            <w:vAlign w:val="center"/>
          </w:tcPr>
          <w:p w14:paraId="1FADAD37" w14:textId="77777777" w:rsidR="00085789" w:rsidRDefault="00000000">
            <w:pPr>
              <w:spacing w:line="320" w:lineRule="exact"/>
              <w:jc w:val="center"/>
              <w:rPr>
                <w:sz w:val="24"/>
                <w:szCs w:val="24"/>
              </w:rPr>
            </w:pPr>
            <w:r>
              <w:rPr>
                <w:sz w:val="24"/>
                <w:szCs w:val="24"/>
              </w:rPr>
              <w:t>Tốt</w:t>
            </w:r>
          </w:p>
        </w:tc>
        <w:tc>
          <w:tcPr>
            <w:tcW w:w="6379" w:type="dxa"/>
            <w:tcBorders>
              <w:top w:val="single" w:sz="4" w:space="0" w:color="000000"/>
              <w:left w:val="single" w:sz="4" w:space="0" w:color="auto"/>
              <w:bottom w:val="single" w:sz="4" w:space="0" w:color="000000"/>
              <w:right w:val="single" w:sz="4" w:space="0" w:color="000000"/>
            </w:tcBorders>
            <w:vAlign w:val="center"/>
          </w:tcPr>
          <w:p w14:paraId="64DAE009" w14:textId="77777777" w:rsidR="00085789" w:rsidRDefault="00000000">
            <w:pPr>
              <w:spacing w:line="320" w:lineRule="exact"/>
              <w:jc w:val="both"/>
              <w:rPr>
                <w:sz w:val="24"/>
                <w:szCs w:val="24"/>
              </w:rPr>
            </w:pPr>
            <w:r>
              <w:rPr>
                <w:sz w:val="24"/>
                <w:szCs w:val="24"/>
              </w:rPr>
              <w:t>Sử dụng cho mục đích cấp nước sinh hoạt nhưng cần các biện pháp xử lý phù hợp</w:t>
            </w:r>
          </w:p>
        </w:tc>
      </w:tr>
      <w:tr w:rsidR="00085789" w14:paraId="2C289461"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7298043F" w14:textId="77777777" w:rsidR="00085789" w:rsidRDefault="00000000">
            <w:pPr>
              <w:spacing w:line="320" w:lineRule="exact"/>
              <w:jc w:val="center"/>
              <w:rPr>
                <w:sz w:val="24"/>
                <w:szCs w:val="24"/>
              </w:rPr>
            </w:pPr>
            <w:r>
              <w:rPr>
                <w:sz w:val="24"/>
                <w:szCs w:val="24"/>
              </w:rPr>
              <w:t>51 - 75</w:t>
            </w:r>
          </w:p>
        </w:tc>
        <w:tc>
          <w:tcPr>
            <w:tcW w:w="1388" w:type="dxa"/>
            <w:tcBorders>
              <w:top w:val="single" w:sz="4" w:space="0" w:color="000000"/>
              <w:left w:val="single" w:sz="4" w:space="0" w:color="000000"/>
              <w:bottom w:val="single" w:sz="4" w:space="0" w:color="000000"/>
              <w:right w:val="single" w:sz="4" w:space="0" w:color="auto"/>
            </w:tcBorders>
            <w:vAlign w:val="center"/>
          </w:tcPr>
          <w:p w14:paraId="4CE7D248" w14:textId="77777777" w:rsidR="00085789" w:rsidRDefault="00000000">
            <w:pPr>
              <w:spacing w:line="320" w:lineRule="exact"/>
              <w:jc w:val="center"/>
              <w:rPr>
                <w:sz w:val="24"/>
                <w:szCs w:val="24"/>
              </w:rPr>
            </w:pPr>
            <w:r>
              <w:rPr>
                <w:sz w:val="24"/>
                <w:szCs w:val="24"/>
              </w:rPr>
              <w:t>Trung bình</w:t>
            </w:r>
          </w:p>
        </w:tc>
        <w:tc>
          <w:tcPr>
            <w:tcW w:w="6379" w:type="dxa"/>
            <w:tcBorders>
              <w:top w:val="single" w:sz="4" w:space="0" w:color="000000"/>
              <w:left w:val="single" w:sz="4" w:space="0" w:color="auto"/>
              <w:bottom w:val="single" w:sz="4" w:space="0" w:color="000000"/>
              <w:right w:val="single" w:sz="4" w:space="0" w:color="000000"/>
            </w:tcBorders>
            <w:vAlign w:val="center"/>
          </w:tcPr>
          <w:p w14:paraId="747AF57C" w14:textId="77777777" w:rsidR="00085789" w:rsidRDefault="00000000">
            <w:pPr>
              <w:spacing w:line="320" w:lineRule="exact"/>
              <w:jc w:val="both"/>
              <w:rPr>
                <w:spacing w:val="-6"/>
                <w:sz w:val="24"/>
                <w:szCs w:val="24"/>
              </w:rPr>
            </w:pPr>
            <w:r>
              <w:rPr>
                <w:spacing w:val="-6"/>
                <w:sz w:val="24"/>
                <w:szCs w:val="24"/>
              </w:rPr>
              <w:t>Sử dụng cho mục đích tưới tiêu và các mục đích tương đương khác</w:t>
            </w:r>
          </w:p>
        </w:tc>
      </w:tr>
      <w:tr w:rsidR="00085789" w14:paraId="4ACE5121"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2BD10A4E" w14:textId="77777777" w:rsidR="00085789" w:rsidRDefault="00000000">
            <w:pPr>
              <w:spacing w:line="320" w:lineRule="exact"/>
              <w:jc w:val="center"/>
              <w:rPr>
                <w:sz w:val="24"/>
                <w:szCs w:val="24"/>
              </w:rPr>
            </w:pPr>
            <w:r>
              <w:rPr>
                <w:sz w:val="24"/>
                <w:szCs w:val="24"/>
              </w:rPr>
              <w:t>26 - 50</w:t>
            </w:r>
          </w:p>
        </w:tc>
        <w:tc>
          <w:tcPr>
            <w:tcW w:w="1388" w:type="dxa"/>
            <w:tcBorders>
              <w:top w:val="single" w:sz="4" w:space="0" w:color="000000"/>
              <w:left w:val="single" w:sz="4" w:space="0" w:color="000000"/>
              <w:bottom w:val="single" w:sz="4" w:space="0" w:color="000000"/>
              <w:right w:val="single" w:sz="4" w:space="0" w:color="auto"/>
            </w:tcBorders>
            <w:vAlign w:val="center"/>
          </w:tcPr>
          <w:p w14:paraId="0D852D9A" w14:textId="77777777" w:rsidR="00085789" w:rsidRDefault="00000000">
            <w:pPr>
              <w:spacing w:line="320" w:lineRule="exact"/>
              <w:jc w:val="center"/>
              <w:rPr>
                <w:sz w:val="24"/>
                <w:szCs w:val="24"/>
              </w:rPr>
            </w:pPr>
            <w:r>
              <w:rPr>
                <w:sz w:val="24"/>
                <w:szCs w:val="24"/>
              </w:rPr>
              <w:t>Kém</w:t>
            </w:r>
          </w:p>
        </w:tc>
        <w:tc>
          <w:tcPr>
            <w:tcW w:w="6379" w:type="dxa"/>
            <w:tcBorders>
              <w:top w:val="single" w:sz="4" w:space="0" w:color="000000"/>
              <w:left w:val="single" w:sz="4" w:space="0" w:color="auto"/>
              <w:bottom w:val="single" w:sz="4" w:space="0" w:color="000000"/>
              <w:right w:val="single" w:sz="4" w:space="0" w:color="000000"/>
            </w:tcBorders>
            <w:vAlign w:val="center"/>
          </w:tcPr>
          <w:p w14:paraId="49332990" w14:textId="77777777" w:rsidR="00085789" w:rsidRDefault="00000000">
            <w:pPr>
              <w:spacing w:line="320" w:lineRule="exact"/>
              <w:jc w:val="both"/>
              <w:rPr>
                <w:sz w:val="24"/>
                <w:szCs w:val="24"/>
              </w:rPr>
            </w:pPr>
            <w:r>
              <w:rPr>
                <w:sz w:val="24"/>
                <w:szCs w:val="24"/>
              </w:rPr>
              <w:t>Sử dụng cho giao thông thủy và các mục đích tương đương khác</w:t>
            </w:r>
          </w:p>
        </w:tc>
      </w:tr>
      <w:tr w:rsidR="00085789" w14:paraId="23A42B94"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680B3454" w14:textId="77777777" w:rsidR="00085789" w:rsidRDefault="00000000">
            <w:pPr>
              <w:spacing w:line="320" w:lineRule="exact"/>
              <w:jc w:val="center"/>
              <w:rPr>
                <w:sz w:val="24"/>
                <w:szCs w:val="24"/>
              </w:rPr>
            </w:pPr>
            <w:r>
              <w:rPr>
                <w:sz w:val="24"/>
                <w:szCs w:val="24"/>
              </w:rPr>
              <w:t>10 - 25</w:t>
            </w:r>
          </w:p>
        </w:tc>
        <w:tc>
          <w:tcPr>
            <w:tcW w:w="1388" w:type="dxa"/>
            <w:tcBorders>
              <w:top w:val="single" w:sz="4" w:space="0" w:color="000000"/>
              <w:left w:val="single" w:sz="4" w:space="0" w:color="000000"/>
              <w:bottom w:val="single" w:sz="4" w:space="0" w:color="000000"/>
              <w:right w:val="single" w:sz="4" w:space="0" w:color="auto"/>
            </w:tcBorders>
            <w:vAlign w:val="center"/>
          </w:tcPr>
          <w:p w14:paraId="10E37673" w14:textId="77777777" w:rsidR="00085789" w:rsidRDefault="00000000">
            <w:pPr>
              <w:spacing w:line="320" w:lineRule="exact"/>
              <w:jc w:val="center"/>
              <w:rPr>
                <w:sz w:val="24"/>
                <w:szCs w:val="24"/>
              </w:rPr>
            </w:pPr>
            <w:r>
              <w:rPr>
                <w:sz w:val="24"/>
                <w:szCs w:val="24"/>
              </w:rPr>
              <w:t>Ô nhiễm nặng</w:t>
            </w:r>
          </w:p>
        </w:tc>
        <w:tc>
          <w:tcPr>
            <w:tcW w:w="6379" w:type="dxa"/>
            <w:tcBorders>
              <w:top w:val="single" w:sz="4" w:space="0" w:color="000000"/>
              <w:left w:val="single" w:sz="4" w:space="0" w:color="auto"/>
              <w:bottom w:val="single" w:sz="4" w:space="0" w:color="000000"/>
              <w:right w:val="single" w:sz="4" w:space="0" w:color="000000"/>
            </w:tcBorders>
            <w:vAlign w:val="center"/>
          </w:tcPr>
          <w:p w14:paraId="0143DDE4" w14:textId="77777777" w:rsidR="00085789" w:rsidRDefault="00000000">
            <w:pPr>
              <w:spacing w:line="320" w:lineRule="exact"/>
              <w:jc w:val="both"/>
              <w:rPr>
                <w:sz w:val="24"/>
                <w:szCs w:val="24"/>
              </w:rPr>
            </w:pPr>
            <w:r>
              <w:rPr>
                <w:sz w:val="24"/>
                <w:szCs w:val="24"/>
              </w:rPr>
              <w:t>Nước ô nhiễm nặng, cần các biện pháp xử lý trong tương lai</w:t>
            </w:r>
          </w:p>
        </w:tc>
      </w:tr>
      <w:tr w:rsidR="00085789" w14:paraId="3EF2A990" w14:textId="77777777">
        <w:trPr>
          <w:trHeight w:val="61"/>
          <w:jc w:val="center"/>
        </w:trPr>
        <w:tc>
          <w:tcPr>
            <w:tcW w:w="1442" w:type="dxa"/>
            <w:tcBorders>
              <w:top w:val="single" w:sz="4" w:space="0" w:color="000000"/>
              <w:left w:val="single" w:sz="4" w:space="0" w:color="000000"/>
              <w:bottom w:val="single" w:sz="4" w:space="0" w:color="000000"/>
              <w:right w:val="single" w:sz="4" w:space="0" w:color="000000"/>
            </w:tcBorders>
            <w:vAlign w:val="center"/>
          </w:tcPr>
          <w:p w14:paraId="6C2885A3" w14:textId="77777777" w:rsidR="00085789" w:rsidRDefault="00000000">
            <w:pPr>
              <w:spacing w:line="320" w:lineRule="exact"/>
              <w:jc w:val="center"/>
              <w:rPr>
                <w:sz w:val="24"/>
                <w:szCs w:val="24"/>
              </w:rPr>
            </w:pPr>
            <w:r>
              <w:rPr>
                <w:sz w:val="24"/>
                <w:szCs w:val="24"/>
              </w:rPr>
              <w:t>&lt; 10</w:t>
            </w:r>
          </w:p>
        </w:tc>
        <w:tc>
          <w:tcPr>
            <w:tcW w:w="1388" w:type="dxa"/>
            <w:tcBorders>
              <w:top w:val="single" w:sz="4" w:space="0" w:color="000000"/>
              <w:left w:val="single" w:sz="4" w:space="0" w:color="000000"/>
              <w:bottom w:val="single" w:sz="4" w:space="0" w:color="000000"/>
              <w:right w:val="single" w:sz="4" w:space="0" w:color="auto"/>
            </w:tcBorders>
            <w:vAlign w:val="center"/>
          </w:tcPr>
          <w:p w14:paraId="699B9E62" w14:textId="77777777" w:rsidR="00085789" w:rsidRDefault="00000000">
            <w:pPr>
              <w:spacing w:line="320" w:lineRule="exact"/>
              <w:jc w:val="center"/>
              <w:rPr>
                <w:sz w:val="24"/>
                <w:szCs w:val="24"/>
              </w:rPr>
            </w:pPr>
            <w:r>
              <w:rPr>
                <w:sz w:val="24"/>
                <w:szCs w:val="24"/>
              </w:rPr>
              <w:t>Ô nhiễm rất nặng</w:t>
            </w:r>
          </w:p>
        </w:tc>
        <w:tc>
          <w:tcPr>
            <w:tcW w:w="6379" w:type="dxa"/>
            <w:tcBorders>
              <w:top w:val="single" w:sz="4" w:space="0" w:color="000000"/>
              <w:left w:val="single" w:sz="4" w:space="0" w:color="auto"/>
              <w:bottom w:val="single" w:sz="4" w:space="0" w:color="000000"/>
              <w:right w:val="single" w:sz="4" w:space="0" w:color="000000"/>
            </w:tcBorders>
            <w:vAlign w:val="center"/>
          </w:tcPr>
          <w:p w14:paraId="121807DF" w14:textId="77777777" w:rsidR="00085789" w:rsidRDefault="00000000">
            <w:pPr>
              <w:spacing w:line="320" w:lineRule="exact"/>
              <w:jc w:val="both"/>
              <w:rPr>
                <w:sz w:val="24"/>
                <w:szCs w:val="24"/>
              </w:rPr>
            </w:pPr>
            <w:r>
              <w:rPr>
                <w:sz w:val="24"/>
                <w:szCs w:val="24"/>
              </w:rPr>
              <w:t>Nước nhiễm độc, cần có biện pháp khắc phục, xử lý</w:t>
            </w:r>
          </w:p>
        </w:tc>
      </w:tr>
    </w:tbl>
    <w:p w14:paraId="7E5FD1F3" w14:textId="77777777" w:rsidR="00085789" w:rsidRDefault="00085789">
      <w:pPr>
        <w:spacing w:line="240" w:lineRule="auto"/>
        <w:ind w:firstLine="720"/>
        <w:jc w:val="both"/>
        <w:rPr>
          <w:spacing w:val="-2"/>
          <w:sz w:val="14"/>
          <w:szCs w:val="14"/>
        </w:rPr>
      </w:pPr>
    </w:p>
    <w:p w14:paraId="3D0652E9" w14:textId="77777777" w:rsidR="00085789" w:rsidRDefault="00000000">
      <w:pPr>
        <w:spacing w:before="120" w:line="240" w:lineRule="auto"/>
        <w:ind w:firstLine="720"/>
        <w:jc w:val="both"/>
        <w:rPr>
          <w:noProof/>
          <w:sz w:val="26"/>
          <w:szCs w:val="26"/>
        </w:rPr>
      </w:pPr>
      <w:r>
        <w:rPr>
          <w:spacing w:val="-2"/>
          <w:sz w:val="26"/>
          <w:szCs w:val="26"/>
        </w:rPr>
        <w:t>Hà</w:t>
      </w:r>
      <w:r>
        <w:rPr>
          <w:spacing w:val="-2"/>
          <w:sz w:val="26"/>
          <w:szCs w:val="26"/>
          <w:shd w:val="clear" w:color="auto" w:fill="FFFFFF"/>
        </w:rPr>
        <w:t>ng năm, UBND tỉnh đã chỉ đạo Sở Nông nghiệp và Môi trường</w:t>
      </w:r>
      <w:r>
        <w:rPr>
          <w:sz w:val="26"/>
          <w:szCs w:val="26"/>
          <w:shd w:val="clear" w:color="auto" w:fill="FFFFFF"/>
        </w:rPr>
        <w:t xml:space="preserve"> tổ chức quan trắc nước mặt tại 04 lưu vực sông (hệ thống sông Rào Cái, hệ thống sông Nghèn, hệ thống sông La và hệ thống sông Quyền), 04 sông/kênh nội đồng (sông Mỹ Dương, sông Gia Hội, sông Rào Trổ, sông Vịnh, sông Nhà Lê, kênh Thoát lũ Kỳ Phương) và </w:t>
      </w:r>
      <w:r>
        <w:rPr>
          <w:sz w:val="26"/>
          <w:szCs w:val="26"/>
        </w:rPr>
        <w:t xml:space="preserve">23 hồ/đập là các vị trí đại diện có hoạt động khai thác nước, hoạt động nuôi trồng thủy sản (NTTS) lồng </w:t>
      </w:r>
      <w:r>
        <w:rPr>
          <w:spacing w:val="-2"/>
          <w:sz w:val="26"/>
          <w:szCs w:val="26"/>
        </w:rPr>
        <w:t xml:space="preserve">bè và đặc biệt nhiều hồ chứa phía hạ du là các nguồn tiếp nhận nước thải từ các hoạt động sản xuất, chăn nuôi,…. Các thông số đánh giá, phân loại chất lượng nguồn nước mặt gồm: </w:t>
      </w:r>
      <w:r>
        <w:rPr>
          <w:noProof/>
          <w:spacing w:val="-2"/>
          <w:sz w:val="26"/>
          <w:szCs w:val="26"/>
        </w:rPr>
        <w:t>BOD</w:t>
      </w:r>
      <w:r>
        <w:rPr>
          <w:noProof/>
          <w:spacing w:val="-2"/>
          <w:sz w:val="26"/>
          <w:szCs w:val="26"/>
          <w:vertAlign w:val="subscript"/>
        </w:rPr>
        <w:t>5</w:t>
      </w:r>
      <w:r>
        <w:rPr>
          <w:noProof/>
          <w:spacing w:val="-2"/>
          <w:sz w:val="26"/>
          <w:szCs w:val="26"/>
        </w:rPr>
        <w:t>, COD, TSS, DO, Nitrat, photphat, Coliform phù hợp với thông tin đánh giá theo quy chuẩn thời điểm quan trắc và chương trình quan trắc môi trường hàng năm trên địa bàn tỉnh Hà Tĩnh. Khái quát diễn biến nước mặt giữa các vùng như sau:</w:t>
      </w:r>
    </w:p>
    <w:p w14:paraId="36A78365" w14:textId="77777777" w:rsidR="00085789" w:rsidRDefault="00000000">
      <w:pPr>
        <w:widowControl w:val="0"/>
        <w:spacing w:before="120" w:line="240" w:lineRule="auto"/>
        <w:ind w:firstLine="709"/>
        <w:jc w:val="both"/>
        <w:rPr>
          <w:noProof/>
          <w:sz w:val="26"/>
          <w:szCs w:val="26"/>
        </w:rPr>
      </w:pPr>
      <w:r>
        <w:rPr>
          <w:noProof/>
          <w:sz w:val="26"/>
          <w:szCs w:val="26"/>
        </w:rPr>
        <w:t>- Nước mặt vùng đồng bằng và đồng bằng ven biển phía Đông của tỉnh thường được cung cấp và bổ sung từ các sông, suối trên khu vực miền núi phía Tây của tỉnh chảy xuống. Chất lượng nước sau xử lý có thể sử dụng cho mục đích cấp nước sinh hoạt. Tuy nhiên, chất lượng nước có thể bị tác động xấu do ảnh hưởng bởi xâm nhập mặn từ biển Đông; nhiều lưu vực sông lớn hiện tại đang chịu nhiều tác động bởi hoạt động của thủy triều tại các lưu vực sông Lam (qua Cửa hội), sông Nghèn (qua Cửa Sót), sông Vịnh (qua Cửa Nhượng), sông Quyền (qua Cửa Khẩu). Mức độ nhiễm mặn phụ thuộc vào địa hình, theo mùa và công trình thủy lợi,.... Ngoài ra, còn phải chịu nhiều yếu tố như BĐKH, nước biển dâng, hồ đập thủy lợi, thủy điện và chất thải từ các nguồn thải chảy vào (chủ yếu chịu tác động bởi các nguồn thải do hoạt động sinh hoạt, công nghiệp, chăn nuôi và NTTS).</w:t>
      </w:r>
    </w:p>
    <w:bookmarkEnd w:id="430"/>
    <w:bookmarkEnd w:id="431"/>
    <w:bookmarkEnd w:id="432"/>
    <w:bookmarkEnd w:id="433"/>
    <w:bookmarkEnd w:id="434"/>
    <w:bookmarkEnd w:id="435"/>
    <w:bookmarkEnd w:id="436"/>
    <w:bookmarkEnd w:id="456"/>
    <w:p w14:paraId="53688FDC" w14:textId="77777777" w:rsidR="00085789" w:rsidRDefault="00000000">
      <w:pPr>
        <w:widowControl w:val="0"/>
        <w:spacing w:before="120" w:line="240" w:lineRule="auto"/>
        <w:ind w:firstLine="709"/>
        <w:jc w:val="both"/>
        <w:rPr>
          <w:noProof/>
          <w:spacing w:val="-2"/>
          <w:sz w:val="26"/>
          <w:szCs w:val="26"/>
        </w:rPr>
      </w:pPr>
      <w:r>
        <w:rPr>
          <w:noProof/>
          <w:spacing w:val="-6"/>
          <w:sz w:val="26"/>
          <w:szCs w:val="26"/>
        </w:rPr>
        <w:t>- N</w:t>
      </w:r>
      <w:r>
        <w:rPr>
          <w:rFonts w:hint="eastAsia"/>
          <w:noProof/>
          <w:spacing w:val="-6"/>
          <w:sz w:val="26"/>
          <w:szCs w:val="26"/>
        </w:rPr>
        <w:t>ư</w:t>
      </w:r>
      <w:r>
        <w:rPr>
          <w:noProof/>
          <w:spacing w:val="-6"/>
          <w:sz w:val="26"/>
          <w:szCs w:val="26"/>
        </w:rPr>
        <w:t>ớc mặt v</w:t>
      </w:r>
      <w:r>
        <w:rPr>
          <w:rFonts w:hint="eastAsia"/>
          <w:noProof/>
          <w:spacing w:val="-6"/>
          <w:sz w:val="26"/>
          <w:szCs w:val="26"/>
        </w:rPr>
        <w:t>ù</w:t>
      </w:r>
      <w:r>
        <w:rPr>
          <w:noProof/>
          <w:spacing w:val="-6"/>
          <w:sz w:val="26"/>
          <w:szCs w:val="26"/>
        </w:rPr>
        <w:t>ng trung du, miền n</w:t>
      </w:r>
      <w:r>
        <w:rPr>
          <w:rFonts w:hint="eastAsia"/>
          <w:noProof/>
          <w:spacing w:val="-6"/>
          <w:sz w:val="26"/>
          <w:szCs w:val="26"/>
        </w:rPr>
        <w:t>ú</w:t>
      </w:r>
      <w:r>
        <w:rPr>
          <w:noProof/>
          <w:spacing w:val="-6"/>
          <w:sz w:val="26"/>
          <w:szCs w:val="26"/>
        </w:rPr>
        <w:t>i ph</w:t>
      </w:r>
      <w:r>
        <w:rPr>
          <w:rFonts w:hint="eastAsia"/>
          <w:noProof/>
          <w:spacing w:val="-6"/>
          <w:sz w:val="26"/>
          <w:szCs w:val="26"/>
        </w:rPr>
        <w:t>í</w:t>
      </w:r>
      <w:r>
        <w:rPr>
          <w:noProof/>
          <w:spacing w:val="-6"/>
          <w:sz w:val="26"/>
          <w:szCs w:val="26"/>
        </w:rPr>
        <w:t>a T</w:t>
      </w:r>
      <w:r>
        <w:rPr>
          <w:rFonts w:hint="eastAsia"/>
          <w:noProof/>
          <w:spacing w:val="-6"/>
          <w:sz w:val="26"/>
          <w:szCs w:val="26"/>
        </w:rPr>
        <w:t>â</w:t>
      </w:r>
      <w:r>
        <w:rPr>
          <w:noProof/>
          <w:spacing w:val="-6"/>
          <w:sz w:val="26"/>
          <w:szCs w:val="26"/>
        </w:rPr>
        <w:t>y của tỉnh hầu hết l</w:t>
      </w:r>
      <w:r>
        <w:rPr>
          <w:rFonts w:hint="eastAsia"/>
          <w:noProof/>
          <w:spacing w:val="-6"/>
          <w:sz w:val="26"/>
          <w:szCs w:val="26"/>
        </w:rPr>
        <w:t>à</w:t>
      </w:r>
      <w:r>
        <w:rPr>
          <w:noProof/>
          <w:spacing w:val="-6"/>
          <w:sz w:val="26"/>
          <w:szCs w:val="26"/>
        </w:rPr>
        <w:t xml:space="preserve"> nguồn n</w:t>
      </w:r>
      <w:r>
        <w:rPr>
          <w:rFonts w:hint="eastAsia"/>
          <w:noProof/>
          <w:spacing w:val="-6"/>
          <w:sz w:val="26"/>
          <w:szCs w:val="26"/>
        </w:rPr>
        <w:t>ư</w:t>
      </w:r>
      <w:r>
        <w:rPr>
          <w:noProof/>
          <w:spacing w:val="-6"/>
          <w:sz w:val="26"/>
          <w:szCs w:val="26"/>
        </w:rPr>
        <w:t xml:space="preserve">ớc ngọt </w:t>
      </w:r>
      <w:r>
        <w:rPr>
          <w:rFonts w:hint="eastAsia"/>
          <w:noProof/>
          <w:spacing w:val="-6"/>
          <w:sz w:val="26"/>
          <w:szCs w:val="26"/>
        </w:rPr>
        <w:t>đá</w:t>
      </w:r>
      <w:r>
        <w:rPr>
          <w:noProof/>
          <w:spacing w:val="-6"/>
          <w:sz w:val="26"/>
          <w:szCs w:val="26"/>
        </w:rPr>
        <w:t xml:space="preserve">p ứng </w:t>
      </w:r>
      <w:r>
        <w:rPr>
          <w:rFonts w:hint="eastAsia"/>
          <w:noProof/>
          <w:spacing w:val="-6"/>
          <w:sz w:val="26"/>
          <w:szCs w:val="26"/>
        </w:rPr>
        <w:t>đư</w:t>
      </w:r>
      <w:r>
        <w:rPr>
          <w:noProof/>
          <w:spacing w:val="-6"/>
          <w:sz w:val="26"/>
          <w:szCs w:val="26"/>
        </w:rPr>
        <w:t>ợc cho c</w:t>
      </w:r>
      <w:r>
        <w:rPr>
          <w:rFonts w:hint="eastAsia"/>
          <w:noProof/>
          <w:spacing w:val="-6"/>
          <w:sz w:val="26"/>
          <w:szCs w:val="26"/>
        </w:rPr>
        <w:t>á</w:t>
      </w:r>
      <w:r>
        <w:rPr>
          <w:noProof/>
          <w:spacing w:val="-6"/>
          <w:sz w:val="26"/>
          <w:szCs w:val="26"/>
        </w:rPr>
        <w:t xml:space="preserve">c hoạt </w:t>
      </w:r>
      <w:r>
        <w:rPr>
          <w:rFonts w:hint="eastAsia"/>
          <w:noProof/>
          <w:spacing w:val="-6"/>
          <w:sz w:val="26"/>
          <w:szCs w:val="26"/>
        </w:rPr>
        <w:t>đ</w:t>
      </w:r>
      <w:r>
        <w:rPr>
          <w:noProof/>
          <w:spacing w:val="-6"/>
          <w:sz w:val="26"/>
          <w:szCs w:val="26"/>
        </w:rPr>
        <w:t>ộng sinh hoạt, sản xuất, trồng trọt, ch</w:t>
      </w:r>
      <w:r>
        <w:rPr>
          <w:rFonts w:hint="eastAsia"/>
          <w:noProof/>
          <w:spacing w:val="-6"/>
          <w:sz w:val="26"/>
          <w:szCs w:val="26"/>
        </w:rPr>
        <w:t>ă</w:t>
      </w:r>
      <w:r>
        <w:rPr>
          <w:noProof/>
          <w:spacing w:val="-6"/>
          <w:sz w:val="26"/>
          <w:szCs w:val="26"/>
        </w:rPr>
        <w:t>n nu</w:t>
      </w:r>
      <w:r>
        <w:rPr>
          <w:rFonts w:hint="eastAsia"/>
          <w:noProof/>
          <w:spacing w:val="-6"/>
          <w:sz w:val="26"/>
          <w:szCs w:val="26"/>
        </w:rPr>
        <w:t>ô</w:t>
      </w:r>
      <w:r>
        <w:rPr>
          <w:noProof/>
          <w:spacing w:val="-6"/>
          <w:sz w:val="26"/>
          <w:szCs w:val="26"/>
        </w:rPr>
        <w:t>i v</w:t>
      </w:r>
      <w:r>
        <w:rPr>
          <w:rFonts w:hint="eastAsia"/>
          <w:noProof/>
          <w:spacing w:val="-6"/>
          <w:sz w:val="26"/>
          <w:szCs w:val="26"/>
        </w:rPr>
        <w:t>à</w:t>
      </w:r>
      <w:r>
        <w:rPr>
          <w:noProof/>
          <w:spacing w:val="-6"/>
          <w:sz w:val="26"/>
          <w:szCs w:val="26"/>
        </w:rPr>
        <w:t xml:space="preserve"> NTTS. Tuy nhi</w:t>
      </w:r>
      <w:r>
        <w:rPr>
          <w:rFonts w:hint="eastAsia"/>
          <w:noProof/>
          <w:spacing w:val="-6"/>
          <w:sz w:val="26"/>
          <w:szCs w:val="26"/>
        </w:rPr>
        <w:t>ê</w:t>
      </w:r>
      <w:r>
        <w:rPr>
          <w:noProof/>
          <w:spacing w:val="-6"/>
          <w:sz w:val="26"/>
          <w:szCs w:val="26"/>
        </w:rPr>
        <w:t xml:space="preserve">n, hiện </w:t>
      </w:r>
      <w:r>
        <w:rPr>
          <w:noProof/>
          <w:spacing w:val="-6"/>
          <w:sz w:val="26"/>
          <w:szCs w:val="26"/>
        </w:rPr>
        <w:lastRenderedPageBreak/>
        <w:t>nay khu vực n</w:t>
      </w:r>
      <w:r>
        <w:rPr>
          <w:rFonts w:hint="eastAsia"/>
          <w:noProof/>
          <w:spacing w:val="-6"/>
          <w:sz w:val="26"/>
          <w:szCs w:val="26"/>
        </w:rPr>
        <w:t>à</w:t>
      </w:r>
      <w:r>
        <w:rPr>
          <w:noProof/>
          <w:spacing w:val="-6"/>
          <w:sz w:val="26"/>
          <w:szCs w:val="26"/>
        </w:rPr>
        <w:t xml:space="preserve">y </w:t>
      </w:r>
      <w:r>
        <w:rPr>
          <w:rFonts w:hint="eastAsia"/>
          <w:noProof/>
          <w:spacing w:val="-6"/>
          <w:sz w:val="26"/>
          <w:szCs w:val="26"/>
        </w:rPr>
        <w:t>đ</w:t>
      </w:r>
      <w:r>
        <w:rPr>
          <w:noProof/>
          <w:spacing w:val="-6"/>
          <w:sz w:val="26"/>
          <w:szCs w:val="26"/>
        </w:rPr>
        <w:t xml:space="preserve">ang chịu nhiều sức </w:t>
      </w:r>
      <w:r>
        <w:rPr>
          <w:rFonts w:hint="eastAsia"/>
          <w:noProof/>
          <w:spacing w:val="-6"/>
          <w:sz w:val="26"/>
          <w:szCs w:val="26"/>
        </w:rPr>
        <w:t>é</w:t>
      </w:r>
      <w:r>
        <w:rPr>
          <w:noProof/>
          <w:spacing w:val="-6"/>
          <w:sz w:val="26"/>
          <w:szCs w:val="26"/>
        </w:rPr>
        <w:t>p do c</w:t>
      </w:r>
      <w:r>
        <w:rPr>
          <w:rFonts w:hint="eastAsia"/>
          <w:noProof/>
          <w:spacing w:val="-6"/>
          <w:sz w:val="26"/>
          <w:szCs w:val="26"/>
        </w:rPr>
        <w:t>ó</w:t>
      </w:r>
      <w:r>
        <w:rPr>
          <w:noProof/>
          <w:spacing w:val="-6"/>
          <w:sz w:val="26"/>
          <w:szCs w:val="26"/>
        </w:rPr>
        <w:t xml:space="preserve"> nhiều nguồn thải chảy v</w:t>
      </w:r>
      <w:r>
        <w:rPr>
          <w:rFonts w:hint="eastAsia"/>
          <w:noProof/>
          <w:spacing w:val="-6"/>
          <w:sz w:val="26"/>
          <w:szCs w:val="26"/>
        </w:rPr>
        <w:t>à</w:t>
      </w:r>
      <w:r>
        <w:rPr>
          <w:noProof/>
          <w:spacing w:val="-6"/>
          <w:sz w:val="26"/>
          <w:szCs w:val="26"/>
        </w:rPr>
        <w:t>o ảnh h</w:t>
      </w:r>
      <w:r>
        <w:rPr>
          <w:rFonts w:hint="eastAsia"/>
          <w:noProof/>
          <w:spacing w:val="-6"/>
          <w:sz w:val="26"/>
          <w:szCs w:val="26"/>
        </w:rPr>
        <w:t>ư</w:t>
      </w:r>
      <w:r>
        <w:rPr>
          <w:noProof/>
          <w:spacing w:val="-6"/>
          <w:sz w:val="26"/>
          <w:szCs w:val="26"/>
        </w:rPr>
        <w:t>ởng ti</w:t>
      </w:r>
      <w:r>
        <w:rPr>
          <w:rFonts w:hint="eastAsia"/>
          <w:noProof/>
          <w:spacing w:val="-6"/>
          <w:sz w:val="26"/>
          <w:szCs w:val="26"/>
        </w:rPr>
        <w:t>ê</w:t>
      </w:r>
      <w:r>
        <w:rPr>
          <w:noProof/>
          <w:spacing w:val="-6"/>
          <w:sz w:val="26"/>
          <w:szCs w:val="26"/>
        </w:rPr>
        <w:t xml:space="preserve">u cực </w:t>
      </w:r>
      <w:r>
        <w:rPr>
          <w:rFonts w:hint="eastAsia"/>
          <w:noProof/>
          <w:spacing w:val="-6"/>
          <w:sz w:val="26"/>
          <w:szCs w:val="26"/>
        </w:rPr>
        <w:t>đ</w:t>
      </w:r>
      <w:r>
        <w:rPr>
          <w:noProof/>
          <w:spacing w:val="-6"/>
          <w:sz w:val="26"/>
          <w:szCs w:val="26"/>
        </w:rPr>
        <w:t>ến chất l</w:t>
      </w:r>
      <w:r>
        <w:rPr>
          <w:rFonts w:hint="eastAsia"/>
          <w:noProof/>
          <w:spacing w:val="-6"/>
          <w:sz w:val="26"/>
          <w:szCs w:val="26"/>
        </w:rPr>
        <w:t>ư</w:t>
      </w:r>
      <w:r>
        <w:rPr>
          <w:noProof/>
          <w:spacing w:val="-6"/>
          <w:sz w:val="26"/>
          <w:szCs w:val="26"/>
        </w:rPr>
        <w:t>ợng nguồn n</w:t>
      </w:r>
      <w:r>
        <w:rPr>
          <w:rFonts w:hint="eastAsia"/>
          <w:noProof/>
          <w:spacing w:val="-6"/>
          <w:sz w:val="26"/>
          <w:szCs w:val="26"/>
        </w:rPr>
        <w:t>ư</w:t>
      </w:r>
      <w:r>
        <w:rPr>
          <w:noProof/>
          <w:spacing w:val="-6"/>
          <w:sz w:val="26"/>
          <w:szCs w:val="26"/>
        </w:rPr>
        <w:t>ớc, trong đó có các trang trại chăn nuôi tập trung tr</w:t>
      </w:r>
      <w:r>
        <w:rPr>
          <w:rFonts w:hint="eastAsia"/>
          <w:noProof/>
          <w:spacing w:val="-6"/>
          <w:sz w:val="26"/>
          <w:szCs w:val="26"/>
        </w:rPr>
        <w:t>ê</w:t>
      </w:r>
      <w:r>
        <w:rPr>
          <w:noProof/>
          <w:spacing w:val="-6"/>
          <w:sz w:val="26"/>
          <w:szCs w:val="26"/>
        </w:rPr>
        <w:t>n c</w:t>
      </w:r>
      <w:r>
        <w:rPr>
          <w:rFonts w:hint="eastAsia"/>
          <w:noProof/>
          <w:spacing w:val="-6"/>
          <w:sz w:val="26"/>
          <w:szCs w:val="26"/>
        </w:rPr>
        <w:t>á</w:t>
      </w:r>
      <w:r>
        <w:rPr>
          <w:noProof/>
          <w:spacing w:val="-6"/>
          <w:sz w:val="26"/>
          <w:szCs w:val="26"/>
        </w:rPr>
        <w:t xml:space="preserve">c </w:t>
      </w:r>
      <w:r>
        <w:rPr>
          <w:rFonts w:hint="eastAsia"/>
          <w:noProof/>
          <w:spacing w:val="-6"/>
          <w:sz w:val="26"/>
          <w:szCs w:val="26"/>
        </w:rPr>
        <w:t>đ</w:t>
      </w:r>
      <w:r>
        <w:rPr>
          <w:noProof/>
          <w:spacing w:val="-6"/>
          <w:sz w:val="26"/>
          <w:szCs w:val="26"/>
        </w:rPr>
        <w:t>ịa b</w:t>
      </w:r>
      <w:r>
        <w:rPr>
          <w:rFonts w:hint="eastAsia"/>
          <w:noProof/>
          <w:spacing w:val="-6"/>
          <w:sz w:val="26"/>
          <w:szCs w:val="26"/>
        </w:rPr>
        <w:t>à</w:t>
      </w:r>
      <w:r>
        <w:rPr>
          <w:noProof/>
          <w:spacing w:val="-6"/>
          <w:sz w:val="26"/>
          <w:szCs w:val="26"/>
        </w:rPr>
        <w:t>n miền n</w:t>
      </w:r>
      <w:r>
        <w:rPr>
          <w:rFonts w:hint="eastAsia"/>
          <w:noProof/>
          <w:spacing w:val="-6"/>
          <w:sz w:val="26"/>
          <w:szCs w:val="26"/>
        </w:rPr>
        <w:t>ú</w:t>
      </w:r>
      <w:r>
        <w:rPr>
          <w:noProof/>
          <w:spacing w:val="-6"/>
          <w:sz w:val="26"/>
          <w:szCs w:val="26"/>
        </w:rPr>
        <w:t>i, vùng đầu nguồn. Việc nhiều c</w:t>
      </w:r>
      <w:r>
        <w:rPr>
          <w:rFonts w:hint="eastAsia"/>
          <w:noProof/>
          <w:spacing w:val="-6"/>
          <w:sz w:val="26"/>
          <w:szCs w:val="26"/>
        </w:rPr>
        <w:t>ơ</w:t>
      </w:r>
      <w:r>
        <w:rPr>
          <w:noProof/>
          <w:spacing w:val="-6"/>
          <w:sz w:val="26"/>
          <w:szCs w:val="26"/>
        </w:rPr>
        <w:t xml:space="preserve"> sở ch</w:t>
      </w:r>
      <w:r>
        <w:rPr>
          <w:rFonts w:hint="eastAsia"/>
          <w:noProof/>
          <w:spacing w:val="-6"/>
          <w:sz w:val="26"/>
          <w:szCs w:val="26"/>
        </w:rPr>
        <w:t>ă</w:t>
      </w:r>
      <w:r>
        <w:rPr>
          <w:noProof/>
          <w:spacing w:val="-6"/>
          <w:sz w:val="26"/>
          <w:szCs w:val="26"/>
        </w:rPr>
        <w:t>n nu</w:t>
      </w:r>
      <w:r>
        <w:rPr>
          <w:rFonts w:hint="eastAsia"/>
          <w:noProof/>
          <w:spacing w:val="-6"/>
          <w:sz w:val="26"/>
          <w:szCs w:val="26"/>
        </w:rPr>
        <w:t>ô</w:t>
      </w:r>
      <w:r>
        <w:rPr>
          <w:noProof/>
          <w:spacing w:val="-6"/>
          <w:sz w:val="26"/>
          <w:szCs w:val="26"/>
        </w:rPr>
        <w:t>i xả nước thải ra c</w:t>
      </w:r>
      <w:r>
        <w:rPr>
          <w:rFonts w:hint="eastAsia"/>
          <w:noProof/>
          <w:spacing w:val="-6"/>
          <w:sz w:val="26"/>
          <w:szCs w:val="26"/>
        </w:rPr>
        <w:t>á</w:t>
      </w:r>
      <w:r>
        <w:rPr>
          <w:noProof/>
          <w:spacing w:val="-6"/>
          <w:sz w:val="26"/>
          <w:szCs w:val="26"/>
        </w:rPr>
        <w:t>c khe, suối l</w:t>
      </w:r>
      <w:r>
        <w:rPr>
          <w:rFonts w:hint="eastAsia"/>
          <w:noProof/>
          <w:spacing w:val="-6"/>
          <w:sz w:val="26"/>
          <w:szCs w:val="26"/>
        </w:rPr>
        <w:t>à</w:t>
      </w:r>
      <w:r>
        <w:rPr>
          <w:noProof/>
          <w:spacing w:val="-6"/>
          <w:sz w:val="26"/>
          <w:szCs w:val="26"/>
        </w:rPr>
        <w:t>m gia t</w:t>
      </w:r>
      <w:r>
        <w:rPr>
          <w:rFonts w:hint="eastAsia"/>
          <w:noProof/>
          <w:spacing w:val="-6"/>
          <w:sz w:val="26"/>
          <w:szCs w:val="26"/>
        </w:rPr>
        <w:t>ă</w:t>
      </w:r>
      <w:r>
        <w:rPr>
          <w:noProof/>
          <w:spacing w:val="-6"/>
          <w:sz w:val="26"/>
          <w:szCs w:val="26"/>
        </w:rPr>
        <w:t>ng c</w:t>
      </w:r>
      <w:r>
        <w:rPr>
          <w:rFonts w:hint="eastAsia"/>
          <w:noProof/>
          <w:spacing w:val="-6"/>
          <w:sz w:val="26"/>
          <w:szCs w:val="26"/>
        </w:rPr>
        <w:t>á</w:t>
      </w:r>
      <w:r>
        <w:rPr>
          <w:noProof/>
          <w:spacing w:val="-6"/>
          <w:sz w:val="26"/>
          <w:szCs w:val="26"/>
        </w:rPr>
        <w:t>c chất hữu c</w:t>
      </w:r>
      <w:r>
        <w:rPr>
          <w:rFonts w:hint="eastAsia"/>
          <w:noProof/>
          <w:spacing w:val="-6"/>
          <w:sz w:val="26"/>
          <w:szCs w:val="26"/>
        </w:rPr>
        <w:t>ơ</w:t>
      </w:r>
      <w:r>
        <w:rPr>
          <w:noProof/>
          <w:spacing w:val="-6"/>
          <w:sz w:val="26"/>
          <w:szCs w:val="26"/>
        </w:rPr>
        <w:t xml:space="preserve"> c</w:t>
      </w:r>
      <w:r>
        <w:rPr>
          <w:rFonts w:hint="eastAsia"/>
          <w:noProof/>
          <w:spacing w:val="-6"/>
          <w:sz w:val="26"/>
          <w:szCs w:val="26"/>
        </w:rPr>
        <w:t>ó</w:t>
      </w:r>
      <w:r>
        <w:rPr>
          <w:noProof/>
          <w:spacing w:val="-6"/>
          <w:sz w:val="26"/>
          <w:szCs w:val="26"/>
        </w:rPr>
        <w:t xml:space="preserve"> trong n</w:t>
      </w:r>
      <w:r>
        <w:rPr>
          <w:rFonts w:hint="eastAsia"/>
          <w:noProof/>
          <w:spacing w:val="-6"/>
          <w:sz w:val="26"/>
          <w:szCs w:val="26"/>
        </w:rPr>
        <w:t>ư</w:t>
      </w:r>
      <w:r>
        <w:rPr>
          <w:noProof/>
          <w:spacing w:val="-6"/>
          <w:sz w:val="26"/>
          <w:szCs w:val="26"/>
        </w:rPr>
        <w:t>ớc tác động đến chức năng sử dụng nguồn nước mặt</w:t>
      </w:r>
      <w:r>
        <w:rPr>
          <w:noProof/>
          <w:spacing w:val="-2"/>
          <w:sz w:val="26"/>
          <w:szCs w:val="26"/>
        </w:rPr>
        <w:t xml:space="preserve">. </w:t>
      </w:r>
    </w:p>
    <w:p w14:paraId="6D63C06A" w14:textId="77777777" w:rsidR="00085789" w:rsidRDefault="00000000">
      <w:pPr>
        <w:pStyle w:val="-bac3"/>
        <w:spacing w:before="120" w:after="0" w:line="240" w:lineRule="auto"/>
        <w:rPr>
          <w:smallCaps/>
        </w:rPr>
      </w:pPr>
      <w:bookmarkStart w:id="471" w:name="_Toc214311232"/>
      <w:bookmarkStart w:id="472" w:name="_Hlk202770718"/>
      <w:r>
        <w:t>3.1.2.1. Diễn biến ô nhiễm chất lượng nước sông, suối, kênh, mương</w:t>
      </w:r>
      <w:bookmarkEnd w:id="471"/>
    </w:p>
    <w:p w14:paraId="26D98604" w14:textId="77777777" w:rsidR="00085789" w:rsidRDefault="00000000">
      <w:pPr>
        <w:spacing w:before="120" w:line="240" w:lineRule="auto"/>
        <w:ind w:firstLine="709"/>
        <w:jc w:val="both"/>
        <w:rPr>
          <w:sz w:val="26"/>
          <w:szCs w:val="26"/>
        </w:rPr>
      </w:pPr>
      <w:r>
        <w:rPr>
          <w:sz w:val="26"/>
          <w:szCs w:val="26"/>
        </w:rPr>
        <w:t xml:space="preserve">Trên </w:t>
      </w:r>
      <w:bookmarkEnd w:id="472"/>
      <w:r>
        <w:rPr>
          <w:sz w:val="26"/>
          <w:szCs w:val="26"/>
        </w:rPr>
        <w:t>cơ sở tính toán các giá trị WQI dựa vào kết quả quan trắc trong giai đoạn từ năm 2021 đến nay có thể đánh giá môi trường nước mặt tại các sông lớn trên địa bàn tỉnh Hà Tĩnh đang dần được kiểm soát mức độ gia tăng ô nhiễm. Nhìn chung, các sông lớn có chất lượng nước chủ yếu đang tốt, nhiều đoạn sông nước có thể sử dụng tốt cho mục đích cấp nước sinh hoạt (giá trị WQI của sông/suối dao động từ 49 đến 99).</w:t>
      </w:r>
    </w:p>
    <w:p w14:paraId="01F70353" w14:textId="77777777" w:rsidR="00085789" w:rsidRDefault="00000000">
      <w:pPr>
        <w:widowControl w:val="0"/>
        <w:spacing w:before="120" w:line="240" w:lineRule="auto"/>
        <w:ind w:firstLine="709"/>
        <w:jc w:val="both"/>
        <w:rPr>
          <w:spacing w:val="-2"/>
          <w:sz w:val="26"/>
          <w:szCs w:val="26"/>
        </w:rPr>
      </w:pPr>
      <w:r>
        <w:rPr>
          <w:spacing w:val="-2"/>
          <w:sz w:val="26"/>
          <w:szCs w:val="26"/>
          <w:shd w:val="clear" w:color="auto" w:fill="FFFFFF"/>
        </w:rPr>
        <w:t xml:space="preserve">Tổng hợp diễn biến ô nhiễm nguồn nước mặt trên địa bàn tỉnh cụ thể như sau: </w:t>
      </w:r>
      <w:r>
        <w:rPr>
          <w:spacing w:val="-2"/>
          <w:sz w:val="26"/>
          <w:szCs w:val="26"/>
        </w:rPr>
        <w:t xml:space="preserve">Trên cơ sở so sánh kết quả quan trắc chất lượng nước mặt định kỳ hàng năm với QCVN 08-MT:2015/BTNMT (năm 2021, 2022) và QCVN 08:2023/BTNMT (từ năm 2023 đến nay) cho thấy: Chất lượng nước sông có hàm lượng các chất hữu cơ, TSS, Coliform cao thường là các vị trí quan trắc chịu tác động bởi các nguồn thải từ hoạt động sinh hoạt, trồng trọt, chăn nuôi, NTTS và hoạt động sản xuất công nghiệp,.... Một số vị trí có giá trị vượt quy chuẩn chỉ ở một vài thời điểm. </w:t>
      </w:r>
      <w:r>
        <w:rPr>
          <w:noProof/>
          <w:spacing w:val="-2"/>
          <w:sz w:val="26"/>
          <w:szCs w:val="26"/>
        </w:rPr>
        <w:t>Thông tin các lưu vực đánh giá cụ thể như sau:</w:t>
      </w:r>
    </w:p>
    <w:p w14:paraId="7C473FA5" w14:textId="77777777" w:rsidR="00085789" w:rsidRDefault="00000000">
      <w:pPr>
        <w:pStyle w:val="-bac4"/>
        <w:spacing w:before="0" w:after="0" w:line="240" w:lineRule="auto"/>
      </w:pPr>
      <w:bookmarkStart w:id="473" w:name="_Toc213597395"/>
      <w:bookmarkStart w:id="474" w:name="_Toc213600754"/>
      <w:bookmarkStart w:id="475" w:name="_Toc205915700"/>
      <w:r>
        <w:t>Bảng 3.3. Thông tin các nguồn nước sông, suối chịu sức ép</w:t>
      </w:r>
      <w:bookmarkEnd w:id="473"/>
      <w:bookmarkEnd w:id="474"/>
    </w:p>
    <w:p w14:paraId="54619B7F" w14:textId="77777777" w:rsidR="00085789" w:rsidRDefault="00000000">
      <w:pPr>
        <w:pStyle w:val="-bac4"/>
        <w:spacing w:before="0" w:after="0" w:line="240" w:lineRule="auto"/>
      </w:pPr>
      <w:r>
        <w:t xml:space="preserve"> </w:t>
      </w:r>
      <w:bookmarkStart w:id="476" w:name="_Toc213597396"/>
      <w:bookmarkStart w:id="477" w:name="_Toc213600755"/>
      <w:r>
        <w:t>từ các hoạt động phát triển KT-XH</w:t>
      </w:r>
      <w:bookmarkEnd w:id="476"/>
      <w:bookmarkEnd w:id="477"/>
      <w:r>
        <w:t xml:space="preserve"> </w:t>
      </w:r>
      <w:bookmarkEnd w:id="475"/>
    </w:p>
    <w:p w14:paraId="3F973FF6" w14:textId="77777777" w:rsidR="00085789" w:rsidRDefault="00085789">
      <w:pPr>
        <w:pStyle w:val="-bac4"/>
        <w:spacing w:before="0" w:after="0" w:line="240" w:lineRule="auto"/>
        <w:rPr>
          <w:sz w:val="12"/>
          <w:szCs w:val="10"/>
        </w:rPr>
      </w:pPr>
    </w:p>
    <w:tbl>
      <w:tblPr>
        <w:tblW w:w="92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2174"/>
        <w:gridCol w:w="2693"/>
        <w:gridCol w:w="1998"/>
        <w:gridCol w:w="1808"/>
        <w:gridCol w:w="8"/>
      </w:tblGrid>
      <w:tr w:rsidR="00085789" w14:paraId="181C29BE" w14:textId="77777777">
        <w:trPr>
          <w:gridAfter w:val="1"/>
          <w:wAfter w:w="8" w:type="dxa"/>
          <w:trHeight w:val="94"/>
          <w:tblHeader/>
          <w:jc w:val="center"/>
        </w:trPr>
        <w:tc>
          <w:tcPr>
            <w:tcW w:w="577" w:type="dxa"/>
            <w:vMerge w:val="restart"/>
            <w:vAlign w:val="center"/>
          </w:tcPr>
          <w:p w14:paraId="287D9EA1" w14:textId="77777777" w:rsidR="00085789" w:rsidRDefault="00000000">
            <w:pPr>
              <w:spacing w:before="40" w:line="240" w:lineRule="auto"/>
              <w:ind w:left="-46" w:right="-58"/>
              <w:jc w:val="center"/>
              <w:rPr>
                <w:b/>
                <w:bCs/>
                <w:sz w:val="24"/>
                <w:szCs w:val="24"/>
              </w:rPr>
            </w:pPr>
            <w:bookmarkStart w:id="478" w:name="_Hlk202705862"/>
            <w:r>
              <w:rPr>
                <w:b/>
                <w:bCs/>
                <w:sz w:val="24"/>
                <w:szCs w:val="24"/>
              </w:rPr>
              <w:t>TT</w:t>
            </w:r>
          </w:p>
        </w:tc>
        <w:tc>
          <w:tcPr>
            <w:tcW w:w="2174" w:type="dxa"/>
            <w:vMerge w:val="restart"/>
            <w:vAlign w:val="center"/>
          </w:tcPr>
          <w:p w14:paraId="763B4D4B" w14:textId="77777777" w:rsidR="00085789" w:rsidRDefault="00000000">
            <w:pPr>
              <w:spacing w:before="40" w:line="240" w:lineRule="auto"/>
              <w:jc w:val="center"/>
              <w:rPr>
                <w:b/>
                <w:bCs/>
                <w:spacing w:val="-4"/>
                <w:sz w:val="24"/>
                <w:szCs w:val="24"/>
              </w:rPr>
            </w:pPr>
            <w:r>
              <w:rPr>
                <w:b/>
                <w:bCs/>
                <w:spacing w:val="-4"/>
                <w:sz w:val="24"/>
                <w:szCs w:val="24"/>
              </w:rPr>
              <w:t>Tên sông/suối phân tích trong báo cáo</w:t>
            </w:r>
          </w:p>
        </w:tc>
        <w:tc>
          <w:tcPr>
            <w:tcW w:w="2693" w:type="dxa"/>
            <w:vMerge w:val="restart"/>
            <w:vAlign w:val="center"/>
          </w:tcPr>
          <w:p w14:paraId="5C112909" w14:textId="77777777" w:rsidR="00085789" w:rsidRDefault="00000000">
            <w:pPr>
              <w:spacing w:before="40" w:line="240" w:lineRule="auto"/>
              <w:jc w:val="center"/>
              <w:rPr>
                <w:b/>
                <w:bCs/>
                <w:spacing w:val="-4"/>
                <w:sz w:val="24"/>
                <w:szCs w:val="24"/>
              </w:rPr>
            </w:pPr>
            <w:r>
              <w:rPr>
                <w:b/>
                <w:bCs/>
                <w:spacing w:val="-4"/>
                <w:sz w:val="24"/>
                <w:szCs w:val="24"/>
              </w:rPr>
              <w:t>Địa danh hành chính</w:t>
            </w:r>
            <w:r>
              <w:rPr>
                <w:rStyle w:val="FootnoteReference"/>
                <w:b/>
                <w:bCs/>
                <w:spacing w:val="-4"/>
                <w:sz w:val="24"/>
                <w:szCs w:val="24"/>
              </w:rPr>
              <w:footnoteReference w:id="37"/>
            </w:r>
          </w:p>
        </w:tc>
        <w:tc>
          <w:tcPr>
            <w:tcW w:w="3806" w:type="dxa"/>
            <w:gridSpan w:val="2"/>
            <w:vAlign w:val="center"/>
          </w:tcPr>
          <w:p w14:paraId="1960229A" w14:textId="77777777" w:rsidR="00085789" w:rsidRDefault="00000000">
            <w:pPr>
              <w:spacing w:before="40" w:line="240" w:lineRule="auto"/>
              <w:ind w:left="-119" w:right="-105"/>
              <w:jc w:val="center"/>
              <w:rPr>
                <w:b/>
                <w:bCs/>
                <w:sz w:val="24"/>
                <w:szCs w:val="24"/>
              </w:rPr>
            </w:pPr>
            <w:r>
              <w:rPr>
                <w:b/>
                <w:bCs/>
                <w:sz w:val="24"/>
                <w:szCs w:val="24"/>
              </w:rPr>
              <w:t>Quy chuẩn đánh giá</w:t>
            </w:r>
          </w:p>
        </w:tc>
      </w:tr>
      <w:tr w:rsidR="00085789" w14:paraId="2CD55CF0" w14:textId="77777777">
        <w:trPr>
          <w:gridAfter w:val="1"/>
          <w:wAfter w:w="8" w:type="dxa"/>
          <w:trHeight w:val="56"/>
          <w:tblHeader/>
          <w:jc w:val="center"/>
        </w:trPr>
        <w:tc>
          <w:tcPr>
            <w:tcW w:w="577" w:type="dxa"/>
            <w:vMerge/>
            <w:vAlign w:val="center"/>
          </w:tcPr>
          <w:p w14:paraId="0B7A0F8E" w14:textId="77777777" w:rsidR="00085789" w:rsidRDefault="00085789">
            <w:pPr>
              <w:spacing w:before="40" w:line="240" w:lineRule="auto"/>
              <w:jc w:val="center"/>
              <w:rPr>
                <w:b/>
                <w:bCs/>
                <w:sz w:val="24"/>
                <w:szCs w:val="24"/>
              </w:rPr>
            </w:pPr>
          </w:p>
        </w:tc>
        <w:tc>
          <w:tcPr>
            <w:tcW w:w="2174" w:type="dxa"/>
            <w:vMerge/>
            <w:vAlign w:val="center"/>
          </w:tcPr>
          <w:p w14:paraId="64B37088" w14:textId="77777777" w:rsidR="00085789" w:rsidRDefault="00085789">
            <w:pPr>
              <w:spacing w:before="40" w:line="240" w:lineRule="auto"/>
              <w:jc w:val="center"/>
              <w:rPr>
                <w:b/>
                <w:bCs/>
                <w:spacing w:val="-4"/>
                <w:sz w:val="24"/>
                <w:szCs w:val="24"/>
              </w:rPr>
            </w:pPr>
          </w:p>
        </w:tc>
        <w:tc>
          <w:tcPr>
            <w:tcW w:w="2693" w:type="dxa"/>
            <w:vMerge/>
            <w:vAlign w:val="center"/>
          </w:tcPr>
          <w:p w14:paraId="52F10937" w14:textId="77777777" w:rsidR="00085789" w:rsidRDefault="00085789">
            <w:pPr>
              <w:spacing w:before="40" w:line="240" w:lineRule="auto"/>
              <w:jc w:val="center"/>
              <w:rPr>
                <w:b/>
                <w:spacing w:val="-4"/>
                <w:sz w:val="24"/>
                <w:szCs w:val="24"/>
              </w:rPr>
            </w:pPr>
          </w:p>
        </w:tc>
        <w:tc>
          <w:tcPr>
            <w:tcW w:w="1998" w:type="dxa"/>
            <w:vAlign w:val="center"/>
          </w:tcPr>
          <w:p w14:paraId="03FB6DD5" w14:textId="77777777" w:rsidR="00085789" w:rsidRDefault="00000000">
            <w:pPr>
              <w:spacing w:before="40" w:line="240" w:lineRule="auto"/>
              <w:ind w:left="-119" w:right="-105"/>
              <w:jc w:val="center"/>
              <w:rPr>
                <w:b/>
                <w:bCs/>
                <w:sz w:val="24"/>
                <w:szCs w:val="24"/>
              </w:rPr>
            </w:pPr>
            <w:r>
              <w:rPr>
                <w:b/>
                <w:bCs/>
                <w:sz w:val="24"/>
                <w:szCs w:val="24"/>
              </w:rPr>
              <w:t>Năm 2021-2022</w:t>
            </w:r>
          </w:p>
        </w:tc>
        <w:tc>
          <w:tcPr>
            <w:tcW w:w="1808" w:type="dxa"/>
            <w:vAlign w:val="center"/>
          </w:tcPr>
          <w:p w14:paraId="5FB1389A" w14:textId="77777777" w:rsidR="00085789" w:rsidRDefault="00000000">
            <w:pPr>
              <w:spacing w:before="40" w:line="240" w:lineRule="auto"/>
              <w:ind w:left="-119" w:right="-105"/>
              <w:jc w:val="center"/>
              <w:rPr>
                <w:b/>
                <w:bCs/>
                <w:sz w:val="24"/>
                <w:szCs w:val="24"/>
              </w:rPr>
            </w:pPr>
            <w:r>
              <w:rPr>
                <w:b/>
                <w:bCs/>
                <w:sz w:val="24"/>
                <w:szCs w:val="24"/>
              </w:rPr>
              <w:t>Năm 2023-2025</w:t>
            </w:r>
          </w:p>
        </w:tc>
      </w:tr>
      <w:tr w:rsidR="00085789" w14:paraId="40A46F2E" w14:textId="77777777">
        <w:trPr>
          <w:trHeight w:val="315"/>
          <w:jc w:val="center"/>
        </w:trPr>
        <w:tc>
          <w:tcPr>
            <w:tcW w:w="577" w:type="dxa"/>
            <w:vAlign w:val="center"/>
          </w:tcPr>
          <w:p w14:paraId="105B39BC" w14:textId="77777777" w:rsidR="00085789" w:rsidRDefault="00000000">
            <w:pPr>
              <w:spacing w:before="40" w:line="240" w:lineRule="auto"/>
              <w:jc w:val="center"/>
              <w:rPr>
                <w:b/>
                <w:bCs/>
                <w:sz w:val="24"/>
                <w:szCs w:val="24"/>
              </w:rPr>
            </w:pPr>
            <w:r>
              <w:rPr>
                <w:b/>
                <w:bCs/>
                <w:sz w:val="24"/>
                <w:szCs w:val="24"/>
              </w:rPr>
              <w:t>I</w:t>
            </w:r>
          </w:p>
        </w:tc>
        <w:tc>
          <w:tcPr>
            <w:tcW w:w="8681" w:type="dxa"/>
            <w:gridSpan w:val="5"/>
            <w:vAlign w:val="center"/>
          </w:tcPr>
          <w:p w14:paraId="16C28CE8" w14:textId="77777777" w:rsidR="00085789" w:rsidRDefault="00000000">
            <w:pPr>
              <w:spacing w:before="40" w:line="240" w:lineRule="auto"/>
              <w:ind w:left="-119" w:right="-105"/>
              <w:jc w:val="center"/>
              <w:rPr>
                <w:b/>
                <w:noProof/>
                <w:spacing w:val="-4"/>
                <w:sz w:val="24"/>
                <w:szCs w:val="24"/>
              </w:rPr>
            </w:pPr>
            <w:r>
              <w:rPr>
                <w:b/>
                <w:bCs/>
                <w:spacing w:val="-4"/>
                <w:sz w:val="24"/>
                <w:szCs w:val="24"/>
              </w:rPr>
              <w:t>Hệ thống sông Rào Cái</w:t>
            </w:r>
          </w:p>
        </w:tc>
      </w:tr>
      <w:tr w:rsidR="00085789" w14:paraId="16ADDEEE" w14:textId="77777777">
        <w:trPr>
          <w:gridAfter w:val="1"/>
          <w:wAfter w:w="8" w:type="dxa"/>
          <w:trHeight w:val="315"/>
          <w:jc w:val="center"/>
        </w:trPr>
        <w:tc>
          <w:tcPr>
            <w:tcW w:w="577" w:type="dxa"/>
            <w:vAlign w:val="center"/>
          </w:tcPr>
          <w:p w14:paraId="7F4A1BD0" w14:textId="77777777" w:rsidR="00085789" w:rsidRDefault="00000000">
            <w:pPr>
              <w:spacing w:before="40" w:line="240" w:lineRule="auto"/>
              <w:jc w:val="center"/>
              <w:rPr>
                <w:bCs/>
                <w:sz w:val="24"/>
                <w:szCs w:val="24"/>
              </w:rPr>
            </w:pPr>
            <w:r>
              <w:rPr>
                <w:bCs/>
                <w:sz w:val="24"/>
                <w:szCs w:val="24"/>
              </w:rPr>
              <w:t>1</w:t>
            </w:r>
          </w:p>
        </w:tc>
        <w:tc>
          <w:tcPr>
            <w:tcW w:w="2174" w:type="dxa"/>
            <w:vAlign w:val="bottom"/>
          </w:tcPr>
          <w:p w14:paraId="5919EE2D" w14:textId="77777777" w:rsidR="00085789" w:rsidRDefault="00000000">
            <w:pPr>
              <w:spacing w:before="40" w:line="240" w:lineRule="auto"/>
              <w:jc w:val="both"/>
              <w:rPr>
                <w:bCs/>
                <w:spacing w:val="-4"/>
                <w:sz w:val="24"/>
                <w:szCs w:val="24"/>
              </w:rPr>
            </w:pPr>
            <w:r>
              <w:rPr>
                <w:spacing w:val="-4"/>
                <w:sz w:val="24"/>
                <w:szCs w:val="24"/>
              </w:rPr>
              <w:t>Sông Cụt (tại cầu Tre)</w:t>
            </w:r>
          </w:p>
        </w:tc>
        <w:tc>
          <w:tcPr>
            <w:tcW w:w="2693" w:type="dxa"/>
            <w:vAlign w:val="center"/>
          </w:tcPr>
          <w:p w14:paraId="52D318AD" w14:textId="77777777" w:rsidR="00085789" w:rsidRDefault="00000000">
            <w:pPr>
              <w:spacing w:before="40" w:line="240" w:lineRule="auto"/>
              <w:jc w:val="both"/>
              <w:rPr>
                <w:bCs/>
                <w:spacing w:val="-6"/>
                <w:sz w:val="24"/>
                <w:szCs w:val="24"/>
              </w:rPr>
            </w:pPr>
            <w:r>
              <w:rPr>
                <w:bCs/>
                <w:spacing w:val="-6"/>
                <w:sz w:val="24"/>
                <w:szCs w:val="24"/>
              </w:rPr>
              <w:t>Phường Tân Giang (nay là phường Thành Sen)</w:t>
            </w:r>
          </w:p>
        </w:tc>
        <w:tc>
          <w:tcPr>
            <w:tcW w:w="1998" w:type="dxa"/>
            <w:vAlign w:val="center"/>
          </w:tcPr>
          <w:p w14:paraId="07668702" w14:textId="77777777" w:rsidR="00085789" w:rsidRDefault="00000000">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3560942"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6A22FE8F" w14:textId="77777777">
        <w:trPr>
          <w:gridAfter w:val="1"/>
          <w:wAfter w:w="8" w:type="dxa"/>
          <w:trHeight w:val="315"/>
          <w:jc w:val="center"/>
        </w:trPr>
        <w:tc>
          <w:tcPr>
            <w:tcW w:w="577" w:type="dxa"/>
            <w:vAlign w:val="center"/>
          </w:tcPr>
          <w:p w14:paraId="274DFB8C" w14:textId="77777777" w:rsidR="00085789" w:rsidRDefault="00000000">
            <w:pPr>
              <w:spacing w:before="40" w:line="240" w:lineRule="auto"/>
              <w:jc w:val="center"/>
              <w:rPr>
                <w:bCs/>
                <w:sz w:val="24"/>
                <w:szCs w:val="24"/>
              </w:rPr>
            </w:pPr>
            <w:r>
              <w:rPr>
                <w:bCs/>
                <w:sz w:val="24"/>
                <w:szCs w:val="24"/>
              </w:rPr>
              <w:t>2</w:t>
            </w:r>
          </w:p>
        </w:tc>
        <w:tc>
          <w:tcPr>
            <w:tcW w:w="2174" w:type="dxa"/>
            <w:vAlign w:val="bottom"/>
          </w:tcPr>
          <w:p w14:paraId="75B7EE57" w14:textId="77777777" w:rsidR="00085789" w:rsidRDefault="00000000">
            <w:pPr>
              <w:spacing w:before="40" w:line="240" w:lineRule="auto"/>
              <w:jc w:val="both"/>
              <w:rPr>
                <w:bCs/>
                <w:spacing w:val="-4"/>
                <w:sz w:val="24"/>
                <w:szCs w:val="24"/>
              </w:rPr>
            </w:pPr>
            <w:r>
              <w:rPr>
                <w:spacing w:val="-4"/>
                <w:sz w:val="24"/>
                <w:szCs w:val="24"/>
              </w:rPr>
              <w:t>Sông Rào Cái (tại cầu Phủ)</w:t>
            </w:r>
          </w:p>
        </w:tc>
        <w:tc>
          <w:tcPr>
            <w:tcW w:w="2693" w:type="dxa"/>
            <w:vAlign w:val="center"/>
          </w:tcPr>
          <w:p w14:paraId="2C3F808F" w14:textId="77777777" w:rsidR="00085789" w:rsidRDefault="00000000">
            <w:pPr>
              <w:spacing w:before="40" w:line="240" w:lineRule="auto"/>
              <w:jc w:val="both"/>
              <w:rPr>
                <w:bCs/>
                <w:spacing w:val="-4"/>
                <w:sz w:val="24"/>
                <w:szCs w:val="24"/>
              </w:rPr>
            </w:pPr>
            <w:r>
              <w:rPr>
                <w:bCs/>
                <w:spacing w:val="-4"/>
                <w:sz w:val="24"/>
                <w:szCs w:val="24"/>
              </w:rPr>
              <w:t>Phường Đại Nài (nay là phường Thành Sen)</w:t>
            </w:r>
          </w:p>
        </w:tc>
        <w:tc>
          <w:tcPr>
            <w:tcW w:w="1998" w:type="dxa"/>
            <w:vAlign w:val="center"/>
          </w:tcPr>
          <w:p w14:paraId="1B33B8A8" w14:textId="77777777" w:rsidR="00085789" w:rsidRDefault="00000000">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2A3FBC2E"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6C1A874D" w14:textId="77777777">
        <w:trPr>
          <w:gridAfter w:val="1"/>
          <w:wAfter w:w="8" w:type="dxa"/>
          <w:trHeight w:val="315"/>
          <w:jc w:val="center"/>
        </w:trPr>
        <w:tc>
          <w:tcPr>
            <w:tcW w:w="577" w:type="dxa"/>
            <w:vAlign w:val="center"/>
          </w:tcPr>
          <w:p w14:paraId="5B8CA996" w14:textId="77777777" w:rsidR="00085789" w:rsidRDefault="00000000">
            <w:pPr>
              <w:spacing w:before="40" w:line="240" w:lineRule="auto"/>
              <w:jc w:val="center"/>
              <w:rPr>
                <w:bCs/>
                <w:sz w:val="24"/>
                <w:szCs w:val="24"/>
              </w:rPr>
            </w:pPr>
            <w:r>
              <w:rPr>
                <w:bCs/>
                <w:sz w:val="24"/>
                <w:szCs w:val="24"/>
              </w:rPr>
              <w:t>3</w:t>
            </w:r>
          </w:p>
        </w:tc>
        <w:tc>
          <w:tcPr>
            <w:tcW w:w="2174" w:type="dxa"/>
            <w:vAlign w:val="bottom"/>
          </w:tcPr>
          <w:p w14:paraId="3E52C013" w14:textId="77777777" w:rsidR="00085789" w:rsidRDefault="00000000">
            <w:pPr>
              <w:spacing w:before="40" w:line="240" w:lineRule="auto"/>
              <w:jc w:val="both"/>
              <w:rPr>
                <w:bCs/>
                <w:spacing w:val="-6"/>
                <w:sz w:val="24"/>
                <w:szCs w:val="24"/>
              </w:rPr>
            </w:pPr>
            <w:r>
              <w:rPr>
                <w:spacing w:val="-6"/>
                <w:sz w:val="24"/>
                <w:szCs w:val="24"/>
              </w:rPr>
              <w:t>Sông Rào Cái (tại cầu Thạch Đồng)</w:t>
            </w:r>
          </w:p>
        </w:tc>
        <w:tc>
          <w:tcPr>
            <w:tcW w:w="2693" w:type="dxa"/>
            <w:vAlign w:val="center"/>
          </w:tcPr>
          <w:p w14:paraId="079F77EA" w14:textId="77777777" w:rsidR="00085789" w:rsidRDefault="00000000">
            <w:pPr>
              <w:spacing w:before="40" w:line="240" w:lineRule="auto"/>
              <w:jc w:val="both"/>
              <w:rPr>
                <w:bCs/>
                <w:spacing w:val="-4"/>
                <w:sz w:val="24"/>
                <w:szCs w:val="24"/>
              </w:rPr>
            </w:pPr>
            <w:r>
              <w:rPr>
                <w:bCs/>
                <w:spacing w:val="-4"/>
                <w:sz w:val="24"/>
                <w:szCs w:val="24"/>
              </w:rPr>
              <w:t>Phường Đồng Môn (nay là phường Trần Phú)</w:t>
            </w:r>
          </w:p>
        </w:tc>
        <w:tc>
          <w:tcPr>
            <w:tcW w:w="1998" w:type="dxa"/>
            <w:vAlign w:val="center"/>
          </w:tcPr>
          <w:p w14:paraId="0BC80BC6" w14:textId="77777777" w:rsidR="00085789" w:rsidRDefault="00000000">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14787483"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28ED6776" w14:textId="77777777">
        <w:trPr>
          <w:trHeight w:val="315"/>
          <w:jc w:val="center"/>
        </w:trPr>
        <w:tc>
          <w:tcPr>
            <w:tcW w:w="577" w:type="dxa"/>
            <w:vAlign w:val="center"/>
          </w:tcPr>
          <w:p w14:paraId="50C57A46" w14:textId="77777777" w:rsidR="00085789" w:rsidRDefault="00000000">
            <w:pPr>
              <w:spacing w:before="40" w:line="240" w:lineRule="auto"/>
              <w:jc w:val="center"/>
              <w:rPr>
                <w:b/>
                <w:bCs/>
                <w:sz w:val="24"/>
                <w:szCs w:val="24"/>
              </w:rPr>
            </w:pPr>
            <w:r>
              <w:rPr>
                <w:b/>
                <w:bCs/>
                <w:sz w:val="24"/>
                <w:szCs w:val="24"/>
              </w:rPr>
              <w:t>II</w:t>
            </w:r>
          </w:p>
        </w:tc>
        <w:tc>
          <w:tcPr>
            <w:tcW w:w="8681" w:type="dxa"/>
            <w:gridSpan w:val="5"/>
            <w:vAlign w:val="center"/>
          </w:tcPr>
          <w:p w14:paraId="42F0BF73" w14:textId="77777777" w:rsidR="00085789" w:rsidRDefault="00000000">
            <w:pPr>
              <w:spacing w:before="40" w:line="240" w:lineRule="auto"/>
              <w:ind w:left="-119" w:right="-105"/>
              <w:jc w:val="center"/>
              <w:rPr>
                <w:b/>
                <w:noProof/>
                <w:spacing w:val="-4"/>
                <w:sz w:val="24"/>
                <w:szCs w:val="24"/>
              </w:rPr>
            </w:pPr>
            <w:r>
              <w:rPr>
                <w:b/>
                <w:bCs/>
                <w:spacing w:val="-4"/>
                <w:sz w:val="24"/>
                <w:szCs w:val="24"/>
              </w:rPr>
              <w:t>Hệ thống Sông Nghèn</w:t>
            </w:r>
          </w:p>
        </w:tc>
      </w:tr>
      <w:tr w:rsidR="00085789" w14:paraId="158A4C4F" w14:textId="77777777">
        <w:trPr>
          <w:gridAfter w:val="1"/>
          <w:wAfter w:w="8" w:type="dxa"/>
          <w:trHeight w:val="92"/>
          <w:jc w:val="center"/>
        </w:trPr>
        <w:tc>
          <w:tcPr>
            <w:tcW w:w="577" w:type="dxa"/>
            <w:vAlign w:val="center"/>
          </w:tcPr>
          <w:p w14:paraId="36A6D4B0" w14:textId="77777777" w:rsidR="00085789" w:rsidRDefault="00000000">
            <w:pPr>
              <w:spacing w:before="40" w:line="240" w:lineRule="auto"/>
              <w:jc w:val="center"/>
              <w:rPr>
                <w:bCs/>
                <w:sz w:val="24"/>
                <w:szCs w:val="24"/>
              </w:rPr>
            </w:pPr>
            <w:r>
              <w:rPr>
                <w:bCs/>
                <w:sz w:val="24"/>
                <w:szCs w:val="24"/>
              </w:rPr>
              <w:t>4</w:t>
            </w:r>
          </w:p>
        </w:tc>
        <w:tc>
          <w:tcPr>
            <w:tcW w:w="2174" w:type="dxa"/>
            <w:vAlign w:val="bottom"/>
          </w:tcPr>
          <w:p w14:paraId="393A2DF8" w14:textId="77777777" w:rsidR="00085789" w:rsidRDefault="00000000">
            <w:pPr>
              <w:spacing w:before="40" w:line="240" w:lineRule="auto"/>
              <w:jc w:val="both"/>
              <w:rPr>
                <w:bCs/>
                <w:spacing w:val="-4"/>
                <w:sz w:val="24"/>
                <w:szCs w:val="24"/>
              </w:rPr>
            </w:pPr>
            <w:r>
              <w:rPr>
                <w:spacing w:val="-4"/>
                <w:sz w:val="24"/>
                <w:szCs w:val="24"/>
              </w:rPr>
              <w:t>Sông Cày (tại P. Thạch Trung)</w:t>
            </w:r>
          </w:p>
        </w:tc>
        <w:tc>
          <w:tcPr>
            <w:tcW w:w="2693" w:type="dxa"/>
            <w:vAlign w:val="center"/>
          </w:tcPr>
          <w:p w14:paraId="08024842" w14:textId="77777777" w:rsidR="00085789" w:rsidRDefault="00000000">
            <w:pPr>
              <w:spacing w:before="40" w:line="240" w:lineRule="auto"/>
              <w:jc w:val="both"/>
              <w:rPr>
                <w:bCs/>
                <w:spacing w:val="-4"/>
                <w:sz w:val="24"/>
                <w:szCs w:val="24"/>
              </w:rPr>
            </w:pPr>
            <w:r>
              <w:rPr>
                <w:bCs/>
                <w:spacing w:val="-4"/>
                <w:sz w:val="24"/>
                <w:szCs w:val="24"/>
              </w:rPr>
              <w:t>Xã Thạch Trung (nay là phường Trần Phú)</w:t>
            </w:r>
          </w:p>
        </w:tc>
        <w:tc>
          <w:tcPr>
            <w:tcW w:w="1998" w:type="dxa"/>
            <w:vAlign w:val="center"/>
          </w:tcPr>
          <w:p w14:paraId="5A9AB230" w14:textId="77777777" w:rsidR="00085789" w:rsidRDefault="00000000">
            <w:pPr>
              <w:spacing w:before="40" w:line="240" w:lineRule="auto"/>
              <w:ind w:left="-119" w:right="-105"/>
              <w:jc w:val="center"/>
              <w:rPr>
                <w:bCs/>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7BB2CDB3"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4498CA91" w14:textId="77777777">
        <w:trPr>
          <w:gridAfter w:val="1"/>
          <w:wAfter w:w="8" w:type="dxa"/>
          <w:trHeight w:val="315"/>
          <w:jc w:val="center"/>
        </w:trPr>
        <w:tc>
          <w:tcPr>
            <w:tcW w:w="577" w:type="dxa"/>
            <w:vAlign w:val="center"/>
          </w:tcPr>
          <w:p w14:paraId="759E24F9" w14:textId="77777777" w:rsidR="00085789" w:rsidRDefault="00000000">
            <w:pPr>
              <w:spacing w:before="40" w:line="240" w:lineRule="auto"/>
              <w:jc w:val="center"/>
              <w:rPr>
                <w:bCs/>
                <w:sz w:val="24"/>
                <w:szCs w:val="24"/>
              </w:rPr>
            </w:pPr>
            <w:r>
              <w:rPr>
                <w:bCs/>
                <w:sz w:val="24"/>
                <w:szCs w:val="24"/>
              </w:rPr>
              <w:t>5</w:t>
            </w:r>
          </w:p>
        </w:tc>
        <w:tc>
          <w:tcPr>
            <w:tcW w:w="2174" w:type="dxa"/>
            <w:vAlign w:val="bottom"/>
          </w:tcPr>
          <w:p w14:paraId="4EFD6017" w14:textId="77777777" w:rsidR="00085789" w:rsidRDefault="00000000">
            <w:pPr>
              <w:spacing w:before="40" w:line="240" w:lineRule="auto"/>
              <w:jc w:val="both"/>
              <w:rPr>
                <w:bCs/>
                <w:spacing w:val="-4"/>
                <w:sz w:val="24"/>
                <w:szCs w:val="24"/>
              </w:rPr>
            </w:pPr>
            <w:r>
              <w:rPr>
                <w:spacing w:val="-4"/>
                <w:sz w:val="24"/>
                <w:szCs w:val="24"/>
              </w:rPr>
              <w:t>Sông Già (tại chân cầu Già)</w:t>
            </w:r>
          </w:p>
        </w:tc>
        <w:tc>
          <w:tcPr>
            <w:tcW w:w="2693" w:type="dxa"/>
            <w:vAlign w:val="center"/>
          </w:tcPr>
          <w:p w14:paraId="695C211A" w14:textId="77777777" w:rsidR="00085789" w:rsidRDefault="00000000">
            <w:pPr>
              <w:spacing w:before="40" w:line="240" w:lineRule="auto"/>
              <w:jc w:val="both"/>
              <w:rPr>
                <w:bCs/>
                <w:spacing w:val="-4"/>
                <w:sz w:val="24"/>
                <w:szCs w:val="24"/>
              </w:rPr>
            </w:pPr>
            <w:r>
              <w:rPr>
                <w:bCs/>
                <w:spacing w:val="-4"/>
                <w:sz w:val="24"/>
                <w:szCs w:val="24"/>
              </w:rPr>
              <w:t>Xã Thạch Liên (nay là xã Đông Kinh)</w:t>
            </w:r>
          </w:p>
        </w:tc>
        <w:tc>
          <w:tcPr>
            <w:tcW w:w="1998" w:type="dxa"/>
            <w:vAlign w:val="center"/>
          </w:tcPr>
          <w:p w14:paraId="0E6EDEFB" w14:textId="77777777" w:rsidR="00085789" w:rsidRDefault="00000000">
            <w:pPr>
              <w:spacing w:before="40" w:line="240" w:lineRule="auto"/>
              <w:ind w:left="-119" w:right="-105"/>
              <w:jc w:val="center"/>
              <w:rPr>
                <w:bCs/>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4E6CF250"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3B3AAC7E" w14:textId="77777777">
        <w:trPr>
          <w:gridAfter w:val="1"/>
          <w:wAfter w:w="8" w:type="dxa"/>
          <w:trHeight w:val="315"/>
          <w:jc w:val="center"/>
        </w:trPr>
        <w:tc>
          <w:tcPr>
            <w:tcW w:w="577" w:type="dxa"/>
            <w:vAlign w:val="center"/>
          </w:tcPr>
          <w:p w14:paraId="349FFEE8" w14:textId="77777777" w:rsidR="00085789" w:rsidRDefault="00000000">
            <w:pPr>
              <w:spacing w:before="40" w:line="240" w:lineRule="auto"/>
              <w:jc w:val="center"/>
              <w:rPr>
                <w:bCs/>
                <w:sz w:val="24"/>
                <w:szCs w:val="24"/>
              </w:rPr>
            </w:pPr>
            <w:r>
              <w:rPr>
                <w:bCs/>
                <w:sz w:val="24"/>
                <w:szCs w:val="24"/>
              </w:rPr>
              <w:t>6</w:t>
            </w:r>
          </w:p>
        </w:tc>
        <w:tc>
          <w:tcPr>
            <w:tcW w:w="2174" w:type="dxa"/>
            <w:vAlign w:val="bottom"/>
          </w:tcPr>
          <w:p w14:paraId="7902E923" w14:textId="77777777" w:rsidR="00085789" w:rsidRDefault="00000000">
            <w:pPr>
              <w:spacing w:before="40" w:line="240" w:lineRule="auto"/>
              <w:jc w:val="both"/>
              <w:rPr>
                <w:bCs/>
                <w:spacing w:val="-6"/>
                <w:sz w:val="24"/>
                <w:szCs w:val="24"/>
              </w:rPr>
            </w:pPr>
            <w:r>
              <w:rPr>
                <w:spacing w:val="-6"/>
                <w:sz w:val="24"/>
                <w:szCs w:val="24"/>
              </w:rPr>
              <w:t>Kênh Nhà Lê (tại cống Trung Lương)</w:t>
            </w:r>
          </w:p>
        </w:tc>
        <w:tc>
          <w:tcPr>
            <w:tcW w:w="2693" w:type="dxa"/>
            <w:vAlign w:val="center"/>
          </w:tcPr>
          <w:p w14:paraId="7FB6E244" w14:textId="77777777" w:rsidR="00085789" w:rsidRDefault="00000000">
            <w:pPr>
              <w:spacing w:before="40" w:line="240" w:lineRule="auto"/>
              <w:jc w:val="both"/>
              <w:rPr>
                <w:bCs/>
                <w:spacing w:val="-4"/>
                <w:sz w:val="24"/>
                <w:szCs w:val="24"/>
              </w:rPr>
            </w:pPr>
            <w:r>
              <w:rPr>
                <w:bCs/>
                <w:spacing w:val="-4"/>
                <w:sz w:val="24"/>
                <w:szCs w:val="24"/>
              </w:rPr>
              <w:t>Phường Trung Lương (nay là P. Bắc Hồng Lĩnh)</w:t>
            </w:r>
          </w:p>
        </w:tc>
        <w:tc>
          <w:tcPr>
            <w:tcW w:w="1998" w:type="dxa"/>
            <w:vAlign w:val="center"/>
          </w:tcPr>
          <w:p w14:paraId="261342F7" w14:textId="77777777" w:rsidR="00085789" w:rsidRDefault="00000000">
            <w:pPr>
              <w:spacing w:before="40" w:line="240" w:lineRule="auto"/>
              <w:ind w:left="-119" w:right="-105"/>
              <w:jc w:val="center"/>
              <w:rPr>
                <w:bCs/>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4BFCC5BC"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7EA126AE" w14:textId="77777777">
        <w:trPr>
          <w:gridAfter w:val="1"/>
          <w:wAfter w:w="8" w:type="dxa"/>
          <w:trHeight w:val="315"/>
          <w:jc w:val="center"/>
        </w:trPr>
        <w:tc>
          <w:tcPr>
            <w:tcW w:w="577" w:type="dxa"/>
            <w:vAlign w:val="center"/>
          </w:tcPr>
          <w:p w14:paraId="54F82687" w14:textId="77777777" w:rsidR="00085789" w:rsidRDefault="00000000">
            <w:pPr>
              <w:spacing w:before="40" w:line="240" w:lineRule="auto"/>
              <w:jc w:val="center"/>
              <w:rPr>
                <w:bCs/>
                <w:sz w:val="24"/>
                <w:szCs w:val="24"/>
              </w:rPr>
            </w:pPr>
            <w:r>
              <w:rPr>
                <w:bCs/>
                <w:sz w:val="24"/>
                <w:szCs w:val="24"/>
              </w:rPr>
              <w:t>7</w:t>
            </w:r>
          </w:p>
        </w:tc>
        <w:tc>
          <w:tcPr>
            <w:tcW w:w="2174" w:type="dxa"/>
            <w:vAlign w:val="bottom"/>
          </w:tcPr>
          <w:p w14:paraId="4EEAF131" w14:textId="77777777" w:rsidR="00085789" w:rsidRDefault="00000000">
            <w:pPr>
              <w:spacing w:before="40" w:line="240" w:lineRule="auto"/>
              <w:jc w:val="both"/>
              <w:rPr>
                <w:bCs/>
                <w:spacing w:val="-4"/>
                <w:sz w:val="24"/>
                <w:szCs w:val="24"/>
              </w:rPr>
            </w:pPr>
            <w:r>
              <w:rPr>
                <w:spacing w:val="-4"/>
                <w:sz w:val="24"/>
                <w:szCs w:val="24"/>
              </w:rPr>
              <w:t>Kênh nhà Lê (tại cầu Đức Thịnh I)</w:t>
            </w:r>
          </w:p>
        </w:tc>
        <w:tc>
          <w:tcPr>
            <w:tcW w:w="2693" w:type="dxa"/>
            <w:vAlign w:val="center"/>
          </w:tcPr>
          <w:p w14:paraId="2633D113" w14:textId="77777777" w:rsidR="00085789" w:rsidRDefault="00000000">
            <w:pPr>
              <w:spacing w:before="40" w:line="240" w:lineRule="auto"/>
              <w:jc w:val="both"/>
              <w:rPr>
                <w:bCs/>
                <w:spacing w:val="-4"/>
                <w:sz w:val="24"/>
                <w:szCs w:val="24"/>
              </w:rPr>
            </w:pPr>
            <w:r>
              <w:rPr>
                <w:bCs/>
                <w:spacing w:val="-4"/>
                <w:sz w:val="24"/>
                <w:szCs w:val="24"/>
              </w:rPr>
              <w:t>Xã Thanh Bình Thịnh (nay là xã Đức Thịnh)</w:t>
            </w:r>
          </w:p>
        </w:tc>
        <w:tc>
          <w:tcPr>
            <w:tcW w:w="1998" w:type="dxa"/>
            <w:vAlign w:val="center"/>
          </w:tcPr>
          <w:p w14:paraId="2CE88B70"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703A10BD"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4B43A4E3" w14:textId="77777777">
        <w:trPr>
          <w:gridAfter w:val="1"/>
          <w:wAfter w:w="8" w:type="dxa"/>
          <w:trHeight w:val="315"/>
          <w:jc w:val="center"/>
        </w:trPr>
        <w:tc>
          <w:tcPr>
            <w:tcW w:w="577" w:type="dxa"/>
            <w:vAlign w:val="center"/>
          </w:tcPr>
          <w:p w14:paraId="0755E384" w14:textId="77777777" w:rsidR="00085789" w:rsidRDefault="00000000">
            <w:pPr>
              <w:spacing w:before="40" w:line="240" w:lineRule="auto"/>
              <w:jc w:val="center"/>
              <w:rPr>
                <w:bCs/>
                <w:sz w:val="24"/>
                <w:szCs w:val="24"/>
              </w:rPr>
            </w:pPr>
            <w:r>
              <w:rPr>
                <w:bCs/>
                <w:sz w:val="24"/>
                <w:szCs w:val="24"/>
              </w:rPr>
              <w:t>8</w:t>
            </w:r>
          </w:p>
        </w:tc>
        <w:tc>
          <w:tcPr>
            <w:tcW w:w="2174" w:type="dxa"/>
            <w:vAlign w:val="bottom"/>
          </w:tcPr>
          <w:p w14:paraId="0505EDA3" w14:textId="77777777" w:rsidR="00085789" w:rsidRDefault="00000000">
            <w:pPr>
              <w:spacing w:before="40" w:line="240" w:lineRule="auto"/>
              <w:jc w:val="both"/>
              <w:rPr>
                <w:bCs/>
                <w:spacing w:val="-4"/>
                <w:sz w:val="24"/>
                <w:szCs w:val="24"/>
              </w:rPr>
            </w:pPr>
            <w:r>
              <w:rPr>
                <w:spacing w:val="-4"/>
                <w:sz w:val="24"/>
                <w:szCs w:val="24"/>
              </w:rPr>
              <w:t>Sông Nghèn (tại cầu Thuận Lộc)</w:t>
            </w:r>
          </w:p>
        </w:tc>
        <w:tc>
          <w:tcPr>
            <w:tcW w:w="2693" w:type="dxa"/>
            <w:vAlign w:val="center"/>
          </w:tcPr>
          <w:p w14:paraId="4F7A3FE9" w14:textId="77777777" w:rsidR="00085789" w:rsidRDefault="00000000">
            <w:pPr>
              <w:spacing w:before="40" w:line="240" w:lineRule="auto"/>
              <w:jc w:val="both"/>
              <w:rPr>
                <w:bCs/>
                <w:spacing w:val="-4"/>
                <w:sz w:val="24"/>
                <w:szCs w:val="24"/>
              </w:rPr>
            </w:pPr>
            <w:r>
              <w:rPr>
                <w:bCs/>
                <w:spacing w:val="-4"/>
                <w:sz w:val="24"/>
                <w:szCs w:val="24"/>
              </w:rPr>
              <w:t>Xã Thuận Lộc (nay là P.Nam Hồng Lĩnh)</w:t>
            </w:r>
          </w:p>
        </w:tc>
        <w:tc>
          <w:tcPr>
            <w:tcW w:w="1998" w:type="dxa"/>
            <w:vAlign w:val="center"/>
          </w:tcPr>
          <w:p w14:paraId="1FF2A23E"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A46DAC6"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5AF833C3" w14:textId="77777777">
        <w:trPr>
          <w:gridAfter w:val="1"/>
          <w:wAfter w:w="8" w:type="dxa"/>
          <w:trHeight w:val="315"/>
          <w:jc w:val="center"/>
        </w:trPr>
        <w:tc>
          <w:tcPr>
            <w:tcW w:w="577" w:type="dxa"/>
            <w:vAlign w:val="center"/>
          </w:tcPr>
          <w:p w14:paraId="7D1972D3" w14:textId="77777777" w:rsidR="00085789" w:rsidRDefault="00000000">
            <w:pPr>
              <w:spacing w:before="40" w:line="240" w:lineRule="auto"/>
              <w:jc w:val="center"/>
              <w:rPr>
                <w:bCs/>
                <w:sz w:val="24"/>
                <w:szCs w:val="24"/>
              </w:rPr>
            </w:pPr>
            <w:r>
              <w:rPr>
                <w:bCs/>
                <w:sz w:val="24"/>
                <w:szCs w:val="24"/>
              </w:rPr>
              <w:t>9</w:t>
            </w:r>
          </w:p>
        </w:tc>
        <w:tc>
          <w:tcPr>
            <w:tcW w:w="2174" w:type="dxa"/>
            <w:vAlign w:val="bottom"/>
          </w:tcPr>
          <w:p w14:paraId="54570B1A" w14:textId="77777777" w:rsidR="00085789" w:rsidRDefault="00000000">
            <w:pPr>
              <w:spacing w:before="40" w:line="240" w:lineRule="auto"/>
              <w:jc w:val="both"/>
              <w:rPr>
                <w:bCs/>
                <w:spacing w:val="-4"/>
                <w:sz w:val="24"/>
                <w:szCs w:val="24"/>
              </w:rPr>
            </w:pPr>
            <w:r>
              <w:rPr>
                <w:spacing w:val="-4"/>
                <w:sz w:val="24"/>
                <w:szCs w:val="24"/>
              </w:rPr>
              <w:t>Sông Nghèn (tại cầu Thuần Thiện)</w:t>
            </w:r>
          </w:p>
        </w:tc>
        <w:tc>
          <w:tcPr>
            <w:tcW w:w="2693" w:type="dxa"/>
            <w:vAlign w:val="center"/>
          </w:tcPr>
          <w:p w14:paraId="2A51C76D" w14:textId="77777777" w:rsidR="00085789" w:rsidRDefault="00000000">
            <w:pPr>
              <w:spacing w:before="40" w:line="240" w:lineRule="auto"/>
              <w:jc w:val="both"/>
              <w:rPr>
                <w:bCs/>
                <w:spacing w:val="-6"/>
                <w:sz w:val="24"/>
                <w:szCs w:val="24"/>
              </w:rPr>
            </w:pPr>
            <w:r>
              <w:rPr>
                <w:bCs/>
                <w:spacing w:val="-6"/>
                <w:sz w:val="24"/>
                <w:szCs w:val="24"/>
              </w:rPr>
              <w:t>Thị trấn Nghèn (nay là xã Can Lộc)</w:t>
            </w:r>
          </w:p>
        </w:tc>
        <w:tc>
          <w:tcPr>
            <w:tcW w:w="1998" w:type="dxa"/>
            <w:vAlign w:val="center"/>
          </w:tcPr>
          <w:p w14:paraId="1E5C786A"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5C844FDA"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0AEC7237" w14:textId="77777777">
        <w:trPr>
          <w:gridAfter w:val="1"/>
          <w:wAfter w:w="8" w:type="dxa"/>
          <w:trHeight w:val="70"/>
          <w:jc w:val="center"/>
        </w:trPr>
        <w:tc>
          <w:tcPr>
            <w:tcW w:w="577" w:type="dxa"/>
            <w:vAlign w:val="center"/>
          </w:tcPr>
          <w:p w14:paraId="7EE6AA4F" w14:textId="77777777" w:rsidR="00085789" w:rsidRDefault="00000000">
            <w:pPr>
              <w:spacing w:before="40" w:line="240" w:lineRule="auto"/>
              <w:jc w:val="center"/>
              <w:rPr>
                <w:bCs/>
                <w:sz w:val="24"/>
                <w:szCs w:val="24"/>
              </w:rPr>
            </w:pPr>
            <w:r>
              <w:rPr>
                <w:bCs/>
                <w:sz w:val="24"/>
                <w:szCs w:val="24"/>
              </w:rPr>
              <w:t>10</w:t>
            </w:r>
          </w:p>
        </w:tc>
        <w:tc>
          <w:tcPr>
            <w:tcW w:w="2174" w:type="dxa"/>
            <w:vAlign w:val="bottom"/>
          </w:tcPr>
          <w:p w14:paraId="72209D2B" w14:textId="77777777" w:rsidR="00085789" w:rsidRDefault="00000000">
            <w:pPr>
              <w:spacing w:before="40" w:line="240" w:lineRule="auto"/>
              <w:jc w:val="both"/>
              <w:rPr>
                <w:bCs/>
                <w:spacing w:val="-4"/>
                <w:sz w:val="24"/>
                <w:szCs w:val="24"/>
              </w:rPr>
            </w:pPr>
            <w:r>
              <w:rPr>
                <w:spacing w:val="-4"/>
                <w:sz w:val="24"/>
                <w:szCs w:val="24"/>
              </w:rPr>
              <w:t>Sông Nghèn (tại cống Đò Điệm)</w:t>
            </w:r>
          </w:p>
        </w:tc>
        <w:tc>
          <w:tcPr>
            <w:tcW w:w="2693" w:type="dxa"/>
            <w:vAlign w:val="center"/>
          </w:tcPr>
          <w:p w14:paraId="683A8037" w14:textId="77777777" w:rsidR="00085789" w:rsidRDefault="00000000">
            <w:pPr>
              <w:spacing w:before="40" w:line="240" w:lineRule="auto"/>
              <w:jc w:val="both"/>
              <w:rPr>
                <w:bCs/>
                <w:spacing w:val="-6"/>
                <w:sz w:val="24"/>
                <w:szCs w:val="24"/>
              </w:rPr>
            </w:pPr>
            <w:r>
              <w:rPr>
                <w:bCs/>
                <w:spacing w:val="-6"/>
                <w:sz w:val="24"/>
                <w:szCs w:val="24"/>
              </w:rPr>
              <w:t>Xã Thạch Sơn (nay là xã Thạch Hà)</w:t>
            </w:r>
          </w:p>
        </w:tc>
        <w:tc>
          <w:tcPr>
            <w:tcW w:w="1998" w:type="dxa"/>
            <w:vAlign w:val="center"/>
          </w:tcPr>
          <w:p w14:paraId="2755B917"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EAA6B8B"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5A18FDBB" w14:textId="77777777">
        <w:trPr>
          <w:gridAfter w:val="1"/>
          <w:wAfter w:w="8" w:type="dxa"/>
          <w:trHeight w:val="228"/>
          <w:jc w:val="center"/>
        </w:trPr>
        <w:tc>
          <w:tcPr>
            <w:tcW w:w="577" w:type="dxa"/>
            <w:vAlign w:val="center"/>
          </w:tcPr>
          <w:p w14:paraId="2BE65CBB" w14:textId="77777777" w:rsidR="00085789" w:rsidRDefault="00000000">
            <w:pPr>
              <w:spacing w:before="40" w:line="240" w:lineRule="auto"/>
              <w:jc w:val="center"/>
              <w:rPr>
                <w:bCs/>
                <w:sz w:val="24"/>
                <w:szCs w:val="24"/>
              </w:rPr>
            </w:pPr>
            <w:r>
              <w:rPr>
                <w:bCs/>
                <w:sz w:val="24"/>
                <w:szCs w:val="24"/>
              </w:rPr>
              <w:lastRenderedPageBreak/>
              <w:t>11</w:t>
            </w:r>
          </w:p>
        </w:tc>
        <w:tc>
          <w:tcPr>
            <w:tcW w:w="2174" w:type="dxa"/>
            <w:vAlign w:val="bottom"/>
          </w:tcPr>
          <w:p w14:paraId="3F8046FA" w14:textId="77777777" w:rsidR="00085789" w:rsidRDefault="00000000">
            <w:pPr>
              <w:spacing w:before="40" w:line="240" w:lineRule="auto"/>
              <w:jc w:val="both"/>
              <w:rPr>
                <w:bCs/>
                <w:spacing w:val="-4"/>
                <w:sz w:val="24"/>
                <w:szCs w:val="24"/>
              </w:rPr>
            </w:pPr>
            <w:r>
              <w:rPr>
                <w:spacing w:val="-4"/>
                <w:sz w:val="24"/>
                <w:szCs w:val="24"/>
              </w:rPr>
              <w:t>Sông Én (tại Cầu Trù)</w:t>
            </w:r>
          </w:p>
        </w:tc>
        <w:tc>
          <w:tcPr>
            <w:tcW w:w="2693" w:type="dxa"/>
            <w:vAlign w:val="center"/>
          </w:tcPr>
          <w:p w14:paraId="372FC4E1" w14:textId="77777777" w:rsidR="00085789" w:rsidRDefault="00000000">
            <w:pPr>
              <w:spacing w:before="40" w:line="240" w:lineRule="auto"/>
              <w:jc w:val="both"/>
              <w:rPr>
                <w:bCs/>
                <w:spacing w:val="-6"/>
                <w:sz w:val="24"/>
                <w:szCs w:val="24"/>
              </w:rPr>
            </w:pPr>
            <w:r>
              <w:rPr>
                <w:bCs/>
                <w:spacing w:val="-4"/>
                <w:sz w:val="24"/>
                <w:szCs w:val="24"/>
              </w:rPr>
              <w:t>Xã Phù Lưu (nay là xã Mai Phụ)</w:t>
            </w:r>
          </w:p>
        </w:tc>
        <w:tc>
          <w:tcPr>
            <w:tcW w:w="1998" w:type="dxa"/>
            <w:vAlign w:val="center"/>
          </w:tcPr>
          <w:p w14:paraId="3EA0C055"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7FF597E"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6AEBF086" w14:textId="77777777">
        <w:trPr>
          <w:gridAfter w:val="1"/>
          <w:wAfter w:w="8" w:type="dxa"/>
          <w:trHeight w:val="421"/>
          <w:jc w:val="center"/>
        </w:trPr>
        <w:tc>
          <w:tcPr>
            <w:tcW w:w="577" w:type="dxa"/>
            <w:vAlign w:val="center"/>
          </w:tcPr>
          <w:p w14:paraId="0BCAC94D" w14:textId="77777777" w:rsidR="00085789" w:rsidRDefault="00000000">
            <w:pPr>
              <w:spacing w:before="40" w:line="240" w:lineRule="auto"/>
              <w:jc w:val="center"/>
              <w:rPr>
                <w:bCs/>
                <w:sz w:val="24"/>
                <w:szCs w:val="24"/>
              </w:rPr>
            </w:pPr>
            <w:r>
              <w:rPr>
                <w:bCs/>
                <w:sz w:val="24"/>
                <w:szCs w:val="24"/>
              </w:rPr>
              <w:t>12</w:t>
            </w:r>
          </w:p>
        </w:tc>
        <w:tc>
          <w:tcPr>
            <w:tcW w:w="2174" w:type="dxa"/>
            <w:vAlign w:val="bottom"/>
          </w:tcPr>
          <w:p w14:paraId="7D9944B1" w14:textId="77777777" w:rsidR="00085789" w:rsidRDefault="00000000">
            <w:pPr>
              <w:spacing w:before="40" w:line="240" w:lineRule="auto"/>
              <w:jc w:val="both"/>
              <w:rPr>
                <w:bCs/>
                <w:spacing w:val="-4"/>
                <w:sz w:val="24"/>
                <w:szCs w:val="24"/>
              </w:rPr>
            </w:pPr>
            <w:r>
              <w:rPr>
                <w:spacing w:val="-4"/>
                <w:sz w:val="24"/>
                <w:szCs w:val="24"/>
              </w:rPr>
              <w:t>Sông Nghèn (tại cầu Cửa Sót)</w:t>
            </w:r>
          </w:p>
        </w:tc>
        <w:tc>
          <w:tcPr>
            <w:tcW w:w="2693" w:type="dxa"/>
            <w:vAlign w:val="center"/>
          </w:tcPr>
          <w:p w14:paraId="7BED4391" w14:textId="77777777" w:rsidR="00085789" w:rsidRDefault="00000000">
            <w:pPr>
              <w:spacing w:before="40" w:line="240" w:lineRule="auto"/>
              <w:jc w:val="both"/>
              <w:rPr>
                <w:bCs/>
                <w:spacing w:val="-4"/>
                <w:sz w:val="24"/>
                <w:szCs w:val="24"/>
              </w:rPr>
            </w:pPr>
            <w:r>
              <w:rPr>
                <w:bCs/>
                <w:spacing w:val="-4"/>
                <w:sz w:val="24"/>
                <w:szCs w:val="24"/>
              </w:rPr>
              <w:t>Xã Hộ Độ (nay là phường Trần Phú)</w:t>
            </w:r>
          </w:p>
        </w:tc>
        <w:tc>
          <w:tcPr>
            <w:tcW w:w="1998" w:type="dxa"/>
            <w:vAlign w:val="center"/>
          </w:tcPr>
          <w:p w14:paraId="584608E3"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11CFC602"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70DBF7AE" w14:textId="77777777">
        <w:trPr>
          <w:gridAfter w:val="1"/>
          <w:wAfter w:w="8" w:type="dxa"/>
          <w:trHeight w:val="70"/>
          <w:jc w:val="center"/>
        </w:trPr>
        <w:tc>
          <w:tcPr>
            <w:tcW w:w="577" w:type="dxa"/>
            <w:vAlign w:val="center"/>
          </w:tcPr>
          <w:p w14:paraId="78772E8D" w14:textId="77777777" w:rsidR="00085789" w:rsidRDefault="00000000">
            <w:pPr>
              <w:spacing w:before="40" w:line="240" w:lineRule="auto"/>
              <w:jc w:val="center"/>
              <w:rPr>
                <w:bCs/>
                <w:sz w:val="24"/>
                <w:szCs w:val="24"/>
              </w:rPr>
            </w:pPr>
            <w:r>
              <w:rPr>
                <w:bCs/>
                <w:sz w:val="24"/>
                <w:szCs w:val="24"/>
              </w:rPr>
              <w:t>13</w:t>
            </w:r>
          </w:p>
        </w:tc>
        <w:tc>
          <w:tcPr>
            <w:tcW w:w="2174" w:type="dxa"/>
            <w:vAlign w:val="bottom"/>
          </w:tcPr>
          <w:p w14:paraId="0F41CA64" w14:textId="77777777" w:rsidR="00085789" w:rsidRDefault="00000000">
            <w:pPr>
              <w:spacing w:before="40" w:line="240" w:lineRule="auto"/>
              <w:jc w:val="both"/>
              <w:rPr>
                <w:bCs/>
                <w:spacing w:val="-4"/>
                <w:sz w:val="24"/>
                <w:szCs w:val="24"/>
              </w:rPr>
            </w:pPr>
            <w:r>
              <w:rPr>
                <w:spacing w:val="-4"/>
                <w:sz w:val="24"/>
                <w:szCs w:val="24"/>
              </w:rPr>
              <w:t>Khe Nhà Trò (tại P. Đậu Liêu)</w:t>
            </w:r>
          </w:p>
        </w:tc>
        <w:tc>
          <w:tcPr>
            <w:tcW w:w="2693" w:type="dxa"/>
            <w:vAlign w:val="center"/>
          </w:tcPr>
          <w:p w14:paraId="69FE18D8" w14:textId="77777777" w:rsidR="00085789" w:rsidRDefault="00000000">
            <w:pPr>
              <w:spacing w:before="40" w:line="240" w:lineRule="auto"/>
              <w:jc w:val="both"/>
              <w:rPr>
                <w:bCs/>
                <w:spacing w:val="-4"/>
                <w:sz w:val="24"/>
                <w:szCs w:val="24"/>
              </w:rPr>
            </w:pPr>
            <w:r>
              <w:rPr>
                <w:bCs/>
                <w:spacing w:val="-4"/>
                <w:sz w:val="24"/>
                <w:szCs w:val="24"/>
              </w:rPr>
              <w:t>Phường Đậu Liêu (nay là phường Nam Hồng Lĩnh)</w:t>
            </w:r>
          </w:p>
        </w:tc>
        <w:tc>
          <w:tcPr>
            <w:tcW w:w="1998" w:type="dxa"/>
            <w:vAlign w:val="center"/>
          </w:tcPr>
          <w:p w14:paraId="540C115A"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6E027F56"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6A4E6788" w14:textId="77777777">
        <w:trPr>
          <w:trHeight w:val="332"/>
          <w:jc w:val="center"/>
        </w:trPr>
        <w:tc>
          <w:tcPr>
            <w:tcW w:w="577" w:type="dxa"/>
            <w:vAlign w:val="center"/>
          </w:tcPr>
          <w:p w14:paraId="41B9CEB7" w14:textId="77777777" w:rsidR="00085789" w:rsidRDefault="00000000">
            <w:pPr>
              <w:spacing w:before="40" w:line="240" w:lineRule="auto"/>
              <w:jc w:val="center"/>
              <w:rPr>
                <w:b/>
                <w:bCs/>
                <w:sz w:val="24"/>
                <w:szCs w:val="24"/>
              </w:rPr>
            </w:pPr>
            <w:r>
              <w:rPr>
                <w:b/>
                <w:bCs/>
                <w:sz w:val="24"/>
                <w:szCs w:val="24"/>
              </w:rPr>
              <w:t>III</w:t>
            </w:r>
          </w:p>
        </w:tc>
        <w:tc>
          <w:tcPr>
            <w:tcW w:w="8681" w:type="dxa"/>
            <w:gridSpan w:val="5"/>
            <w:vAlign w:val="center"/>
          </w:tcPr>
          <w:p w14:paraId="103C09BE" w14:textId="77777777" w:rsidR="00085789" w:rsidRDefault="00000000">
            <w:pPr>
              <w:spacing w:before="40" w:line="240" w:lineRule="auto"/>
              <w:ind w:left="-119" w:right="-105"/>
              <w:jc w:val="center"/>
              <w:rPr>
                <w:b/>
                <w:noProof/>
                <w:spacing w:val="-4"/>
                <w:sz w:val="24"/>
                <w:szCs w:val="24"/>
              </w:rPr>
            </w:pPr>
            <w:r>
              <w:rPr>
                <w:b/>
                <w:bCs/>
                <w:spacing w:val="-4"/>
                <w:sz w:val="24"/>
                <w:szCs w:val="24"/>
              </w:rPr>
              <w:t>Hệ thống sông La</w:t>
            </w:r>
          </w:p>
        </w:tc>
      </w:tr>
      <w:tr w:rsidR="00085789" w14:paraId="4F6C4947" w14:textId="77777777">
        <w:trPr>
          <w:gridAfter w:val="1"/>
          <w:wAfter w:w="8" w:type="dxa"/>
          <w:trHeight w:val="241"/>
          <w:jc w:val="center"/>
        </w:trPr>
        <w:tc>
          <w:tcPr>
            <w:tcW w:w="577" w:type="dxa"/>
            <w:vAlign w:val="center"/>
          </w:tcPr>
          <w:p w14:paraId="5CE6BE5F" w14:textId="77777777" w:rsidR="00085789" w:rsidRDefault="00000000">
            <w:pPr>
              <w:spacing w:before="40" w:line="240" w:lineRule="auto"/>
              <w:jc w:val="center"/>
              <w:rPr>
                <w:bCs/>
                <w:sz w:val="24"/>
                <w:szCs w:val="24"/>
              </w:rPr>
            </w:pPr>
            <w:r>
              <w:rPr>
                <w:bCs/>
                <w:sz w:val="24"/>
                <w:szCs w:val="24"/>
              </w:rPr>
              <w:t>14</w:t>
            </w:r>
          </w:p>
        </w:tc>
        <w:tc>
          <w:tcPr>
            <w:tcW w:w="2174" w:type="dxa"/>
            <w:vAlign w:val="center"/>
          </w:tcPr>
          <w:p w14:paraId="1B2226EB" w14:textId="77777777" w:rsidR="00085789" w:rsidRDefault="00000000">
            <w:pPr>
              <w:spacing w:before="40" w:line="240" w:lineRule="auto"/>
              <w:jc w:val="both"/>
              <w:rPr>
                <w:bCs/>
                <w:spacing w:val="-4"/>
                <w:sz w:val="24"/>
                <w:szCs w:val="24"/>
              </w:rPr>
            </w:pPr>
            <w:r>
              <w:rPr>
                <w:spacing w:val="-4"/>
                <w:sz w:val="24"/>
                <w:szCs w:val="24"/>
              </w:rPr>
              <w:t>Suối Rào An (tại xã Sơn Kim 1)</w:t>
            </w:r>
          </w:p>
        </w:tc>
        <w:tc>
          <w:tcPr>
            <w:tcW w:w="2693" w:type="dxa"/>
            <w:vAlign w:val="center"/>
          </w:tcPr>
          <w:p w14:paraId="083BC823" w14:textId="77777777" w:rsidR="00085789" w:rsidRDefault="00000000">
            <w:pPr>
              <w:spacing w:before="40" w:line="240" w:lineRule="auto"/>
              <w:jc w:val="both"/>
              <w:rPr>
                <w:bCs/>
                <w:spacing w:val="-16"/>
                <w:sz w:val="24"/>
                <w:szCs w:val="24"/>
              </w:rPr>
            </w:pPr>
            <w:r>
              <w:rPr>
                <w:bCs/>
                <w:spacing w:val="-16"/>
                <w:sz w:val="24"/>
                <w:szCs w:val="24"/>
              </w:rPr>
              <w:t xml:space="preserve">Cách điểm hợp lưu suối Nước Sốt 200m, xã Sơn Kim 1 </w:t>
            </w:r>
          </w:p>
        </w:tc>
        <w:tc>
          <w:tcPr>
            <w:tcW w:w="1998" w:type="dxa"/>
            <w:vAlign w:val="center"/>
          </w:tcPr>
          <w:p w14:paraId="7879941E"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6B3445F2"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64C3227E" w14:textId="77777777">
        <w:trPr>
          <w:gridAfter w:val="1"/>
          <w:wAfter w:w="8" w:type="dxa"/>
          <w:trHeight w:val="169"/>
          <w:jc w:val="center"/>
        </w:trPr>
        <w:tc>
          <w:tcPr>
            <w:tcW w:w="577" w:type="dxa"/>
            <w:vAlign w:val="center"/>
          </w:tcPr>
          <w:p w14:paraId="08440615" w14:textId="77777777" w:rsidR="00085789" w:rsidRDefault="00000000">
            <w:pPr>
              <w:spacing w:before="40" w:line="240" w:lineRule="auto"/>
              <w:jc w:val="center"/>
              <w:rPr>
                <w:bCs/>
                <w:sz w:val="24"/>
                <w:szCs w:val="24"/>
              </w:rPr>
            </w:pPr>
            <w:r>
              <w:rPr>
                <w:bCs/>
                <w:sz w:val="24"/>
                <w:szCs w:val="24"/>
              </w:rPr>
              <w:t>15</w:t>
            </w:r>
          </w:p>
        </w:tc>
        <w:tc>
          <w:tcPr>
            <w:tcW w:w="2174" w:type="dxa"/>
            <w:vAlign w:val="bottom"/>
          </w:tcPr>
          <w:p w14:paraId="34AA0C93" w14:textId="77777777" w:rsidR="00085789" w:rsidRDefault="00000000">
            <w:pPr>
              <w:spacing w:before="40" w:line="240" w:lineRule="auto"/>
              <w:jc w:val="both"/>
              <w:rPr>
                <w:bCs/>
                <w:spacing w:val="-4"/>
                <w:sz w:val="24"/>
                <w:szCs w:val="24"/>
              </w:rPr>
            </w:pPr>
            <w:r>
              <w:rPr>
                <w:spacing w:val="-4"/>
                <w:sz w:val="24"/>
                <w:szCs w:val="24"/>
              </w:rPr>
              <w:t>Suối Rào Mắc (tại cầu Rào Mắc)</w:t>
            </w:r>
          </w:p>
        </w:tc>
        <w:tc>
          <w:tcPr>
            <w:tcW w:w="2693" w:type="dxa"/>
            <w:vAlign w:val="center"/>
          </w:tcPr>
          <w:p w14:paraId="7AB13F09" w14:textId="77777777" w:rsidR="00085789" w:rsidRDefault="00000000">
            <w:pPr>
              <w:spacing w:before="40" w:line="240" w:lineRule="auto"/>
              <w:jc w:val="both"/>
              <w:rPr>
                <w:bCs/>
                <w:spacing w:val="-4"/>
                <w:sz w:val="24"/>
                <w:szCs w:val="24"/>
              </w:rPr>
            </w:pPr>
            <w:r>
              <w:rPr>
                <w:bCs/>
                <w:spacing w:val="-4"/>
                <w:sz w:val="24"/>
                <w:szCs w:val="24"/>
              </w:rPr>
              <w:t xml:space="preserve">Xã Sơn Kim 1 </w:t>
            </w:r>
          </w:p>
        </w:tc>
        <w:tc>
          <w:tcPr>
            <w:tcW w:w="1998" w:type="dxa"/>
            <w:vAlign w:val="center"/>
          </w:tcPr>
          <w:p w14:paraId="7CCC4217"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43105614"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1F02313C" w14:textId="77777777">
        <w:trPr>
          <w:gridAfter w:val="1"/>
          <w:wAfter w:w="8" w:type="dxa"/>
          <w:trHeight w:val="633"/>
          <w:jc w:val="center"/>
        </w:trPr>
        <w:tc>
          <w:tcPr>
            <w:tcW w:w="577" w:type="dxa"/>
            <w:vAlign w:val="center"/>
          </w:tcPr>
          <w:p w14:paraId="2D0F24D3" w14:textId="77777777" w:rsidR="00085789" w:rsidRDefault="00000000">
            <w:pPr>
              <w:spacing w:before="40" w:line="240" w:lineRule="auto"/>
              <w:jc w:val="center"/>
              <w:rPr>
                <w:bCs/>
                <w:sz w:val="24"/>
                <w:szCs w:val="24"/>
              </w:rPr>
            </w:pPr>
            <w:r>
              <w:rPr>
                <w:bCs/>
                <w:sz w:val="24"/>
                <w:szCs w:val="24"/>
              </w:rPr>
              <w:t>16</w:t>
            </w:r>
          </w:p>
        </w:tc>
        <w:tc>
          <w:tcPr>
            <w:tcW w:w="2174" w:type="dxa"/>
            <w:vAlign w:val="bottom"/>
          </w:tcPr>
          <w:p w14:paraId="39047F74" w14:textId="77777777" w:rsidR="00085789" w:rsidRDefault="00000000">
            <w:pPr>
              <w:spacing w:before="40" w:line="240" w:lineRule="auto"/>
              <w:jc w:val="both"/>
              <w:rPr>
                <w:bCs/>
                <w:spacing w:val="-4"/>
                <w:sz w:val="24"/>
                <w:szCs w:val="24"/>
              </w:rPr>
            </w:pPr>
            <w:r>
              <w:rPr>
                <w:spacing w:val="-4"/>
                <w:sz w:val="24"/>
                <w:szCs w:val="24"/>
              </w:rPr>
              <w:t>Suối Rào Qua (tại trạm bơm nhà máy nước (TBNMN) TT. Tây Sơn)</w:t>
            </w:r>
          </w:p>
        </w:tc>
        <w:tc>
          <w:tcPr>
            <w:tcW w:w="2693" w:type="dxa"/>
            <w:vAlign w:val="center"/>
          </w:tcPr>
          <w:p w14:paraId="7C9A65F2" w14:textId="77777777" w:rsidR="00085789" w:rsidRDefault="00000000">
            <w:pPr>
              <w:spacing w:before="40" w:line="240" w:lineRule="auto"/>
              <w:jc w:val="both"/>
              <w:rPr>
                <w:bCs/>
                <w:spacing w:val="-6"/>
                <w:sz w:val="24"/>
                <w:szCs w:val="24"/>
              </w:rPr>
            </w:pPr>
            <w:r>
              <w:rPr>
                <w:bCs/>
                <w:spacing w:val="-6"/>
                <w:sz w:val="24"/>
                <w:szCs w:val="24"/>
              </w:rPr>
              <w:t>Điểm cấp nước cho nhà máy nước TT Tây Sơn (nay là xã Sơn Tây)</w:t>
            </w:r>
          </w:p>
        </w:tc>
        <w:tc>
          <w:tcPr>
            <w:tcW w:w="1998" w:type="dxa"/>
            <w:vAlign w:val="center"/>
          </w:tcPr>
          <w:p w14:paraId="4A45E8D4"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7701E6DA"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44A23842" w14:textId="77777777">
        <w:trPr>
          <w:gridAfter w:val="1"/>
          <w:wAfter w:w="8" w:type="dxa"/>
          <w:trHeight w:val="183"/>
          <w:jc w:val="center"/>
        </w:trPr>
        <w:tc>
          <w:tcPr>
            <w:tcW w:w="577" w:type="dxa"/>
            <w:vAlign w:val="center"/>
          </w:tcPr>
          <w:p w14:paraId="32277DF9" w14:textId="77777777" w:rsidR="00085789" w:rsidRDefault="00000000">
            <w:pPr>
              <w:spacing w:before="40" w:line="240" w:lineRule="auto"/>
              <w:jc w:val="center"/>
              <w:rPr>
                <w:bCs/>
                <w:sz w:val="24"/>
                <w:szCs w:val="24"/>
              </w:rPr>
            </w:pPr>
            <w:r>
              <w:rPr>
                <w:bCs/>
                <w:sz w:val="24"/>
                <w:szCs w:val="24"/>
              </w:rPr>
              <w:t>17</w:t>
            </w:r>
          </w:p>
        </w:tc>
        <w:tc>
          <w:tcPr>
            <w:tcW w:w="2174" w:type="dxa"/>
            <w:vAlign w:val="bottom"/>
          </w:tcPr>
          <w:p w14:paraId="3018959F" w14:textId="77777777" w:rsidR="00085789" w:rsidRDefault="00000000">
            <w:pPr>
              <w:spacing w:before="40" w:line="240" w:lineRule="auto"/>
              <w:jc w:val="both"/>
              <w:rPr>
                <w:bCs/>
                <w:spacing w:val="-4"/>
                <w:sz w:val="24"/>
                <w:szCs w:val="24"/>
              </w:rPr>
            </w:pPr>
            <w:r>
              <w:rPr>
                <w:spacing w:val="-4"/>
                <w:sz w:val="24"/>
                <w:szCs w:val="24"/>
              </w:rPr>
              <w:t>Sông Ngàn Phố (tại TBNMN TT. Phố Châu)</w:t>
            </w:r>
          </w:p>
        </w:tc>
        <w:tc>
          <w:tcPr>
            <w:tcW w:w="2693" w:type="dxa"/>
            <w:vAlign w:val="center"/>
          </w:tcPr>
          <w:p w14:paraId="3A30B846" w14:textId="77777777" w:rsidR="00085789" w:rsidRDefault="00000000">
            <w:pPr>
              <w:spacing w:before="40" w:line="240" w:lineRule="auto"/>
              <w:jc w:val="both"/>
              <w:rPr>
                <w:bCs/>
                <w:spacing w:val="-6"/>
                <w:sz w:val="24"/>
                <w:szCs w:val="24"/>
              </w:rPr>
            </w:pPr>
            <w:r>
              <w:rPr>
                <w:bCs/>
                <w:spacing w:val="-6"/>
                <w:sz w:val="24"/>
                <w:szCs w:val="24"/>
              </w:rPr>
              <w:t>Điểm cấp nước cho nhà máy nước TT Phố Châu (nay là xã Hương Sơn)</w:t>
            </w:r>
          </w:p>
        </w:tc>
        <w:tc>
          <w:tcPr>
            <w:tcW w:w="1998" w:type="dxa"/>
            <w:vAlign w:val="center"/>
          </w:tcPr>
          <w:p w14:paraId="7A1A2227"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579D325F"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6DF5605A" w14:textId="77777777">
        <w:trPr>
          <w:gridAfter w:val="1"/>
          <w:wAfter w:w="8" w:type="dxa"/>
          <w:trHeight w:val="70"/>
          <w:jc w:val="center"/>
        </w:trPr>
        <w:tc>
          <w:tcPr>
            <w:tcW w:w="577" w:type="dxa"/>
            <w:vAlign w:val="center"/>
          </w:tcPr>
          <w:p w14:paraId="1E551C56" w14:textId="77777777" w:rsidR="00085789" w:rsidRDefault="00000000">
            <w:pPr>
              <w:spacing w:before="40" w:line="240" w:lineRule="auto"/>
              <w:jc w:val="center"/>
              <w:rPr>
                <w:bCs/>
                <w:sz w:val="24"/>
                <w:szCs w:val="24"/>
              </w:rPr>
            </w:pPr>
            <w:r>
              <w:rPr>
                <w:bCs/>
                <w:sz w:val="24"/>
                <w:szCs w:val="24"/>
              </w:rPr>
              <w:t>18</w:t>
            </w:r>
          </w:p>
        </w:tc>
        <w:tc>
          <w:tcPr>
            <w:tcW w:w="2174" w:type="dxa"/>
            <w:vAlign w:val="bottom"/>
          </w:tcPr>
          <w:p w14:paraId="422CD959" w14:textId="77777777" w:rsidR="00085789" w:rsidRDefault="00000000">
            <w:pPr>
              <w:spacing w:before="40" w:line="240" w:lineRule="auto"/>
              <w:jc w:val="both"/>
              <w:rPr>
                <w:bCs/>
                <w:spacing w:val="-4"/>
                <w:sz w:val="24"/>
                <w:szCs w:val="24"/>
              </w:rPr>
            </w:pPr>
            <w:r>
              <w:rPr>
                <w:spacing w:val="-4"/>
                <w:sz w:val="24"/>
                <w:szCs w:val="24"/>
              </w:rPr>
              <w:t>Sông Ngàn Phố (tại xã Tân Mỹ Hà)</w:t>
            </w:r>
          </w:p>
        </w:tc>
        <w:tc>
          <w:tcPr>
            <w:tcW w:w="2693" w:type="dxa"/>
            <w:vAlign w:val="center"/>
          </w:tcPr>
          <w:p w14:paraId="4D9AF775" w14:textId="77777777" w:rsidR="00085789" w:rsidRDefault="00000000">
            <w:pPr>
              <w:spacing w:before="40" w:line="240" w:lineRule="auto"/>
              <w:jc w:val="both"/>
              <w:rPr>
                <w:bCs/>
                <w:spacing w:val="-6"/>
                <w:sz w:val="24"/>
                <w:szCs w:val="24"/>
              </w:rPr>
            </w:pPr>
            <w:r>
              <w:rPr>
                <w:bCs/>
                <w:spacing w:val="-6"/>
                <w:sz w:val="24"/>
                <w:szCs w:val="24"/>
              </w:rPr>
              <w:t>Xóm Tân Hồ, xã Tân Mỹ Hà (nay là xã Tứ Mỹ)</w:t>
            </w:r>
          </w:p>
        </w:tc>
        <w:tc>
          <w:tcPr>
            <w:tcW w:w="1998" w:type="dxa"/>
            <w:vAlign w:val="center"/>
          </w:tcPr>
          <w:p w14:paraId="4D143253"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ADB666F"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533C6A20" w14:textId="77777777">
        <w:trPr>
          <w:gridAfter w:val="1"/>
          <w:wAfter w:w="8" w:type="dxa"/>
          <w:trHeight w:val="315"/>
          <w:jc w:val="center"/>
        </w:trPr>
        <w:tc>
          <w:tcPr>
            <w:tcW w:w="577" w:type="dxa"/>
            <w:vAlign w:val="center"/>
          </w:tcPr>
          <w:p w14:paraId="797E4717" w14:textId="77777777" w:rsidR="00085789" w:rsidRDefault="00000000">
            <w:pPr>
              <w:spacing w:before="40" w:line="240" w:lineRule="auto"/>
              <w:jc w:val="center"/>
              <w:rPr>
                <w:bCs/>
                <w:sz w:val="24"/>
                <w:szCs w:val="24"/>
              </w:rPr>
            </w:pPr>
            <w:r>
              <w:rPr>
                <w:bCs/>
                <w:sz w:val="24"/>
                <w:szCs w:val="24"/>
              </w:rPr>
              <w:t>19</w:t>
            </w:r>
          </w:p>
        </w:tc>
        <w:tc>
          <w:tcPr>
            <w:tcW w:w="2174" w:type="dxa"/>
            <w:vAlign w:val="center"/>
          </w:tcPr>
          <w:p w14:paraId="7C7A3ADB" w14:textId="77777777" w:rsidR="00085789" w:rsidRDefault="00000000">
            <w:pPr>
              <w:spacing w:before="40" w:line="240" w:lineRule="auto"/>
              <w:jc w:val="both"/>
              <w:rPr>
                <w:bCs/>
                <w:spacing w:val="-4"/>
                <w:sz w:val="24"/>
                <w:szCs w:val="24"/>
              </w:rPr>
            </w:pPr>
            <w:r>
              <w:rPr>
                <w:spacing w:val="-4"/>
                <w:sz w:val="24"/>
                <w:szCs w:val="24"/>
              </w:rPr>
              <w:t>Sông Ngàn Sâu (tại xã Hương Trạch)</w:t>
            </w:r>
          </w:p>
        </w:tc>
        <w:tc>
          <w:tcPr>
            <w:tcW w:w="2693" w:type="dxa"/>
            <w:vAlign w:val="center"/>
          </w:tcPr>
          <w:p w14:paraId="7830ED59" w14:textId="77777777" w:rsidR="00085789" w:rsidRDefault="00000000">
            <w:pPr>
              <w:spacing w:before="40" w:line="240" w:lineRule="auto"/>
              <w:jc w:val="both"/>
              <w:rPr>
                <w:bCs/>
                <w:spacing w:val="-4"/>
                <w:sz w:val="24"/>
                <w:szCs w:val="24"/>
              </w:rPr>
            </w:pPr>
            <w:r>
              <w:rPr>
                <w:bCs/>
                <w:spacing w:val="-4"/>
                <w:sz w:val="24"/>
                <w:szCs w:val="24"/>
              </w:rPr>
              <w:t>Điểm đầu sông đoạn qua xã Hương Trạch (nay là xã Phúc Trạch)</w:t>
            </w:r>
          </w:p>
        </w:tc>
        <w:tc>
          <w:tcPr>
            <w:tcW w:w="1998" w:type="dxa"/>
            <w:vAlign w:val="center"/>
          </w:tcPr>
          <w:p w14:paraId="080E7109"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2D1329EE"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3D2D2277" w14:textId="77777777">
        <w:trPr>
          <w:gridAfter w:val="1"/>
          <w:wAfter w:w="8" w:type="dxa"/>
          <w:trHeight w:val="315"/>
          <w:jc w:val="center"/>
        </w:trPr>
        <w:tc>
          <w:tcPr>
            <w:tcW w:w="577" w:type="dxa"/>
            <w:vAlign w:val="center"/>
          </w:tcPr>
          <w:p w14:paraId="4FC01F39" w14:textId="77777777" w:rsidR="00085789" w:rsidRDefault="00000000">
            <w:pPr>
              <w:spacing w:before="40" w:line="240" w:lineRule="auto"/>
              <w:jc w:val="center"/>
              <w:rPr>
                <w:bCs/>
                <w:sz w:val="24"/>
                <w:szCs w:val="24"/>
              </w:rPr>
            </w:pPr>
            <w:r>
              <w:rPr>
                <w:bCs/>
                <w:sz w:val="24"/>
                <w:szCs w:val="24"/>
              </w:rPr>
              <w:t>20</w:t>
            </w:r>
          </w:p>
        </w:tc>
        <w:tc>
          <w:tcPr>
            <w:tcW w:w="2174" w:type="dxa"/>
            <w:vAlign w:val="bottom"/>
          </w:tcPr>
          <w:p w14:paraId="187AA022" w14:textId="77777777" w:rsidR="00085789" w:rsidRDefault="00000000">
            <w:pPr>
              <w:spacing w:before="40" w:line="240" w:lineRule="auto"/>
              <w:jc w:val="both"/>
              <w:rPr>
                <w:bCs/>
                <w:spacing w:val="-4"/>
                <w:sz w:val="24"/>
                <w:szCs w:val="24"/>
              </w:rPr>
            </w:pPr>
            <w:r>
              <w:rPr>
                <w:spacing w:val="-4"/>
                <w:sz w:val="24"/>
                <w:szCs w:val="24"/>
              </w:rPr>
              <w:t>Sông Tiêm (tại TB NMN TT. Hương Khê)</w:t>
            </w:r>
          </w:p>
        </w:tc>
        <w:tc>
          <w:tcPr>
            <w:tcW w:w="2693" w:type="dxa"/>
            <w:vAlign w:val="center"/>
          </w:tcPr>
          <w:p w14:paraId="335DE456" w14:textId="77777777" w:rsidR="00085789" w:rsidRDefault="00000000">
            <w:pPr>
              <w:spacing w:before="40" w:line="240" w:lineRule="auto"/>
              <w:jc w:val="both"/>
              <w:rPr>
                <w:bCs/>
                <w:spacing w:val="-6"/>
                <w:sz w:val="24"/>
                <w:szCs w:val="24"/>
              </w:rPr>
            </w:pPr>
            <w:r>
              <w:rPr>
                <w:bCs/>
                <w:spacing w:val="-6"/>
                <w:sz w:val="24"/>
                <w:szCs w:val="24"/>
              </w:rPr>
              <w:t>Đểm cấp nước cho nhà máy nước TT Hương Khê (nay là xã Hương Khê)</w:t>
            </w:r>
          </w:p>
        </w:tc>
        <w:tc>
          <w:tcPr>
            <w:tcW w:w="1998" w:type="dxa"/>
            <w:vAlign w:val="center"/>
          </w:tcPr>
          <w:p w14:paraId="340D829F"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0558DD44"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3A407BA7" w14:textId="77777777">
        <w:trPr>
          <w:gridAfter w:val="1"/>
          <w:wAfter w:w="8" w:type="dxa"/>
          <w:trHeight w:val="315"/>
          <w:jc w:val="center"/>
        </w:trPr>
        <w:tc>
          <w:tcPr>
            <w:tcW w:w="577" w:type="dxa"/>
            <w:vAlign w:val="center"/>
          </w:tcPr>
          <w:p w14:paraId="079001E1" w14:textId="77777777" w:rsidR="00085789" w:rsidRDefault="00000000">
            <w:pPr>
              <w:spacing w:before="40" w:line="240" w:lineRule="auto"/>
              <w:jc w:val="center"/>
              <w:rPr>
                <w:bCs/>
                <w:sz w:val="24"/>
                <w:szCs w:val="24"/>
              </w:rPr>
            </w:pPr>
            <w:r>
              <w:rPr>
                <w:bCs/>
                <w:sz w:val="24"/>
                <w:szCs w:val="24"/>
              </w:rPr>
              <w:t>21</w:t>
            </w:r>
          </w:p>
        </w:tc>
        <w:tc>
          <w:tcPr>
            <w:tcW w:w="2174" w:type="dxa"/>
            <w:vAlign w:val="bottom"/>
          </w:tcPr>
          <w:p w14:paraId="3AA4D5A0" w14:textId="77777777" w:rsidR="00085789" w:rsidRDefault="00000000">
            <w:pPr>
              <w:spacing w:before="40" w:line="240" w:lineRule="auto"/>
              <w:jc w:val="both"/>
              <w:rPr>
                <w:bCs/>
                <w:spacing w:val="-4"/>
                <w:sz w:val="24"/>
                <w:szCs w:val="24"/>
              </w:rPr>
            </w:pPr>
            <w:r>
              <w:rPr>
                <w:spacing w:val="-4"/>
                <w:sz w:val="24"/>
                <w:szCs w:val="24"/>
              </w:rPr>
              <w:t>Khe Trươi (tại cầu Khe Trươi)</w:t>
            </w:r>
          </w:p>
        </w:tc>
        <w:tc>
          <w:tcPr>
            <w:tcW w:w="2693" w:type="dxa"/>
            <w:vAlign w:val="center"/>
          </w:tcPr>
          <w:p w14:paraId="60A44080" w14:textId="77777777" w:rsidR="00085789" w:rsidRDefault="00000000">
            <w:pPr>
              <w:spacing w:before="40" w:line="240" w:lineRule="auto"/>
              <w:jc w:val="both"/>
              <w:rPr>
                <w:bCs/>
                <w:spacing w:val="-4"/>
                <w:sz w:val="24"/>
                <w:szCs w:val="24"/>
              </w:rPr>
            </w:pPr>
            <w:r>
              <w:rPr>
                <w:bCs/>
                <w:spacing w:val="-4"/>
                <w:sz w:val="24"/>
                <w:szCs w:val="24"/>
              </w:rPr>
              <w:t>Xã Thọ Điền (nay là xã Vũ Quang)</w:t>
            </w:r>
          </w:p>
        </w:tc>
        <w:tc>
          <w:tcPr>
            <w:tcW w:w="1998" w:type="dxa"/>
            <w:vAlign w:val="center"/>
          </w:tcPr>
          <w:p w14:paraId="184B657D"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F8130F9"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6ED4DA7E" w14:textId="77777777">
        <w:trPr>
          <w:gridAfter w:val="1"/>
          <w:wAfter w:w="8" w:type="dxa"/>
          <w:trHeight w:val="315"/>
          <w:jc w:val="center"/>
        </w:trPr>
        <w:tc>
          <w:tcPr>
            <w:tcW w:w="577" w:type="dxa"/>
            <w:vAlign w:val="center"/>
          </w:tcPr>
          <w:p w14:paraId="56D47C2D" w14:textId="77777777" w:rsidR="00085789" w:rsidRDefault="00000000">
            <w:pPr>
              <w:spacing w:before="40" w:line="240" w:lineRule="auto"/>
              <w:jc w:val="center"/>
              <w:rPr>
                <w:bCs/>
                <w:sz w:val="24"/>
                <w:szCs w:val="24"/>
              </w:rPr>
            </w:pPr>
            <w:r>
              <w:rPr>
                <w:bCs/>
                <w:sz w:val="24"/>
                <w:szCs w:val="24"/>
              </w:rPr>
              <w:t>22</w:t>
            </w:r>
          </w:p>
        </w:tc>
        <w:tc>
          <w:tcPr>
            <w:tcW w:w="2174" w:type="dxa"/>
            <w:vAlign w:val="bottom"/>
          </w:tcPr>
          <w:p w14:paraId="30ACA144" w14:textId="77777777" w:rsidR="00085789" w:rsidRDefault="00000000">
            <w:pPr>
              <w:spacing w:before="40" w:line="240" w:lineRule="auto"/>
              <w:jc w:val="both"/>
              <w:rPr>
                <w:bCs/>
                <w:spacing w:val="-4"/>
                <w:sz w:val="24"/>
                <w:szCs w:val="24"/>
              </w:rPr>
            </w:pPr>
            <w:r>
              <w:rPr>
                <w:spacing w:val="-4"/>
                <w:sz w:val="24"/>
                <w:szCs w:val="24"/>
              </w:rPr>
              <w:t>Sông Ngàn Trươi (tại TBNMN TT. Vũ Quang)</w:t>
            </w:r>
          </w:p>
        </w:tc>
        <w:tc>
          <w:tcPr>
            <w:tcW w:w="2693" w:type="dxa"/>
            <w:vAlign w:val="center"/>
          </w:tcPr>
          <w:p w14:paraId="69B37C27" w14:textId="77777777" w:rsidR="00085789" w:rsidRDefault="00000000">
            <w:pPr>
              <w:spacing w:before="40" w:line="240" w:lineRule="auto"/>
              <w:jc w:val="both"/>
              <w:rPr>
                <w:bCs/>
                <w:spacing w:val="-6"/>
                <w:sz w:val="24"/>
                <w:szCs w:val="24"/>
              </w:rPr>
            </w:pPr>
            <w:r>
              <w:rPr>
                <w:bCs/>
                <w:spacing w:val="-6"/>
                <w:sz w:val="24"/>
                <w:szCs w:val="24"/>
              </w:rPr>
              <w:t>Điểm cấp nước cho nhà máy nước TT Vũ Quang (nay là xã Vũ Quang)</w:t>
            </w:r>
          </w:p>
        </w:tc>
        <w:tc>
          <w:tcPr>
            <w:tcW w:w="1998" w:type="dxa"/>
            <w:vAlign w:val="center"/>
          </w:tcPr>
          <w:p w14:paraId="25AEC4D4"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CC1B8A1"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7F30149D" w14:textId="77777777">
        <w:trPr>
          <w:gridAfter w:val="1"/>
          <w:wAfter w:w="8" w:type="dxa"/>
          <w:trHeight w:val="315"/>
          <w:jc w:val="center"/>
        </w:trPr>
        <w:tc>
          <w:tcPr>
            <w:tcW w:w="577" w:type="dxa"/>
            <w:vAlign w:val="center"/>
          </w:tcPr>
          <w:p w14:paraId="76CF0417" w14:textId="77777777" w:rsidR="00085789" w:rsidRDefault="00000000">
            <w:pPr>
              <w:spacing w:before="40" w:line="240" w:lineRule="auto"/>
              <w:jc w:val="center"/>
              <w:rPr>
                <w:bCs/>
                <w:sz w:val="24"/>
                <w:szCs w:val="24"/>
              </w:rPr>
            </w:pPr>
            <w:r>
              <w:rPr>
                <w:bCs/>
                <w:sz w:val="24"/>
                <w:szCs w:val="24"/>
              </w:rPr>
              <w:t>23</w:t>
            </w:r>
          </w:p>
        </w:tc>
        <w:tc>
          <w:tcPr>
            <w:tcW w:w="2174" w:type="dxa"/>
            <w:vAlign w:val="center"/>
          </w:tcPr>
          <w:p w14:paraId="7EDCCAFB" w14:textId="77777777" w:rsidR="00085789" w:rsidRDefault="00000000">
            <w:pPr>
              <w:spacing w:before="40" w:line="240" w:lineRule="auto"/>
              <w:jc w:val="both"/>
              <w:rPr>
                <w:bCs/>
                <w:spacing w:val="-4"/>
                <w:sz w:val="24"/>
                <w:szCs w:val="24"/>
              </w:rPr>
            </w:pPr>
            <w:r>
              <w:rPr>
                <w:spacing w:val="-4"/>
                <w:sz w:val="24"/>
                <w:szCs w:val="24"/>
              </w:rPr>
              <w:t>Sông Ngàn Trươi (tại xã Đức Liên)</w:t>
            </w:r>
          </w:p>
        </w:tc>
        <w:tc>
          <w:tcPr>
            <w:tcW w:w="2693" w:type="dxa"/>
            <w:vAlign w:val="center"/>
          </w:tcPr>
          <w:p w14:paraId="7763FD49" w14:textId="77777777" w:rsidR="00085789" w:rsidRDefault="00000000">
            <w:pPr>
              <w:spacing w:before="40" w:line="240" w:lineRule="auto"/>
              <w:jc w:val="both"/>
              <w:rPr>
                <w:bCs/>
                <w:spacing w:val="-8"/>
                <w:sz w:val="24"/>
                <w:szCs w:val="24"/>
              </w:rPr>
            </w:pPr>
            <w:r>
              <w:rPr>
                <w:bCs/>
                <w:spacing w:val="-8"/>
                <w:sz w:val="24"/>
                <w:szCs w:val="24"/>
              </w:rPr>
              <w:t>Cách điểm hợp lưu sông Ngàn Sâu 300m về phía thượng nguồn xã Đức Liên (nay là xã Thượng Đức)</w:t>
            </w:r>
          </w:p>
        </w:tc>
        <w:tc>
          <w:tcPr>
            <w:tcW w:w="1998" w:type="dxa"/>
            <w:vAlign w:val="center"/>
          </w:tcPr>
          <w:p w14:paraId="51F8CE55"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5110739C"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69652CFF" w14:textId="77777777">
        <w:trPr>
          <w:gridAfter w:val="1"/>
          <w:wAfter w:w="8" w:type="dxa"/>
          <w:trHeight w:val="315"/>
          <w:jc w:val="center"/>
        </w:trPr>
        <w:tc>
          <w:tcPr>
            <w:tcW w:w="577" w:type="dxa"/>
            <w:vAlign w:val="center"/>
          </w:tcPr>
          <w:p w14:paraId="7293CF48" w14:textId="77777777" w:rsidR="00085789" w:rsidRDefault="00000000">
            <w:pPr>
              <w:spacing w:before="40" w:line="240" w:lineRule="auto"/>
              <w:jc w:val="center"/>
              <w:rPr>
                <w:bCs/>
                <w:sz w:val="24"/>
                <w:szCs w:val="24"/>
              </w:rPr>
            </w:pPr>
            <w:r>
              <w:rPr>
                <w:bCs/>
                <w:sz w:val="24"/>
                <w:szCs w:val="24"/>
              </w:rPr>
              <w:t>24</w:t>
            </w:r>
          </w:p>
        </w:tc>
        <w:tc>
          <w:tcPr>
            <w:tcW w:w="2174" w:type="dxa"/>
            <w:vAlign w:val="bottom"/>
          </w:tcPr>
          <w:p w14:paraId="2B83EDED" w14:textId="77777777" w:rsidR="00085789" w:rsidRDefault="00000000">
            <w:pPr>
              <w:spacing w:before="40" w:line="240" w:lineRule="auto"/>
              <w:jc w:val="both"/>
              <w:rPr>
                <w:bCs/>
                <w:spacing w:val="-4"/>
                <w:sz w:val="24"/>
                <w:szCs w:val="24"/>
              </w:rPr>
            </w:pPr>
            <w:r>
              <w:rPr>
                <w:spacing w:val="-4"/>
                <w:sz w:val="24"/>
                <w:szCs w:val="24"/>
              </w:rPr>
              <w:t>Sông La (tại cầu Linh Cảm II)</w:t>
            </w:r>
          </w:p>
        </w:tc>
        <w:tc>
          <w:tcPr>
            <w:tcW w:w="2693" w:type="dxa"/>
            <w:vAlign w:val="center"/>
          </w:tcPr>
          <w:p w14:paraId="7F4B5ECE" w14:textId="77777777" w:rsidR="00085789" w:rsidRDefault="00000000">
            <w:pPr>
              <w:spacing w:before="40" w:line="240" w:lineRule="auto"/>
              <w:jc w:val="both"/>
              <w:rPr>
                <w:bCs/>
                <w:spacing w:val="-4"/>
                <w:sz w:val="24"/>
                <w:szCs w:val="24"/>
              </w:rPr>
            </w:pPr>
            <w:r>
              <w:rPr>
                <w:bCs/>
                <w:spacing w:val="-6"/>
                <w:sz w:val="24"/>
                <w:szCs w:val="24"/>
              </w:rPr>
              <w:t>Xã Tùng Ảnh (nay là xã Đức Thọ)</w:t>
            </w:r>
          </w:p>
        </w:tc>
        <w:tc>
          <w:tcPr>
            <w:tcW w:w="1998" w:type="dxa"/>
            <w:vAlign w:val="center"/>
          </w:tcPr>
          <w:p w14:paraId="09811082"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3762EE85"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4A6EB6C8" w14:textId="77777777">
        <w:trPr>
          <w:gridAfter w:val="1"/>
          <w:wAfter w:w="8" w:type="dxa"/>
          <w:trHeight w:val="315"/>
          <w:jc w:val="center"/>
        </w:trPr>
        <w:tc>
          <w:tcPr>
            <w:tcW w:w="577" w:type="dxa"/>
            <w:vAlign w:val="center"/>
          </w:tcPr>
          <w:p w14:paraId="697C13D1" w14:textId="77777777" w:rsidR="00085789" w:rsidRDefault="00000000">
            <w:pPr>
              <w:spacing w:before="40" w:line="240" w:lineRule="auto"/>
              <w:jc w:val="center"/>
              <w:rPr>
                <w:bCs/>
                <w:sz w:val="24"/>
                <w:szCs w:val="24"/>
              </w:rPr>
            </w:pPr>
            <w:r>
              <w:rPr>
                <w:bCs/>
                <w:sz w:val="24"/>
                <w:szCs w:val="24"/>
              </w:rPr>
              <w:t>25</w:t>
            </w:r>
          </w:p>
        </w:tc>
        <w:tc>
          <w:tcPr>
            <w:tcW w:w="2174" w:type="dxa"/>
            <w:vAlign w:val="bottom"/>
          </w:tcPr>
          <w:p w14:paraId="58112951" w14:textId="77777777" w:rsidR="00085789" w:rsidRDefault="00000000">
            <w:pPr>
              <w:spacing w:before="40" w:line="240" w:lineRule="auto"/>
              <w:jc w:val="both"/>
              <w:rPr>
                <w:bCs/>
                <w:spacing w:val="-4"/>
                <w:sz w:val="24"/>
                <w:szCs w:val="24"/>
              </w:rPr>
            </w:pPr>
            <w:r>
              <w:rPr>
                <w:spacing w:val="-4"/>
                <w:sz w:val="24"/>
                <w:szCs w:val="24"/>
              </w:rPr>
              <w:t>Kênh 19/5 (tại xã Bùi La Nhân)</w:t>
            </w:r>
          </w:p>
        </w:tc>
        <w:tc>
          <w:tcPr>
            <w:tcW w:w="2693" w:type="dxa"/>
            <w:vAlign w:val="center"/>
          </w:tcPr>
          <w:p w14:paraId="256AF3F3" w14:textId="77777777" w:rsidR="00085789" w:rsidRDefault="00000000">
            <w:pPr>
              <w:spacing w:before="40" w:line="240" w:lineRule="auto"/>
              <w:jc w:val="both"/>
              <w:rPr>
                <w:bCs/>
                <w:spacing w:val="-4"/>
                <w:sz w:val="24"/>
                <w:szCs w:val="24"/>
              </w:rPr>
            </w:pPr>
            <w:r>
              <w:rPr>
                <w:bCs/>
                <w:spacing w:val="-4"/>
                <w:sz w:val="24"/>
                <w:szCs w:val="24"/>
              </w:rPr>
              <w:t>Xã Bùi La Nhân (nay là xã Đức Quang)</w:t>
            </w:r>
          </w:p>
        </w:tc>
        <w:tc>
          <w:tcPr>
            <w:tcW w:w="1998" w:type="dxa"/>
            <w:vAlign w:val="center"/>
          </w:tcPr>
          <w:p w14:paraId="131D7DDB"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6D720675"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5F8F8556" w14:textId="77777777">
        <w:trPr>
          <w:trHeight w:val="315"/>
          <w:jc w:val="center"/>
        </w:trPr>
        <w:tc>
          <w:tcPr>
            <w:tcW w:w="577" w:type="dxa"/>
            <w:vAlign w:val="center"/>
          </w:tcPr>
          <w:p w14:paraId="1466EF4D" w14:textId="77777777" w:rsidR="00085789" w:rsidRDefault="00000000">
            <w:pPr>
              <w:spacing w:before="40" w:line="240" w:lineRule="auto"/>
              <w:jc w:val="center"/>
              <w:rPr>
                <w:b/>
                <w:bCs/>
                <w:sz w:val="24"/>
                <w:szCs w:val="24"/>
              </w:rPr>
            </w:pPr>
            <w:r>
              <w:rPr>
                <w:b/>
                <w:bCs/>
                <w:sz w:val="24"/>
                <w:szCs w:val="24"/>
              </w:rPr>
              <w:t>VI</w:t>
            </w:r>
          </w:p>
        </w:tc>
        <w:tc>
          <w:tcPr>
            <w:tcW w:w="8681" w:type="dxa"/>
            <w:gridSpan w:val="5"/>
            <w:vAlign w:val="center"/>
          </w:tcPr>
          <w:p w14:paraId="4BF70BE1" w14:textId="77777777" w:rsidR="00085789" w:rsidRDefault="00000000">
            <w:pPr>
              <w:spacing w:before="40" w:line="240" w:lineRule="auto"/>
              <w:ind w:left="-119" w:right="-105"/>
              <w:jc w:val="center"/>
              <w:rPr>
                <w:noProof/>
                <w:spacing w:val="-4"/>
                <w:sz w:val="24"/>
                <w:szCs w:val="24"/>
              </w:rPr>
            </w:pPr>
            <w:r>
              <w:rPr>
                <w:b/>
                <w:bCs/>
                <w:spacing w:val="-4"/>
                <w:sz w:val="24"/>
                <w:szCs w:val="24"/>
              </w:rPr>
              <w:t>Hệ thống sông Quyền</w:t>
            </w:r>
          </w:p>
        </w:tc>
      </w:tr>
      <w:tr w:rsidR="00085789" w14:paraId="16C50BA5" w14:textId="77777777">
        <w:trPr>
          <w:gridAfter w:val="1"/>
          <w:wAfter w:w="8" w:type="dxa"/>
          <w:trHeight w:val="315"/>
          <w:jc w:val="center"/>
        </w:trPr>
        <w:tc>
          <w:tcPr>
            <w:tcW w:w="577" w:type="dxa"/>
            <w:vAlign w:val="center"/>
          </w:tcPr>
          <w:p w14:paraId="1FFB22D7" w14:textId="77777777" w:rsidR="00085789" w:rsidRDefault="00000000">
            <w:pPr>
              <w:spacing w:before="40" w:line="240" w:lineRule="auto"/>
              <w:jc w:val="center"/>
              <w:rPr>
                <w:bCs/>
                <w:sz w:val="24"/>
                <w:szCs w:val="24"/>
              </w:rPr>
            </w:pPr>
            <w:r>
              <w:rPr>
                <w:bCs/>
                <w:sz w:val="24"/>
                <w:szCs w:val="24"/>
              </w:rPr>
              <w:t>26</w:t>
            </w:r>
          </w:p>
        </w:tc>
        <w:tc>
          <w:tcPr>
            <w:tcW w:w="2174" w:type="dxa"/>
            <w:vAlign w:val="bottom"/>
          </w:tcPr>
          <w:p w14:paraId="0074497B" w14:textId="77777777" w:rsidR="00085789" w:rsidRDefault="00000000">
            <w:pPr>
              <w:spacing w:before="40" w:line="240" w:lineRule="auto"/>
              <w:jc w:val="both"/>
              <w:rPr>
                <w:bCs/>
                <w:spacing w:val="-4"/>
                <w:sz w:val="24"/>
                <w:szCs w:val="24"/>
              </w:rPr>
            </w:pPr>
            <w:r>
              <w:rPr>
                <w:spacing w:val="-4"/>
                <w:sz w:val="24"/>
                <w:szCs w:val="24"/>
              </w:rPr>
              <w:t>Sông Quyền (tại cảng Cá Kỳ Hà)</w:t>
            </w:r>
          </w:p>
        </w:tc>
        <w:tc>
          <w:tcPr>
            <w:tcW w:w="2693" w:type="dxa"/>
            <w:vAlign w:val="center"/>
          </w:tcPr>
          <w:p w14:paraId="0833B014" w14:textId="77777777" w:rsidR="00085789" w:rsidRDefault="00000000">
            <w:pPr>
              <w:spacing w:before="40" w:line="240" w:lineRule="auto"/>
              <w:jc w:val="both"/>
              <w:rPr>
                <w:bCs/>
                <w:spacing w:val="-6"/>
                <w:sz w:val="24"/>
                <w:szCs w:val="24"/>
              </w:rPr>
            </w:pPr>
            <w:r>
              <w:rPr>
                <w:bCs/>
                <w:spacing w:val="-6"/>
                <w:sz w:val="24"/>
                <w:szCs w:val="24"/>
              </w:rPr>
              <w:t>Xã Kỳ Hà (nay là phường Hải Ninh)</w:t>
            </w:r>
          </w:p>
        </w:tc>
        <w:tc>
          <w:tcPr>
            <w:tcW w:w="1998" w:type="dxa"/>
            <w:vAlign w:val="center"/>
          </w:tcPr>
          <w:p w14:paraId="41F6B22E"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301E558F"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38A227E4" w14:textId="77777777">
        <w:trPr>
          <w:gridAfter w:val="1"/>
          <w:wAfter w:w="8" w:type="dxa"/>
          <w:trHeight w:val="315"/>
          <w:jc w:val="center"/>
        </w:trPr>
        <w:tc>
          <w:tcPr>
            <w:tcW w:w="577" w:type="dxa"/>
            <w:vAlign w:val="center"/>
          </w:tcPr>
          <w:p w14:paraId="205C715D" w14:textId="77777777" w:rsidR="00085789" w:rsidRDefault="00000000">
            <w:pPr>
              <w:spacing w:before="40" w:line="240" w:lineRule="auto"/>
              <w:jc w:val="center"/>
              <w:rPr>
                <w:bCs/>
                <w:sz w:val="24"/>
                <w:szCs w:val="24"/>
              </w:rPr>
            </w:pPr>
            <w:r>
              <w:rPr>
                <w:bCs/>
                <w:sz w:val="24"/>
                <w:szCs w:val="24"/>
              </w:rPr>
              <w:t>27</w:t>
            </w:r>
          </w:p>
        </w:tc>
        <w:tc>
          <w:tcPr>
            <w:tcW w:w="2174" w:type="dxa"/>
            <w:vAlign w:val="bottom"/>
          </w:tcPr>
          <w:p w14:paraId="1575CE03" w14:textId="77777777" w:rsidR="00085789" w:rsidRDefault="00000000">
            <w:pPr>
              <w:spacing w:before="40" w:line="240" w:lineRule="auto"/>
              <w:jc w:val="both"/>
              <w:rPr>
                <w:bCs/>
                <w:spacing w:val="-4"/>
                <w:sz w:val="24"/>
                <w:szCs w:val="24"/>
              </w:rPr>
            </w:pPr>
            <w:r>
              <w:rPr>
                <w:spacing w:val="-4"/>
                <w:sz w:val="24"/>
                <w:szCs w:val="24"/>
              </w:rPr>
              <w:t>Sông Quyền (tại cầu Tây Yên)</w:t>
            </w:r>
          </w:p>
        </w:tc>
        <w:tc>
          <w:tcPr>
            <w:tcW w:w="2693" w:type="dxa"/>
            <w:vAlign w:val="center"/>
          </w:tcPr>
          <w:p w14:paraId="636CF8AB" w14:textId="77777777" w:rsidR="00085789" w:rsidRDefault="00000000">
            <w:pPr>
              <w:spacing w:before="40" w:line="240" w:lineRule="auto"/>
              <w:jc w:val="both"/>
              <w:rPr>
                <w:bCs/>
                <w:spacing w:val="-4"/>
                <w:sz w:val="24"/>
                <w:szCs w:val="24"/>
              </w:rPr>
            </w:pPr>
            <w:r>
              <w:rPr>
                <w:bCs/>
                <w:spacing w:val="-4"/>
                <w:sz w:val="24"/>
                <w:szCs w:val="24"/>
              </w:rPr>
              <w:t>Xã Kỳ Lợi (nay là phường Vũng Áng)</w:t>
            </w:r>
          </w:p>
        </w:tc>
        <w:tc>
          <w:tcPr>
            <w:tcW w:w="1998" w:type="dxa"/>
            <w:vAlign w:val="center"/>
          </w:tcPr>
          <w:p w14:paraId="668C9F12"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3BBF6568"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37A136C2" w14:textId="77777777">
        <w:trPr>
          <w:gridAfter w:val="1"/>
          <w:wAfter w:w="8" w:type="dxa"/>
          <w:trHeight w:val="315"/>
          <w:jc w:val="center"/>
        </w:trPr>
        <w:tc>
          <w:tcPr>
            <w:tcW w:w="577" w:type="dxa"/>
            <w:vAlign w:val="center"/>
          </w:tcPr>
          <w:p w14:paraId="3FE118E4" w14:textId="77777777" w:rsidR="00085789" w:rsidRDefault="00000000">
            <w:pPr>
              <w:spacing w:before="40" w:line="240" w:lineRule="auto"/>
              <w:jc w:val="center"/>
              <w:rPr>
                <w:bCs/>
                <w:sz w:val="24"/>
                <w:szCs w:val="24"/>
              </w:rPr>
            </w:pPr>
            <w:r>
              <w:rPr>
                <w:bCs/>
                <w:sz w:val="24"/>
                <w:szCs w:val="24"/>
              </w:rPr>
              <w:t>28</w:t>
            </w:r>
          </w:p>
        </w:tc>
        <w:tc>
          <w:tcPr>
            <w:tcW w:w="2174" w:type="dxa"/>
            <w:vAlign w:val="bottom"/>
          </w:tcPr>
          <w:p w14:paraId="3984AC1C" w14:textId="77777777" w:rsidR="00085789" w:rsidRDefault="00000000">
            <w:pPr>
              <w:spacing w:before="40" w:line="240" w:lineRule="auto"/>
              <w:jc w:val="both"/>
              <w:rPr>
                <w:bCs/>
                <w:spacing w:val="-4"/>
                <w:sz w:val="24"/>
                <w:szCs w:val="24"/>
              </w:rPr>
            </w:pPr>
            <w:r>
              <w:rPr>
                <w:spacing w:val="-4"/>
                <w:sz w:val="24"/>
                <w:szCs w:val="24"/>
              </w:rPr>
              <w:t>Sông Trí (tại cầu Kỳ Hưng)</w:t>
            </w:r>
          </w:p>
        </w:tc>
        <w:tc>
          <w:tcPr>
            <w:tcW w:w="2693" w:type="dxa"/>
            <w:vAlign w:val="center"/>
          </w:tcPr>
          <w:p w14:paraId="31CB7A60" w14:textId="77777777" w:rsidR="00085789" w:rsidRDefault="00000000">
            <w:pPr>
              <w:spacing w:before="40" w:line="240" w:lineRule="auto"/>
              <w:jc w:val="both"/>
              <w:rPr>
                <w:bCs/>
                <w:spacing w:val="-4"/>
                <w:sz w:val="24"/>
                <w:szCs w:val="24"/>
              </w:rPr>
            </w:pPr>
            <w:r>
              <w:rPr>
                <w:bCs/>
                <w:spacing w:val="-6"/>
                <w:sz w:val="24"/>
                <w:szCs w:val="24"/>
              </w:rPr>
              <w:t>Phường Hưng Trí (nay là phường Sông Trí)</w:t>
            </w:r>
          </w:p>
        </w:tc>
        <w:tc>
          <w:tcPr>
            <w:tcW w:w="1998" w:type="dxa"/>
            <w:vAlign w:val="center"/>
          </w:tcPr>
          <w:p w14:paraId="6622844C"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553A4621"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5E64E75B" w14:textId="77777777">
        <w:trPr>
          <w:gridAfter w:val="1"/>
          <w:wAfter w:w="8" w:type="dxa"/>
          <w:trHeight w:val="315"/>
          <w:jc w:val="center"/>
        </w:trPr>
        <w:tc>
          <w:tcPr>
            <w:tcW w:w="577" w:type="dxa"/>
            <w:vAlign w:val="center"/>
          </w:tcPr>
          <w:p w14:paraId="3EBE70FD" w14:textId="77777777" w:rsidR="00085789" w:rsidRDefault="00000000">
            <w:pPr>
              <w:spacing w:before="40" w:line="240" w:lineRule="auto"/>
              <w:jc w:val="center"/>
              <w:rPr>
                <w:bCs/>
                <w:sz w:val="24"/>
                <w:szCs w:val="24"/>
              </w:rPr>
            </w:pPr>
            <w:r>
              <w:rPr>
                <w:bCs/>
                <w:sz w:val="24"/>
                <w:szCs w:val="24"/>
              </w:rPr>
              <w:lastRenderedPageBreak/>
              <w:t>29</w:t>
            </w:r>
          </w:p>
        </w:tc>
        <w:tc>
          <w:tcPr>
            <w:tcW w:w="2174" w:type="dxa"/>
            <w:vAlign w:val="bottom"/>
          </w:tcPr>
          <w:p w14:paraId="2B0182D0" w14:textId="77777777" w:rsidR="00085789" w:rsidRDefault="00000000">
            <w:pPr>
              <w:spacing w:before="40" w:line="240" w:lineRule="auto"/>
              <w:jc w:val="both"/>
              <w:rPr>
                <w:bCs/>
                <w:spacing w:val="-4"/>
                <w:sz w:val="24"/>
                <w:szCs w:val="24"/>
              </w:rPr>
            </w:pPr>
            <w:r>
              <w:rPr>
                <w:spacing w:val="-4"/>
                <w:sz w:val="24"/>
                <w:szCs w:val="24"/>
              </w:rPr>
              <w:t>Khe Đá Hát (tại cầu Khe Đá Hát)</w:t>
            </w:r>
          </w:p>
        </w:tc>
        <w:tc>
          <w:tcPr>
            <w:tcW w:w="2693" w:type="dxa"/>
            <w:vAlign w:val="center"/>
          </w:tcPr>
          <w:p w14:paraId="7404246D" w14:textId="77777777" w:rsidR="00085789" w:rsidRDefault="00000000">
            <w:pPr>
              <w:spacing w:before="40" w:line="240" w:lineRule="auto"/>
              <w:jc w:val="both"/>
              <w:rPr>
                <w:bCs/>
                <w:spacing w:val="-6"/>
                <w:sz w:val="24"/>
                <w:szCs w:val="24"/>
              </w:rPr>
            </w:pPr>
            <w:r>
              <w:rPr>
                <w:bCs/>
                <w:spacing w:val="-6"/>
                <w:sz w:val="24"/>
                <w:szCs w:val="24"/>
              </w:rPr>
              <w:t>Phường Kỳ Long (nay là phường Vũng Áng)</w:t>
            </w:r>
          </w:p>
        </w:tc>
        <w:tc>
          <w:tcPr>
            <w:tcW w:w="1998" w:type="dxa"/>
            <w:vAlign w:val="center"/>
          </w:tcPr>
          <w:p w14:paraId="5DF652A5"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4DCD7741"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38910069" w14:textId="77777777">
        <w:trPr>
          <w:gridAfter w:val="1"/>
          <w:wAfter w:w="8" w:type="dxa"/>
          <w:trHeight w:val="315"/>
          <w:jc w:val="center"/>
        </w:trPr>
        <w:tc>
          <w:tcPr>
            <w:tcW w:w="577" w:type="dxa"/>
            <w:vAlign w:val="center"/>
          </w:tcPr>
          <w:p w14:paraId="600C79BB" w14:textId="77777777" w:rsidR="00085789" w:rsidRDefault="00000000">
            <w:pPr>
              <w:spacing w:before="40" w:line="240" w:lineRule="auto"/>
              <w:jc w:val="center"/>
              <w:rPr>
                <w:bCs/>
                <w:sz w:val="24"/>
                <w:szCs w:val="24"/>
              </w:rPr>
            </w:pPr>
            <w:r>
              <w:rPr>
                <w:bCs/>
                <w:sz w:val="24"/>
                <w:szCs w:val="24"/>
              </w:rPr>
              <w:t>30</w:t>
            </w:r>
          </w:p>
        </w:tc>
        <w:tc>
          <w:tcPr>
            <w:tcW w:w="2174" w:type="dxa"/>
            <w:vAlign w:val="bottom"/>
          </w:tcPr>
          <w:p w14:paraId="59A6D572" w14:textId="77777777" w:rsidR="00085789" w:rsidRDefault="00000000">
            <w:pPr>
              <w:spacing w:before="40" w:line="240" w:lineRule="auto"/>
              <w:jc w:val="both"/>
              <w:rPr>
                <w:bCs/>
                <w:spacing w:val="-4"/>
                <w:sz w:val="24"/>
                <w:szCs w:val="24"/>
              </w:rPr>
            </w:pPr>
            <w:r>
              <w:rPr>
                <w:spacing w:val="-4"/>
                <w:sz w:val="24"/>
                <w:szCs w:val="24"/>
              </w:rPr>
              <w:t>Khe Lau (tại cầu Khe Lau)</w:t>
            </w:r>
          </w:p>
        </w:tc>
        <w:tc>
          <w:tcPr>
            <w:tcW w:w="2693" w:type="dxa"/>
            <w:vAlign w:val="center"/>
          </w:tcPr>
          <w:p w14:paraId="7057606F" w14:textId="77777777" w:rsidR="00085789" w:rsidRDefault="00000000">
            <w:pPr>
              <w:spacing w:before="40" w:line="240" w:lineRule="auto"/>
              <w:jc w:val="both"/>
              <w:rPr>
                <w:bCs/>
                <w:spacing w:val="-6"/>
                <w:sz w:val="24"/>
                <w:szCs w:val="24"/>
              </w:rPr>
            </w:pPr>
            <w:r>
              <w:rPr>
                <w:bCs/>
                <w:spacing w:val="-4"/>
                <w:sz w:val="24"/>
                <w:szCs w:val="24"/>
              </w:rPr>
              <w:t>Phường Kỳ Liên (nay là phường Hoành Sơn)</w:t>
            </w:r>
          </w:p>
        </w:tc>
        <w:tc>
          <w:tcPr>
            <w:tcW w:w="1998" w:type="dxa"/>
            <w:vAlign w:val="center"/>
          </w:tcPr>
          <w:p w14:paraId="631B8359"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318AE571"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548BBCC4" w14:textId="77777777">
        <w:trPr>
          <w:gridAfter w:val="1"/>
          <w:wAfter w:w="8" w:type="dxa"/>
          <w:trHeight w:val="315"/>
          <w:jc w:val="center"/>
        </w:trPr>
        <w:tc>
          <w:tcPr>
            <w:tcW w:w="577" w:type="dxa"/>
            <w:vAlign w:val="center"/>
          </w:tcPr>
          <w:p w14:paraId="2DC98640" w14:textId="77777777" w:rsidR="00085789" w:rsidRDefault="00000000">
            <w:pPr>
              <w:spacing w:before="40" w:line="240" w:lineRule="auto"/>
              <w:jc w:val="center"/>
              <w:rPr>
                <w:bCs/>
                <w:sz w:val="24"/>
                <w:szCs w:val="24"/>
              </w:rPr>
            </w:pPr>
            <w:r>
              <w:rPr>
                <w:bCs/>
                <w:sz w:val="24"/>
                <w:szCs w:val="24"/>
              </w:rPr>
              <w:t>31</w:t>
            </w:r>
          </w:p>
        </w:tc>
        <w:tc>
          <w:tcPr>
            <w:tcW w:w="2174" w:type="dxa"/>
            <w:vAlign w:val="bottom"/>
          </w:tcPr>
          <w:p w14:paraId="27301161" w14:textId="77777777" w:rsidR="00085789" w:rsidRDefault="00000000">
            <w:pPr>
              <w:spacing w:before="40" w:line="240" w:lineRule="auto"/>
              <w:jc w:val="both"/>
              <w:rPr>
                <w:bCs/>
                <w:spacing w:val="-4"/>
                <w:sz w:val="24"/>
                <w:szCs w:val="24"/>
              </w:rPr>
            </w:pPr>
            <w:r>
              <w:rPr>
                <w:spacing w:val="-4"/>
                <w:sz w:val="24"/>
                <w:szCs w:val="24"/>
              </w:rPr>
              <w:t>Khe Thầu Dầu (tại cầu Thầu Dầu)</w:t>
            </w:r>
          </w:p>
        </w:tc>
        <w:tc>
          <w:tcPr>
            <w:tcW w:w="2693" w:type="dxa"/>
            <w:vAlign w:val="center"/>
          </w:tcPr>
          <w:p w14:paraId="7A177EB1" w14:textId="77777777" w:rsidR="00085789" w:rsidRDefault="00000000">
            <w:pPr>
              <w:spacing w:before="40" w:line="240" w:lineRule="auto"/>
              <w:jc w:val="both"/>
              <w:rPr>
                <w:bCs/>
                <w:spacing w:val="-4"/>
                <w:sz w:val="24"/>
                <w:szCs w:val="24"/>
              </w:rPr>
            </w:pPr>
            <w:r>
              <w:rPr>
                <w:bCs/>
                <w:spacing w:val="-4"/>
                <w:sz w:val="24"/>
                <w:szCs w:val="24"/>
              </w:rPr>
              <w:t>Phường Kỳ Phương (nay là phường Hoành Sơn)</w:t>
            </w:r>
          </w:p>
        </w:tc>
        <w:tc>
          <w:tcPr>
            <w:tcW w:w="1998" w:type="dxa"/>
            <w:vAlign w:val="center"/>
          </w:tcPr>
          <w:p w14:paraId="72643EF0"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ACF7A19"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0F0A5A4D" w14:textId="77777777">
        <w:trPr>
          <w:gridAfter w:val="1"/>
          <w:wAfter w:w="8" w:type="dxa"/>
          <w:trHeight w:val="315"/>
          <w:jc w:val="center"/>
        </w:trPr>
        <w:tc>
          <w:tcPr>
            <w:tcW w:w="577" w:type="dxa"/>
            <w:vAlign w:val="center"/>
          </w:tcPr>
          <w:p w14:paraId="0FD58113" w14:textId="77777777" w:rsidR="00085789" w:rsidRDefault="00000000">
            <w:pPr>
              <w:spacing w:before="40" w:line="240" w:lineRule="auto"/>
              <w:jc w:val="center"/>
              <w:rPr>
                <w:bCs/>
                <w:sz w:val="24"/>
                <w:szCs w:val="24"/>
              </w:rPr>
            </w:pPr>
            <w:r>
              <w:rPr>
                <w:bCs/>
                <w:sz w:val="24"/>
                <w:szCs w:val="24"/>
              </w:rPr>
              <w:t>32</w:t>
            </w:r>
          </w:p>
        </w:tc>
        <w:tc>
          <w:tcPr>
            <w:tcW w:w="2174" w:type="dxa"/>
            <w:vAlign w:val="bottom"/>
          </w:tcPr>
          <w:p w14:paraId="0CC56F87" w14:textId="77777777" w:rsidR="00085789" w:rsidRDefault="00000000">
            <w:pPr>
              <w:spacing w:before="40" w:line="240" w:lineRule="auto"/>
              <w:jc w:val="both"/>
              <w:rPr>
                <w:bCs/>
                <w:spacing w:val="-10"/>
                <w:sz w:val="24"/>
                <w:szCs w:val="24"/>
              </w:rPr>
            </w:pPr>
            <w:r>
              <w:rPr>
                <w:spacing w:val="-10"/>
                <w:sz w:val="24"/>
                <w:szCs w:val="24"/>
              </w:rPr>
              <w:t>Khe Thanh Trạng (tại cầu Thanh Trạng)</w:t>
            </w:r>
          </w:p>
        </w:tc>
        <w:tc>
          <w:tcPr>
            <w:tcW w:w="2693" w:type="dxa"/>
            <w:vAlign w:val="center"/>
          </w:tcPr>
          <w:p w14:paraId="0D54354F" w14:textId="77777777" w:rsidR="00085789" w:rsidRDefault="00000000">
            <w:pPr>
              <w:spacing w:before="40" w:line="240" w:lineRule="auto"/>
              <w:jc w:val="both"/>
              <w:rPr>
                <w:bCs/>
                <w:spacing w:val="-6"/>
                <w:sz w:val="24"/>
                <w:szCs w:val="24"/>
              </w:rPr>
            </w:pPr>
            <w:r>
              <w:rPr>
                <w:bCs/>
                <w:spacing w:val="-6"/>
                <w:sz w:val="24"/>
                <w:szCs w:val="24"/>
              </w:rPr>
              <w:t>Phường Kỳ Liên (nay là phường Hoành Sơn)</w:t>
            </w:r>
          </w:p>
        </w:tc>
        <w:tc>
          <w:tcPr>
            <w:tcW w:w="1998" w:type="dxa"/>
            <w:vAlign w:val="center"/>
          </w:tcPr>
          <w:p w14:paraId="728DD211"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45C0C31F"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1CC4C577" w14:textId="77777777">
        <w:trPr>
          <w:trHeight w:val="425"/>
          <w:jc w:val="center"/>
        </w:trPr>
        <w:tc>
          <w:tcPr>
            <w:tcW w:w="577" w:type="dxa"/>
            <w:vAlign w:val="center"/>
          </w:tcPr>
          <w:p w14:paraId="1B36EDE1" w14:textId="77777777" w:rsidR="00085789" w:rsidRDefault="00000000">
            <w:pPr>
              <w:spacing w:before="40" w:line="240" w:lineRule="auto"/>
              <w:jc w:val="center"/>
              <w:rPr>
                <w:b/>
                <w:bCs/>
                <w:sz w:val="24"/>
                <w:szCs w:val="24"/>
              </w:rPr>
            </w:pPr>
            <w:r>
              <w:rPr>
                <w:b/>
                <w:bCs/>
                <w:sz w:val="24"/>
                <w:szCs w:val="24"/>
              </w:rPr>
              <w:t>VII</w:t>
            </w:r>
          </w:p>
        </w:tc>
        <w:tc>
          <w:tcPr>
            <w:tcW w:w="8681" w:type="dxa"/>
            <w:gridSpan w:val="5"/>
            <w:vAlign w:val="center"/>
          </w:tcPr>
          <w:p w14:paraId="2550832B" w14:textId="77777777" w:rsidR="00085789" w:rsidRDefault="00000000">
            <w:pPr>
              <w:spacing w:before="40" w:line="240" w:lineRule="auto"/>
              <w:ind w:left="-119" w:right="-105"/>
              <w:jc w:val="center"/>
              <w:rPr>
                <w:noProof/>
                <w:spacing w:val="-4"/>
                <w:sz w:val="24"/>
                <w:szCs w:val="24"/>
              </w:rPr>
            </w:pPr>
            <w:r>
              <w:rPr>
                <w:b/>
                <w:bCs/>
                <w:spacing w:val="-4"/>
                <w:sz w:val="24"/>
                <w:szCs w:val="24"/>
              </w:rPr>
              <w:t>Các sông, suối còn lại</w:t>
            </w:r>
          </w:p>
        </w:tc>
      </w:tr>
      <w:tr w:rsidR="00085789" w14:paraId="11FC89FF" w14:textId="77777777">
        <w:trPr>
          <w:gridAfter w:val="1"/>
          <w:wAfter w:w="8" w:type="dxa"/>
          <w:trHeight w:val="315"/>
          <w:jc w:val="center"/>
        </w:trPr>
        <w:tc>
          <w:tcPr>
            <w:tcW w:w="577" w:type="dxa"/>
            <w:vAlign w:val="center"/>
          </w:tcPr>
          <w:p w14:paraId="43D82C97" w14:textId="77777777" w:rsidR="00085789" w:rsidRDefault="00000000">
            <w:pPr>
              <w:spacing w:before="40" w:line="240" w:lineRule="auto"/>
              <w:jc w:val="center"/>
              <w:rPr>
                <w:bCs/>
                <w:sz w:val="24"/>
                <w:szCs w:val="24"/>
              </w:rPr>
            </w:pPr>
            <w:r>
              <w:rPr>
                <w:bCs/>
                <w:sz w:val="24"/>
                <w:szCs w:val="24"/>
              </w:rPr>
              <w:t>33</w:t>
            </w:r>
          </w:p>
        </w:tc>
        <w:tc>
          <w:tcPr>
            <w:tcW w:w="2174" w:type="dxa"/>
            <w:vAlign w:val="bottom"/>
          </w:tcPr>
          <w:p w14:paraId="573365D6" w14:textId="77777777" w:rsidR="00085789" w:rsidRDefault="00000000">
            <w:pPr>
              <w:spacing w:before="40" w:line="240" w:lineRule="auto"/>
              <w:jc w:val="both"/>
              <w:rPr>
                <w:bCs/>
                <w:spacing w:val="-12"/>
                <w:sz w:val="24"/>
                <w:szCs w:val="24"/>
              </w:rPr>
            </w:pPr>
            <w:r>
              <w:rPr>
                <w:spacing w:val="-12"/>
                <w:sz w:val="24"/>
                <w:szCs w:val="24"/>
              </w:rPr>
              <w:t>Sông Mỹ Dương (tại cầu Cương Gián)</w:t>
            </w:r>
          </w:p>
        </w:tc>
        <w:tc>
          <w:tcPr>
            <w:tcW w:w="2693" w:type="dxa"/>
            <w:vAlign w:val="center"/>
          </w:tcPr>
          <w:p w14:paraId="69D6996F" w14:textId="77777777" w:rsidR="00085789" w:rsidRDefault="00000000">
            <w:pPr>
              <w:spacing w:before="40" w:line="240" w:lineRule="auto"/>
              <w:jc w:val="both"/>
              <w:rPr>
                <w:bCs/>
                <w:spacing w:val="-6"/>
                <w:sz w:val="24"/>
                <w:szCs w:val="24"/>
              </w:rPr>
            </w:pPr>
            <w:r>
              <w:rPr>
                <w:bCs/>
                <w:spacing w:val="-6"/>
                <w:sz w:val="24"/>
                <w:szCs w:val="24"/>
              </w:rPr>
              <w:t>Xã Cương Gián (nay là xã Cổ Đạm)</w:t>
            </w:r>
          </w:p>
        </w:tc>
        <w:tc>
          <w:tcPr>
            <w:tcW w:w="1998" w:type="dxa"/>
            <w:vAlign w:val="center"/>
          </w:tcPr>
          <w:p w14:paraId="68C9173B"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58D1F75"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3DF8B577" w14:textId="77777777">
        <w:trPr>
          <w:gridAfter w:val="1"/>
          <w:wAfter w:w="8" w:type="dxa"/>
          <w:trHeight w:val="315"/>
          <w:jc w:val="center"/>
        </w:trPr>
        <w:tc>
          <w:tcPr>
            <w:tcW w:w="577" w:type="dxa"/>
            <w:vAlign w:val="center"/>
          </w:tcPr>
          <w:p w14:paraId="2046C1D9" w14:textId="77777777" w:rsidR="00085789" w:rsidRDefault="00000000">
            <w:pPr>
              <w:spacing w:before="40" w:line="240" w:lineRule="auto"/>
              <w:jc w:val="center"/>
              <w:rPr>
                <w:bCs/>
                <w:sz w:val="24"/>
                <w:szCs w:val="24"/>
              </w:rPr>
            </w:pPr>
            <w:r>
              <w:rPr>
                <w:bCs/>
                <w:sz w:val="24"/>
                <w:szCs w:val="24"/>
              </w:rPr>
              <w:t>34</w:t>
            </w:r>
          </w:p>
        </w:tc>
        <w:tc>
          <w:tcPr>
            <w:tcW w:w="2174" w:type="dxa"/>
            <w:vAlign w:val="bottom"/>
          </w:tcPr>
          <w:p w14:paraId="55875CE0" w14:textId="77777777" w:rsidR="00085789" w:rsidRDefault="00000000">
            <w:pPr>
              <w:spacing w:before="40" w:line="240" w:lineRule="auto"/>
              <w:jc w:val="both"/>
              <w:rPr>
                <w:bCs/>
                <w:spacing w:val="-4"/>
                <w:sz w:val="24"/>
                <w:szCs w:val="24"/>
              </w:rPr>
            </w:pPr>
            <w:r>
              <w:rPr>
                <w:spacing w:val="-4"/>
                <w:sz w:val="24"/>
                <w:szCs w:val="24"/>
              </w:rPr>
              <w:t>Sông Gia Hội (tại chân cầu Họ)</w:t>
            </w:r>
          </w:p>
        </w:tc>
        <w:tc>
          <w:tcPr>
            <w:tcW w:w="2693" w:type="dxa"/>
            <w:vAlign w:val="center"/>
          </w:tcPr>
          <w:p w14:paraId="4502DC4F" w14:textId="77777777" w:rsidR="00085789" w:rsidRDefault="00000000">
            <w:pPr>
              <w:spacing w:before="40" w:line="240" w:lineRule="auto"/>
              <w:jc w:val="both"/>
              <w:rPr>
                <w:bCs/>
                <w:spacing w:val="-6"/>
                <w:sz w:val="24"/>
                <w:szCs w:val="24"/>
              </w:rPr>
            </w:pPr>
            <w:r>
              <w:rPr>
                <w:bCs/>
                <w:spacing w:val="-6"/>
                <w:sz w:val="24"/>
                <w:szCs w:val="24"/>
              </w:rPr>
              <w:t>Thị trấn Cẩm Xuyên (nay là xã Cẩm Xuyên)</w:t>
            </w:r>
          </w:p>
        </w:tc>
        <w:tc>
          <w:tcPr>
            <w:tcW w:w="1998" w:type="dxa"/>
            <w:vAlign w:val="center"/>
          </w:tcPr>
          <w:p w14:paraId="19CAA1DC"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0DB042A0"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7E4962DB" w14:textId="77777777">
        <w:trPr>
          <w:gridAfter w:val="1"/>
          <w:wAfter w:w="8" w:type="dxa"/>
          <w:trHeight w:val="315"/>
          <w:jc w:val="center"/>
        </w:trPr>
        <w:tc>
          <w:tcPr>
            <w:tcW w:w="577" w:type="dxa"/>
            <w:vAlign w:val="center"/>
          </w:tcPr>
          <w:p w14:paraId="095658B2" w14:textId="77777777" w:rsidR="00085789" w:rsidRDefault="00000000">
            <w:pPr>
              <w:spacing w:before="40" w:line="240" w:lineRule="auto"/>
              <w:jc w:val="center"/>
              <w:rPr>
                <w:bCs/>
                <w:sz w:val="24"/>
                <w:szCs w:val="24"/>
              </w:rPr>
            </w:pPr>
            <w:r>
              <w:rPr>
                <w:bCs/>
                <w:sz w:val="24"/>
                <w:szCs w:val="24"/>
              </w:rPr>
              <w:t>35</w:t>
            </w:r>
          </w:p>
        </w:tc>
        <w:tc>
          <w:tcPr>
            <w:tcW w:w="2174" w:type="dxa"/>
            <w:vAlign w:val="bottom"/>
          </w:tcPr>
          <w:p w14:paraId="50955C8F" w14:textId="77777777" w:rsidR="00085789" w:rsidRDefault="00000000">
            <w:pPr>
              <w:spacing w:before="40" w:line="240" w:lineRule="auto"/>
              <w:jc w:val="both"/>
              <w:rPr>
                <w:bCs/>
                <w:spacing w:val="-4"/>
                <w:sz w:val="24"/>
                <w:szCs w:val="24"/>
              </w:rPr>
            </w:pPr>
            <w:r>
              <w:rPr>
                <w:spacing w:val="-4"/>
                <w:sz w:val="24"/>
                <w:szCs w:val="24"/>
              </w:rPr>
              <w:t>Sông Rào Trổ (tại đập dâng Lạc Tiến)</w:t>
            </w:r>
          </w:p>
        </w:tc>
        <w:tc>
          <w:tcPr>
            <w:tcW w:w="2693" w:type="dxa"/>
            <w:vAlign w:val="center"/>
          </w:tcPr>
          <w:p w14:paraId="0D0CC720" w14:textId="77777777" w:rsidR="00085789" w:rsidRDefault="00000000">
            <w:pPr>
              <w:spacing w:before="40" w:line="240" w:lineRule="auto"/>
              <w:jc w:val="both"/>
              <w:rPr>
                <w:bCs/>
                <w:spacing w:val="-4"/>
                <w:sz w:val="24"/>
                <w:szCs w:val="24"/>
              </w:rPr>
            </w:pPr>
            <w:r>
              <w:rPr>
                <w:bCs/>
                <w:spacing w:val="-4"/>
                <w:sz w:val="24"/>
                <w:szCs w:val="24"/>
              </w:rPr>
              <w:t>Xóm Lạc Tiến, xã Kỳ Lạc (nay là xã Kỳ Lạc)</w:t>
            </w:r>
          </w:p>
        </w:tc>
        <w:tc>
          <w:tcPr>
            <w:tcW w:w="1998" w:type="dxa"/>
            <w:vAlign w:val="center"/>
          </w:tcPr>
          <w:p w14:paraId="3E3FBCB0"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2E369045"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tr w:rsidR="00085789" w14:paraId="4D64F855" w14:textId="77777777">
        <w:trPr>
          <w:gridAfter w:val="1"/>
          <w:wAfter w:w="8" w:type="dxa"/>
          <w:trHeight w:val="315"/>
          <w:jc w:val="center"/>
        </w:trPr>
        <w:tc>
          <w:tcPr>
            <w:tcW w:w="577" w:type="dxa"/>
            <w:vAlign w:val="center"/>
          </w:tcPr>
          <w:p w14:paraId="606269D0" w14:textId="77777777" w:rsidR="00085789" w:rsidRDefault="00000000">
            <w:pPr>
              <w:spacing w:before="40" w:line="240" w:lineRule="auto"/>
              <w:jc w:val="center"/>
              <w:rPr>
                <w:bCs/>
                <w:sz w:val="24"/>
                <w:szCs w:val="24"/>
              </w:rPr>
            </w:pPr>
            <w:r>
              <w:rPr>
                <w:bCs/>
                <w:sz w:val="24"/>
                <w:szCs w:val="24"/>
              </w:rPr>
              <w:t>36</w:t>
            </w:r>
          </w:p>
        </w:tc>
        <w:tc>
          <w:tcPr>
            <w:tcW w:w="2174" w:type="dxa"/>
            <w:vAlign w:val="bottom"/>
          </w:tcPr>
          <w:p w14:paraId="3A822CF3" w14:textId="77777777" w:rsidR="00085789" w:rsidRDefault="00000000">
            <w:pPr>
              <w:spacing w:before="40" w:line="240" w:lineRule="auto"/>
              <w:jc w:val="both"/>
              <w:rPr>
                <w:bCs/>
                <w:spacing w:val="-4"/>
                <w:sz w:val="24"/>
                <w:szCs w:val="24"/>
              </w:rPr>
            </w:pPr>
            <w:r>
              <w:rPr>
                <w:spacing w:val="-4"/>
                <w:sz w:val="24"/>
                <w:szCs w:val="24"/>
              </w:rPr>
              <w:t>Sông Vịnh (tại cầu Kỳ Hải)</w:t>
            </w:r>
          </w:p>
        </w:tc>
        <w:tc>
          <w:tcPr>
            <w:tcW w:w="2693" w:type="dxa"/>
            <w:vAlign w:val="center"/>
          </w:tcPr>
          <w:p w14:paraId="2F033EB2" w14:textId="77777777" w:rsidR="00085789" w:rsidRDefault="00000000">
            <w:pPr>
              <w:spacing w:before="40" w:line="240" w:lineRule="auto"/>
              <w:jc w:val="both"/>
              <w:rPr>
                <w:bCs/>
                <w:spacing w:val="-4"/>
                <w:sz w:val="24"/>
                <w:szCs w:val="24"/>
              </w:rPr>
            </w:pPr>
            <w:r>
              <w:rPr>
                <w:bCs/>
                <w:spacing w:val="-4"/>
                <w:sz w:val="24"/>
                <w:szCs w:val="24"/>
              </w:rPr>
              <w:t>Xã Kỳ Hải và xã Kỳ Ninh (nay là phường Hải Ninh)</w:t>
            </w:r>
          </w:p>
        </w:tc>
        <w:tc>
          <w:tcPr>
            <w:tcW w:w="1998" w:type="dxa"/>
            <w:vAlign w:val="center"/>
          </w:tcPr>
          <w:p w14:paraId="2A88F307"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62E02E81"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6D432629" w14:textId="77777777">
        <w:trPr>
          <w:gridAfter w:val="1"/>
          <w:wAfter w:w="8" w:type="dxa"/>
          <w:trHeight w:val="315"/>
          <w:jc w:val="center"/>
        </w:trPr>
        <w:tc>
          <w:tcPr>
            <w:tcW w:w="577" w:type="dxa"/>
            <w:vAlign w:val="center"/>
          </w:tcPr>
          <w:p w14:paraId="3597BD2E" w14:textId="77777777" w:rsidR="00085789" w:rsidRDefault="00000000">
            <w:pPr>
              <w:spacing w:before="40" w:line="240" w:lineRule="auto"/>
              <w:jc w:val="center"/>
              <w:rPr>
                <w:bCs/>
                <w:sz w:val="24"/>
                <w:szCs w:val="24"/>
              </w:rPr>
            </w:pPr>
            <w:r>
              <w:rPr>
                <w:bCs/>
                <w:sz w:val="24"/>
                <w:szCs w:val="24"/>
              </w:rPr>
              <w:t>37</w:t>
            </w:r>
          </w:p>
        </w:tc>
        <w:tc>
          <w:tcPr>
            <w:tcW w:w="2174" w:type="dxa"/>
            <w:vAlign w:val="bottom"/>
          </w:tcPr>
          <w:p w14:paraId="1941618F" w14:textId="77777777" w:rsidR="00085789" w:rsidRDefault="00000000">
            <w:pPr>
              <w:spacing w:before="40" w:line="240" w:lineRule="auto"/>
              <w:jc w:val="both"/>
              <w:rPr>
                <w:bCs/>
                <w:spacing w:val="-4"/>
                <w:sz w:val="24"/>
                <w:szCs w:val="24"/>
              </w:rPr>
            </w:pPr>
            <w:r>
              <w:rPr>
                <w:spacing w:val="-4"/>
                <w:sz w:val="24"/>
                <w:szCs w:val="24"/>
              </w:rPr>
              <w:t>Sông Nhà Lê (tại cầu Thượng)</w:t>
            </w:r>
          </w:p>
        </w:tc>
        <w:tc>
          <w:tcPr>
            <w:tcW w:w="2693" w:type="dxa"/>
            <w:vAlign w:val="center"/>
          </w:tcPr>
          <w:p w14:paraId="7C48683D" w14:textId="77777777" w:rsidR="00085789" w:rsidRDefault="00000000">
            <w:pPr>
              <w:spacing w:before="40" w:line="240" w:lineRule="auto"/>
              <w:jc w:val="both"/>
              <w:rPr>
                <w:bCs/>
                <w:spacing w:val="-4"/>
                <w:sz w:val="24"/>
                <w:szCs w:val="24"/>
              </w:rPr>
            </w:pPr>
            <w:r>
              <w:rPr>
                <w:bCs/>
                <w:spacing w:val="-4"/>
                <w:sz w:val="24"/>
                <w:szCs w:val="24"/>
              </w:rPr>
              <w:t>Xã Kỳ Đồng (nay là xã Kỳ Anh)</w:t>
            </w:r>
          </w:p>
        </w:tc>
        <w:tc>
          <w:tcPr>
            <w:tcW w:w="1998" w:type="dxa"/>
            <w:vAlign w:val="center"/>
          </w:tcPr>
          <w:p w14:paraId="00D3DC55" w14:textId="77777777" w:rsidR="00085789" w:rsidRDefault="00000000">
            <w:pPr>
              <w:spacing w:before="40" w:line="240" w:lineRule="auto"/>
              <w:ind w:left="-119" w:right="-105"/>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808" w:type="dxa"/>
            <w:vAlign w:val="center"/>
          </w:tcPr>
          <w:p w14:paraId="5AB85935" w14:textId="77777777" w:rsidR="00085789" w:rsidRDefault="00000000">
            <w:pPr>
              <w:spacing w:before="40" w:line="240" w:lineRule="auto"/>
              <w:ind w:left="-119" w:right="-105"/>
              <w:jc w:val="center"/>
              <w:rPr>
                <w:noProof/>
                <w:sz w:val="24"/>
                <w:szCs w:val="24"/>
              </w:rPr>
            </w:pPr>
            <w:r>
              <w:rPr>
                <w:noProof/>
                <w:sz w:val="24"/>
                <w:szCs w:val="24"/>
              </w:rPr>
              <w:t>Mức B, QCVN 08:2023/BTNMT</w:t>
            </w:r>
          </w:p>
        </w:tc>
      </w:tr>
      <w:tr w:rsidR="00085789" w14:paraId="412B2770" w14:textId="77777777">
        <w:trPr>
          <w:gridAfter w:val="1"/>
          <w:wAfter w:w="8" w:type="dxa"/>
          <w:trHeight w:val="315"/>
          <w:jc w:val="center"/>
        </w:trPr>
        <w:tc>
          <w:tcPr>
            <w:tcW w:w="577" w:type="dxa"/>
            <w:vAlign w:val="center"/>
          </w:tcPr>
          <w:p w14:paraId="441BEB61" w14:textId="77777777" w:rsidR="00085789" w:rsidRDefault="00000000">
            <w:pPr>
              <w:spacing w:before="40" w:line="240" w:lineRule="auto"/>
              <w:jc w:val="center"/>
              <w:rPr>
                <w:bCs/>
                <w:sz w:val="24"/>
                <w:szCs w:val="24"/>
              </w:rPr>
            </w:pPr>
            <w:r>
              <w:rPr>
                <w:bCs/>
                <w:sz w:val="24"/>
                <w:szCs w:val="24"/>
              </w:rPr>
              <w:t>38</w:t>
            </w:r>
          </w:p>
        </w:tc>
        <w:tc>
          <w:tcPr>
            <w:tcW w:w="2174" w:type="dxa"/>
            <w:vAlign w:val="bottom"/>
          </w:tcPr>
          <w:p w14:paraId="7E21C512" w14:textId="77777777" w:rsidR="00085789" w:rsidRDefault="00000000">
            <w:pPr>
              <w:spacing w:before="40" w:line="240" w:lineRule="auto"/>
              <w:jc w:val="both"/>
              <w:rPr>
                <w:bCs/>
                <w:spacing w:val="-4"/>
                <w:sz w:val="24"/>
                <w:szCs w:val="24"/>
              </w:rPr>
            </w:pPr>
            <w:r>
              <w:rPr>
                <w:spacing w:val="-4"/>
                <w:sz w:val="24"/>
                <w:szCs w:val="24"/>
              </w:rPr>
              <w:t>Kênh thoát lũ (tại P. Kỳ Phương)</w:t>
            </w:r>
          </w:p>
        </w:tc>
        <w:tc>
          <w:tcPr>
            <w:tcW w:w="2693" w:type="dxa"/>
            <w:vAlign w:val="center"/>
          </w:tcPr>
          <w:p w14:paraId="709245C3" w14:textId="77777777" w:rsidR="00085789" w:rsidRDefault="00000000">
            <w:pPr>
              <w:spacing w:before="40" w:line="240" w:lineRule="auto"/>
              <w:jc w:val="both"/>
              <w:rPr>
                <w:bCs/>
                <w:spacing w:val="-4"/>
                <w:sz w:val="24"/>
                <w:szCs w:val="24"/>
              </w:rPr>
            </w:pPr>
            <w:r>
              <w:rPr>
                <w:bCs/>
                <w:spacing w:val="-4"/>
                <w:sz w:val="24"/>
                <w:szCs w:val="24"/>
              </w:rPr>
              <w:t>Phường Kỳ Phương (nay là phường Hoành Sơn)</w:t>
            </w:r>
          </w:p>
        </w:tc>
        <w:tc>
          <w:tcPr>
            <w:tcW w:w="1998" w:type="dxa"/>
            <w:vAlign w:val="center"/>
          </w:tcPr>
          <w:p w14:paraId="368B3E5B" w14:textId="77777777" w:rsidR="00085789" w:rsidRDefault="00000000">
            <w:pPr>
              <w:spacing w:before="40" w:line="240" w:lineRule="auto"/>
              <w:ind w:left="-119" w:right="-105"/>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808" w:type="dxa"/>
            <w:vAlign w:val="center"/>
          </w:tcPr>
          <w:p w14:paraId="16E3EDEC" w14:textId="77777777" w:rsidR="00085789" w:rsidRDefault="00000000">
            <w:pPr>
              <w:spacing w:before="40" w:line="240" w:lineRule="auto"/>
              <w:ind w:left="-119" w:right="-105"/>
              <w:jc w:val="center"/>
              <w:rPr>
                <w:noProof/>
                <w:sz w:val="24"/>
                <w:szCs w:val="24"/>
              </w:rPr>
            </w:pPr>
            <w:r>
              <w:rPr>
                <w:noProof/>
                <w:sz w:val="24"/>
                <w:szCs w:val="24"/>
              </w:rPr>
              <w:t>Mức A, QCVN 08:2023/BTNMT</w:t>
            </w:r>
          </w:p>
        </w:tc>
      </w:tr>
      <w:bookmarkEnd w:id="478"/>
    </w:tbl>
    <w:p w14:paraId="2F94D013" w14:textId="77777777" w:rsidR="00085789" w:rsidRDefault="00085789">
      <w:pPr>
        <w:spacing w:line="240" w:lineRule="auto"/>
        <w:ind w:firstLine="720"/>
        <w:jc w:val="both"/>
        <w:rPr>
          <w:sz w:val="16"/>
          <w:szCs w:val="16"/>
        </w:rPr>
      </w:pPr>
    </w:p>
    <w:p w14:paraId="7AFF4151" w14:textId="77777777" w:rsidR="00085789" w:rsidRDefault="00000000">
      <w:pPr>
        <w:spacing w:before="60" w:line="240" w:lineRule="auto"/>
        <w:ind w:firstLine="720"/>
        <w:jc w:val="both"/>
        <w:rPr>
          <w:sz w:val="26"/>
          <w:szCs w:val="26"/>
          <w:shd w:val="clear" w:color="auto" w:fill="FFFFFF"/>
        </w:rPr>
      </w:pPr>
      <w:r>
        <w:rPr>
          <w:sz w:val="26"/>
          <w:szCs w:val="26"/>
        </w:rPr>
        <w:t>Diễn biến chất lượng nguồn nước sông, suối trên địa bàn tỉnh qua từng năm (từ năm 2021 đến Quý II/2025) cụ thể như sau:</w:t>
      </w:r>
    </w:p>
    <w:p w14:paraId="2D79A727" w14:textId="77777777" w:rsidR="00085789" w:rsidRDefault="00000000">
      <w:pPr>
        <w:pStyle w:val="Heading4"/>
        <w:spacing w:before="60" w:after="0" w:line="240" w:lineRule="auto"/>
        <w:ind w:firstLine="709"/>
        <w:rPr>
          <w:rFonts w:asciiTheme="majorHAnsi" w:hAnsiTheme="majorHAnsi" w:cstheme="majorHAnsi"/>
          <w:i/>
          <w:sz w:val="26"/>
          <w:szCs w:val="26"/>
        </w:rPr>
      </w:pPr>
      <w:r>
        <w:rPr>
          <w:rFonts w:asciiTheme="majorHAnsi" w:hAnsiTheme="majorHAnsi" w:cstheme="majorHAnsi"/>
          <w:i/>
          <w:sz w:val="26"/>
          <w:szCs w:val="26"/>
        </w:rPr>
        <w:t>3.1.2.1.1. Diễn biến chất lượng nước hệ thống sông Rào Cái:</w:t>
      </w:r>
    </w:p>
    <w:p w14:paraId="2F0E5E35" w14:textId="77777777" w:rsidR="00085789" w:rsidRDefault="00000000">
      <w:pPr>
        <w:spacing w:before="60" w:line="240" w:lineRule="auto"/>
        <w:ind w:firstLine="709"/>
        <w:jc w:val="both"/>
        <w:rPr>
          <w:b/>
          <w:bCs/>
          <w:spacing w:val="-2"/>
          <w:sz w:val="26"/>
          <w:szCs w:val="26"/>
        </w:rPr>
      </w:pPr>
      <w:r>
        <w:rPr>
          <w:b/>
          <w:bCs/>
          <w:spacing w:val="-2"/>
          <w:sz w:val="26"/>
          <w:szCs w:val="26"/>
        </w:rPr>
        <w:t>a) Phân tích diễn biến chất lượng nước hệ thống sông Rào Cái qua từng năm:</w:t>
      </w:r>
    </w:p>
    <w:p w14:paraId="5540E554" w14:textId="77777777" w:rsidR="00085789" w:rsidRDefault="00000000">
      <w:pPr>
        <w:spacing w:before="60" w:line="240" w:lineRule="auto"/>
        <w:ind w:firstLine="720"/>
        <w:jc w:val="both"/>
        <w:rPr>
          <w:spacing w:val="-2"/>
          <w:sz w:val="26"/>
          <w:szCs w:val="26"/>
          <w:lang w:val="pt-BR"/>
        </w:rPr>
      </w:pPr>
      <w:r>
        <w:rPr>
          <w:spacing w:val="-2"/>
          <w:sz w:val="26"/>
          <w:szCs w:val="26"/>
        </w:rPr>
        <w:t xml:space="preserve">Sông Rào Cái </w:t>
      </w:r>
      <w:r>
        <w:rPr>
          <w:sz w:val="26"/>
          <w:szCs w:val="26"/>
          <w:lang w:val="pt-BR"/>
        </w:rPr>
        <w:t>bắt nguồn từ núi Cục Tháo thuộc huyện Cẩm Xuyên, đến xã Cẩm Thành sông Rào Cái chia làm 02 nhánh, một nhánh chảy về hướng Đông Nam hợp lưu với sông Cửa Nhượng gọi là sông Gia Hội; nhánh chính chảy về hướng Bắc gọi là sông Rào Cái, hợp lưu với sông Cửa Sót tại Hộ Độ. Các vị trí quan trắc đều là vị trí chịu ảnh hưởng nhiều bởi các hoạt động sản xuất nông nghiệp, công nghiệp, sinh hoạt và kinh doanh, dịch vụ của con người. Diễn biến ô nhiễm môi trường nước hệ thống sông Rào Cái qua từng năm như sau:</w:t>
      </w:r>
    </w:p>
    <w:p w14:paraId="35AAABB2" w14:textId="77777777" w:rsidR="00085789" w:rsidRDefault="00000000">
      <w:pPr>
        <w:spacing w:before="120" w:line="320" w:lineRule="exact"/>
        <w:ind w:firstLine="720"/>
        <w:jc w:val="both"/>
        <w:rPr>
          <w:b/>
          <w:noProof/>
          <w:sz w:val="26"/>
          <w:szCs w:val="26"/>
          <w:lang w:val="pt-BR"/>
        </w:rPr>
      </w:pPr>
      <w:r>
        <w:rPr>
          <w:b/>
          <w:noProof/>
          <w:spacing w:val="-4"/>
          <w:sz w:val="26"/>
          <w:szCs w:val="26"/>
          <w:lang w:val="pt-BR"/>
        </w:rPr>
        <w:t>(1) Diễn biến hàm lượng BOD</w:t>
      </w:r>
      <w:r>
        <w:rPr>
          <w:b/>
          <w:noProof/>
          <w:spacing w:val="-4"/>
          <w:sz w:val="26"/>
          <w:szCs w:val="26"/>
          <w:vertAlign w:val="subscript"/>
          <w:lang w:val="pt-BR"/>
        </w:rPr>
        <w:t>5</w:t>
      </w:r>
      <w:r>
        <w:rPr>
          <w:b/>
          <w:noProof/>
          <w:spacing w:val="-4"/>
          <w:sz w:val="26"/>
          <w:szCs w:val="26"/>
          <w:lang w:val="pt-BR"/>
        </w:rPr>
        <w:t xml:space="preserve"> từ năm 2021-Quý II/2025:</w:t>
      </w:r>
      <w:r>
        <w:rPr>
          <w:b/>
          <w:noProof/>
          <w:sz w:val="26"/>
          <w:szCs w:val="26"/>
          <w:lang w:val="pt-BR"/>
        </w:rPr>
        <w:t xml:space="preserve"> </w:t>
      </w:r>
    </w:p>
    <w:p w14:paraId="6F899FE2" w14:textId="77777777" w:rsidR="00085789" w:rsidRDefault="00000000">
      <w:pPr>
        <w:spacing w:before="120" w:line="240" w:lineRule="auto"/>
        <w:jc w:val="both"/>
        <w:rPr>
          <w:b/>
          <w:noProof/>
          <w:sz w:val="26"/>
          <w:szCs w:val="26"/>
        </w:rPr>
      </w:pPr>
      <w:r>
        <w:rPr>
          <w:noProof/>
        </w:rPr>
        <w:drawing>
          <wp:inline distT="0" distB="0" distL="0" distR="0" wp14:anchorId="46D9AA6C" wp14:editId="276BC8FA">
            <wp:extent cx="5761990" cy="1704442"/>
            <wp:effectExtent l="0" t="0" r="10160" b="10160"/>
            <wp:docPr id="382339510" name="Chart 1">
              <a:extLst xmlns:a="http://schemas.openxmlformats.org/drawingml/2006/main">
                <a:ext uri="{FF2B5EF4-FFF2-40B4-BE49-F238E27FC236}">
                  <a16:creationId xmlns:a16="http://schemas.microsoft.com/office/drawing/2014/main" id="{E6F60D33-5998-4F92-889C-D92E8B0DEF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DC7813D" w14:textId="77777777" w:rsidR="00085789" w:rsidRDefault="00000000">
      <w:pPr>
        <w:pStyle w:val="-bac4"/>
        <w:rPr>
          <w:i/>
        </w:rPr>
      </w:pPr>
      <w:bookmarkStart w:id="479" w:name="_Toc138977323"/>
      <w:bookmarkStart w:id="480" w:name="_Toc142915352"/>
      <w:bookmarkStart w:id="481" w:name="_Toc142919538"/>
      <w:bookmarkStart w:id="482" w:name="_Toc181861382"/>
      <w:bookmarkStart w:id="483" w:name="_Toc184097482"/>
      <w:bookmarkStart w:id="484" w:name="_Toc205915701"/>
      <w:bookmarkStart w:id="485" w:name="_Toc213597397"/>
      <w:bookmarkStart w:id="486" w:name="_Toc213600756"/>
      <w:r>
        <w:rPr>
          <w:rStyle w:val="b5Char"/>
          <w:b/>
          <w:i w:val="0"/>
          <w:color w:val="auto"/>
        </w:rPr>
        <w:t>Hình 3.1. Diễn biến hàm lượng BOD</w:t>
      </w:r>
      <w:r>
        <w:rPr>
          <w:rStyle w:val="b5Char"/>
          <w:b/>
          <w:i w:val="0"/>
          <w:color w:val="auto"/>
          <w:vertAlign w:val="subscript"/>
        </w:rPr>
        <w:t>5</w:t>
      </w:r>
      <w:r>
        <w:rPr>
          <w:rStyle w:val="b5Char"/>
          <w:b/>
          <w:i w:val="0"/>
          <w:color w:val="auto"/>
        </w:rPr>
        <w:t xml:space="preserve"> </w:t>
      </w:r>
      <w:r>
        <w:t>trong nước hệ thống sông Rào Cái</w:t>
      </w:r>
      <w:bookmarkEnd w:id="479"/>
      <w:bookmarkEnd w:id="480"/>
      <w:bookmarkEnd w:id="481"/>
      <w:bookmarkEnd w:id="482"/>
      <w:bookmarkEnd w:id="483"/>
      <w:bookmarkEnd w:id="484"/>
      <w:bookmarkEnd w:id="485"/>
      <w:bookmarkEnd w:id="486"/>
    </w:p>
    <w:p w14:paraId="39B5B66F"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lastRenderedPageBreak/>
        <w:t>Nhận xét:</w:t>
      </w:r>
      <w:r>
        <w:rPr>
          <w:noProof/>
          <w:sz w:val="26"/>
          <w:szCs w:val="26"/>
          <w:u w:val="single"/>
        </w:rPr>
        <w:t xml:space="preserve"> </w:t>
      </w:r>
    </w:p>
    <w:p w14:paraId="0B249FC9" w14:textId="77777777" w:rsidR="00085789" w:rsidRDefault="00000000">
      <w:pPr>
        <w:widowControl w:val="0"/>
        <w:spacing w:before="120" w:line="240" w:lineRule="auto"/>
        <w:ind w:firstLine="709"/>
        <w:jc w:val="both"/>
        <w:rPr>
          <w:noProof/>
          <w:spacing w:val="-4"/>
          <w:sz w:val="26"/>
          <w:szCs w:val="26"/>
        </w:rPr>
      </w:pPr>
      <w:r>
        <w:rPr>
          <w:noProof/>
          <w:spacing w:val="-6"/>
          <w:sz w:val="26"/>
          <w:szCs w:val="26"/>
        </w:rPr>
        <w:t>- Năm 2021-2022: Hàm lượng BOD</w:t>
      </w:r>
      <w:r>
        <w:rPr>
          <w:noProof/>
          <w:spacing w:val="-6"/>
          <w:sz w:val="26"/>
          <w:szCs w:val="26"/>
          <w:vertAlign w:val="subscript"/>
        </w:rPr>
        <w:t>5</w:t>
      </w:r>
      <w:r>
        <w:rPr>
          <w:noProof/>
          <w:spacing w:val="-6"/>
          <w:sz w:val="26"/>
          <w:szCs w:val="26"/>
        </w:rPr>
        <w:t xml:space="preserve"> trong nước hệ thống sông Rào Cái tại thời điểm quan trắc đang nằm trong giới hạn cho phép theo </w:t>
      </w:r>
      <w:r>
        <w:rPr>
          <w:bCs/>
          <w:spacing w:val="-6"/>
          <w:sz w:val="26"/>
          <w:szCs w:val="26"/>
        </w:rPr>
        <w:t xml:space="preserve">Cột B1 </w:t>
      </w:r>
      <w:r>
        <w:rPr>
          <w:noProof/>
          <w:spacing w:val="-6"/>
          <w:sz w:val="26"/>
          <w:szCs w:val="26"/>
        </w:rPr>
        <w:t>QCVN 08-MT:2015/BTNMT</w:t>
      </w:r>
      <w:r>
        <w:rPr>
          <w:noProof/>
          <w:spacing w:val="-4"/>
          <w:sz w:val="26"/>
          <w:szCs w:val="26"/>
        </w:rPr>
        <w:t>, tuy nhiên hàm lượng BOD</w:t>
      </w:r>
      <w:r>
        <w:rPr>
          <w:noProof/>
          <w:spacing w:val="-4"/>
          <w:sz w:val="26"/>
          <w:szCs w:val="26"/>
          <w:vertAlign w:val="subscript"/>
        </w:rPr>
        <w:t>5</w:t>
      </w:r>
      <w:r>
        <w:rPr>
          <w:noProof/>
          <w:spacing w:val="-4"/>
          <w:sz w:val="26"/>
          <w:szCs w:val="26"/>
        </w:rPr>
        <w:t xml:space="preserve"> tại sông Cụt cao hơn các khu vực còn lại.</w:t>
      </w:r>
    </w:p>
    <w:p w14:paraId="1712A53C" w14:textId="77777777" w:rsidR="00085789" w:rsidRDefault="00000000">
      <w:pPr>
        <w:widowControl w:val="0"/>
        <w:spacing w:before="120" w:line="240" w:lineRule="auto"/>
        <w:ind w:firstLine="709"/>
        <w:jc w:val="both"/>
        <w:rPr>
          <w:noProof/>
          <w:spacing w:val="-4"/>
          <w:sz w:val="26"/>
          <w:szCs w:val="26"/>
        </w:rPr>
      </w:pPr>
      <w:r>
        <w:rPr>
          <w:noProof/>
          <w:spacing w:val="-4"/>
          <w:sz w:val="26"/>
          <w:szCs w:val="26"/>
        </w:rPr>
        <w:t>- Năm 2023-Quý II/2025: Hàm lượng BOD</w:t>
      </w:r>
      <w:r>
        <w:rPr>
          <w:noProof/>
          <w:spacing w:val="-4"/>
          <w:sz w:val="26"/>
          <w:szCs w:val="26"/>
          <w:vertAlign w:val="subscript"/>
        </w:rPr>
        <w:t>5</w:t>
      </w:r>
      <w:r>
        <w:rPr>
          <w:noProof/>
          <w:spacing w:val="-4"/>
          <w:sz w:val="26"/>
          <w:szCs w:val="26"/>
        </w:rPr>
        <w:t xml:space="preserve"> trong nước sông Rào Cái tại cầu Phủ tại thời điểm quan trắc hầu hết đạt giới hạn cho phép theo </w:t>
      </w:r>
      <w:r>
        <w:rPr>
          <w:bCs/>
          <w:spacing w:val="-4"/>
          <w:sz w:val="26"/>
          <w:szCs w:val="26"/>
        </w:rPr>
        <w:t xml:space="preserve">Mức B </w:t>
      </w:r>
      <w:r>
        <w:rPr>
          <w:noProof/>
          <w:spacing w:val="-4"/>
          <w:sz w:val="26"/>
          <w:szCs w:val="26"/>
        </w:rPr>
        <w:t>QCVN 08:2023/BTNMT (riêng năm 2022 vượt 1,47 lần); hàm lượng BOD</w:t>
      </w:r>
      <w:r>
        <w:rPr>
          <w:noProof/>
          <w:spacing w:val="-4"/>
          <w:sz w:val="26"/>
          <w:szCs w:val="26"/>
          <w:vertAlign w:val="subscript"/>
        </w:rPr>
        <w:t>5</w:t>
      </w:r>
      <w:r>
        <w:rPr>
          <w:noProof/>
          <w:spacing w:val="-4"/>
          <w:sz w:val="26"/>
          <w:szCs w:val="26"/>
        </w:rPr>
        <w:t xml:space="preserve"> trong nước sông Rào Cái tại cầu Thạch Đồng </w:t>
      </w:r>
      <w:r>
        <w:rPr>
          <w:bCs/>
          <w:spacing w:val="-4"/>
          <w:sz w:val="26"/>
          <w:szCs w:val="26"/>
        </w:rPr>
        <w:t xml:space="preserve">năm 2021, 2022, 2025 vượt Mức B </w:t>
      </w:r>
      <w:r>
        <w:rPr>
          <w:noProof/>
          <w:spacing w:val="-4"/>
          <w:sz w:val="26"/>
          <w:szCs w:val="26"/>
        </w:rPr>
        <w:t>QCVN 08:2023/BTNMT</w:t>
      </w:r>
      <w:r>
        <w:rPr>
          <w:bCs/>
          <w:spacing w:val="-4"/>
          <w:sz w:val="26"/>
          <w:szCs w:val="26"/>
        </w:rPr>
        <w:t xml:space="preserve"> (từ 1,24-1,83 lần); hàm lượng </w:t>
      </w:r>
      <w:r>
        <w:rPr>
          <w:noProof/>
          <w:spacing w:val="-4"/>
          <w:sz w:val="26"/>
          <w:szCs w:val="26"/>
        </w:rPr>
        <w:t>BOD</w:t>
      </w:r>
      <w:r>
        <w:rPr>
          <w:noProof/>
          <w:spacing w:val="-4"/>
          <w:sz w:val="26"/>
          <w:szCs w:val="26"/>
          <w:vertAlign w:val="subscript"/>
        </w:rPr>
        <w:t>5</w:t>
      </w:r>
      <w:r>
        <w:rPr>
          <w:bCs/>
          <w:spacing w:val="-4"/>
          <w:sz w:val="26"/>
          <w:szCs w:val="26"/>
        </w:rPr>
        <w:t xml:space="preserve"> trong nước sông Cụt năm 2023 vượt giá trị giới hạn theo </w:t>
      </w:r>
      <w:r>
        <w:rPr>
          <w:noProof/>
          <w:spacing w:val="-4"/>
          <w:sz w:val="26"/>
          <w:szCs w:val="26"/>
        </w:rPr>
        <w:t>QCVN 08:2023/BTNMT</w:t>
      </w:r>
      <w:r>
        <w:rPr>
          <w:bCs/>
          <w:spacing w:val="-4"/>
          <w:sz w:val="26"/>
          <w:szCs w:val="26"/>
        </w:rPr>
        <w:t xml:space="preserve"> (từ 1,32-2,22 lần). </w:t>
      </w:r>
      <w:r>
        <w:rPr>
          <w:noProof/>
          <w:spacing w:val="-4"/>
          <w:sz w:val="26"/>
          <w:szCs w:val="26"/>
        </w:rPr>
        <w:t>Nguyên nhân: Do hoạt động xả nước thải sinh hoạt của khu vực phía Đông thành phố, hoạt động NTTS, lò mổ, chợ,... ra môi trường nước mặt các sông này làm gia tăng chất hữu cơ trong môi trường nước mặt, đặc biệt là khu vực sông Cụt.</w:t>
      </w:r>
    </w:p>
    <w:p w14:paraId="41599FA6" w14:textId="77777777" w:rsidR="00085789" w:rsidRDefault="00000000">
      <w:pPr>
        <w:spacing w:before="120" w:line="320" w:lineRule="exact"/>
        <w:ind w:firstLine="720"/>
        <w:jc w:val="both"/>
        <w:rPr>
          <w:b/>
          <w:noProof/>
          <w:spacing w:val="-4"/>
          <w:sz w:val="26"/>
          <w:szCs w:val="26"/>
        </w:rPr>
      </w:pPr>
      <w:r>
        <w:rPr>
          <w:b/>
          <w:noProof/>
          <w:spacing w:val="-4"/>
          <w:sz w:val="26"/>
          <w:szCs w:val="26"/>
        </w:rPr>
        <w:t xml:space="preserve">(2) Diễn biến hàm lượng COD </w:t>
      </w:r>
      <w:r>
        <w:rPr>
          <w:b/>
          <w:noProof/>
          <w:spacing w:val="-4"/>
          <w:sz w:val="26"/>
          <w:szCs w:val="26"/>
          <w:lang w:val="pt-BR"/>
        </w:rPr>
        <w:t>từ năm 2021-Quý II/2025</w:t>
      </w:r>
      <w:r>
        <w:rPr>
          <w:b/>
          <w:noProof/>
          <w:spacing w:val="-4"/>
          <w:sz w:val="26"/>
          <w:szCs w:val="26"/>
        </w:rPr>
        <w:t xml:space="preserve">: </w:t>
      </w:r>
    </w:p>
    <w:p w14:paraId="264E8DA1" w14:textId="77777777" w:rsidR="00085789" w:rsidRDefault="00000000">
      <w:pPr>
        <w:spacing w:before="120" w:line="240" w:lineRule="auto"/>
        <w:jc w:val="both"/>
        <w:rPr>
          <w:b/>
          <w:noProof/>
          <w:spacing w:val="-4"/>
          <w:sz w:val="26"/>
          <w:szCs w:val="26"/>
        </w:rPr>
      </w:pPr>
      <w:r>
        <w:rPr>
          <w:noProof/>
        </w:rPr>
        <w:drawing>
          <wp:inline distT="0" distB="0" distL="0" distR="0" wp14:anchorId="6D09ED31" wp14:editId="30DD70DB">
            <wp:extent cx="5761990" cy="1371600"/>
            <wp:effectExtent l="0" t="0" r="10160" b="0"/>
            <wp:docPr id="992293722" name="Chart 1">
              <a:extLst xmlns:a="http://schemas.openxmlformats.org/drawingml/2006/main">
                <a:ext uri="{FF2B5EF4-FFF2-40B4-BE49-F238E27FC236}">
                  <a16:creationId xmlns:a16="http://schemas.microsoft.com/office/drawing/2014/main" id="{BF7CFCD1-356F-4128-8864-8A606CB65DF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2E9C29AA" w14:textId="77777777" w:rsidR="00085789" w:rsidRDefault="00000000">
      <w:pPr>
        <w:pStyle w:val="-bac4"/>
        <w:rPr>
          <w:smallCaps/>
        </w:rPr>
      </w:pPr>
      <w:bookmarkStart w:id="487" w:name="_Toc107559731"/>
      <w:bookmarkStart w:id="488" w:name="_Toc116908001"/>
      <w:bookmarkStart w:id="489" w:name="_Toc138977324"/>
      <w:bookmarkStart w:id="490" w:name="_Toc142915353"/>
      <w:bookmarkStart w:id="491" w:name="_Toc142919539"/>
      <w:bookmarkStart w:id="492" w:name="_Toc181861383"/>
      <w:bookmarkStart w:id="493" w:name="_Toc181861950"/>
      <w:bookmarkStart w:id="494" w:name="_Toc184097483"/>
      <w:bookmarkStart w:id="495" w:name="_Toc205915702"/>
      <w:bookmarkStart w:id="496" w:name="_Toc213597398"/>
      <w:bookmarkStart w:id="497" w:name="_Toc213600757"/>
      <w:r>
        <w:t xml:space="preserve">Hình 3.2. Diễn biến hàm lượng COD </w:t>
      </w:r>
      <w:bookmarkEnd w:id="487"/>
      <w:bookmarkEnd w:id="488"/>
      <w:r>
        <w:t>trong nước hệ thống sông Rào Cái</w:t>
      </w:r>
      <w:bookmarkEnd w:id="489"/>
      <w:bookmarkEnd w:id="490"/>
      <w:bookmarkEnd w:id="491"/>
      <w:bookmarkEnd w:id="492"/>
      <w:bookmarkEnd w:id="493"/>
      <w:bookmarkEnd w:id="494"/>
      <w:bookmarkEnd w:id="495"/>
      <w:bookmarkEnd w:id="496"/>
      <w:bookmarkEnd w:id="497"/>
    </w:p>
    <w:p w14:paraId="37F71FDF" w14:textId="77777777" w:rsidR="00085789" w:rsidRDefault="00000000">
      <w:pPr>
        <w:widowControl w:val="0"/>
        <w:spacing w:line="320" w:lineRule="exact"/>
        <w:ind w:firstLine="709"/>
        <w:jc w:val="both"/>
        <w:rPr>
          <w:noProof/>
          <w:sz w:val="26"/>
          <w:szCs w:val="26"/>
          <w:u w:val="single"/>
        </w:rPr>
      </w:pPr>
      <w:r>
        <w:rPr>
          <w:i/>
          <w:noProof/>
          <w:sz w:val="26"/>
          <w:szCs w:val="26"/>
          <w:u w:val="single"/>
        </w:rPr>
        <w:t>Nhận xét:</w:t>
      </w:r>
    </w:p>
    <w:p w14:paraId="1E8E81EF"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Hàm lượng COD trong nước hệ thống sông Rào Cái tại thời điểm quan trắc hầu hết đang nằm trong giới hạn cho phép theo </w:t>
      </w:r>
      <w:r>
        <w:rPr>
          <w:bCs/>
          <w:sz w:val="26"/>
          <w:szCs w:val="26"/>
        </w:rPr>
        <w:t xml:space="preserve">Cột B1 </w:t>
      </w:r>
      <w:r>
        <w:rPr>
          <w:noProof/>
          <w:sz w:val="26"/>
          <w:szCs w:val="26"/>
        </w:rPr>
        <w:t>QCVN 08-MT:2015/BTNMT. Tuy nhiên, hàm lượng COD tại sông Cụt cao hơn các khu vực còn lại, trong đó năm 2023 hàm lượng COD vượt giá trị giới hạn nhưng ở mức nhỏ (1,06 lần).</w:t>
      </w:r>
    </w:p>
    <w:p w14:paraId="5C1B7215" w14:textId="77777777" w:rsidR="00085789" w:rsidRDefault="00000000">
      <w:pPr>
        <w:spacing w:before="120" w:line="240" w:lineRule="auto"/>
        <w:ind w:firstLine="720"/>
        <w:jc w:val="both"/>
        <w:rPr>
          <w:b/>
          <w:noProof/>
          <w:spacing w:val="-2"/>
          <w:sz w:val="26"/>
          <w:szCs w:val="26"/>
        </w:rPr>
      </w:pPr>
      <w:r>
        <w:rPr>
          <w:noProof/>
          <w:spacing w:val="-2"/>
          <w:sz w:val="26"/>
          <w:szCs w:val="26"/>
        </w:rPr>
        <w:t xml:space="preserve">- Năm 2023-Quý II/2025: Hàm lượng COD trong nước sông Rào Cái tại thời điểm quan trắc hầu hết đều vượt giá trị giới hạn cho phép theo </w:t>
      </w:r>
      <w:r>
        <w:rPr>
          <w:bCs/>
          <w:spacing w:val="-2"/>
          <w:sz w:val="26"/>
          <w:szCs w:val="26"/>
        </w:rPr>
        <w:t xml:space="preserve">Mức B </w:t>
      </w:r>
      <w:r>
        <w:rPr>
          <w:noProof/>
          <w:spacing w:val="-2"/>
          <w:sz w:val="26"/>
          <w:szCs w:val="26"/>
        </w:rPr>
        <w:t>QCVN 08:2023/BTNMT, nhưng mức vượt nhỏ (từ 1,16-1,83 lần)</w:t>
      </w:r>
      <w:r>
        <w:rPr>
          <w:bCs/>
          <w:spacing w:val="-2"/>
          <w:sz w:val="26"/>
          <w:szCs w:val="26"/>
        </w:rPr>
        <w:t xml:space="preserve">; Hàm lượng </w:t>
      </w:r>
      <w:r>
        <w:rPr>
          <w:noProof/>
          <w:spacing w:val="-2"/>
          <w:sz w:val="26"/>
          <w:szCs w:val="26"/>
        </w:rPr>
        <w:t>COD</w:t>
      </w:r>
      <w:r>
        <w:rPr>
          <w:bCs/>
          <w:spacing w:val="-2"/>
          <w:sz w:val="26"/>
          <w:szCs w:val="26"/>
        </w:rPr>
        <w:t xml:space="preserve"> trong nước sông Cụt đều vượt giá trị giới hạn nhưng ở mức nhỏ (từ 1,17-2,13 lần). </w:t>
      </w:r>
      <w:r>
        <w:rPr>
          <w:noProof/>
          <w:spacing w:val="-2"/>
          <w:sz w:val="26"/>
          <w:szCs w:val="26"/>
        </w:rPr>
        <w:t>Nguyên nhân: Do hoạt động xả nước thải sinh hoạt của khu vực phía Đông phường Hà Huy Tập, hoạt động NTTS, lò mổ,... ra môi trường nước mặt các sông này làm gia tăng chất hữu cơ trong môi trường nước mặt.</w:t>
      </w:r>
    </w:p>
    <w:p w14:paraId="23F47BAD" w14:textId="77777777" w:rsidR="00085789" w:rsidRDefault="00000000">
      <w:pPr>
        <w:spacing w:before="120" w:line="320" w:lineRule="exact"/>
        <w:ind w:firstLine="720"/>
        <w:jc w:val="both"/>
        <w:rPr>
          <w:b/>
          <w:noProof/>
          <w:spacing w:val="-4"/>
          <w:sz w:val="26"/>
          <w:szCs w:val="26"/>
        </w:rPr>
      </w:pPr>
      <w:r>
        <w:rPr>
          <w:b/>
          <w:noProof/>
          <w:spacing w:val="-4"/>
          <w:sz w:val="26"/>
          <w:szCs w:val="26"/>
        </w:rPr>
        <w:t xml:space="preserve">(3) Diễn biến hàm lượng TSS </w:t>
      </w:r>
      <w:r>
        <w:rPr>
          <w:b/>
          <w:noProof/>
          <w:spacing w:val="-4"/>
          <w:sz w:val="26"/>
          <w:szCs w:val="26"/>
          <w:lang w:val="pt-BR"/>
        </w:rPr>
        <w:t>từ năm 2021-Quý II/2025</w:t>
      </w:r>
      <w:r>
        <w:rPr>
          <w:b/>
          <w:noProof/>
          <w:spacing w:val="-4"/>
          <w:sz w:val="26"/>
          <w:szCs w:val="26"/>
        </w:rPr>
        <w:t xml:space="preserve">: </w:t>
      </w:r>
    </w:p>
    <w:p w14:paraId="753972D6" w14:textId="77777777" w:rsidR="00085789" w:rsidRDefault="00000000">
      <w:pPr>
        <w:spacing w:before="120" w:line="240" w:lineRule="auto"/>
        <w:jc w:val="both"/>
        <w:rPr>
          <w:b/>
          <w:noProof/>
          <w:spacing w:val="-4"/>
          <w:sz w:val="26"/>
          <w:szCs w:val="26"/>
        </w:rPr>
      </w:pPr>
      <w:r>
        <w:rPr>
          <w:noProof/>
        </w:rPr>
        <w:drawing>
          <wp:inline distT="0" distB="0" distL="0" distR="0" wp14:anchorId="3A3F455F" wp14:editId="28550FC0">
            <wp:extent cx="5761990" cy="1820173"/>
            <wp:effectExtent l="0" t="0" r="10160" b="8890"/>
            <wp:docPr id="1307801593" name="Chart 1">
              <a:extLst xmlns:a="http://schemas.openxmlformats.org/drawingml/2006/main">
                <a:ext uri="{FF2B5EF4-FFF2-40B4-BE49-F238E27FC236}">
                  <a16:creationId xmlns:a16="http://schemas.microsoft.com/office/drawing/2014/main" id="{F35E1DA3-DFF8-4BFE-A4F5-4943098199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37F77786" w14:textId="77777777" w:rsidR="00085789" w:rsidRDefault="00000000">
      <w:pPr>
        <w:pStyle w:val="-bac4"/>
      </w:pPr>
      <w:bookmarkStart w:id="498" w:name="_Toc107559730"/>
      <w:bookmarkStart w:id="499" w:name="_Toc116908000"/>
      <w:bookmarkStart w:id="500" w:name="_Toc138977322"/>
      <w:bookmarkStart w:id="501" w:name="_Toc142915351"/>
      <w:bookmarkStart w:id="502" w:name="_Toc142919537"/>
      <w:bookmarkStart w:id="503" w:name="_Toc181861381"/>
      <w:bookmarkStart w:id="504" w:name="_Toc184097481"/>
      <w:bookmarkStart w:id="505" w:name="_Toc205915703"/>
      <w:bookmarkStart w:id="506" w:name="_Toc213597399"/>
      <w:bookmarkStart w:id="507" w:name="_Toc213600758"/>
      <w:r>
        <w:t xml:space="preserve">Hình 3.3. Diễn biến hàm lượng TSS </w:t>
      </w:r>
      <w:bookmarkEnd w:id="498"/>
      <w:bookmarkEnd w:id="499"/>
      <w:r>
        <w:t xml:space="preserve">trong nước </w:t>
      </w:r>
      <w:bookmarkEnd w:id="500"/>
      <w:bookmarkEnd w:id="501"/>
      <w:bookmarkEnd w:id="502"/>
      <w:r>
        <w:t>hệ thống sông Rào Cái</w:t>
      </w:r>
      <w:bookmarkEnd w:id="503"/>
      <w:bookmarkEnd w:id="504"/>
      <w:bookmarkEnd w:id="505"/>
      <w:bookmarkEnd w:id="506"/>
      <w:bookmarkEnd w:id="507"/>
    </w:p>
    <w:p w14:paraId="2BB12C38"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lastRenderedPageBreak/>
        <w:t>Nhận xét:</w:t>
      </w:r>
    </w:p>
    <w:p w14:paraId="46FA2055" w14:textId="77777777" w:rsidR="00085789" w:rsidRDefault="00000000">
      <w:pPr>
        <w:widowControl w:val="0"/>
        <w:spacing w:before="120" w:line="240" w:lineRule="auto"/>
        <w:ind w:firstLine="709"/>
        <w:jc w:val="both"/>
        <w:rPr>
          <w:noProof/>
          <w:spacing w:val="-2"/>
          <w:sz w:val="26"/>
          <w:szCs w:val="26"/>
        </w:rPr>
      </w:pPr>
      <w:r>
        <w:rPr>
          <w:noProof/>
          <w:spacing w:val="-2"/>
          <w:sz w:val="26"/>
          <w:szCs w:val="26"/>
        </w:rPr>
        <w:t xml:space="preserve">- Năm 2021-2022: Hàm lượng TSS trong nước hệ thống sông Rào Cái tại thời điểm quan trắc đang nằm trong giới hạn cho phép theo </w:t>
      </w:r>
      <w:r>
        <w:rPr>
          <w:bCs/>
          <w:spacing w:val="-2"/>
          <w:sz w:val="26"/>
          <w:szCs w:val="26"/>
        </w:rPr>
        <w:t xml:space="preserve">Cột B1 </w:t>
      </w:r>
      <w:r>
        <w:rPr>
          <w:noProof/>
          <w:spacing w:val="-2"/>
          <w:sz w:val="26"/>
          <w:szCs w:val="26"/>
        </w:rPr>
        <w:t>QCVN 08-MT:2015/BTNMT, tuy nhiên hàm lượng TSS tại sông Cụt cao hơn các khu vực còn lại.</w:t>
      </w:r>
    </w:p>
    <w:p w14:paraId="04B73B5E" w14:textId="77777777" w:rsidR="00085789" w:rsidRDefault="00000000">
      <w:pPr>
        <w:spacing w:before="120" w:line="240" w:lineRule="auto"/>
        <w:ind w:firstLine="709"/>
        <w:jc w:val="both"/>
        <w:rPr>
          <w:noProof/>
          <w:sz w:val="26"/>
          <w:szCs w:val="26"/>
        </w:rPr>
      </w:pPr>
      <w:r>
        <w:rPr>
          <w:noProof/>
          <w:sz w:val="26"/>
          <w:szCs w:val="26"/>
        </w:rPr>
        <w:t xml:space="preserve">- Năm 2023-Quý II/2025: Hàm lượng TSS trong nước hệ thống sông Rào Cái tại thời điểm quan trắc đang nằm trong giới hạn cho phép theo </w:t>
      </w:r>
      <w:r>
        <w:rPr>
          <w:bCs/>
          <w:sz w:val="26"/>
          <w:szCs w:val="26"/>
        </w:rPr>
        <w:t xml:space="preserve">Mức B </w:t>
      </w:r>
      <w:r>
        <w:rPr>
          <w:noProof/>
          <w:sz w:val="26"/>
          <w:szCs w:val="26"/>
        </w:rPr>
        <w:t>QCVN 08:2023/BTNMT.</w:t>
      </w:r>
    </w:p>
    <w:p w14:paraId="046D3A80" w14:textId="77777777" w:rsidR="00085789" w:rsidRDefault="00000000">
      <w:pPr>
        <w:spacing w:before="120" w:line="240" w:lineRule="auto"/>
        <w:ind w:firstLine="720"/>
        <w:jc w:val="both"/>
        <w:rPr>
          <w:b/>
          <w:noProof/>
          <w:spacing w:val="-4"/>
          <w:sz w:val="26"/>
          <w:szCs w:val="26"/>
        </w:rPr>
      </w:pPr>
      <w:r>
        <w:rPr>
          <w:b/>
          <w:noProof/>
          <w:spacing w:val="-4"/>
          <w:sz w:val="26"/>
          <w:szCs w:val="26"/>
        </w:rPr>
        <w:t xml:space="preserve">(4) Diễn biến hàm lượng DO </w:t>
      </w:r>
      <w:r>
        <w:rPr>
          <w:b/>
          <w:noProof/>
          <w:spacing w:val="-4"/>
          <w:sz w:val="26"/>
          <w:szCs w:val="26"/>
          <w:lang w:val="pt-BR"/>
        </w:rPr>
        <w:t>từ năm 2021-Quý II/2025</w:t>
      </w:r>
      <w:r>
        <w:rPr>
          <w:b/>
          <w:noProof/>
          <w:spacing w:val="-4"/>
          <w:sz w:val="26"/>
          <w:szCs w:val="26"/>
        </w:rPr>
        <w:t>:</w:t>
      </w:r>
    </w:p>
    <w:p w14:paraId="6D6A0090" w14:textId="77777777" w:rsidR="00085789" w:rsidRDefault="00000000">
      <w:pPr>
        <w:spacing w:before="120" w:line="240" w:lineRule="auto"/>
        <w:jc w:val="both"/>
        <w:rPr>
          <w:b/>
          <w:noProof/>
          <w:spacing w:val="-4"/>
          <w:sz w:val="26"/>
          <w:szCs w:val="26"/>
        </w:rPr>
      </w:pPr>
      <w:r>
        <w:rPr>
          <w:noProof/>
        </w:rPr>
        <w:drawing>
          <wp:inline distT="0" distB="0" distL="0" distR="0" wp14:anchorId="624A021A" wp14:editId="4C3F98FB">
            <wp:extent cx="5761990" cy="1954925"/>
            <wp:effectExtent l="0" t="0" r="10160" b="7620"/>
            <wp:docPr id="1862736353" name="Chart 1">
              <a:extLst xmlns:a="http://schemas.openxmlformats.org/drawingml/2006/main">
                <a:ext uri="{FF2B5EF4-FFF2-40B4-BE49-F238E27FC236}">
                  <a16:creationId xmlns:a16="http://schemas.microsoft.com/office/drawing/2014/main" id="{8C4DB50D-5F86-4EC0-A2CA-9281A17CC8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6A479C5" w14:textId="77777777" w:rsidR="00085789" w:rsidRDefault="00000000">
      <w:pPr>
        <w:pStyle w:val="-bac4"/>
      </w:pPr>
      <w:bookmarkStart w:id="508" w:name="_Toc107559729"/>
      <w:bookmarkStart w:id="509" w:name="_Toc116907999"/>
      <w:bookmarkStart w:id="510" w:name="_Toc138977321"/>
      <w:bookmarkStart w:id="511" w:name="_Toc142915350"/>
      <w:bookmarkStart w:id="512" w:name="_Toc142919536"/>
      <w:bookmarkStart w:id="513" w:name="_Toc181861380"/>
      <w:bookmarkStart w:id="514" w:name="_Toc184097480"/>
      <w:bookmarkStart w:id="515" w:name="_Toc205915704"/>
      <w:bookmarkStart w:id="516" w:name="_Toc213597400"/>
      <w:bookmarkStart w:id="517" w:name="_Toc213600759"/>
      <w:r>
        <w:t xml:space="preserve">Hình 3.4. Diễn biến hàm lượng DO trong nước </w:t>
      </w:r>
      <w:bookmarkEnd w:id="508"/>
      <w:bookmarkEnd w:id="509"/>
      <w:bookmarkEnd w:id="510"/>
      <w:bookmarkEnd w:id="511"/>
      <w:bookmarkEnd w:id="512"/>
      <w:r>
        <w:t>hệ thống sông Rào Cái</w:t>
      </w:r>
      <w:bookmarkEnd w:id="513"/>
      <w:bookmarkEnd w:id="514"/>
      <w:bookmarkEnd w:id="515"/>
      <w:bookmarkEnd w:id="516"/>
      <w:bookmarkEnd w:id="517"/>
    </w:p>
    <w:p w14:paraId="3EE02BF2"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3902B14A"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Lượng ôxy hòa tan trong nước hệ thống sông Rào Cái tại thời điểm quan trắc hầu hết đang nằm trong giới hạn cho phép theo </w:t>
      </w:r>
      <w:r>
        <w:rPr>
          <w:bCs/>
          <w:sz w:val="26"/>
          <w:szCs w:val="26"/>
        </w:rPr>
        <w:t xml:space="preserve">Cột B1 </w:t>
      </w:r>
      <w:r>
        <w:rPr>
          <w:noProof/>
          <w:sz w:val="26"/>
          <w:szCs w:val="26"/>
        </w:rPr>
        <w:t>QCVN 08-MT:2015/BTNMT. Riêng hàm lượng DO tại sông Cụt năm 2021 có thấp hơn giá trị giới hạn 1,19 lần.</w:t>
      </w:r>
    </w:p>
    <w:p w14:paraId="37583D93" w14:textId="77777777" w:rsidR="00085789" w:rsidRDefault="00000000">
      <w:pPr>
        <w:widowControl w:val="0"/>
        <w:spacing w:before="120" w:line="240" w:lineRule="auto"/>
        <w:ind w:firstLine="709"/>
        <w:jc w:val="both"/>
        <w:rPr>
          <w:noProof/>
          <w:sz w:val="26"/>
          <w:szCs w:val="26"/>
        </w:rPr>
      </w:pPr>
      <w:r>
        <w:rPr>
          <w:noProof/>
          <w:sz w:val="26"/>
          <w:szCs w:val="26"/>
        </w:rPr>
        <w:t xml:space="preserve">- Năm 2023-Quý II/2025: Lượng ôxy hòa tan trong nước hệ thống sông Rào Cái tại thời điểm quan trắc hầu hết đang nằm trong giới hạn cho phép </w:t>
      </w:r>
      <w:r>
        <w:rPr>
          <w:bCs/>
          <w:sz w:val="26"/>
          <w:szCs w:val="26"/>
        </w:rPr>
        <w:t xml:space="preserve">Mức B theo </w:t>
      </w:r>
      <w:r>
        <w:rPr>
          <w:noProof/>
          <w:sz w:val="26"/>
          <w:szCs w:val="26"/>
        </w:rPr>
        <w:t xml:space="preserve">QCVN 08:2023/BTNMT. Riêng hàm lượng DO tại sông Cụt năm 2021 thấp hơn giá trị giới hạn 1,23 lần. </w:t>
      </w:r>
      <w:r>
        <w:rPr>
          <w:noProof/>
          <w:spacing w:val="-2"/>
          <w:sz w:val="26"/>
          <w:szCs w:val="26"/>
        </w:rPr>
        <w:t>Nguyên nhân: Do hoạt động xả nước thải sinh hoạt của khu vực phía Đông thành phố, hoạt động NTTS, lò mổ,... ra môi trường nước mặt các sông này làm gia tăng chất hữu cơ trong môi trường nước mặt.</w:t>
      </w:r>
    </w:p>
    <w:p w14:paraId="4F3EF423" w14:textId="77777777" w:rsidR="00085789" w:rsidRDefault="00000000">
      <w:pPr>
        <w:spacing w:before="120" w:line="360" w:lineRule="exact"/>
        <w:ind w:firstLine="720"/>
        <w:jc w:val="both"/>
        <w:rPr>
          <w:b/>
          <w:noProof/>
          <w:spacing w:val="-4"/>
          <w:sz w:val="26"/>
          <w:szCs w:val="26"/>
        </w:rPr>
      </w:pPr>
      <w:r>
        <w:rPr>
          <w:b/>
          <w:noProof/>
          <w:spacing w:val="-4"/>
          <w:sz w:val="26"/>
          <w:szCs w:val="26"/>
        </w:rPr>
        <w:t>(5) Diễn biến hàm lượng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3D28C459" w14:textId="77777777" w:rsidR="00085789" w:rsidRDefault="00000000">
      <w:pPr>
        <w:spacing w:before="120" w:line="240" w:lineRule="auto"/>
        <w:jc w:val="both"/>
        <w:rPr>
          <w:b/>
          <w:noProof/>
          <w:spacing w:val="-4"/>
          <w:sz w:val="26"/>
          <w:szCs w:val="26"/>
        </w:rPr>
      </w:pPr>
      <w:r>
        <w:rPr>
          <w:noProof/>
        </w:rPr>
        <w:drawing>
          <wp:inline distT="0" distB="0" distL="0" distR="0" wp14:anchorId="3EDCA07D" wp14:editId="3105A3F1">
            <wp:extent cx="5761990" cy="1743075"/>
            <wp:effectExtent l="0" t="0" r="10160" b="9525"/>
            <wp:docPr id="2037802322" name="Chart 1">
              <a:extLst xmlns:a="http://schemas.openxmlformats.org/drawingml/2006/main">
                <a:ext uri="{FF2B5EF4-FFF2-40B4-BE49-F238E27FC236}">
                  <a16:creationId xmlns:a16="http://schemas.microsoft.com/office/drawing/2014/main" id="{9981C5B7-9BDC-4F11-9DA0-2D75ADF9C9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00157CE" w14:textId="77777777" w:rsidR="00085789" w:rsidRDefault="00000000">
      <w:pPr>
        <w:pStyle w:val="-bac4"/>
      </w:pPr>
      <w:bookmarkStart w:id="518" w:name="_Toc107559732"/>
      <w:bookmarkStart w:id="519" w:name="_Toc116908005"/>
      <w:bookmarkStart w:id="520" w:name="_Toc138977326"/>
      <w:bookmarkStart w:id="521" w:name="_Toc142915355"/>
      <w:bookmarkStart w:id="522" w:name="_Toc142919541"/>
      <w:bookmarkStart w:id="523" w:name="_Toc181861384"/>
      <w:bookmarkStart w:id="524" w:name="_Toc184097484"/>
      <w:bookmarkStart w:id="525" w:name="_Toc205915705"/>
      <w:bookmarkStart w:id="526" w:name="_Toc213597401"/>
      <w:bookmarkStart w:id="527" w:name="_Toc213600760"/>
      <w:r>
        <w:t xml:space="preserve">Hình 3.5. Diễn biến hàm lượng Nitrat </w:t>
      </w:r>
      <w:bookmarkEnd w:id="518"/>
      <w:bookmarkEnd w:id="519"/>
      <w:r>
        <w:t>trong nước hệ thống sông Rào Cái</w:t>
      </w:r>
      <w:bookmarkEnd w:id="520"/>
      <w:bookmarkEnd w:id="521"/>
      <w:bookmarkEnd w:id="522"/>
      <w:bookmarkEnd w:id="523"/>
      <w:bookmarkEnd w:id="524"/>
      <w:bookmarkEnd w:id="525"/>
      <w:bookmarkEnd w:id="526"/>
      <w:bookmarkEnd w:id="527"/>
    </w:p>
    <w:p w14:paraId="2E9272FF" w14:textId="77777777" w:rsidR="00085789" w:rsidRDefault="00000000">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43526F76" w14:textId="77777777" w:rsidR="00085789" w:rsidRDefault="00000000">
      <w:pPr>
        <w:widowControl w:val="0"/>
        <w:spacing w:before="120" w:line="240" w:lineRule="auto"/>
        <w:ind w:firstLine="709"/>
        <w:jc w:val="both"/>
        <w:rPr>
          <w:noProof/>
          <w:sz w:val="26"/>
          <w:szCs w:val="26"/>
        </w:rPr>
      </w:pPr>
      <w:r>
        <w:rPr>
          <w:i/>
          <w:noProof/>
          <w:sz w:val="26"/>
          <w:szCs w:val="26"/>
          <w:u w:val="single"/>
        </w:rPr>
        <w:lastRenderedPageBreak/>
        <w:t>Nhận xét</w:t>
      </w:r>
      <w:r>
        <w:rPr>
          <w:noProof/>
          <w:sz w:val="26"/>
          <w:szCs w:val="26"/>
          <w:u w:val="single"/>
        </w:rPr>
        <w:t>:</w:t>
      </w:r>
      <w:r>
        <w:rPr>
          <w:noProof/>
          <w:sz w:val="26"/>
          <w:szCs w:val="26"/>
        </w:rPr>
        <w:t xml:space="preserve"> Hàm lượng Nitrat trong nước hệ thống sông Rào Cái tại thời điểm quan trắc từ năm 2021-Quý II/2025 đang nằm trong giới hạn cho phép theo </w:t>
      </w:r>
      <w:r>
        <w:rPr>
          <w:bCs/>
          <w:sz w:val="26"/>
          <w:szCs w:val="26"/>
        </w:rPr>
        <w:t xml:space="preserve">Cột B1 </w:t>
      </w:r>
      <w:r>
        <w:rPr>
          <w:noProof/>
          <w:sz w:val="26"/>
          <w:szCs w:val="26"/>
        </w:rPr>
        <w:t>QCVN 08-MT:2015/BTNMT.</w:t>
      </w:r>
    </w:p>
    <w:p w14:paraId="4C8ADF01" w14:textId="77777777" w:rsidR="00085789" w:rsidRDefault="00000000">
      <w:pPr>
        <w:spacing w:before="120" w:line="320" w:lineRule="exact"/>
        <w:ind w:firstLine="720"/>
        <w:jc w:val="both"/>
        <w:rPr>
          <w:b/>
          <w:noProof/>
          <w:spacing w:val="-4"/>
          <w:sz w:val="26"/>
          <w:szCs w:val="26"/>
        </w:rPr>
      </w:pPr>
      <w:r>
        <w:rPr>
          <w:b/>
          <w:noProof/>
          <w:spacing w:val="-4"/>
          <w:sz w:val="26"/>
          <w:szCs w:val="26"/>
        </w:rPr>
        <w:t>(6) Diễn biến hàm lượng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0699FABD" w14:textId="77777777" w:rsidR="00085789" w:rsidRDefault="00000000">
      <w:pPr>
        <w:spacing w:before="120" w:line="240" w:lineRule="auto"/>
        <w:jc w:val="both"/>
        <w:rPr>
          <w:b/>
          <w:noProof/>
          <w:spacing w:val="-4"/>
          <w:sz w:val="26"/>
          <w:szCs w:val="26"/>
        </w:rPr>
      </w:pPr>
      <w:r>
        <w:rPr>
          <w:noProof/>
        </w:rPr>
        <w:drawing>
          <wp:inline distT="0" distB="0" distL="0" distR="0" wp14:anchorId="406F27CC" wp14:editId="03568F62">
            <wp:extent cx="5761990" cy="1943100"/>
            <wp:effectExtent l="0" t="0" r="10160" b="0"/>
            <wp:docPr id="594977933" name="Chart 1">
              <a:extLst xmlns:a="http://schemas.openxmlformats.org/drawingml/2006/main">
                <a:ext uri="{FF2B5EF4-FFF2-40B4-BE49-F238E27FC236}">
                  <a16:creationId xmlns:a16="http://schemas.microsoft.com/office/drawing/2014/main" id="{34D444AD-589D-43A4-B157-CDA7B4E68D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C34E22D" w14:textId="77777777" w:rsidR="00085789" w:rsidRDefault="00000000">
      <w:pPr>
        <w:pStyle w:val="-bac4"/>
      </w:pPr>
      <w:bookmarkStart w:id="528" w:name="_Toc181861388"/>
      <w:bookmarkStart w:id="529" w:name="_Toc184097488"/>
      <w:bookmarkStart w:id="530" w:name="_Toc205915706"/>
      <w:bookmarkStart w:id="531" w:name="_Toc213597402"/>
      <w:bookmarkStart w:id="532" w:name="_Toc213600761"/>
      <w:r>
        <w:t xml:space="preserve">Hình 3.6. Diễn biến hàm lượng </w:t>
      </w:r>
      <w:r>
        <w:rPr>
          <w:spacing w:val="-4"/>
        </w:rPr>
        <w:t>Photphat</w:t>
      </w:r>
      <w:r>
        <w:t xml:space="preserve"> trong nước hệ thống sông Rào Cái</w:t>
      </w:r>
      <w:bookmarkEnd w:id="528"/>
      <w:bookmarkEnd w:id="529"/>
      <w:bookmarkEnd w:id="530"/>
      <w:bookmarkEnd w:id="531"/>
      <w:bookmarkEnd w:id="532"/>
    </w:p>
    <w:p w14:paraId="73D5B70E" w14:textId="77777777" w:rsidR="00085789" w:rsidRDefault="00000000">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Photphat không quy định trong QCVN 08:2023/BTNMT.</w:t>
      </w:r>
    </w:p>
    <w:p w14:paraId="68DC84B3" w14:textId="77777777" w:rsidR="00085789" w:rsidRDefault="00000000">
      <w:pPr>
        <w:widowControl w:val="0"/>
        <w:spacing w:before="120" w:line="240" w:lineRule="auto"/>
        <w:ind w:firstLine="709"/>
        <w:jc w:val="both"/>
        <w:rPr>
          <w:noProof/>
          <w:spacing w:val="-4"/>
          <w:sz w:val="26"/>
          <w:szCs w:val="26"/>
        </w:rPr>
      </w:pPr>
      <w:r>
        <w:rPr>
          <w:i/>
          <w:noProof/>
          <w:sz w:val="26"/>
          <w:szCs w:val="26"/>
          <w:u w:val="single"/>
        </w:rPr>
        <w:t xml:space="preserve">Nhận xét: </w:t>
      </w:r>
      <w:r>
        <w:rPr>
          <w:noProof/>
          <w:sz w:val="26"/>
          <w:szCs w:val="26"/>
        </w:rPr>
        <w:t xml:space="preserve">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hệ thống sông Rào Cái tại thời điểm quan trắc hầu hết đang nằm trong giới hạn cho phép theo </w:t>
      </w:r>
      <w:r>
        <w:rPr>
          <w:bCs/>
          <w:sz w:val="26"/>
          <w:szCs w:val="26"/>
        </w:rPr>
        <w:t xml:space="preserve">Cột B1 </w:t>
      </w:r>
      <w:r>
        <w:rPr>
          <w:noProof/>
          <w:sz w:val="26"/>
          <w:szCs w:val="26"/>
        </w:rPr>
        <w:t>QCVN 08-MT:2015/BTNMT</w:t>
      </w:r>
      <w:r>
        <w:rPr>
          <w:noProof/>
          <w:spacing w:val="-4"/>
          <w:sz w:val="26"/>
          <w:szCs w:val="26"/>
        </w:rPr>
        <w:t>. Riêng PO</w:t>
      </w:r>
      <w:r>
        <w:rPr>
          <w:noProof/>
          <w:spacing w:val="-4"/>
          <w:sz w:val="26"/>
          <w:szCs w:val="26"/>
          <w:vertAlign w:val="subscript"/>
        </w:rPr>
        <w:t>4</w:t>
      </w:r>
      <w:r>
        <w:rPr>
          <w:noProof/>
          <w:spacing w:val="-4"/>
          <w:sz w:val="26"/>
          <w:szCs w:val="26"/>
          <w:vertAlign w:val="superscript"/>
        </w:rPr>
        <w:t>3-</w:t>
      </w:r>
      <w:r>
        <w:rPr>
          <w:noProof/>
          <w:spacing w:val="-4"/>
          <w:sz w:val="26"/>
          <w:szCs w:val="26"/>
        </w:rPr>
        <w:t xml:space="preserve"> tại mẫu nước sông Cụt năm 2024 và 2025 vượt giá trị giới hạn lần lượt từ 1,32-2,09 lần. Nguyên nhân: Do hoạt động xả nước thải sinh hoạt của khu vực phía Đông thành phố, hoạt động NTTS, lò mổ,... ra môi trường nước mặt các sông này làm gia tăng chất hữu cơ trong môi trường nước mặt</w:t>
      </w:r>
      <w:r>
        <w:rPr>
          <w:noProof/>
          <w:spacing w:val="-2"/>
          <w:sz w:val="26"/>
          <w:szCs w:val="26"/>
        </w:rPr>
        <w:t>.</w:t>
      </w:r>
    </w:p>
    <w:p w14:paraId="6EDBC787" w14:textId="77777777" w:rsidR="00085789" w:rsidRDefault="00000000">
      <w:pPr>
        <w:widowControl w:val="0"/>
        <w:spacing w:before="120" w:line="400" w:lineRule="exact"/>
        <w:ind w:firstLine="709"/>
        <w:jc w:val="both"/>
        <w:rPr>
          <w:b/>
          <w:noProof/>
          <w:spacing w:val="-4"/>
          <w:sz w:val="26"/>
          <w:szCs w:val="26"/>
        </w:rPr>
      </w:pPr>
      <w:r>
        <w:rPr>
          <w:b/>
          <w:noProof/>
          <w:spacing w:val="-4"/>
          <w:sz w:val="26"/>
          <w:szCs w:val="26"/>
        </w:rPr>
        <w:t xml:space="preserve">(7) Diễn biến hàm lượng Coliform </w:t>
      </w:r>
      <w:r>
        <w:rPr>
          <w:b/>
          <w:noProof/>
          <w:spacing w:val="-4"/>
          <w:sz w:val="26"/>
          <w:szCs w:val="26"/>
          <w:lang w:val="pt-BR"/>
        </w:rPr>
        <w:t>từ năm 2021-Quý II/2025</w:t>
      </w:r>
      <w:r>
        <w:rPr>
          <w:b/>
          <w:noProof/>
          <w:spacing w:val="-4"/>
          <w:sz w:val="26"/>
          <w:szCs w:val="26"/>
        </w:rPr>
        <w:t xml:space="preserve">: </w:t>
      </w:r>
    </w:p>
    <w:p w14:paraId="00827398" w14:textId="77777777" w:rsidR="00085789" w:rsidRDefault="00000000">
      <w:pPr>
        <w:widowControl w:val="0"/>
        <w:spacing w:before="120" w:line="240" w:lineRule="auto"/>
        <w:jc w:val="both"/>
        <w:rPr>
          <w:b/>
          <w:noProof/>
          <w:spacing w:val="-4"/>
          <w:sz w:val="26"/>
          <w:szCs w:val="26"/>
        </w:rPr>
      </w:pPr>
      <w:r>
        <w:rPr>
          <w:noProof/>
        </w:rPr>
        <w:drawing>
          <wp:inline distT="0" distB="0" distL="0" distR="0" wp14:anchorId="2AC76703" wp14:editId="3EC7B1B6">
            <wp:extent cx="5761990" cy="2076450"/>
            <wp:effectExtent l="0" t="0" r="10160" b="0"/>
            <wp:docPr id="933078372" name="Chart 1">
              <a:extLst xmlns:a="http://schemas.openxmlformats.org/drawingml/2006/main">
                <a:ext uri="{FF2B5EF4-FFF2-40B4-BE49-F238E27FC236}">
                  <a16:creationId xmlns:a16="http://schemas.microsoft.com/office/drawing/2014/main" id="{1813BD9E-82B6-4969-B1F5-87DA2C8F66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79930EA" w14:textId="77777777" w:rsidR="00085789" w:rsidRDefault="00000000">
      <w:pPr>
        <w:pStyle w:val="-bac4"/>
      </w:pPr>
      <w:bookmarkStart w:id="533" w:name="_Toc107559733"/>
      <w:bookmarkStart w:id="534" w:name="_Toc116908006"/>
      <w:bookmarkStart w:id="535" w:name="_Toc138977327"/>
      <w:bookmarkStart w:id="536" w:name="_Toc142915356"/>
      <w:bookmarkStart w:id="537" w:name="_Toc142919542"/>
      <w:bookmarkStart w:id="538" w:name="_Toc181861387"/>
      <w:bookmarkStart w:id="539" w:name="_Toc184097487"/>
      <w:bookmarkStart w:id="540" w:name="_Toc205915707"/>
      <w:bookmarkStart w:id="541" w:name="_Toc213597403"/>
      <w:bookmarkStart w:id="542" w:name="_Toc213600762"/>
      <w:r>
        <w:t>Hình 3.7. Diễn biến hàm lượng Coliform trong nước hệ thống sông Rào Cái</w:t>
      </w:r>
      <w:bookmarkEnd w:id="533"/>
      <w:bookmarkEnd w:id="534"/>
      <w:bookmarkEnd w:id="535"/>
      <w:bookmarkEnd w:id="536"/>
      <w:bookmarkEnd w:id="537"/>
      <w:bookmarkEnd w:id="538"/>
      <w:bookmarkEnd w:id="539"/>
      <w:bookmarkEnd w:id="540"/>
      <w:bookmarkEnd w:id="541"/>
      <w:bookmarkEnd w:id="542"/>
    </w:p>
    <w:p w14:paraId="3AF6384F" w14:textId="77777777" w:rsidR="00085789" w:rsidRDefault="00000000">
      <w:pPr>
        <w:widowControl w:val="0"/>
        <w:spacing w:line="340" w:lineRule="exact"/>
        <w:ind w:firstLine="709"/>
        <w:jc w:val="both"/>
        <w:rPr>
          <w:noProof/>
          <w:sz w:val="26"/>
          <w:szCs w:val="26"/>
          <w:u w:val="single"/>
        </w:rPr>
      </w:pPr>
      <w:r>
        <w:rPr>
          <w:i/>
          <w:noProof/>
          <w:sz w:val="26"/>
          <w:szCs w:val="26"/>
          <w:u w:val="single"/>
        </w:rPr>
        <w:t>Nhận xét:</w:t>
      </w:r>
    </w:p>
    <w:p w14:paraId="12DAEFA1" w14:textId="77777777" w:rsidR="00085789" w:rsidRDefault="00000000">
      <w:pPr>
        <w:widowControl w:val="0"/>
        <w:spacing w:line="340" w:lineRule="exact"/>
        <w:ind w:firstLine="709"/>
        <w:jc w:val="both"/>
        <w:rPr>
          <w:noProof/>
          <w:sz w:val="26"/>
          <w:szCs w:val="26"/>
        </w:rPr>
      </w:pPr>
      <w:r>
        <w:rPr>
          <w:noProof/>
          <w:sz w:val="26"/>
          <w:szCs w:val="26"/>
        </w:rPr>
        <w:t xml:space="preserve">- Năm 2021-2022: Hàm lượng Coliform trong nước hệ thống sông Rào Cái tại thời điểm quan trắc đang nằm trong giới hạn cho phép theo </w:t>
      </w:r>
      <w:r>
        <w:rPr>
          <w:bCs/>
          <w:sz w:val="26"/>
          <w:szCs w:val="26"/>
        </w:rPr>
        <w:t xml:space="preserve">Cột B1 </w:t>
      </w:r>
      <w:r>
        <w:rPr>
          <w:noProof/>
          <w:sz w:val="26"/>
          <w:szCs w:val="26"/>
        </w:rPr>
        <w:t>QCVN 08-MT:2015/BTNMT.</w:t>
      </w:r>
    </w:p>
    <w:p w14:paraId="7427A2D7" w14:textId="77777777" w:rsidR="00085789" w:rsidRDefault="00000000">
      <w:pPr>
        <w:spacing w:line="240" w:lineRule="auto"/>
        <w:ind w:firstLine="720"/>
        <w:jc w:val="both"/>
        <w:rPr>
          <w:noProof/>
          <w:sz w:val="26"/>
          <w:szCs w:val="26"/>
        </w:rPr>
      </w:pPr>
      <w:r>
        <w:rPr>
          <w:noProof/>
          <w:sz w:val="26"/>
          <w:szCs w:val="26"/>
        </w:rPr>
        <w:t xml:space="preserve">- Năm 2023-Quý II/2025: Hàm lượng Coliform trong nước sông Rào Cái tại thời điểm quan trắc hầu hết đều nằm trong giá trị giới hạn cho phép theo </w:t>
      </w:r>
      <w:r>
        <w:rPr>
          <w:bCs/>
          <w:sz w:val="26"/>
          <w:szCs w:val="26"/>
        </w:rPr>
        <w:t xml:space="preserve">Mức B </w:t>
      </w:r>
      <w:r>
        <w:rPr>
          <w:noProof/>
          <w:sz w:val="26"/>
          <w:szCs w:val="26"/>
        </w:rPr>
        <w:t>QCVN 08:2023/BTNMT, riêng mẫu nước sông Rào Cái tại cầu Thạch Đồng năm 2023 vượt giới hạn nhưng ở mức nhỏ (1,04 lần). H</w:t>
      </w:r>
      <w:r>
        <w:rPr>
          <w:bCs/>
          <w:sz w:val="26"/>
          <w:szCs w:val="26"/>
        </w:rPr>
        <w:t xml:space="preserve">àm lượng </w:t>
      </w:r>
      <w:r>
        <w:rPr>
          <w:noProof/>
          <w:sz w:val="26"/>
          <w:szCs w:val="26"/>
        </w:rPr>
        <w:t>Coliform</w:t>
      </w:r>
      <w:r>
        <w:rPr>
          <w:bCs/>
          <w:sz w:val="26"/>
          <w:szCs w:val="26"/>
        </w:rPr>
        <w:t xml:space="preserve"> trong nước sông Cụt năm 2023 và 2024 vượt giá trị giới hạn lần lượt 1,82 và 1,03 lần. </w:t>
      </w:r>
      <w:r>
        <w:rPr>
          <w:noProof/>
          <w:sz w:val="26"/>
          <w:szCs w:val="26"/>
        </w:rPr>
        <w:t xml:space="preserve">Nguyên nhân: Do hoạt động xả nước </w:t>
      </w:r>
      <w:r>
        <w:rPr>
          <w:noProof/>
          <w:sz w:val="26"/>
          <w:szCs w:val="26"/>
        </w:rPr>
        <w:lastRenderedPageBreak/>
        <w:t>thải sinh hoạt của khu vực phường Thành Sen, hoạt động NTTS, lò mổ,... ra môi trường nước mặt các sông này làm gia tăng chất hữu cơ trong môi trường nước mặt.</w:t>
      </w:r>
    </w:p>
    <w:p w14:paraId="2F9F0A84" w14:textId="77777777" w:rsidR="00085789" w:rsidRDefault="00000000">
      <w:pPr>
        <w:spacing w:before="120" w:line="350" w:lineRule="exact"/>
        <w:ind w:firstLine="709"/>
        <w:jc w:val="both"/>
        <w:rPr>
          <w:b/>
          <w:bCs/>
          <w:spacing w:val="-2"/>
          <w:sz w:val="26"/>
          <w:szCs w:val="26"/>
        </w:rPr>
      </w:pPr>
      <w:bookmarkStart w:id="543" w:name="_Hlk204863863"/>
      <w:r>
        <w:rPr>
          <w:b/>
          <w:bCs/>
          <w:spacing w:val="-2"/>
          <w:sz w:val="26"/>
          <w:szCs w:val="26"/>
        </w:rPr>
        <w:t>b) Đánh giá chất lượng nước hệ thống sông Rào Cái giai đoạn 2021-2024:</w:t>
      </w:r>
    </w:p>
    <w:bookmarkEnd w:id="543"/>
    <w:p w14:paraId="03633FE6" w14:textId="77777777" w:rsidR="00085789" w:rsidRDefault="00000000">
      <w:pPr>
        <w:spacing w:after="120" w:line="360" w:lineRule="exact"/>
        <w:ind w:firstLine="720"/>
        <w:rPr>
          <w:bCs/>
          <w:iCs/>
          <w:sz w:val="26"/>
          <w:szCs w:val="26"/>
          <w:lang w:val="pt-BR"/>
        </w:rPr>
      </w:pPr>
      <w:r>
        <w:rPr>
          <w:bCs/>
          <w:iCs/>
          <w:sz w:val="26"/>
          <w:szCs w:val="26"/>
          <w:lang w:val="pt-BR"/>
        </w:rPr>
        <w:t>Chất lượng nước hệ thống sông Rào Cái được thể hiện qua chỉ số đánh giá chất lượng nước WQI như hình sau:</w:t>
      </w:r>
    </w:p>
    <w:p w14:paraId="11971B25" w14:textId="77777777" w:rsidR="00085789" w:rsidRDefault="00000000">
      <w:pPr>
        <w:spacing w:line="240" w:lineRule="auto"/>
        <w:rPr>
          <w:bCs/>
          <w:iCs/>
          <w:sz w:val="26"/>
          <w:szCs w:val="26"/>
          <w:lang w:val="pt-BR"/>
        </w:rPr>
      </w:pPr>
      <w:r>
        <w:rPr>
          <w:noProof/>
        </w:rPr>
        <w:drawing>
          <wp:inline distT="0" distB="0" distL="0" distR="0" wp14:anchorId="0DF961DF" wp14:editId="332C57D1">
            <wp:extent cx="5761990" cy="2829464"/>
            <wp:effectExtent l="0" t="0" r="10160" b="9525"/>
            <wp:docPr id="750824738" name="Chart 1">
              <a:extLst xmlns:a="http://schemas.openxmlformats.org/drawingml/2006/main">
                <a:ext uri="{FF2B5EF4-FFF2-40B4-BE49-F238E27FC236}">
                  <a16:creationId xmlns:a16="http://schemas.microsoft.com/office/drawing/2014/main" id="{645AC59F-8AA8-4342-BE96-46071B2B72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6CF923F2" w14:textId="77777777" w:rsidR="00085789" w:rsidRDefault="00000000">
      <w:pPr>
        <w:pStyle w:val="-bac4"/>
        <w:rPr>
          <w:lang w:val="pt-BR"/>
        </w:rPr>
      </w:pPr>
      <w:bookmarkStart w:id="544" w:name="_Toc205915708"/>
      <w:bookmarkStart w:id="545" w:name="_Toc213597404"/>
      <w:bookmarkStart w:id="546" w:name="_Toc213600763"/>
      <w:bookmarkStart w:id="547" w:name="_Hlk204863866"/>
      <w:r>
        <w:rPr>
          <w:lang w:val="pt-BR"/>
        </w:rPr>
        <w:t>Hình 3.8. Chỉ số WQI hệ thống thống sông Rào Cái giai đoạn 2021-2024.</w:t>
      </w:r>
      <w:bookmarkEnd w:id="544"/>
      <w:bookmarkEnd w:id="545"/>
      <w:bookmarkEnd w:id="546"/>
    </w:p>
    <w:bookmarkEnd w:id="547"/>
    <w:p w14:paraId="2CE4DC06" w14:textId="77777777" w:rsidR="00085789" w:rsidRDefault="00000000">
      <w:pPr>
        <w:widowControl w:val="0"/>
        <w:spacing w:before="120" w:line="240" w:lineRule="auto"/>
        <w:ind w:firstLine="720"/>
        <w:jc w:val="both"/>
        <w:rPr>
          <w:b/>
          <w:noProof/>
          <w:spacing w:val="-4"/>
          <w:sz w:val="26"/>
          <w:szCs w:val="26"/>
          <w:lang w:val="pt-BR"/>
        </w:rPr>
      </w:pPr>
      <w:r>
        <w:rPr>
          <w:bCs/>
          <w:i/>
          <w:sz w:val="26"/>
          <w:szCs w:val="26"/>
          <w:u w:val="single"/>
          <w:lang w:val="pt-BR"/>
        </w:rPr>
        <w:t>Nhận xét:</w:t>
      </w:r>
      <w:r>
        <w:rPr>
          <w:bCs/>
          <w:iCs/>
          <w:sz w:val="26"/>
          <w:szCs w:val="26"/>
          <w:lang w:val="pt-BR"/>
        </w:rPr>
        <w:t xml:space="preserve"> Theo số liệu </w:t>
      </w:r>
      <w:r>
        <w:rPr>
          <w:sz w:val="26"/>
          <w:szCs w:val="26"/>
          <w:lang w:val="pt-BR"/>
        </w:rPr>
        <w:t xml:space="preserve">chỉ số chất lượng nước WQI trung bình năm của hệ thống sông Rào Cái ta thấy chất lượng nước sông Rào Cái tại cầu Phủ và cầu Thạch Đồng qua các năm 2021-2024 đều có chất lượng nước có thể sử dụng cho mục đích cấp nước sinh hoạt nhưng cần có các biện pháp xử lý phù hợp. Mẫu nước sông Cụt năm 2021, năm 2022 và năm 2024 có chất lượng nước </w:t>
      </w:r>
      <w:r>
        <w:rPr>
          <w:sz w:val="26"/>
          <w:szCs w:val="26"/>
          <w:lang w:val="vi-VN"/>
        </w:rPr>
        <w:t>có thể sử dụng cho mục đích tưới tiêu và các mục đích tương đương khác</w:t>
      </w:r>
      <w:r>
        <w:rPr>
          <w:sz w:val="26"/>
          <w:szCs w:val="26"/>
          <w:lang w:val="pt-BR"/>
        </w:rPr>
        <w:t>; năm 2023 chất lượng nước có thể sử dụng cho giao thông thủy và các mục đích tương đương khác. Tuy nhiên, nguồn nước sông Cụt chịu tác động của thủy triều nên nhiều thời điểm việc lấy mẫu rất khó khăn và phản ánh không đúng bản chất nguồn nước. Đối với chất lượng nước sông Rào Cái tại cầu Phủ chịu tác động của nước thải sinh hoạt và kinh doanh của chợ cầu Phủ, do đó chỉ cần quan trắc tại vị trí cầu Thạch Đồng để đánh giá được chất lượng nước sông đoạn chảy qua địa phận thành phố Hà Tĩnh (nay chảy qua phường Thành Sen và phường Hà Huy Tập).</w:t>
      </w:r>
    </w:p>
    <w:p w14:paraId="62D9953D" w14:textId="77777777" w:rsidR="00085789" w:rsidRDefault="00000000">
      <w:pPr>
        <w:pStyle w:val="StyleHeading4Char1Char11Char11CharHeading4CharCharCharC1"/>
        <w:spacing w:after="0" w:line="240" w:lineRule="auto"/>
        <w:rPr>
          <w:b/>
          <w:lang w:val="pt-BR"/>
        </w:rPr>
      </w:pPr>
      <w:bookmarkStart w:id="548" w:name="_Hlk202770838"/>
      <w:r>
        <w:rPr>
          <w:lang w:val="pt-BR"/>
        </w:rPr>
        <w:t>3.1.2.1.2. Diễn biến chất lượng nước hệ thống sông Nghèn</w:t>
      </w:r>
    </w:p>
    <w:p w14:paraId="503F34CD" w14:textId="77777777" w:rsidR="00085789" w:rsidRDefault="00000000">
      <w:pPr>
        <w:pStyle w:val="Style13ptBoldJustifiedCondensedby01ptLinespacing"/>
        <w:spacing w:before="120" w:line="240" w:lineRule="auto"/>
        <w:rPr>
          <w:lang w:val="pt-BR"/>
        </w:rPr>
      </w:pPr>
      <w:r>
        <w:rPr>
          <w:lang w:val="pt-BR"/>
        </w:rPr>
        <w:t>a) Phân tích diễn biến chất lượng nước hệ thống sông Nghèn qua từng năm:</w:t>
      </w:r>
    </w:p>
    <w:p w14:paraId="23D98F0A" w14:textId="77777777" w:rsidR="00085789" w:rsidRDefault="00000000">
      <w:pPr>
        <w:spacing w:before="120" w:line="240" w:lineRule="auto"/>
        <w:ind w:firstLine="720"/>
        <w:jc w:val="both"/>
        <w:rPr>
          <w:sz w:val="26"/>
          <w:szCs w:val="26"/>
          <w:lang w:val="pt-BR"/>
        </w:rPr>
      </w:pPr>
      <w:r>
        <w:rPr>
          <w:rFonts w:asciiTheme="majorHAnsi" w:hAnsiTheme="majorHAnsi" w:cstheme="majorHAnsi"/>
          <w:sz w:val="26"/>
          <w:szCs w:val="26"/>
          <w:lang w:val="pt-BR"/>
        </w:rPr>
        <w:t xml:space="preserve">Sông </w:t>
      </w:r>
      <w:bookmarkEnd w:id="548"/>
      <w:r>
        <w:rPr>
          <w:rFonts w:asciiTheme="majorHAnsi" w:hAnsiTheme="majorHAnsi" w:cstheme="majorHAnsi"/>
          <w:sz w:val="26"/>
          <w:szCs w:val="26"/>
          <w:lang w:val="pt-BR"/>
        </w:rPr>
        <w:t>Nghèn bắt nguồn từ cống Trung Lương (thuộc đê La Giang trên địa bàn phường Bắc Hồng Lĩnh), chảy qua địa phận phường Nam Hồng Lĩnh, xã Can Lộc, Đông Kinh, Thạch Hà, nhập vào sông Rào Cái tại phường Trần Phú. Sông Nghèn được hợp lưu bởi nhiều sông, khe, suối nhỏ (như sông Già, sông Én, khe Nhà Trò,...).</w:t>
      </w:r>
      <w:r>
        <w:rPr>
          <w:sz w:val="26"/>
          <w:szCs w:val="26"/>
          <w:lang w:val="pt-BR"/>
        </w:rPr>
        <w:t xml:space="preserve"> Các vị trí quan trắc đều là vị trí chịu ảnh hưởng nhiều bởi các hoạt động sản xuất nông nghiệp, công nghiệp, sinh hoạt và kinh doanh, dịch vụ của con người. Diễn biến ô nhiễm môi trường nước hệ thống sông Nghèn qua từng năm như sau:</w:t>
      </w:r>
    </w:p>
    <w:p w14:paraId="6C51420E" w14:textId="77777777" w:rsidR="00085789" w:rsidRDefault="00000000">
      <w:pPr>
        <w:spacing w:before="120" w:line="240" w:lineRule="auto"/>
        <w:ind w:firstLine="720"/>
        <w:jc w:val="both"/>
        <w:rPr>
          <w:b/>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w:t>
      </w:r>
      <w:r>
        <w:rPr>
          <w:b/>
          <w:noProof/>
          <w:sz w:val="26"/>
          <w:szCs w:val="26"/>
          <w:lang w:val="pt-BR"/>
        </w:rPr>
        <w:t xml:space="preserve"> </w:t>
      </w:r>
    </w:p>
    <w:p w14:paraId="0460019C" w14:textId="77777777" w:rsidR="00085789" w:rsidRDefault="00000000">
      <w:pPr>
        <w:spacing w:before="120" w:line="240" w:lineRule="auto"/>
        <w:jc w:val="both"/>
        <w:rPr>
          <w:b/>
          <w:noProof/>
          <w:spacing w:val="-4"/>
          <w:sz w:val="26"/>
          <w:szCs w:val="26"/>
        </w:rPr>
      </w:pPr>
      <w:r>
        <w:rPr>
          <w:noProof/>
        </w:rPr>
        <w:lastRenderedPageBreak/>
        <w:drawing>
          <wp:inline distT="0" distB="0" distL="0" distR="0" wp14:anchorId="4731C26B" wp14:editId="5AFC6660">
            <wp:extent cx="5761990" cy="2257425"/>
            <wp:effectExtent l="0" t="0" r="10160" b="9525"/>
            <wp:docPr id="1140111548" name="Chart 1">
              <a:extLst xmlns:a="http://schemas.openxmlformats.org/drawingml/2006/main">
                <a:ext uri="{FF2B5EF4-FFF2-40B4-BE49-F238E27FC236}">
                  <a16:creationId xmlns:a16="http://schemas.microsoft.com/office/drawing/2014/main" id="{7D713BFF-6DA8-49BD-8E04-6774810B5F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22A6E26" w14:textId="77777777" w:rsidR="00085789" w:rsidRDefault="00000000">
      <w:pPr>
        <w:pStyle w:val="-bac4"/>
        <w:rPr>
          <w:i/>
        </w:rPr>
      </w:pPr>
      <w:bookmarkStart w:id="549" w:name="_Toc181861392"/>
      <w:bookmarkStart w:id="550" w:name="_Toc184097492"/>
      <w:bookmarkStart w:id="551" w:name="_Toc205915709"/>
      <w:bookmarkStart w:id="552" w:name="_Toc213597405"/>
      <w:bookmarkStart w:id="553" w:name="_Toc213600764"/>
      <w:r>
        <w:rPr>
          <w:rStyle w:val="b5Char"/>
          <w:b/>
          <w:i w:val="0"/>
          <w:color w:val="auto"/>
        </w:rPr>
        <w:t>Hình 3.9. Diễn biến hàm lượng BOD</w:t>
      </w:r>
      <w:r>
        <w:rPr>
          <w:rStyle w:val="b5Char"/>
          <w:b/>
          <w:i w:val="0"/>
          <w:color w:val="auto"/>
          <w:vertAlign w:val="subscript"/>
        </w:rPr>
        <w:t>5</w:t>
      </w:r>
      <w:r>
        <w:rPr>
          <w:rStyle w:val="b5Char"/>
          <w:b/>
          <w:i w:val="0"/>
          <w:color w:val="auto"/>
        </w:rPr>
        <w:t xml:space="preserve"> </w:t>
      </w:r>
      <w:r>
        <w:t>trong nước hệ thống sông Nghèn</w:t>
      </w:r>
      <w:bookmarkEnd w:id="549"/>
      <w:bookmarkEnd w:id="550"/>
      <w:bookmarkEnd w:id="551"/>
      <w:bookmarkEnd w:id="552"/>
      <w:bookmarkEnd w:id="553"/>
    </w:p>
    <w:p w14:paraId="60D095A6" w14:textId="77777777" w:rsidR="00085789" w:rsidRDefault="00000000">
      <w:pPr>
        <w:widowControl w:val="0"/>
        <w:spacing w:before="6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3D09E63C" w14:textId="77777777" w:rsidR="00085789" w:rsidRDefault="00000000">
      <w:pPr>
        <w:widowControl w:val="0"/>
        <w:spacing w:before="60" w:line="240" w:lineRule="auto"/>
        <w:ind w:firstLine="709"/>
        <w:jc w:val="both"/>
        <w:rPr>
          <w:noProof/>
          <w:spacing w:val="-4"/>
          <w:sz w:val="26"/>
          <w:szCs w:val="26"/>
        </w:rPr>
      </w:pPr>
      <w:r>
        <w:rPr>
          <w:noProof/>
          <w:spacing w:val="-4"/>
          <w:sz w:val="26"/>
          <w:szCs w:val="26"/>
        </w:rPr>
        <w:t>- Năm 2021-2022: Hàm lượng BOD</w:t>
      </w:r>
      <w:r>
        <w:rPr>
          <w:noProof/>
          <w:spacing w:val="-4"/>
          <w:sz w:val="26"/>
          <w:szCs w:val="26"/>
          <w:vertAlign w:val="subscript"/>
        </w:rPr>
        <w:t>5</w:t>
      </w:r>
      <w:r>
        <w:rPr>
          <w:noProof/>
          <w:spacing w:val="-4"/>
          <w:sz w:val="26"/>
          <w:szCs w:val="26"/>
        </w:rPr>
        <w:t xml:space="preserve"> trong nước sông Cày và sông Nghèn tại Cầu Cửa Sót tại thời điểm quan trắc đang nằm trong giới hạn cho phép theo </w:t>
      </w:r>
      <w:r>
        <w:rPr>
          <w:bCs/>
          <w:spacing w:val="-4"/>
          <w:sz w:val="26"/>
          <w:szCs w:val="26"/>
        </w:rPr>
        <w:t xml:space="preserve">Cột B1 </w:t>
      </w:r>
      <w:r>
        <w:rPr>
          <w:noProof/>
          <w:spacing w:val="-4"/>
          <w:sz w:val="26"/>
          <w:szCs w:val="26"/>
        </w:rPr>
        <w:t>QCVN 08-MT:2015/BTNMT. Hàm lượng BOD</w:t>
      </w:r>
      <w:r>
        <w:rPr>
          <w:noProof/>
          <w:spacing w:val="-4"/>
          <w:sz w:val="26"/>
          <w:szCs w:val="26"/>
          <w:vertAlign w:val="subscript"/>
        </w:rPr>
        <w:t>5</w:t>
      </w:r>
      <w:r>
        <w:rPr>
          <w:noProof/>
          <w:spacing w:val="-4"/>
          <w:sz w:val="26"/>
          <w:szCs w:val="26"/>
        </w:rPr>
        <w:t xml:space="preserve"> trong nước khe Nhà Trò đang nằm trong giới hạn </w:t>
      </w:r>
      <w:r>
        <w:rPr>
          <w:noProof/>
          <w:spacing w:val="-2"/>
          <w:sz w:val="26"/>
          <w:szCs w:val="26"/>
        </w:rPr>
        <w:t xml:space="preserve">cho phép theo </w:t>
      </w:r>
      <w:r>
        <w:rPr>
          <w:bCs/>
          <w:spacing w:val="-2"/>
          <w:sz w:val="26"/>
          <w:szCs w:val="26"/>
        </w:rPr>
        <w:t xml:space="preserve">Cột A2 </w:t>
      </w:r>
      <w:r>
        <w:rPr>
          <w:noProof/>
          <w:spacing w:val="-2"/>
          <w:sz w:val="26"/>
          <w:szCs w:val="26"/>
        </w:rPr>
        <w:t>QCVN 08-MT:2015/BTNMT. Hàm lượng BOD</w:t>
      </w:r>
      <w:r>
        <w:rPr>
          <w:noProof/>
          <w:spacing w:val="-2"/>
          <w:sz w:val="26"/>
          <w:szCs w:val="26"/>
          <w:vertAlign w:val="subscript"/>
        </w:rPr>
        <w:t>5</w:t>
      </w:r>
      <w:r>
        <w:rPr>
          <w:noProof/>
          <w:spacing w:val="-2"/>
          <w:sz w:val="26"/>
          <w:szCs w:val="26"/>
        </w:rPr>
        <w:t xml:space="preserve"> trong nước các sông còn lại tại thời điểm quan trắc có nhiều thời điểm (trừ sông Nghèn tại cống Đò Điệm năm 2021; kênh Nhà lê tại cống Trung Lương năm 2022) vượt giá trị giới hạn theo </w:t>
      </w:r>
      <w:r>
        <w:rPr>
          <w:bCs/>
          <w:spacing w:val="-2"/>
          <w:sz w:val="26"/>
          <w:szCs w:val="26"/>
        </w:rPr>
        <w:t xml:space="preserve">Cột A2 </w:t>
      </w:r>
      <w:r>
        <w:rPr>
          <w:noProof/>
          <w:spacing w:val="-2"/>
          <w:sz w:val="26"/>
          <w:szCs w:val="26"/>
        </w:rPr>
        <w:t>QCVN 08-MT:2015/BTNMT nhưng mức vượt nhỏ (từ 1,01-1,46 lần).</w:t>
      </w:r>
    </w:p>
    <w:p w14:paraId="3FD258F9" w14:textId="77777777" w:rsidR="00085789" w:rsidRDefault="00000000">
      <w:pPr>
        <w:widowControl w:val="0"/>
        <w:spacing w:before="60" w:line="240" w:lineRule="auto"/>
        <w:ind w:firstLine="709"/>
        <w:jc w:val="both"/>
        <w:rPr>
          <w:noProof/>
          <w:sz w:val="26"/>
          <w:szCs w:val="26"/>
        </w:rPr>
      </w:pPr>
      <w:r>
        <w:rPr>
          <w:noProof/>
          <w:spacing w:val="-2"/>
          <w:sz w:val="26"/>
          <w:szCs w:val="26"/>
        </w:rPr>
        <w:t>- Năm 2023-Quý II/2025: Hàm lượng BOD</w:t>
      </w:r>
      <w:r>
        <w:rPr>
          <w:noProof/>
          <w:spacing w:val="-2"/>
          <w:sz w:val="26"/>
          <w:szCs w:val="26"/>
          <w:vertAlign w:val="subscript"/>
        </w:rPr>
        <w:t>5</w:t>
      </w:r>
      <w:r>
        <w:rPr>
          <w:noProof/>
          <w:spacing w:val="-2"/>
          <w:sz w:val="26"/>
          <w:szCs w:val="26"/>
        </w:rPr>
        <w:t xml:space="preserve"> trong nước sông Cày và sông Nghèn</w:t>
      </w:r>
      <w:r>
        <w:rPr>
          <w:noProof/>
          <w:sz w:val="26"/>
          <w:szCs w:val="26"/>
        </w:rPr>
        <w:t xml:space="preserve"> tại Cầu Cửa Sót tại thời điểm quan trắc hầu hết đang nằm trong giới hạn cho phép theo </w:t>
      </w:r>
      <w:r>
        <w:rPr>
          <w:bCs/>
          <w:sz w:val="26"/>
          <w:szCs w:val="26"/>
        </w:rPr>
        <w:t xml:space="preserve">Mức B </w:t>
      </w:r>
      <w:r>
        <w:rPr>
          <w:noProof/>
          <w:sz w:val="26"/>
          <w:szCs w:val="26"/>
        </w:rPr>
        <w:t xml:space="preserve">QCVN 08:2023/BTNMT, riêng năm 2025 tại sông Cày trung bình vượt 1,23 lần. Đối với các điểm còn lại: Năm 2023, trừ điểm kênh Nhà Lê tại cống Trung Lương và sông Nghèn tại cống Đò Điệm đang nằm trong giá trị giới hạn theo </w:t>
      </w:r>
      <w:r>
        <w:rPr>
          <w:bCs/>
          <w:sz w:val="26"/>
          <w:szCs w:val="26"/>
        </w:rPr>
        <w:t xml:space="preserve">Mức A </w:t>
      </w:r>
      <w:r>
        <w:rPr>
          <w:noProof/>
          <w:sz w:val="26"/>
          <w:szCs w:val="26"/>
        </w:rPr>
        <w:t xml:space="preserve">QCVN 08:2023/BTNMT thì các vị trí khác đều vượt giới hạn cho phép theo từ 1,004-1,75 lần; Năm 2024, hầu hết các điểm quan trắc đều nằm trong giá trị giới hạn theo </w:t>
      </w:r>
      <w:r>
        <w:rPr>
          <w:bCs/>
          <w:sz w:val="26"/>
          <w:szCs w:val="26"/>
        </w:rPr>
        <w:t xml:space="preserve">Mức A </w:t>
      </w:r>
      <w:r>
        <w:rPr>
          <w:noProof/>
          <w:sz w:val="26"/>
          <w:szCs w:val="26"/>
        </w:rPr>
        <w:t xml:space="preserve">QCVN 08:2023/BTNMT, riêng mẫu kênh Nhà Lê tại cầu Đức Thịnh I vượt giá trị giới hạn 1,24 lần; Năm 2025, các điểm Kênh Nhà Lê tại cống Trung Lương, kênh Nhà Lê tại cầu Đức Thịnh I, sông Én và khe Nhà Trò nằm trong giá trị giới hạn theo </w:t>
      </w:r>
      <w:r>
        <w:rPr>
          <w:bCs/>
          <w:sz w:val="26"/>
          <w:szCs w:val="26"/>
        </w:rPr>
        <w:t xml:space="preserve">Mức A </w:t>
      </w:r>
      <w:r>
        <w:rPr>
          <w:noProof/>
          <w:sz w:val="26"/>
          <w:szCs w:val="26"/>
        </w:rPr>
        <w:t xml:space="preserve">QCVN 08:2023/BTNMT, các điểm còn lại vượt giá trị giới hạn từ 1,33-1,80 lần. </w:t>
      </w:r>
      <w:r>
        <w:rPr>
          <w:noProof/>
          <w:spacing w:val="-4"/>
          <w:sz w:val="26"/>
          <w:szCs w:val="26"/>
        </w:rPr>
        <w:t>Nguyên nhân: Do hoạt động xả nước thải sinh hoạt, hoạt động chăn nuôi, NTTS,... xả ra môi trường nước mặt các sông này làm gia tăng chất hữu cơ trong môi trường nước mặt.</w:t>
      </w:r>
    </w:p>
    <w:p w14:paraId="03AC25BF" w14:textId="77777777" w:rsidR="00085789" w:rsidRDefault="00000000">
      <w:pPr>
        <w:spacing w:before="120" w:line="36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w:t>
      </w:r>
    </w:p>
    <w:p w14:paraId="7E30C954" w14:textId="77777777" w:rsidR="00085789" w:rsidRDefault="00000000">
      <w:pPr>
        <w:spacing w:before="120" w:line="240" w:lineRule="auto"/>
        <w:jc w:val="both"/>
        <w:rPr>
          <w:b/>
          <w:noProof/>
          <w:spacing w:val="-4"/>
          <w:sz w:val="26"/>
          <w:szCs w:val="26"/>
        </w:rPr>
      </w:pPr>
      <w:r>
        <w:rPr>
          <w:noProof/>
        </w:rPr>
        <w:drawing>
          <wp:inline distT="0" distB="0" distL="0" distR="0" wp14:anchorId="1FF0531C" wp14:editId="61B111AB">
            <wp:extent cx="5761990" cy="1958196"/>
            <wp:effectExtent l="0" t="0" r="10160" b="4445"/>
            <wp:docPr id="2068884191" name="Chart 1">
              <a:extLst xmlns:a="http://schemas.openxmlformats.org/drawingml/2006/main">
                <a:ext uri="{FF2B5EF4-FFF2-40B4-BE49-F238E27FC236}">
                  <a16:creationId xmlns:a16="http://schemas.microsoft.com/office/drawing/2014/main" id="{7EA2E39C-05B2-456B-9591-64C0DC415F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0A89D84" w14:textId="77777777" w:rsidR="00085789" w:rsidRDefault="00000000">
      <w:pPr>
        <w:pStyle w:val="Hd2-hinh"/>
        <w:rPr>
          <w:color w:val="auto"/>
          <w:sz w:val="26"/>
        </w:rPr>
      </w:pPr>
      <w:bookmarkStart w:id="554" w:name="_Toc181861393"/>
      <w:bookmarkStart w:id="555" w:name="_Toc184097493"/>
      <w:r>
        <w:rPr>
          <w:color w:val="auto"/>
          <w:sz w:val="26"/>
        </w:rPr>
        <w:t>Hình 3.10. Diễn biến hàm lượng COD trong nước hệ thống sông Nghèn</w:t>
      </w:r>
      <w:bookmarkEnd w:id="554"/>
      <w:bookmarkEnd w:id="555"/>
    </w:p>
    <w:p w14:paraId="4FAFB07C" w14:textId="77777777" w:rsidR="00085789" w:rsidRDefault="00000000">
      <w:pPr>
        <w:widowControl w:val="0"/>
        <w:spacing w:before="120" w:line="240" w:lineRule="auto"/>
        <w:ind w:firstLine="709"/>
        <w:jc w:val="both"/>
        <w:rPr>
          <w:noProof/>
          <w:spacing w:val="-4"/>
          <w:sz w:val="26"/>
          <w:szCs w:val="26"/>
          <w:u w:val="single"/>
        </w:rPr>
      </w:pPr>
      <w:r>
        <w:rPr>
          <w:i/>
          <w:noProof/>
          <w:spacing w:val="-4"/>
          <w:sz w:val="26"/>
          <w:szCs w:val="26"/>
          <w:u w:val="single"/>
        </w:rPr>
        <w:lastRenderedPageBreak/>
        <w:t>Nhận xét:</w:t>
      </w:r>
    </w:p>
    <w:p w14:paraId="22127597"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Hàm lượng COD trong nước sông Cày và sông Nghèn tại Cầu Cửa Sót tại thời điểm quan trắc năm 2021-2022 đang nằm trong giới hạn cho phép theo </w:t>
      </w:r>
      <w:r>
        <w:rPr>
          <w:bCs/>
          <w:sz w:val="26"/>
          <w:szCs w:val="26"/>
        </w:rPr>
        <w:t xml:space="preserve">Cột B1 </w:t>
      </w:r>
      <w:r>
        <w:rPr>
          <w:noProof/>
          <w:sz w:val="26"/>
          <w:szCs w:val="26"/>
        </w:rPr>
        <w:t xml:space="preserve">QCVN 08-MT:2015/BTNMT. Hàm lượng COD trong nước kênh Nhà Lê tại cống Trung Lương, sông Nghèn tại cống Đò Điệm và khe Nhà Trò tại thời điểm quan trắc năm 2021-2022 và sông Én năm 2022 đang nằm trong giới hạn cho phép theo </w:t>
      </w:r>
      <w:r>
        <w:rPr>
          <w:bCs/>
          <w:sz w:val="26"/>
          <w:szCs w:val="26"/>
        </w:rPr>
        <w:t xml:space="preserve">Cột A2 </w:t>
      </w:r>
      <w:r>
        <w:rPr>
          <w:noProof/>
          <w:sz w:val="26"/>
          <w:szCs w:val="26"/>
        </w:rPr>
        <w:t xml:space="preserve">QCVN 08-MT:2015/BTNMT. Hàm lượng COD trong nước các sông còn lại tại thời điểm quan trắc đều vượt giá trị giới hạn theo </w:t>
      </w:r>
      <w:r>
        <w:rPr>
          <w:bCs/>
          <w:sz w:val="26"/>
          <w:szCs w:val="26"/>
        </w:rPr>
        <w:t xml:space="preserve">Cột A2 </w:t>
      </w:r>
      <w:r>
        <w:rPr>
          <w:noProof/>
          <w:sz w:val="26"/>
          <w:szCs w:val="26"/>
        </w:rPr>
        <w:t>QCVN 08-MT:2015/BTNMT nhưng mức vượt nhỏ (từ 1,02-1,16 lần).</w:t>
      </w:r>
    </w:p>
    <w:p w14:paraId="3935F4F4" w14:textId="77777777" w:rsidR="00085789" w:rsidRDefault="00000000">
      <w:pPr>
        <w:widowControl w:val="0"/>
        <w:spacing w:before="120" w:line="240" w:lineRule="auto"/>
        <w:ind w:firstLine="720"/>
        <w:jc w:val="both"/>
        <w:rPr>
          <w:noProof/>
          <w:spacing w:val="-2"/>
          <w:sz w:val="26"/>
          <w:szCs w:val="26"/>
        </w:rPr>
      </w:pPr>
      <w:r>
        <w:rPr>
          <w:noProof/>
          <w:spacing w:val="-2"/>
          <w:sz w:val="26"/>
          <w:szCs w:val="26"/>
        </w:rPr>
        <w:t xml:space="preserve">- Năm 2023-Quý II/2025: Hàm lượng COD trong nước sông Cày và sông Nghèn tại Cầu Cửa Sót tại thời điểm quan trắc hầu hết vượt giới hạn cho phép theo </w:t>
      </w:r>
      <w:r>
        <w:rPr>
          <w:bCs/>
          <w:spacing w:val="-2"/>
          <w:sz w:val="26"/>
          <w:szCs w:val="26"/>
        </w:rPr>
        <w:t xml:space="preserve">Mức B </w:t>
      </w:r>
      <w:r>
        <w:rPr>
          <w:noProof/>
          <w:spacing w:val="-2"/>
          <w:sz w:val="26"/>
          <w:szCs w:val="26"/>
        </w:rPr>
        <w:t xml:space="preserve">QCVN 08:2023/BTNMT (trừ điểm sông Nghèn tại cầu Cửa Sót năm 2024 đạt) nhưng mức vượt nhỏ từ 1,02-1,33 lần. Hàm lượng COD trong nước các sông còn lại trong hệ thống sông Nghèn tại thời điểm quan trắc hầu hết vượt giới hạn cho phép theo </w:t>
      </w:r>
      <w:r>
        <w:rPr>
          <w:bCs/>
          <w:spacing w:val="-2"/>
          <w:sz w:val="26"/>
          <w:szCs w:val="26"/>
        </w:rPr>
        <w:t xml:space="preserve">Mức A </w:t>
      </w:r>
      <w:r>
        <w:rPr>
          <w:noProof/>
          <w:spacing w:val="-2"/>
          <w:sz w:val="26"/>
          <w:szCs w:val="26"/>
        </w:rPr>
        <w:t>QCVN 08:2023/BTNMT (trừ mẫu tại vị trí sông Nghèn tại cống Đò Điệm năm 2023 và khe Nhà Trò tính đến Quý II/2025 đạt) nhưng mức vượt nhỏ từ 1,1-2,6 lần).</w:t>
      </w:r>
    </w:p>
    <w:p w14:paraId="6602F8F9" w14:textId="77777777" w:rsidR="00085789" w:rsidRDefault="00000000">
      <w:pPr>
        <w:widowControl w:val="0"/>
        <w:spacing w:before="60" w:line="240" w:lineRule="auto"/>
        <w:ind w:firstLine="720"/>
        <w:jc w:val="both"/>
        <w:rPr>
          <w:b/>
          <w:bCs/>
          <w:noProof/>
          <w:spacing w:val="-2"/>
          <w:sz w:val="26"/>
          <w:szCs w:val="26"/>
        </w:rPr>
      </w:pPr>
      <w:r>
        <w:rPr>
          <w:b/>
          <w:bCs/>
          <w:noProof/>
        </w:rPr>
        <w:drawing>
          <wp:anchor distT="0" distB="0" distL="114300" distR="114300" simplePos="0" relativeHeight="252087808" behindDoc="0" locked="0" layoutInCell="1" allowOverlap="1" wp14:anchorId="60FFA54F" wp14:editId="4A75BFE2">
            <wp:simplePos x="0" y="0"/>
            <wp:positionH relativeFrom="margin">
              <wp:align>left</wp:align>
            </wp:positionH>
            <wp:positionV relativeFrom="paragraph">
              <wp:posOffset>368300</wp:posOffset>
            </wp:positionV>
            <wp:extent cx="5761990" cy="2431415"/>
            <wp:effectExtent l="0" t="0" r="10160" b="6985"/>
            <wp:wrapSquare wrapText="bothSides"/>
            <wp:docPr id="1152310229" name="Chart 1">
              <a:extLst xmlns:a="http://schemas.openxmlformats.org/drawingml/2006/main">
                <a:ext uri="{FF2B5EF4-FFF2-40B4-BE49-F238E27FC236}">
                  <a16:creationId xmlns:a16="http://schemas.microsoft.com/office/drawing/2014/main" id="{C4611047-D721-4D31-AD3F-618F4C3348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V relativeFrom="margin">
              <wp14:pctHeight>0</wp14:pctHeight>
            </wp14:sizeRelV>
          </wp:anchor>
        </w:drawing>
      </w:r>
      <w:r>
        <w:rPr>
          <w:b/>
          <w:bCs/>
          <w:noProof/>
          <w:spacing w:val="-2"/>
          <w:sz w:val="26"/>
          <w:szCs w:val="26"/>
        </w:rPr>
        <w:t xml:space="preserve">(3) Diễn biến hàm lượng TSS từ năm 2021-Quý II/2025: </w:t>
      </w:r>
    </w:p>
    <w:p w14:paraId="1B165B79" w14:textId="77777777" w:rsidR="00085789" w:rsidRDefault="00085789">
      <w:pPr>
        <w:widowControl w:val="0"/>
        <w:spacing w:before="60" w:line="240" w:lineRule="auto"/>
        <w:ind w:firstLine="720"/>
        <w:jc w:val="both"/>
        <w:rPr>
          <w:b/>
          <w:bCs/>
          <w:noProof/>
          <w:spacing w:val="-2"/>
          <w:sz w:val="18"/>
          <w:szCs w:val="18"/>
        </w:rPr>
      </w:pPr>
    </w:p>
    <w:p w14:paraId="43C003D4" w14:textId="77777777" w:rsidR="00085789" w:rsidRDefault="00000000">
      <w:pPr>
        <w:pStyle w:val="-bac4"/>
      </w:pPr>
      <w:bookmarkStart w:id="556" w:name="_Toc181861391"/>
      <w:bookmarkStart w:id="557" w:name="_Toc184097491"/>
      <w:bookmarkStart w:id="558" w:name="_Toc205915710"/>
      <w:bookmarkStart w:id="559" w:name="_Toc213597406"/>
      <w:bookmarkStart w:id="560" w:name="_Toc213600765"/>
      <w:r>
        <w:t>Hình 3.11. Diễn biến hàm lượng TSS trong nước hệ thống sông Nghèn</w:t>
      </w:r>
      <w:bookmarkEnd w:id="556"/>
      <w:bookmarkEnd w:id="557"/>
      <w:bookmarkEnd w:id="558"/>
      <w:bookmarkEnd w:id="559"/>
      <w:bookmarkEnd w:id="560"/>
    </w:p>
    <w:p w14:paraId="385FB1CF"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4A352B37"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Hàm lượng TSS trong nước sông Cày, sông Nghèn tại cầu Cửa Sót tại thời điểm quan trắc đang nằm trong giới hạn cho phép theo </w:t>
      </w:r>
      <w:r>
        <w:rPr>
          <w:bCs/>
          <w:sz w:val="26"/>
          <w:szCs w:val="26"/>
        </w:rPr>
        <w:t xml:space="preserve">Cột B1 </w:t>
      </w:r>
      <w:r>
        <w:rPr>
          <w:noProof/>
          <w:sz w:val="26"/>
          <w:szCs w:val="26"/>
        </w:rPr>
        <w:t>QCVN 08-MT:2015/BTNMT. Hàm lượng TSS trong các vị trí nước mặt còn lại hầu hết nằm trong giới hạn cho phép theo Cột A2 QCVN 08-MT:2015/BTNMT, riêng số liệu quan trắc sông Nghèn trung bình năm 2021 vượt giá trị giới hạn Cột A2 1,05 lần.</w:t>
      </w:r>
    </w:p>
    <w:p w14:paraId="74C7AEB9" w14:textId="77777777" w:rsidR="00085789" w:rsidRDefault="00000000">
      <w:pPr>
        <w:spacing w:before="120" w:line="240" w:lineRule="auto"/>
        <w:ind w:firstLine="709"/>
        <w:jc w:val="both"/>
        <w:rPr>
          <w:bCs/>
          <w:sz w:val="26"/>
          <w:szCs w:val="26"/>
        </w:rPr>
      </w:pPr>
      <w:r>
        <w:rPr>
          <w:noProof/>
          <w:sz w:val="26"/>
          <w:szCs w:val="26"/>
        </w:rPr>
        <w:t xml:space="preserve">- Năm 2023-Quý II/2025: Hàm lượng TSS trong nước sông Cày và sông Nghèn tại cầu Cửa Sót tại thời điểm quan trắc đang nằm trong giới hạn cho phép theo </w:t>
      </w:r>
      <w:r>
        <w:rPr>
          <w:bCs/>
          <w:sz w:val="26"/>
          <w:szCs w:val="26"/>
        </w:rPr>
        <w:t xml:space="preserve">Mức B </w:t>
      </w:r>
      <w:r>
        <w:rPr>
          <w:noProof/>
          <w:sz w:val="26"/>
          <w:szCs w:val="26"/>
        </w:rPr>
        <w:t>QCVN 08:2023/BTNMT. H</w:t>
      </w:r>
      <w:r>
        <w:rPr>
          <w:bCs/>
          <w:sz w:val="26"/>
          <w:szCs w:val="26"/>
        </w:rPr>
        <w:t xml:space="preserve">àm lượng TSS trong nước mặt các vị trí còn lại tại thời điểm quan trắc đều nằm trong giá trị giới hạn theo Mức A </w:t>
      </w:r>
      <w:r>
        <w:rPr>
          <w:noProof/>
          <w:sz w:val="26"/>
          <w:szCs w:val="26"/>
        </w:rPr>
        <w:t>QCVN 08:2023/BTNMT.</w:t>
      </w:r>
    </w:p>
    <w:p w14:paraId="2B86F5EE" w14:textId="77777777" w:rsidR="00085789" w:rsidRDefault="00000000">
      <w:pPr>
        <w:spacing w:before="120"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 xml:space="preserve">: </w:t>
      </w:r>
    </w:p>
    <w:p w14:paraId="739575B6" w14:textId="77777777" w:rsidR="00085789" w:rsidRDefault="00000000">
      <w:pPr>
        <w:spacing w:before="120" w:line="240" w:lineRule="auto"/>
        <w:jc w:val="both"/>
        <w:rPr>
          <w:b/>
          <w:noProof/>
          <w:spacing w:val="-4"/>
          <w:sz w:val="26"/>
          <w:szCs w:val="26"/>
        </w:rPr>
      </w:pPr>
      <w:r>
        <w:rPr>
          <w:noProof/>
        </w:rPr>
        <w:lastRenderedPageBreak/>
        <w:drawing>
          <wp:inline distT="0" distB="0" distL="0" distR="0" wp14:anchorId="224F286E" wp14:editId="51CEC9F1">
            <wp:extent cx="5761990" cy="2251495"/>
            <wp:effectExtent l="0" t="0" r="10160" b="15875"/>
            <wp:docPr id="654125461" name="Chart 1">
              <a:extLst xmlns:a="http://schemas.openxmlformats.org/drawingml/2006/main">
                <a:ext uri="{FF2B5EF4-FFF2-40B4-BE49-F238E27FC236}">
                  <a16:creationId xmlns:a16="http://schemas.microsoft.com/office/drawing/2014/main" id="{E5DAAD37-5582-42D4-9DBD-482158D98F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47D1C78B" w14:textId="77777777" w:rsidR="00085789" w:rsidRDefault="00000000">
      <w:pPr>
        <w:pStyle w:val="-bac4"/>
      </w:pPr>
      <w:bookmarkStart w:id="561" w:name="_Toc181861390"/>
      <w:bookmarkStart w:id="562" w:name="_Toc184097490"/>
      <w:bookmarkStart w:id="563" w:name="_Toc205915711"/>
      <w:bookmarkStart w:id="564" w:name="_Toc213597407"/>
      <w:bookmarkStart w:id="565" w:name="_Toc213600766"/>
      <w:r>
        <w:t>Hình 3.12. Diễn biến hàm lượng DO trong nước hệ thống sông Nghèn</w:t>
      </w:r>
      <w:bookmarkEnd w:id="561"/>
      <w:bookmarkEnd w:id="562"/>
      <w:bookmarkEnd w:id="563"/>
      <w:bookmarkEnd w:id="564"/>
      <w:bookmarkEnd w:id="565"/>
    </w:p>
    <w:p w14:paraId="55E10639" w14:textId="77777777" w:rsidR="00085789" w:rsidRDefault="00000000">
      <w:pPr>
        <w:widowControl w:val="0"/>
        <w:spacing w:before="6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34B893AC" w14:textId="77777777" w:rsidR="00085789" w:rsidRDefault="00000000">
      <w:pPr>
        <w:widowControl w:val="0"/>
        <w:spacing w:before="60" w:line="240" w:lineRule="auto"/>
        <w:ind w:firstLine="709"/>
        <w:jc w:val="both"/>
        <w:rPr>
          <w:noProof/>
          <w:sz w:val="26"/>
          <w:szCs w:val="26"/>
        </w:rPr>
      </w:pPr>
      <w:r>
        <w:rPr>
          <w:noProof/>
          <w:sz w:val="26"/>
          <w:szCs w:val="26"/>
        </w:rPr>
        <w:t xml:space="preserve">- Năm 2021-2022: Hàm lượng ôxy hòa tan trong nước sông Cày và sông Nghèn tại cầu Cửa Sót tại thời điểm quan trắc đang nằm trong giới hạn cho phép theo </w:t>
      </w:r>
      <w:r>
        <w:rPr>
          <w:bCs/>
          <w:sz w:val="26"/>
          <w:szCs w:val="26"/>
        </w:rPr>
        <w:t xml:space="preserve">Cột B1 </w:t>
      </w:r>
      <w:r>
        <w:rPr>
          <w:noProof/>
          <w:sz w:val="26"/>
          <w:szCs w:val="26"/>
        </w:rPr>
        <w:t>QCVN 08-MT:2015/BTNMT. Hàm lượng ôxy hòa tan có trong nước mặt các nguồn còn lại của hệ thống sông Nghèn đều đạt Cột A2 QCVN 08-MT:2015/BTNMT.</w:t>
      </w:r>
    </w:p>
    <w:p w14:paraId="2805F498" w14:textId="77777777" w:rsidR="00085789" w:rsidRDefault="00000000">
      <w:pPr>
        <w:widowControl w:val="0"/>
        <w:spacing w:before="60" w:line="240" w:lineRule="auto"/>
        <w:ind w:firstLine="709"/>
        <w:jc w:val="both"/>
        <w:rPr>
          <w:noProof/>
          <w:sz w:val="26"/>
          <w:szCs w:val="26"/>
        </w:rPr>
      </w:pPr>
      <w:r>
        <w:rPr>
          <w:noProof/>
          <w:sz w:val="26"/>
          <w:szCs w:val="26"/>
        </w:rPr>
        <w:t>- Năm 2023-Quý II/2025: Hàm lượng ôxy hòa tan trong nước sông Cày và sông Nghèn tại cầu Cửa Sót tại thời điểm quan trắc đang nằm trong giới hạn cho phép theo Mức</w:t>
      </w:r>
      <w:r>
        <w:rPr>
          <w:bCs/>
          <w:sz w:val="26"/>
          <w:szCs w:val="26"/>
        </w:rPr>
        <w:t xml:space="preserve"> B </w:t>
      </w:r>
      <w:r>
        <w:rPr>
          <w:noProof/>
          <w:sz w:val="26"/>
          <w:szCs w:val="26"/>
        </w:rPr>
        <w:t>QCVN 08:2023/BTNMT. Hàm lượng ôxy hòa tan có trong nước mặt các nguồn còn lại của hệ thống sông Nghèn hầu hết đều đạt Mức A QCVN 08:2023/BTNMT; riêng lượng ôxy hòa tan trong mẫu nước kênh Nhà Lê tại cầu Đức Thịnh 1 thấp hơn 1,07 lần (năm 2023); sông Nghèn tại cầu Thuận Lộc thấp hơn 1,09 lần (năm 2023); sông Già tại chân cầu Già thấp hơn 1,22 lần (năm 2023) và 1,02 lần (năm 2024).</w:t>
      </w:r>
    </w:p>
    <w:p w14:paraId="07852D29" w14:textId="77777777" w:rsidR="00085789" w:rsidRDefault="00000000">
      <w:pPr>
        <w:spacing w:before="120" w:line="340" w:lineRule="exact"/>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1B222B61" w14:textId="77777777" w:rsidR="00085789" w:rsidRDefault="00000000">
      <w:pPr>
        <w:spacing w:before="120" w:line="240" w:lineRule="auto"/>
        <w:jc w:val="both"/>
        <w:rPr>
          <w:b/>
          <w:noProof/>
          <w:spacing w:val="-4"/>
          <w:sz w:val="26"/>
          <w:szCs w:val="26"/>
        </w:rPr>
      </w:pPr>
      <w:r>
        <w:rPr>
          <w:noProof/>
        </w:rPr>
        <w:drawing>
          <wp:inline distT="0" distB="0" distL="0" distR="0" wp14:anchorId="0526156B" wp14:editId="21106ECF">
            <wp:extent cx="5761990" cy="2173857"/>
            <wp:effectExtent l="0" t="0" r="10160" b="17145"/>
            <wp:docPr id="725828134" name="Chart 1">
              <a:extLst xmlns:a="http://schemas.openxmlformats.org/drawingml/2006/main">
                <a:ext uri="{FF2B5EF4-FFF2-40B4-BE49-F238E27FC236}">
                  <a16:creationId xmlns:a16="http://schemas.microsoft.com/office/drawing/2014/main" id="{6D0549E5-39DD-41AB-984B-138968CE6C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8E6E589" w14:textId="77777777" w:rsidR="00085789" w:rsidRDefault="00000000">
      <w:pPr>
        <w:pStyle w:val="-bac4"/>
      </w:pPr>
      <w:bookmarkStart w:id="566" w:name="_Toc181861394"/>
      <w:bookmarkStart w:id="567" w:name="_Toc184097494"/>
      <w:bookmarkStart w:id="568" w:name="_Toc205915712"/>
      <w:bookmarkStart w:id="569" w:name="_Toc213597408"/>
      <w:bookmarkStart w:id="570" w:name="_Toc213600767"/>
      <w:r>
        <w:t>Hình 3.13. Diễn biến hàm lượng Nitrat trong nước hệ thống sông Nghèn</w:t>
      </w:r>
      <w:bookmarkEnd w:id="566"/>
      <w:bookmarkEnd w:id="567"/>
      <w:bookmarkEnd w:id="568"/>
      <w:bookmarkEnd w:id="569"/>
      <w:bookmarkEnd w:id="570"/>
    </w:p>
    <w:p w14:paraId="1D005C37" w14:textId="77777777" w:rsidR="00085789" w:rsidRDefault="00000000">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31DE5A3C" w14:textId="77777777" w:rsidR="00085789" w:rsidRDefault="00000000">
      <w:pPr>
        <w:widowControl w:val="0"/>
        <w:spacing w:before="60"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Hàm lượng Nitrat từ năm 2021-Quý II/2025 trong nước sông Cày và sông Nghèn tại cầu Cửa Sót tại thời điểm quan trắc đang nằm trong giới hạn cho phép theo </w:t>
      </w:r>
      <w:r>
        <w:rPr>
          <w:bCs/>
          <w:sz w:val="26"/>
          <w:szCs w:val="26"/>
        </w:rPr>
        <w:t xml:space="preserve">Cột B1 </w:t>
      </w:r>
      <w:r>
        <w:rPr>
          <w:noProof/>
          <w:sz w:val="26"/>
          <w:szCs w:val="26"/>
        </w:rPr>
        <w:t xml:space="preserve">QCVN 08-MT:2015/BTNMT. Hàm lượng Nitrat trong các sông còn lại trong hệ thống sông Nghèn từ năm 2021-Quý II/2025 đang nằm trong giới hạn cho phép theo </w:t>
      </w:r>
      <w:r>
        <w:rPr>
          <w:bCs/>
          <w:sz w:val="26"/>
          <w:szCs w:val="26"/>
        </w:rPr>
        <w:t xml:space="preserve">Cột A2 </w:t>
      </w:r>
      <w:r>
        <w:rPr>
          <w:noProof/>
          <w:sz w:val="26"/>
          <w:szCs w:val="26"/>
        </w:rPr>
        <w:t>QCVN 08-MT:2015/BTNMT.</w:t>
      </w:r>
    </w:p>
    <w:p w14:paraId="3A3888BD" w14:textId="77777777" w:rsidR="00085789" w:rsidRDefault="00000000">
      <w:pPr>
        <w:spacing w:before="120" w:line="240" w:lineRule="auto"/>
        <w:ind w:firstLine="720"/>
        <w:jc w:val="both"/>
        <w:rPr>
          <w:b/>
          <w:noProof/>
          <w:spacing w:val="-4"/>
          <w:sz w:val="26"/>
          <w:szCs w:val="26"/>
        </w:rPr>
      </w:pPr>
      <w:r>
        <w:rPr>
          <w:b/>
          <w:noProof/>
          <w:spacing w:val="-4"/>
          <w:sz w:val="26"/>
          <w:szCs w:val="26"/>
        </w:rPr>
        <w:lastRenderedPageBreak/>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25E28571" w14:textId="77777777" w:rsidR="00085789" w:rsidRDefault="00000000">
      <w:pPr>
        <w:spacing w:before="120" w:line="240" w:lineRule="auto"/>
        <w:jc w:val="center"/>
        <w:rPr>
          <w:b/>
          <w:noProof/>
          <w:spacing w:val="-4"/>
          <w:sz w:val="26"/>
          <w:szCs w:val="26"/>
        </w:rPr>
      </w:pPr>
      <w:r>
        <w:rPr>
          <w:noProof/>
        </w:rPr>
        <w:drawing>
          <wp:inline distT="0" distB="0" distL="0" distR="0" wp14:anchorId="0E77B2E0" wp14:editId="2115ED48">
            <wp:extent cx="5761990" cy="2162175"/>
            <wp:effectExtent l="0" t="0" r="10160" b="9525"/>
            <wp:docPr id="1263776726" name="Chart 1">
              <a:extLst xmlns:a="http://schemas.openxmlformats.org/drawingml/2006/main">
                <a:ext uri="{FF2B5EF4-FFF2-40B4-BE49-F238E27FC236}">
                  <a16:creationId xmlns:a16="http://schemas.microsoft.com/office/drawing/2014/main" id="{BC01B100-47A4-4EF5-A48B-2CE808BBF8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7E25FE2A" w14:textId="77777777" w:rsidR="00085789" w:rsidRDefault="00000000">
      <w:pPr>
        <w:pStyle w:val="-bac4"/>
      </w:pPr>
      <w:bookmarkStart w:id="571" w:name="_Toc181861398"/>
      <w:bookmarkStart w:id="572" w:name="_Toc184097498"/>
      <w:bookmarkStart w:id="573" w:name="_Toc205915713"/>
      <w:bookmarkStart w:id="574" w:name="_Toc213597409"/>
      <w:bookmarkStart w:id="575" w:name="_Toc213600768"/>
      <w:r>
        <w:t xml:space="preserve">Hình 3.14. Diễn biến hàm lượng </w:t>
      </w:r>
      <w:r>
        <w:rPr>
          <w:spacing w:val="-4"/>
        </w:rPr>
        <w:t>Photphat</w:t>
      </w:r>
      <w:r>
        <w:t xml:space="preserve"> trong nước hệ thống sông Nghèn</w:t>
      </w:r>
      <w:bookmarkEnd w:id="571"/>
      <w:bookmarkEnd w:id="572"/>
      <w:bookmarkEnd w:id="573"/>
      <w:bookmarkEnd w:id="574"/>
      <w:bookmarkEnd w:id="575"/>
    </w:p>
    <w:p w14:paraId="1294815B" w14:textId="77777777" w:rsidR="00085789" w:rsidRDefault="00000000">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Photphat không quy định trong QCVN 08:2023/BTNMT.</w:t>
      </w:r>
    </w:p>
    <w:p w14:paraId="66332958" w14:textId="77777777" w:rsidR="00085789" w:rsidRDefault="00000000">
      <w:pPr>
        <w:widowControl w:val="0"/>
        <w:spacing w:before="60" w:line="240" w:lineRule="auto"/>
        <w:ind w:firstLine="709"/>
        <w:jc w:val="both"/>
        <w:rPr>
          <w:noProof/>
          <w:spacing w:val="-4"/>
          <w:sz w:val="26"/>
          <w:szCs w:val="26"/>
        </w:rPr>
      </w:pPr>
      <w:r>
        <w:rPr>
          <w:i/>
          <w:noProof/>
          <w:sz w:val="26"/>
          <w:szCs w:val="26"/>
          <w:u w:val="single"/>
        </w:rPr>
        <w:t xml:space="preserve">Nhận xét: </w:t>
      </w:r>
      <w:r>
        <w:rPr>
          <w:noProof/>
          <w:sz w:val="26"/>
          <w:szCs w:val="26"/>
        </w:rPr>
        <w:t xml:space="preserve">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trung bình từ năm 2021-Quý II/2025 trong nước sông Cày và sông Nghèn tại cầu Cửa Sót tại thời điểm quan trắc đang nằm trong giới hạn cho phép theo </w:t>
      </w:r>
      <w:r>
        <w:rPr>
          <w:bCs/>
          <w:sz w:val="26"/>
          <w:szCs w:val="26"/>
        </w:rPr>
        <w:t xml:space="preserve">Cột B1 </w:t>
      </w:r>
      <w:r>
        <w:rPr>
          <w:noProof/>
          <w:sz w:val="26"/>
          <w:szCs w:val="26"/>
        </w:rPr>
        <w:t>QCVN 08-MT:2015/BTNMT</w:t>
      </w:r>
      <w:r>
        <w:rPr>
          <w:noProof/>
          <w:spacing w:val="-4"/>
          <w:sz w:val="26"/>
          <w:szCs w:val="26"/>
        </w:rPr>
        <w:t>. Hàm lượng 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trung bình tại các sông, khe còn lại hầu hết đạt </w:t>
      </w:r>
      <w:r>
        <w:rPr>
          <w:bCs/>
          <w:sz w:val="26"/>
          <w:szCs w:val="26"/>
        </w:rPr>
        <w:t xml:space="preserve">Cột A2 </w:t>
      </w:r>
      <w:r>
        <w:rPr>
          <w:noProof/>
          <w:sz w:val="26"/>
          <w:szCs w:val="26"/>
        </w:rPr>
        <w:t xml:space="preserve">QCVN 08-MT:2015/BTNMT; riêng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pacing w:val="-4"/>
          <w:sz w:val="26"/>
          <w:szCs w:val="26"/>
        </w:rPr>
        <w:t xml:space="preserve"> tại</w:t>
      </w:r>
      <w:r>
        <w:rPr>
          <w:noProof/>
          <w:sz w:val="26"/>
          <w:szCs w:val="26"/>
        </w:rPr>
        <w:t xml:space="preserve"> mẫu nước Sông Én vượt 1,06 lần (năm 2022), mẫu khe Nhà Trò vượt 1,81 lần (năm 2024). </w:t>
      </w:r>
      <w:r>
        <w:rPr>
          <w:noProof/>
          <w:spacing w:val="-4"/>
          <w:sz w:val="26"/>
          <w:szCs w:val="26"/>
        </w:rPr>
        <w:t>Nguyên nhân: Do hoạt động xả nước thải sinh hoạt của khu vực thượng nguồn,... ra môi trường nước mặt các sông này</w:t>
      </w:r>
      <w:r>
        <w:rPr>
          <w:noProof/>
          <w:spacing w:val="-2"/>
          <w:sz w:val="26"/>
          <w:szCs w:val="26"/>
        </w:rPr>
        <w:t>.</w:t>
      </w:r>
    </w:p>
    <w:p w14:paraId="53C5F207" w14:textId="77777777" w:rsidR="00085789" w:rsidRDefault="00000000">
      <w:pPr>
        <w:widowControl w:val="0"/>
        <w:spacing w:before="120" w:line="340" w:lineRule="exact"/>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 xml:space="preserve">: </w:t>
      </w:r>
    </w:p>
    <w:p w14:paraId="6BE2E74F" w14:textId="77777777" w:rsidR="00085789" w:rsidRDefault="00000000">
      <w:pPr>
        <w:widowControl w:val="0"/>
        <w:spacing w:before="120" w:line="240" w:lineRule="auto"/>
        <w:jc w:val="both"/>
        <w:rPr>
          <w:b/>
          <w:noProof/>
          <w:spacing w:val="-4"/>
          <w:sz w:val="26"/>
          <w:szCs w:val="26"/>
        </w:rPr>
      </w:pPr>
      <w:r>
        <w:rPr>
          <w:noProof/>
        </w:rPr>
        <w:drawing>
          <wp:inline distT="0" distB="0" distL="0" distR="0" wp14:anchorId="613C9595" wp14:editId="6C435855">
            <wp:extent cx="5761990" cy="2143125"/>
            <wp:effectExtent l="0" t="0" r="10160" b="9525"/>
            <wp:docPr id="863884580" name="Chart 1">
              <a:extLst xmlns:a="http://schemas.openxmlformats.org/drawingml/2006/main">
                <a:ext uri="{FF2B5EF4-FFF2-40B4-BE49-F238E27FC236}">
                  <a16:creationId xmlns:a16="http://schemas.microsoft.com/office/drawing/2014/main" id="{4218CF61-72B9-40E4-BEE7-55F8A5D4C2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7AD0A9B2" w14:textId="77777777" w:rsidR="00085789" w:rsidRDefault="00000000">
      <w:pPr>
        <w:pStyle w:val="-bac4"/>
      </w:pPr>
      <w:bookmarkStart w:id="576" w:name="_Toc181861397"/>
      <w:bookmarkStart w:id="577" w:name="_Toc184097497"/>
      <w:bookmarkStart w:id="578" w:name="_Toc205915714"/>
      <w:bookmarkStart w:id="579" w:name="_Toc213597410"/>
      <w:bookmarkStart w:id="580" w:name="_Toc213600769"/>
      <w:r>
        <w:t>Hình 3.15. Diễn biến hàm lượng Coliform trong nước hệ thống sông Nghèn</w:t>
      </w:r>
      <w:bookmarkEnd w:id="576"/>
      <w:bookmarkEnd w:id="577"/>
      <w:bookmarkEnd w:id="578"/>
      <w:bookmarkEnd w:id="579"/>
      <w:bookmarkEnd w:id="580"/>
    </w:p>
    <w:p w14:paraId="320B165D" w14:textId="77777777" w:rsidR="00085789" w:rsidRDefault="00000000">
      <w:pPr>
        <w:widowControl w:val="0"/>
        <w:spacing w:line="320" w:lineRule="exact"/>
        <w:ind w:firstLine="709"/>
        <w:jc w:val="both"/>
        <w:rPr>
          <w:noProof/>
          <w:sz w:val="26"/>
          <w:szCs w:val="26"/>
          <w:u w:val="single"/>
        </w:rPr>
      </w:pPr>
      <w:r>
        <w:rPr>
          <w:i/>
          <w:noProof/>
          <w:sz w:val="26"/>
          <w:szCs w:val="26"/>
          <w:u w:val="single"/>
        </w:rPr>
        <w:t>Nhận xét:</w:t>
      </w:r>
      <w:r>
        <w:rPr>
          <w:noProof/>
          <w:sz w:val="26"/>
          <w:szCs w:val="26"/>
          <w:u w:val="single"/>
        </w:rPr>
        <w:t xml:space="preserve"> </w:t>
      </w:r>
    </w:p>
    <w:p w14:paraId="6E65BBA2" w14:textId="77777777" w:rsidR="00085789" w:rsidRDefault="00000000">
      <w:pPr>
        <w:widowControl w:val="0"/>
        <w:spacing w:line="320" w:lineRule="exact"/>
        <w:ind w:firstLine="709"/>
        <w:jc w:val="both"/>
        <w:rPr>
          <w:noProof/>
          <w:sz w:val="26"/>
          <w:szCs w:val="26"/>
        </w:rPr>
      </w:pPr>
      <w:r>
        <w:rPr>
          <w:noProof/>
          <w:sz w:val="26"/>
          <w:szCs w:val="26"/>
        </w:rPr>
        <w:t xml:space="preserve">- Năm 2021-2022: </w:t>
      </w:r>
      <w:r>
        <w:rPr>
          <w:noProof/>
          <w:spacing w:val="-4"/>
          <w:sz w:val="26"/>
          <w:szCs w:val="26"/>
        </w:rPr>
        <w:t xml:space="preserve">Hàm lượng Coliform trong nước sông Cày, sông Nghèn tại cầu Cửa Sót tại thời điểm quan trắc đang nằm trong giới hạn cho phép theo </w:t>
      </w:r>
      <w:r>
        <w:rPr>
          <w:bCs/>
          <w:spacing w:val="-4"/>
          <w:sz w:val="26"/>
          <w:szCs w:val="26"/>
        </w:rPr>
        <w:t xml:space="preserve">Cột B1 </w:t>
      </w:r>
      <w:r>
        <w:rPr>
          <w:noProof/>
          <w:spacing w:val="-4"/>
          <w:sz w:val="26"/>
          <w:szCs w:val="26"/>
        </w:rPr>
        <w:t xml:space="preserve">QCVN 08-MT:2015/BTNMT. Hàm lượng Coliform trong nước các sông còn lại tại thời điểm quan trắc đang nằm trong giá trị giới hạn cho phép theo </w:t>
      </w:r>
      <w:r>
        <w:rPr>
          <w:bCs/>
          <w:spacing w:val="-4"/>
          <w:sz w:val="26"/>
          <w:szCs w:val="26"/>
        </w:rPr>
        <w:t xml:space="preserve">Cột A2 </w:t>
      </w:r>
      <w:r>
        <w:rPr>
          <w:noProof/>
          <w:spacing w:val="-4"/>
          <w:sz w:val="26"/>
          <w:szCs w:val="26"/>
        </w:rPr>
        <w:t>QCVN 08-MT:2015/BTNMT.</w:t>
      </w:r>
    </w:p>
    <w:p w14:paraId="4FDC2B7D" w14:textId="77777777" w:rsidR="00085789" w:rsidRDefault="00000000">
      <w:pPr>
        <w:spacing w:before="120" w:line="240" w:lineRule="auto"/>
        <w:ind w:firstLine="720"/>
        <w:jc w:val="both"/>
        <w:rPr>
          <w:noProof/>
          <w:spacing w:val="-2"/>
          <w:sz w:val="26"/>
          <w:szCs w:val="26"/>
        </w:rPr>
      </w:pPr>
      <w:r>
        <w:rPr>
          <w:noProof/>
          <w:spacing w:val="-2"/>
          <w:sz w:val="26"/>
          <w:szCs w:val="26"/>
        </w:rPr>
        <w:t xml:space="preserve">- Năm 2023-Quý II/2025: Hàm lượng Colifrom trong nước sông Cày và sông Nghèn hầu hết đạt </w:t>
      </w:r>
      <w:r>
        <w:rPr>
          <w:bCs/>
          <w:spacing w:val="-2"/>
          <w:sz w:val="26"/>
          <w:szCs w:val="26"/>
        </w:rPr>
        <w:t xml:space="preserve">Mức B </w:t>
      </w:r>
      <w:r>
        <w:rPr>
          <w:noProof/>
          <w:spacing w:val="-2"/>
          <w:sz w:val="26"/>
          <w:szCs w:val="26"/>
        </w:rPr>
        <w:t xml:space="preserve">QCVN 08:2023/BTNMT, riêng vị trí sông Nghèn năm 2023 vượt giá trị giới hạn </w:t>
      </w:r>
      <w:r>
        <w:rPr>
          <w:bCs/>
          <w:spacing w:val="-2"/>
          <w:sz w:val="26"/>
          <w:szCs w:val="26"/>
        </w:rPr>
        <w:t xml:space="preserve">Mức B là 1,17 lần. Đối với các vị trí còn lại: Năm 2023, tất cả các vị trí quan trắc đều vượt giá trị giới hạn Mức A </w:t>
      </w:r>
      <w:r>
        <w:rPr>
          <w:noProof/>
          <w:spacing w:val="-2"/>
          <w:sz w:val="26"/>
          <w:szCs w:val="26"/>
        </w:rPr>
        <w:t xml:space="preserve">QCVN 08:2023/BTNMT; Năm 2024, các điểm quan trắc tại sông Già, sông Nghèn tại cầu Thuần Thiện và cống Đò Điệm, khe Nhà Trò đạt giá trị giới </w:t>
      </w:r>
      <w:r>
        <w:rPr>
          <w:noProof/>
          <w:spacing w:val="-2"/>
          <w:sz w:val="26"/>
          <w:szCs w:val="26"/>
        </w:rPr>
        <w:lastRenderedPageBreak/>
        <w:t xml:space="preserve">hạn theo </w:t>
      </w:r>
      <w:r>
        <w:rPr>
          <w:bCs/>
          <w:spacing w:val="-2"/>
          <w:sz w:val="26"/>
          <w:szCs w:val="26"/>
        </w:rPr>
        <w:t xml:space="preserve">Mức A </w:t>
      </w:r>
      <w:r>
        <w:rPr>
          <w:noProof/>
          <w:spacing w:val="-2"/>
          <w:sz w:val="26"/>
          <w:szCs w:val="26"/>
        </w:rPr>
        <w:t xml:space="preserve">QCVN 08:2023/BTNMT, các điểm còn lại vượt từ 1,04-1,76 lần; Quý II/2025, hầu hết các vị trí quan trắc đang nằm trong giới hạn cho phép theo </w:t>
      </w:r>
      <w:r>
        <w:rPr>
          <w:bCs/>
          <w:spacing w:val="-2"/>
          <w:sz w:val="26"/>
          <w:szCs w:val="26"/>
        </w:rPr>
        <w:t xml:space="preserve">Mức A </w:t>
      </w:r>
      <w:r>
        <w:rPr>
          <w:noProof/>
          <w:spacing w:val="-2"/>
          <w:sz w:val="26"/>
          <w:szCs w:val="26"/>
        </w:rPr>
        <w:t>QCVN 08:2023/BTNMT, riêng các điểm còn lại gồm: Kênh Nhà Lê tại cống Trung Lương, sông Nghèn tại cầu Thuận Lộc và khe Nhà Trò vượt giá trị giới hạn từ 1,04-1,9 lần.</w:t>
      </w:r>
    </w:p>
    <w:p w14:paraId="4C7D3B24" w14:textId="77777777" w:rsidR="00085789" w:rsidRDefault="00000000">
      <w:pPr>
        <w:pStyle w:val="Style13ptBoldJustifiedBefore6ptCondensedby01pt"/>
        <w:spacing w:line="240" w:lineRule="auto"/>
      </w:pPr>
      <w:r>
        <w:t>b) Đánh giá chất lượng nước hệ thống sông Nghèn giai đoạn 2021-2024:</w:t>
      </w:r>
    </w:p>
    <w:p w14:paraId="7B52C105" w14:textId="77777777" w:rsidR="00085789" w:rsidRDefault="00000000">
      <w:pPr>
        <w:spacing w:before="120" w:line="240" w:lineRule="auto"/>
        <w:ind w:firstLine="720"/>
        <w:jc w:val="both"/>
        <w:rPr>
          <w:bCs/>
          <w:iCs/>
          <w:sz w:val="26"/>
          <w:szCs w:val="26"/>
          <w:lang w:val="pt-BR"/>
        </w:rPr>
      </w:pPr>
      <w:r>
        <w:rPr>
          <w:bCs/>
          <w:iCs/>
          <w:sz w:val="26"/>
          <w:szCs w:val="26"/>
          <w:lang w:val="pt-BR"/>
        </w:rPr>
        <w:t>Chất lượng nước hệ thống sông Nghèn được thể hiện qua chỉ số đánh giá chất lượng nước WQI như hình sau:</w:t>
      </w:r>
    </w:p>
    <w:p w14:paraId="30C3E111" w14:textId="77777777" w:rsidR="00085789" w:rsidRDefault="00000000">
      <w:pPr>
        <w:spacing w:before="120" w:line="240" w:lineRule="auto"/>
        <w:rPr>
          <w:bCs/>
          <w:iCs/>
          <w:lang w:val="pt-BR"/>
        </w:rPr>
      </w:pPr>
      <w:r>
        <w:rPr>
          <w:noProof/>
        </w:rPr>
        <w:drawing>
          <wp:inline distT="0" distB="0" distL="0" distR="0" wp14:anchorId="6EA0A199" wp14:editId="23645A01">
            <wp:extent cx="5761990" cy="2593075"/>
            <wp:effectExtent l="0" t="0" r="10160" b="17145"/>
            <wp:docPr id="1658746767" name="Chart 1">
              <a:extLst xmlns:a="http://schemas.openxmlformats.org/drawingml/2006/main">
                <a:ext uri="{FF2B5EF4-FFF2-40B4-BE49-F238E27FC236}">
                  <a16:creationId xmlns:a16="http://schemas.microsoft.com/office/drawing/2014/main" id="{ED253737-A4EB-439F-8BAF-F6F8531BF9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59E1394" w14:textId="77777777" w:rsidR="00085789" w:rsidRDefault="00000000">
      <w:pPr>
        <w:pStyle w:val="-bac4"/>
        <w:rPr>
          <w:lang w:val="pt-BR"/>
        </w:rPr>
      </w:pPr>
      <w:bookmarkStart w:id="581" w:name="_Toc205915715"/>
      <w:bookmarkStart w:id="582" w:name="_Toc213597411"/>
      <w:bookmarkStart w:id="583" w:name="_Toc213600770"/>
      <w:r>
        <w:rPr>
          <w:lang w:val="pt-BR"/>
        </w:rPr>
        <w:t>Hình 3.16. Chỉ số WQI nước mặt sông Nghèn giai đoạn 2021-2024.</w:t>
      </w:r>
      <w:bookmarkEnd w:id="581"/>
      <w:bookmarkEnd w:id="582"/>
      <w:bookmarkEnd w:id="583"/>
    </w:p>
    <w:p w14:paraId="7C61FCC3" w14:textId="77777777" w:rsidR="00085789" w:rsidRDefault="00000000">
      <w:pPr>
        <w:spacing w:before="120" w:line="240" w:lineRule="auto"/>
        <w:ind w:firstLine="720"/>
        <w:jc w:val="both"/>
        <w:rPr>
          <w:spacing w:val="-2"/>
          <w:sz w:val="26"/>
          <w:szCs w:val="26"/>
          <w:lang w:val="pt-BR"/>
        </w:rPr>
      </w:pPr>
      <w:r>
        <w:rPr>
          <w:bCs/>
          <w:i/>
          <w:spacing w:val="-2"/>
          <w:sz w:val="26"/>
          <w:szCs w:val="26"/>
          <w:u w:val="single"/>
          <w:lang w:val="pt-BR"/>
        </w:rPr>
        <w:t>Nhận xét:</w:t>
      </w:r>
      <w:r>
        <w:rPr>
          <w:bCs/>
          <w:iCs/>
          <w:spacing w:val="-2"/>
          <w:sz w:val="26"/>
          <w:szCs w:val="26"/>
          <w:lang w:val="pt-BR"/>
        </w:rPr>
        <w:t xml:space="preserve"> Qua kết quả</w:t>
      </w:r>
      <w:r>
        <w:rPr>
          <w:spacing w:val="-2"/>
          <w:sz w:val="26"/>
          <w:szCs w:val="26"/>
          <w:lang w:val="pt-BR"/>
        </w:rPr>
        <w:t xml:space="preserve"> WQI trung bình năm của hệ thống sông Nghèn cho thấy: Hầu hết các vị trí quan trắc qua các năm 2021-2024 đều có chất lượng nước có thể sử dụng cho mục đích cấp nước sinh hoạt nhưng cần có các biện pháp xử lý phù hợp, ngoại trừ mẫu nước kênh Nhà Lê tại cầu Đức Thịnh I (năm 2021), sông Nghèn tại cầu Cửa Sót (năm 2023) có chất lượng nước </w:t>
      </w:r>
      <w:r>
        <w:rPr>
          <w:spacing w:val="-2"/>
          <w:sz w:val="26"/>
          <w:szCs w:val="26"/>
          <w:lang w:val="vi-VN"/>
        </w:rPr>
        <w:t>có thể sử dụng cho mục đích tưới tiêu và các mục đích tương đương khác</w:t>
      </w:r>
      <w:r>
        <w:rPr>
          <w:spacing w:val="-2"/>
          <w:sz w:val="26"/>
          <w:szCs w:val="26"/>
          <w:lang w:val="pt-BR"/>
        </w:rPr>
        <w:t>. Như vậy để đánh giá chất lượng nước sông Nghèn trong thời gian tới cần duy trì các điểm quan trắc trên, ngoại trừ sông Già. Mục đích quan trắc nước sông Già để giám sát chất lượng nước cấp cho Nhà máy nước Bắc Thạch Hà, tuy nhiên nhà máy nước hiện nay đã chuyển qua lấy nước từ hồ Tại Tiểu tại xã Đồng Lộc.</w:t>
      </w:r>
    </w:p>
    <w:p w14:paraId="562AC989" w14:textId="77777777" w:rsidR="00085789" w:rsidRDefault="00000000">
      <w:pPr>
        <w:pStyle w:val="StyleHeading4Char1Char11Char11CharHeading4CharCharCharC"/>
        <w:spacing w:after="0" w:line="240" w:lineRule="auto"/>
        <w:rPr>
          <w:lang w:val="pt-BR"/>
        </w:rPr>
      </w:pPr>
      <w:r>
        <w:rPr>
          <w:lang w:val="pt-BR"/>
        </w:rPr>
        <w:t>3.1.2.1.3. Diễn biến chất lượng nước hệ thống sông La:</w:t>
      </w:r>
    </w:p>
    <w:p w14:paraId="428280FC" w14:textId="77777777" w:rsidR="00085789" w:rsidRDefault="00000000">
      <w:pPr>
        <w:spacing w:before="120" w:line="240" w:lineRule="auto"/>
        <w:ind w:firstLine="709"/>
        <w:jc w:val="both"/>
        <w:rPr>
          <w:b/>
          <w:bCs/>
          <w:spacing w:val="-2"/>
          <w:sz w:val="26"/>
          <w:szCs w:val="26"/>
          <w:lang w:val="pt-BR"/>
        </w:rPr>
      </w:pPr>
      <w:r>
        <w:rPr>
          <w:b/>
          <w:bCs/>
          <w:spacing w:val="-2"/>
          <w:sz w:val="26"/>
          <w:szCs w:val="26"/>
          <w:lang w:val="pt-BR"/>
        </w:rPr>
        <w:t xml:space="preserve">a) Phân tích diễn biến chất lượng nước hệ thống sông La </w:t>
      </w:r>
      <w:r>
        <w:rPr>
          <w:b/>
          <w:noProof/>
          <w:spacing w:val="-4"/>
          <w:sz w:val="26"/>
          <w:szCs w:val="26"/>
          <w:lang w:val="pt-BR"/>
        </w:rPr>
        <w:t>từ năm 2021-Quý II/2025</w:t>
      </w:r>
      <w:r>
        <w:rPr>
          <w:b/>
          <w:bCs/>
          <w:spacing w:val="-2"/>
          <w:sz w:val="26"/>
          <w:szCs w:val="26"/>
          <w:lang w:val="pt-BR"/>
        </w:rPr>
        <w:t>:</w:t>
      </w:r>
    </w:p>
    <w:p w14:paraId="239B12D3" w14:textId="77777777" w:rsidR="00085789" w:rsidRDefault="00000000">
      <w:pPr>
        <w:spacing w:before="120" w:line="240" w:lineRule="auto"/>
        <w:ind w:firstLine="720"/>
        <w:jc w:val="both"/>
        <w:rPr>
          <w:sz w:val="26"/>
          <w:szCs w:val="26"/>
          <w:lang w:val="pt-BR"/>
        </w:rPr>
      </w:pPr>
      <w:r>
        <w:rPr>
          <w:sz w:val="26"/>
          <w:szCs w:val="26"/>
          <w:lang w:val="pt-BR"/>
        </w:rPr>
        <w:t>Sông La là một phụ lưu của sông Lam (dòng chảy chính từ phía tỉnh Hà Tĩnh đổ vào), sông có chiều dài 12,5 km là hợp lưu của sông Ngàn Sâu và sông Ngàn Phố bắt đầu từ bến Tam Soa, diện tích lưu vực 3.221 km</w:t>
      </w:r>
      <w:r>
        <w:rPr>
          <w:sz w:val="26"/>
          <w:szCs w:val="26"/>
          <w:vertAlign w:val="superscript"/>
          <w:lang w:val="pt-BR"/>
        </w:rPr>
        <w:t>2</w:t>
      </w:r>
      <w:r>
        <w:rPr>
          <w:sz w:val="26"/>
          <w:szCs w:val="26"/>
          <w:lang w:val="pt-BR"/>
        </w:rPr>
        <w:t>. Cuối dòng chảy, sông La hợp lưu với sông Lam (tại khu vực bãi Nghén, xã Đức Quang và xã Đức Minh). Các vị trí quan trắc đều là vị trí chịu ảnh hưởng nhiều bởi các hoạt động sản xuất nông nghiệp, công nghiệp, sinh hoạt và kinh doanh, dịch vụ của con người. Diễn biến ô nhiễm môi trường nước hệ thống sông La qua từng năm như sau:</w:t>
      </w:r>
    </w:p>
    <w:p w14:paraId="0F2DE2E0" w14:textId="77777777" w:rsidR="00085789" w:rsidRDefault="00000000">
      <w:pPr>
        <w:spacing w:before="120" w:line="240" w:lineRule="auto"/>
        <w:ind w:firstLine="720"/>
        <w:jc w:val="both"/>
        <w:rPr>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w:t>
      </w:r>
      <w:r>
        <w:rPr>
          <w:noProof/>
          <w:sz w:val="26"/>
          <w:szCs w:val="26"/>
          <w:lang w:val="pt-BR"/>
        </w:rPr>
        <w:t xml:space="preserve"> </w:t>
      </w:r>
    </w:p>
    <w:p w14:paraId="6E656405" w14:textId="77777777" w:rsidR="00085789" w:rsidRDefault="00000000">
      <w:pPr>
        <w:spacing w:before="120" w:line="240" w:lineRule="auto"/>
        <w:jc w:val="both"/>
        <w:rPr>
          <w:b/>
          <w:noProof/>
          <w:spacing w:val="-4"/>
          <w:sz w:val="26"/>
          <w:szCs w:val="26"/>
        </w:rPr>
      </w:pPr>
      <w:r>
        <w:rPr>
          <w:noProof/>
        </w:rPr>
        <w:lastRenderedPageBreak/>
        <w:drawing>
          <wp:inline distT="0" distB="0" distL="0" distR="0" wp14:anchorId="5BDD8FBC" wp14:editId="5DE0020D">
            <wp:extent cx="5761990" cy="2238375"/>
            <wp:effectExtent l="0" t="0" r="10160" b="9525"/>
            <wp:docPr id="1646028232" name="Chart 1">
              <a:extLst xmlns:a="http://schemas.openxmlformats.org/drawingml/2006/main">
                <a:ext uri="{FF2B5EF4-FFF2-40B4-BE49-F238E27FC236}">
                  <a16:creationId xmlns:a16="http://schemas.microsoft.com/office/drawing/2014/main" id="{37F64C92-C7C9-4A79-A602-1193119301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42BAF9F2" w14:textId="77777777" w:rsidR="00085789" w:rsidRDefault="00000000">
      <w:pPr>
        <w:pStyle w:val="-bac4"/>
        <w:rPr>
          <w:i/>
        </w:rPr>
      </w:pPr>
      <w:bookmarkStart w:id="584" w:name="_Toc181861402"/>
      <w:bookmarkStart w:id="585" w:name="_Toc184097502"/>
      <w:bookmarkStart w:id="586" w:name="_Toc205915716"/>
      <w:bookmarkStart w:id="587" w:name="_Toc213597412"/>
      <w:bookmarkStart w:id="588" w:name="_Toc213600771"/>
      <w:r>
        <w:rPr>
          <w:rStyle w:val="b5Char"/>
          <w:b/>
          <w:i w:val="0"/>
          <w:color w:val="auto"/>
        </w:rPr>
        <w:t>Hình 3.17. Diễn biến hàm lượng BOD</w:t>
      </w:r>
      <w:r>
        <w:rPr>
          <w:rStyle w:val="b5Char"/>
          <w:b/>
          <w:i w:val="0"/>
          <w:color w:val="auto"/>
          <w:vertAlign w:val="subscript"/>
        </w:rPr>
        <w:t>5</w:t>
      </w:r>
      <w:r>
        <w:rPr>
          <w:rStyle w:val="b5Char"/>
          <w:b/>
          <w:i w:val="0"/>
          <w:color w:val="auto"/>
        </w:rPr>
        <w:t xml:space="preserve"> </w:t>
      </w:r>
      <w:r>
        <w:t>trong nước hệ thống sông La</w:t>
      </w:r>
      <w:bookmarkEnd w:id="584"/>
      <w:bookmarkEnd w:id="585"/>
      <w:bookmarkEnd w:id="586"/>
      <w:bookmarkEnd w:id="587"/>
      <w:bookmarkEnd w:id="588"/>
    </w:p>
    <w:p w14:paraId="1A138292"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7984E3B7"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hệ thống sông La tại thời điểm quan trắc hầu hết đang nằm trong giới hạn cho phép theo Cột A2 QCVN 08-MT:2015/BTNMT. Riêng mẫu tại kênh 19/5 vượt 1,06 lần (năm 2021).</w:t>
      </w:r>
    </w:p>
    <w:p w14:paraId="7A20EB06" w14:textId="77777777" w:rsidR="00085789" w:rsidRDefault="00000000">
      <w:pPr>
        <w:widowControl w:val="0"/>
        <w:spacing w:before="120" w:line="240" w:lineRule="auto"/>
        <w:ind w:firstLine="709"/>
        <w:jc w:val="both"/>
        <w:rPr>
          <w:noProof/>
          <w:sz w:val="26"/>
          <w:szCs w:val="26"/>
        </w:rPr>
      </w:pPr>
      <w:r>
        <w:rPr>
          <w:noProof/>
          <w:spacing w:val="-2"/>
          <w:sz w:val="26"/>
          <w:szCs w:val="26"/>
        </w:rPr>
        <w:t xml:space="preserve">- Năm 2023-Quý II/2025: </w:t>
      </w:r>
      <w:r>
        <w:rPr>
          <w:noProof/>
          <w:sz w:val="26"/>
          <w:szCs w:val="26"/>
        </w:rPr>
        <w:t xml:space="preserve">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hệ thống sông La tại thời điểm quan trắc hầu hết đang nằm trong giới hạn cho phép theo Mức</w:t>
      </w:r>
      <w:r>
        <w:rPr>
          <w:bCs/>
          <w:sz w:val="26"/>
          <w:szCs w:val="26"/>
        </w:rPr>
        <w:t xml:space="preserve"> A </w:t>
      </w:r>
      <w:r>
        <w:rPr>
          <w:noProof/>
          <w:sz w:val="26"/>
          <w:szCs w:val="26"/>
        </w:rPr>
        <w:t>QCVN 08:2023/BTNMT. Riêng năm 2025, mẫu tại sông La và kênh 19/5 vượt giá trị giới hạn theo Mức A lần lượt từ 1,18-2,23 lần. Nguyên nhân: Do nước thải sinh hoạt, NTTS từ các hoạt động sinh hoạt từ khu vực gần điểm quan trắc.</w:t>
      </w:r>
    </w:p>
    <w:p w14:paraId="5BE535A5" w14:textId="77777777" w:rsidR="00085789" w:rsidRDefault="00000000">
      <w:pPr>
        <w:spacing w:before="120" w:line="36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 xml:space="preserve">: </w:t>
      </w:r>
    </w:p>
    <w:p w14:paraId="0347ED83" w14:textId="77777777" w:rsidR="00085789" w:rsidRDefault="00000000">
      <w:pPr>
        <w:spacing w:before="120" w:line="240" w:lineRule="auto"/>
        <w:jc w:val="both"/>
        <w:rPr>
          <w:b/>
          <w:noProof/>
          <w:spacing w:val="-4"/>
          <w:sz w:val="26"/>
          <w:szCs w:val="26"/>
        </w:rPr>
      </w:pPr>
      <w:r>
        <w:rPr>
          <w:noProof/>
        </w:rPr>
        <w:drawing>
          <wp:inline distT="0" distB="0" distL="0" distR="0" wp14:anchorId="75BB95FE" wp14:editId="38763958">
            <wp:extent cx="5761990" cy="2216506"/>
            <wp:effectExtent l="0" t="0" r="10160" b="12700"/>
            <wp:docPr id="2122162577" name="Chart 1">
              <a:extLst xmlns:a="http://schemas.openxmlformats.org/drawingml/2006/main">
                <a:ext uri="{FF2B5EF4-FFF2-40B4-BE49-F238E27FC236}">
                  <a16:creationId xmlns:a16="http://schemas.microsoft.com/office/drawing/2014/main" id="{998C42CC-828D-4D96-96B6-BA619C9EA9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96F63A6" w14:textId="77777777" w:rsidR="00085789" w:rsidRDefault="00000000">
      <w:pPr>
        <w:pStyle w:val="-bac4"/>
      </w:pPr>
      <w:bookmarkStart w:id="589" w:name="_Toc181861403"/>
      <w:bookmarkStart w:id="590" w:name="_Toc184097503"/>
      <w:bookmarkStart w:id="591" w:name="_Toc205915717"/>
      <w:bookmarkStart w:id="592" w:name="_Toc213597413"/>
      <w:bookmarkStart w:id="593" w:name="_Toc213600772"/>
      <w:r>
        <w:t>Hình 3.18. Diễn biến hàm lượng COD trong nước hệ thống sông La</w:t>
      </w:r>
      <w:bookmarkEnd w:id="589"/>
      <w:bookmarkEnd w:id="590"/>
      <w:bookmarkEnd w:id="591"/>
      <w:bookmarkEnd w:id="592"/>
      <w:bookmarkEnd w:id="593"/>
    </w:p>
    <w:p w14:paraId="414EC5D4"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06081D6D" w14:textId="77777777" w:rsidR="00085789" w:rsidRDefault="00000000">
      <w:pPr>
        <w:widowControl w:val="0"/>
        <w:spacing w:before="120" w:line="240" w:lineRule="auto"/>
        <w:ind w:firstLine="709"/>
        <w:jc w:val="both"/>
        <w:rPr>
          <w:noProof/>
          <w:spacing w:val="-6"/>
          <w:sz w:val="26"/>
          <w:szCs w:val="26"/>
        </w:rPr>
      </w:pPr>
      <w:r>
        <w:rPr>
          <w:noProof/>
          <w:spacing w:val="-6"/>
          <w:sz w:val="26"/>
          <w:szCs w:val="26"/>
        </w:rPr>
        <w:t xml:space="preserve">- Năm 2021-2022: Hàm lượng </w:t>
      </w:r>
      <w:r>
        <w:rPr>
          <w:rStyle w:val="b5Char"/>
          <w:b w:val="0"/>
          <w:i w:val="0"/>
          <w:color w:val="auto"/>
          <w:spacing w:val="-6"/>
          <w:szCs w:val="26"/>
        </w:rPr>
        <w:t>COD</w:t>
      </w:r>
      <w:r>
        <w:rPr>
          <w:noProof/>
          <w:spacing w:val="-6"/>
          <w:sz w:val="26"/>
          <w:szCs w:val="26"/>
        </w:rPr>
        <w:t xml:space="preserve"> trong nước hệ thống sông La tại thời điểm quan trắc đều đang nằm trong giới hạn cho phép theo Cột A2 QCVN 08-MT:2015/BTNMT.</w:t>
      </w:r>
    </w:p>
    <w:p w14:paraId="005D960C" w14:textId="77777777" w:rsidR="00085789" w:rsidRDefault="00000000">
      <w:pPr>
        <w:spacing w:before="120" w:line="240" w:lineRule="auto"/>
        <w:ind w:firstLine="720"/>
        <w:jc w:val="both"/>
        <w:rPr>
          <w:sz w:val="26"/>
          <w:szCs w:val="26"/>
          <w:lang w:val="pt-BR"/>
        </w:rPr>
      </w:pPr>
      <w:r>
        <w:rPr>
          <w:noProof/>
          <w:spacing w:val="-4"/>
          <w:sz w:val="26"/>
          <w:szCs w:val="26"/>
        </w:rPr>
        <w:t>- Năm 2023-Quý II/2025: Từ các năm 2023-2024, h</w:t>
      </w:r>
      <w:r>
        <w:rPr>
          <w:noProof/>
          <w:sz w:val="26"/>
          <w:szCs w:val="26"/>
        </w:rPr>
        <w:t xml:space="preserve">àm lượng </w:t>
      </w:r>
      <w:r>
        <w:rPr>
          <w:rStyle w:val="b5Char"/>
          <w:b w:val="0"/>
          <w:i w:val="0"/>
          <w:color w:val="auto"/>
          <w:szCs w:val="26"/>
        </w:rPr>
        <w:t>COD</w:t>
      </w:r>
      <w:r>
        <w:rPr>
          <w:noProof/>
          <w:sz w:val="26"/>
          <w:szCs w:val="26"/>
        </w:rPr>
        <w:t xml:space="preserve"> trong nước hệ thống sông La tại thời điểm quan trắc đang nằm trong giới hạn cho phép theo Mức</w:t>
      </w:r>
      <w:r>
        <w:rPr>
          <w:bCs/>
          <w:sz w:val="26"/>
          <w:szCs w:val="26"/>
        </w:rPr>
        <w:t xml:space="preserve"> A </w:t>
      </w:r>
      <w:r>
        <w:rPr>
          <w:noProof/>
          <w:sz w:val="26"/>
          <w:szCs w:val="26"/>
        </w:rPr>
        <w:t>QCVN 08:2023/BTNMT. Riêng giá trị COD tính đến Quý II/2025, tại suối Rào An, sông La và kênh 19/5 có vượt giá trị giới hạn từ 1,3-2,5 lần. Nguyên nhân: Do nước thải sinh hoạt, NTTS từ các hoạt động sinh hoạt từ khu vực gần điểm quan trắc.</w:t>
      </w:r>
    </w:p>
    <w:p w14:paraId="21520DB9" w14:textId="77777777" w:rsidR="00085789" w:rsidRDefault="00000000">
      <w:pPr>
        <w:spacing w:before="120" w:line="360" w:lineRule="exact"/>
        <w:ind w:firstLine="720"/>
        <w:jc w:val="both"/>
        <w:rPr>
          <w:b/>
          <w:noProof/>
          <w:spacing w:val="-4"/>
          <w:sz w:val="26"/>
          <w:szCs w:val="26"/>
          <w:lang w:val="pt-BR"/>
        </w:rPr>
      </w:pPr>
      <w:r>
        <w:rPr>
          <w:b/>
          <w:noProof/>
          <w:spacing w:val="-4"/>
          <w:sz w:val="26"/>
          <w:szCs w:val="26"/>
          <w:lang w:val="pt-BR"/>
        </w:rPr>
        <w:lastRenderedPageBreak/>
        <w:t xml:space="preserve">(3) Diễn biến hàm lượng TSS từ năm 2021-Quý II/2025: </w:t>
      </w:r>
    </w:p>
    <w:p w14:paraId="63E530FF" w14:textId="77777777" w:rsidR="00085789" w:rsidRDefault="00000000">
      <w:pPr>
        <w:spacing w:before="120" w:line="240" w:lineRule="auto"/>
        <w:jc w:val="both"/>
        <w:rPr>
          <w:b/>
          <w:noProof/>
          <w:spacing w:val="-4"/>
          <w:sz w:val="26"/>
          <w:szCs w:val="26"/>
        </w:rPr>
      </w:pPr>
      <w:r>
        <w:rPr>
          <w:noProof/>
        </w:rPr>
        <w:drawing>
          <wp:inline distT="0" distB="0" distL="0" distR="0" wp14:anchorId="2A82B96A" wp14:editId="740FE62E">
            <wp:extent cx="5761990" cy="2289657"/>
            <wp:effectExtent l="0" t="0" r="10160" b="15875"/>
            <wp:docPr id="192015781" name="Chart 1">
              <a:extLst xmlns:a="http://schemas.openxmlformats.org/drawingml/2006/main">
                <a:ext uri="{FF2B5EF4-FFF2-40B4-BE49-F238E27FC236}">
                  <a16:creationId xmlns:a16="http://schemas.microsoft.com/office/drawing/2014/main" id="{119B30C3-E15D-4DBD-A7FC-C5614616A2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A95971A" w14:textId="77777777" w:rsidR="00085789" w:rsidRDefault="00000000">
      <w:pPr>
        <w:pStyle w:val="-bac4"/>
      </w:pPr>
      <w:bookmarkStart w:id="594" w:name="_Toc181861401"/>
      <w:bookmarkStart w:id="595" w:name="_Toc184097501"/>
      <w:bookmarkStart w:id="596" w:name="_Toc205915718"/>
      <w:bookmarkStart w:id="597" w:name="_Toc213597414"/>
      <w:bookmarkStart w:id="598" w:name="_Toc213600773"/>
      <w:r>
        <w:t>Hình 3.19. Diễn biến hàm lượng TSS trong nước hệ thống sông La</w:t>
      </w:r>
      <w:bookmarkEnd w:id="594"/>
      <w:bookmarkEnd w:id="595"/>
      <w:bookmarkEnd w:id="596"/>
      <w:bookmarkEnd w:id="597"/>
      <w:bookmarkEnd w:id="598"/>
    </w:p>
    <w:p w14:paraId="07D2B2F1" w14:textId="77777777" w:rsidR="00085789" w:rsidRDefault="00000000">
      <w:pPr>
        <w:widowControl w:val="0"/>
        <w:spacing w:line="340" w:lineRule="exact"/>
        <w:ind w:firstLine="709"/>
        <w:jc w:val="both"/>
        <w:rPr>
          <w:noProof/>
          <w:sz w:val="26"/>
          <w:szCs w:val="26"/>
          <w:u w:val="single"/>
        </w:rPr>
      </w:pPr>
      <w:r>
        <w:rPr>
          <w:i/>
          <w:noProof/>
          <w:sz w:val="26"/>
          <w:szCs w:val="26"/>
          <w:u w:val="single"/>
        </w:rPr>
        <w:t>Nhận xét:</w:t>
      </w:r>
    </w:p>
    <w:p w14:paraId="392769A5" w14:textId="77777777" w:rsidR="00085789" w:rsidRDefault="00000000">
      <w:pPr>
        <w:widowControl w:val="0"/>
        <w:spacing w:line="340" w:lineRule="exact"/>
        <w:ind w:firstLine="709"/>
        <w:jc w:val="both"/>
        <w:rPr>
          <w:noProof/>
          <w:sz w:val="26"/>
          <w:szCs w:val="26"/>
        </w:rPr>
      </w:pPr>
      <w:r>
        <w:rPr>
          <w:noProof/>
          <w:sz w:val="26"/>
          <w:szCs w:val="26"/>
        </w:rPr>
        <w:t>- Năm 2021-2022: Hàm lượng TSS trong nước hệ thống sông La tại thời điểm quan trắc đang nằm trong giới hạn cho phép theo Cột A2 QCVN 08-MT:2015/BTNMT.</w:t>
      </w:r>
    </w:p>
    <w:p w14:paraId="380CAB38" w14:textId="77777777" w:rsidR="00085789" w:rsidRDefault="00000000">
      <w:pPr>
        <w:spacing w:line="340" w:lineRule="exact"/>
        <w:ind w:firstLine="709"/>
        <w:jc w:val="both"/>
        <w:rPr>
          <w:bCs/>
          <w:sz w:val="26"/>
          <w:szCs w:val="26"/>
        </w:rPr>
      </w:pPr>
      <w:r>
        <w:rPr>
          <w:noProof/>
          <w:sz w:val="26"/>
          <w:szCs w:val="26"/>
        </w:rPr>
        <w:t>- Năm 2023-Quý II/2025: Hàm lượng TSS trong nước hệ thống sông La tại thời điểm quan trắc đang nằm trong giới hạn cho phép theo Mức</w:t>
      </w:r>
      <w:r>
        <w:rPr>
          <w:bCs/>
          <w:sz w:val="26"/>
          <w:szCs w:val="26"/>
        </w:rPr>
        <w:t xml:space="preserve"> A </w:t>
      </w:r>
      <w:r>
        <w:rPr>
          <w:noProof/>
          <w:sz w:val="26"/>
          <w:szCs w:val="26"/>
        </w:rPr>
        <w:t>QCVN 08:2023/BTNMT.</w:t>
      </w:r>
    </w:p>
    <w:p w14:paraId="591159BC" w14:textId="77777777" w:rsidR="00085789" w:rsidRDefault="00000000">
      <w:pPr>
        <w:keepNext/>
        <w:spacing w:before="120" w:line="320" w:lineRule="exact"/>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p>
    <w:p w14:paraId="09AC6BB3" w14:textId="77777777" w:rsidR="00085789" w:rsidRDefault="00000000">
      <w:pPr>
        <w:spacing w:before="120" w:line="240" w:lineRule="auto"/>
        <w:jc w:val="both"/>
        <w:rPr>
          <w:b/>
          <w:noProof/>
          <w:spacing w:val="-4"/>
          <w:sz w:val="26"/>
          <w:szCs w:val="26"/>
        </w:rPr>
      </w:pPr>
      <w:r>
        <w:rPr>
          <w:noProof/>
        </w:rPr>
        <w:drawing>
          <wp:inline distT="0" distB="0" distL="0" distR="0" wp14:anchorId="20FE6847" wp14:editId="5AF31F1E">
            <wp:extent cx="5761990" cy="2172615"/>
            <wp:effectExtent l="0" t="0" r="10160" b="18415"/>
            <wp:docPr id="1714172474" name="Chart 1">
              <a:extLst xmlns:a="http://schemas.openxmlformats.org/drawingml/2006/main">
                <a:ext uri="{FF2B5EF4-FFF2-40B4-BE49-F238E27FC236}">
                  <a16:creationId xmlns:a16="http://schemas.microsoft.com/office/drawing/2014/main" id="{0322BC8A-E128-45FD-ABE1-1BBFBED46F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6AC62CE" w14:textId="77777777" w:rsidR="00085789" w:rsidRDefault="00000000">
      <w:pPr>
        <w:pStyle w:val="-bac4"/>
      </w:pPr>
      <w:bookmarkStart w:id="599" w:name="_Toc181861400"/>
      <w:bookmarkStart w:id="600" w:name="_Toc184097500"/>
      <w:bookmarkStart w:id="601" w:name="_Toc205915719"/>
      <w:bookmarkStart w:id="602" w:name="_Toc213597415"/>
      <w:bookmarkStart w:id="603" w:name="_Toc213600774"/>
      <w:r>
        <w:t xml:space="preserve">Hình 3.20. Diễn biến hàm lượng DO trong nước hệ thống sông </w:t>
      </w:r>
      <w:bookmarkEnd w:id="599"/>
      <w:bookmarkEnd w:id="600"/>
      <w:r>
        <w:t>La</w:t>
      </w:r>
      <w:bookmarkEnd w:id="601"/>
      <w:bookmarkEnd w:id="602"/>
      <w:bookmarkEnd w:id="603"/>
    </w:p>
    <w:p w14:paraId="0E575C32"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48789818" w14:textId="77777777" w:rsidR="00085789" w:rsidRDefault="00000000">
      <w:pPr>
        <w:widowControl w:val="0"/>
        <w:spacing w:before="120" w:line="240" w:lineRule="auto"/>
        <w:ind w:firstLine="709"/>
        <w:jc w:val="both"/>
        <w:rPr>
          <w:noProof/>
          <w:sz w:val="26"/>
          <w:szCs w:val="26"/>
        </w:rPr>
      </w:pPr>
      <w:r>
        <w:rPr>
          <w:noProof/>
          <w:sz w:val="26"/>
          <w:szCs w:val="26"/>
        </w:rPr>
        <w:t>- Năm 2021-2022: Hàm lượng DO trong nước hệ thống sông La tại thời điểm quan trắc đang nằm trong giới hạn cho phép theo Cột A2 QCVN 08-MT:2015/BTNMT.</w:t>
      </w:r>
    </w:p>
    <w:p w14:paraId="556FB7D2" w14:textId="77777777" w:rsidR="00085789" w:rsidRDefault="00000000">
      <w:pPr>
        <w:widowControl w:val="0"/>
        <w:spacing w:before="120" w:line="240" w:lineRule="auto"/>
        <w:ind w:firstLine="709"/>
        <w:jc w:val="both"/>
        <w:rPr>
          <w:noProof/>
          <w:sz w:val="26"/>
          <w:szCs w:val="26"/>
        </w:rPr>
      </w:pPr>
      <w:r>
        <w:rPr>
          <w:noProof/>
          <w:sz w:val="26"/>
          <w:szCs w:val="26"/>
        </w:rPr>
        <w:t>- Năm 2023-Quý II/2025: Hàm lượng DO trong nước hệ thống sông La tại thời điểm quan trắc đang nằm trong giới hạn cho phép theo Mức</w:t>
      </w:r>
      <w:r>
        <w:rPr>
          <w:bCs/>
          <w:sz w:val="26"/>
          <w:szCs w:val="26"/>
        </w:rPr>
        <w:t xml:space="preserve"> A </w:t>
      </w:r>
      <w:r>
        <w:rPr>
          <w:noProof/>
          <w:sz w:val="26"/>
          <w:szCs w:val="26"/>
        </w:rPr>
        <w:t>QCVN 08:2023/BTNMT.</w:t>
      </w:r>
    </w:p>
    <w:p w14:paraId="39EBCABB" w14:textId="77777777" w:rsidR="00085789" w:rsidRDefault="00000000">
      <w:pPr>
        <w:spacing w:before="120" w:line="240" w:lineRule="auto"/>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25CD40CD" w14:textId="77777777" w:rsidR="00085789" w:rsidRDefault="00000000">
      <w:pPr>
        <w:spacing w:before="120" w:line="240" w:lineRule="auto"/>
        <w:jc w:val="both"/>
        <w:rPr>
          <w:b/>
          <w:noProof/>
          <w:spacing w:val="-4"/>
          <w:sz w:val="26"/>
          <w:szCs w:val="26"/>
        </w:rPr>
      </w:pPr>
      <w:r>
        <w:rPr>
          <w:noProof/>
        </w:rPr>
        <w:lastRenderedPageBreak/>
        <w:drawing>
          <wp:inline distT="0" distB="0" distL="0" distR="0" wp14:anchorId="3BFDABFF" wp14:editId="0DBC3746">
            <wp:extent cx="5761990" cy="1923691"/>
            <wp:effectExtent l="0" t="0" r="10160" b="635"/>
            <wp:docPr id="1334903135" name="Chart 1">
              <a:extLst xmlns:a="http://schemas.openxmlformats.org/drawingml/2006/main">
                <a:ext uri="{FF2B5EF4-FFF2-40B4-BE49-F238E27FC236}">
                  <a16:creationId xmlns:a16="http://schemas.microsoft.com/office/drawing/2014/main" id="{B04A7AE3-FD74-4EC4-ABCB-4FB1A02CEB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E3BBC48" w14:textId="77777777" w:rsidR="00085789" w:rsidRDefault="00000000">
      <w:pPr>
        <w:pStyle w:val="-bac4"/>
        <w:spacing w:before="0" w:after="0"/>
      </w:pPr>
      <w:bookmarkStart w:id="604" w:name="_Toc181861404"/>
      <w:bookmarkStart w:id="605" w:name="_Toc184097504"/>
      <w:bookmarkStart w:id="606" w:name="_Toc205915720"/>
      <w:bookmarkStart w:id="607" w:name="_Toc213597416"/>
      <w:bookmarkStart w:id="608" w:name="_Toc213600775"/>
      <w:r>
        <w:t>Hình 3.21. Diễn biến hàm lượng Nitrat trong nước hệ thống sông La</w:t>
      </w:r>
      <w:bookmarkEnd w:id="604"/>
      <w:bookmarkEnd w:id="605"/>
      <w:bookmarkEnd w:id="606"/>
      <w:bookmarkEnd w:id="607"/>
      <w:bookmarkEnd w:id="608"/>
    </w:p>
    <w:p w14:paraId="64B2FEC1" w14:textId="77777777" w:rsidR="00085789" w:rsidRDefault="00000000">
      <w:pPr>
        <w:widowControl w:val="0"/>
        <w:spacing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41E421D5" w14:textId="77777777" w:rsidR="00085789" w:rsidRDefault="00000000">
      <w:pPr>
        <w:widowControl w:val="0"/>
        <w:spacing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Hàm lượng Nitrat trong trong nước hệ thống sông La tại thời điểm quan trắc từ năm 2021 đến nay đang nằm trong giới hạn cho phép theo </w:t>
      </w:r>
      <w:r>
        <w:rPr>
          <w:bCs/>
          <w:sz w:val="26"/>
          <w:szCs w:val="26"/>
        </w:rPr>
        <w:t xml:space="preserve">Cột A2 </w:t>
      </w:r>
      <w:r>
        <w:rPr>
          <w:noProof/>
          <w:sz w:val="26"/>
          <w:szCs w:val="26"/>
        </w:rPr>
        <w:t>QCVN 08-MT:2015/BTNMT.</w:t>
      </w:r>
    </w:p>
    <w:p w14:paraId="67F2BB8C" w14:textId="77777777" w:rsidR="00085789" w:rsidRDefault="00000000">
      <w:pPr>
        <w:keepNext/>
        <w:spacing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6611DB86" w14:textId="77777777" w:rsidR="00085789" w:rsidRDefault="00000000">
      <w:pPr>
        <w:spacing w:before="120" w:line="240" w:lineRule="auto"/>
        <w:jc w:val="both"/>
        <w:rPr>
          <w:b/>
          <w:noProof/>
          <w:spacing w:val="-4"/>
          <w:sz w:val="26"/>
          <w:szCs w:val="26"/>
        </w:rPr>
      </w:pPr>
      <w:r>
        <w:rPr>
          <w:noProof/>
        </w:rPr>
        <w:drawing>
          <wp:inline distT="0" distB="0" distL="0" distR="0" wp14:anchorId="08A11F8C" wp14:editId="2843EA4B">
            <wp:extent cx="5848350" cy="1776730"/>
            <wp:effectExtent l="0" t="0" r="0" b="13970"/>
            <wp:docPr id="1463454297" name="Chart 1">
              <a:extLst xmlns:a="http://schemas.openxmlformats.org/drawingml/2006/main">
                <a:ext uri="{FF2B5EF4-FFF2-40B4-BE49-F238E27FC236}">
                  <a16:creationId xmlns:a16="http://schemas.microsoft.com/office/drawing/2014/main" id="{9C7B72C5-F9A7-4CF9-91B0-5D2F94D90C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61F9293" w14:textId="77777777" w:rsidR="00085789" w:rsidRDefault="00000000">
      <w:pPr>
        <w:pStyle w:val="-bac4"/>
      </w:pPr>
      <w:bookmarkStart w:id="609" w:name="_Toc181861408"/>
      <w:bookmarkStart w:id="610" w:name="_Toc184097508"/>
      <w:bookmarkStart w:id="611" w:name="_Toc205915721"/>
      <w:bookmarkStart w:id="612" w:name="_Toc213597417"/>
      <w:bookmarkStart w:id="613" w:name="_Toc213600776"/>
      <w:r>
        <w:t xml:space="preserve">Hình 3.22. Diễn biến hàm lượng </w:t>
      </w:r>
      <w:r>
        <w:rPr>
          <w:spacing w:val="-4"/>
        </w:rPr>
        <w:t>Photphat</w:t>
      </w:r>
      <w:r>
        <w:t xml:space="preserve"> trong nước hệ thống sông La</w:t>
      </w:r>
      <w:bookmarkEnd w:id="609"/>
      <w:bookmarkEnd w:id="610"/>
      <w:bookmarkEnd w:id="611"/>
      <w:bookmarkEnd w:id="612"/>
      <w:bookmarkEnd w:id="613"/>
    </w:p>
    <w:p w14:paraId="1446E4A7" w14:textId="77777777" w:rsidR="00085789" w:rsidRDefault="00000000">
      <w:pPr>
        <w:widowControl w:val="0"/>
        <w:spacing w:line="360" w:lineRule="exact"/>
        <w:ind w:firstLine="709"/>
        <w:jc w:val="both"/>
        <w:rPr>
          <w:i/>
          <w:noProof/>
          <w:spacing w:val="-4"/>
          <w:sz w:val="24"/>
          <w:szCs w:val="24"/>
          <w:u w:val="single"/>
        </w:rPr>
      </w:pPr>
      <w:r>
        <w:rPr>
          <w:i/>
          <w:noProof/>
          <w:spacing w:val="-4"/>
          <w:sz w:val="24"/>
          <w:szCs w:val="24"/>
          <w:u w:val="single"/>
        </w:rPr>
        <w:t>Ghi chú: Thông số Photphat không quy định trong QCVN 08:2023/BTNMT.</w:t>
      </w:r>
    </w:p>
    <w:p w14:paraId="7EBE8693" w14:textId="77777777" w:rsidR="00085789" w:rsidRDefault="00000000">
      <w:pPr>
        <w:widowControl w:val="0"/>
        <w:spacing w:line="240" w:lineRule="auto"/>
        <w:ind w:firstLine="709"/>
        <w:jc w:val="both"/>
        <w:rPr>
          <w:noProof/>
          <w:sz w:val="26"/>
          <w:szCs w:val="26"/>
        </w:rPr>
      </w:pPr>
      <w:r>
        <w:rPr>
          <w:i/>
          <w:noProof/>
          <w:sz w:val="26"/>
          <w:szCs w:val="26"/>
          <w:u w:val="single"/>
        </w:rPr>
        <w:t xml:space="preserve">Nhận xét: </w:t>
      </w:r>
      <w:r>
        <w:rPr>
          <w:noProof/>
          <w:sz w:val="26"/>
          <w:szCs w:val="26"/>
        </w:rPr>
        <w:t>Hàm lượng PO</w:t>
      </w:r>
      <w:r>
        <w:rPr>
          <w:noProof/>
          <w:sz w:val="26"/>
          <w:szCs w:val="26"/>
          <w:vertAlign w:val="subscript"/>
        </w:rPr>
        <w:t>4</w:t>
      </w:r>
      <w:r>
        <w:rPr>
          <w:noProof/>
          <w:sz w:val="26"/>
          <w:szCs w:val="26"/>
          <w:vertAlign w:val="superscript"/>
        </w:rPr>
        <w:t>3-</w:t>
      </w:r>
      <w:r>
        <w:rPr>
          <w:noProof/>
          <w:sz w:val="26"/>
          <w:szCs w:val="26"/>
        </w:rPr>
        <w:t xml:space="preserve"> trong nước hệ thống sông La tại thời điểm quan trắc từ năm 2021 đến nay hầu hết đang nằm trong giới hạn cho phép theo </w:t>
      </w:r>
      <w:r>
        <w:rPr>
          <w:bCs/>
          <w:sz w:val="26"/>
          <w:szCs w:val="26"/>
        </w:rPr>
        <w:t xml:space="preserve">Cột A2 </w:t>
      </w:r>
      <w:r>
        <w:rPr>
          <w:noProof/>
          <w:sz w:val="26"/>
          <w:szCs w:val="26"/>
        </w:rPr>
        <w:t>QCVN 08-MT:2015/BTNMT. Riêng PO</w:t>
      </w:r>
      <w:r>
        <w:rPr>
          <w:noProof/>
          <w:sz w:val="26"/>
          <w:szCs w:val="26"/>
          <w:vertAlign w:val="subscript"/>
        </w:rPr>
        <w:t>4</w:t>
      </w:r>
      <w:r>
        <w:rPr>
          <w:noProof/>
          <w:sz w:val="26"/>
          <w:szCs w:val="26"/>
          <w:vertAlign w:val="superscript"/>
        </w:rPr>
        <w:t>3-</w:t>
      </w:r>
      <w:r>
        <w:rPr>
          <w:noProof/>
          <w:sz w:val="26"/>
          <w:szCs w:val="26"/>
        </w:rPr>
        <w:t xml:space="preserve"> tại mẫu nước suối Rào Mắc tại thời điểm lấy mẫu năm 2022 vượt giá trị giới hạn</w:t>
      </w:r>
      <w:r>
        <w:rPr>
          <w:bCs/>
          <w:sz w:val="26"/>
          <w:szCs w:val="26"/>
        </w:rPr>
        <w:t xml:space="preserve"> Cột A2 </w:t>
      </w:r>
      <w:r>
        <w:rPr>
          <w:noProof/>
          <w:sz w:val="26"/>
          <w:szCs w:val="26"/>
        </w:rPr>
        <w:t>QCVN 08-MT:2015/BTNMT (2,25 lần). Nguyên nhân: Do hoạt động xả nước thải sinh hoạt, chăn nuôi của khu vực thượng nguồn,... ra môi trường nước mặt các sông này.</w:t>
      </w:r>
    </w:p>
    <w:p w14:paraId="6E3DA02C" w14:textId="77777777" w:rsidR="00085789" w:rsidRDefault="00000000">
      <w:pPr>
        <w:widowControl w:val="0"/>
        <w:spacing w:before="40" w:line="240" w:lineRule="auto"/>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w:t>
      </w:r>
    </w:p>
    <w:p w14:paraId="4D36B20B" w14:textId="77777777" w:rsidR="00085789" w:rsidRDefault="00000000">
      <w:pPr>
        <w:widowControl w:val="0"/>
        <w:spacing w:before="120" w:line="240" w:lineRule="auto"/>
        <w:jc w:val="center"/>
        <w:rPr>
          <w:b/>
          <w:bCs/>
          <w:noProof/>
          <w:spacing w:val="-4"/>
          <w:sz w:val="26"/>
          <w:szCs w:val="26"/>
        </w:rPr>
      </w:pPr>
      <w:r>
        <w:rPr>
          <w:noProof/>
        </w:rPr>
        <w:drawing>
          <wp:inline distT="0" distB="0" distL="0" distR="0" wp14:anchorId="50800E12" wp14:editId="5BA8A5AC">
            <wp:extent cx="6029325" cy="2027028"/>
            <wp:effectExtent l="0" t="0" r="9525" b="11430"/>
            <wp:docPr id="1814987245" name="Chart 1">
              <a:extLst xmlns:a="http://schemas.openxmlformats.org/drawingml/2006/main">
                <a:ext uri="{FF2B5EF4-FFF2-40B4-BE49-F238E27FC236}">
                  <a16:creationId xmlns:a16="http://schemas.microsoft.com/office/drawing/2014/main" id="{0EA85E35-17B3-4F80-8894-104A027901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bookmarkStart w:id="614" w:name="_Toc181861407"/>
      <w:bookmarkStart w:id="615" w:name="_Toc184097507"/>
      <w:bookmarkStart w:id="616" w:name="_Toc205915722"/>
      <w:r>
        <w:rPr>
          <w:b/>
          <w:bCs/>
          <w:sz w:val="26"/>
          <w:szCs w:val="26"/>
        </w:rPr>
        <w:t>Hình 3.23. Diễn biến hàm lượng Coliform trong nước hệ thống sông La</w:t>
      </w:r>
      <w:bookmarkEnd w:id="614"/>
      <w:bookmarkEnd w:id="615"/>
      <w:bookmarkEnd w:id="616"/>
    </w:p>
    <w:p w14:paraId="465925CA" w14:textId="77777777" w:rsidR="00085789" w:rsidRDefault="00000000">
      <w:pPr>
        <w:widowControl w:val="0"/>
        <w:spacing w:line="400" w:lineRule="exact"/>
        <w:ind w:firstLine="709"/>
        <w:jc w:val="both"/>
        <w:rPr>
          <w:noProof/>
          <w:sz w:val="26"/>
          <w:szCs w:val="26"/>
          <w:u w:val="single"/>
        </w:rPr>
      </w:pPr>
      <w:r>
        <w:rPr>
          <w:i/>
          <w:noProof/>
          <w:sz w:val="26"/>
          <w:szCs w:val="26"/>
          <w:u w:val="single"/>
        </w:rPr>
        <w:lastRenderedPageBreak/>
        <w:t>Nhận xét:</w:t>
      </w:r>
    </w:p>
    <w:p w14:paraId="650B8F65" w14:textId="77777777" w:rsidR="00085789" w:rsidRDefault="00000000">
      <w:pPr>
        <w:widowControl w:val="0"/>
        <w:spacing w:before="120" w:line="240" w:lineRule="auto"/>
        <w:ind w:firstLine="709"/>
        <w:jc w:val="both"/>
        <w:rPr>
          <w:noProof/>
          <w:spacing w:val="-4"/>
          <w:sz w:val="26"/>
          <w:szCs w:val="26"/>
        </w:rPr>
      </w:pPr>
      <w:r>
        <w:rPr>
          <w:noProof/>
          <w:spacing w:val="-4"/>
          <w:sz w:val="26"/>
          <w:szCs w:val="26"/>
        </w:rPr>
        <w:t xml:space="preserve">- Năm 2021-2022: Hàm lượng Coliform trong nước hệ thống sông La tại thời điểm quan trắc đang nằm trong giới hạn cho phép theo </w:t>
      </w:r>
      <w:r>
        <w:rPr>
          <w:bCs/>
          <w:spacing w:val="-4"/>
          <w:sz w:val="26"/>
          <w:szCs w:val="26"/>
        </w:rPr>
        <w:t xml:space="preserve">Cột A2 </w:t>
      </w:r>
      <w:r>
        <w:rPr>
          <w:noProof/>
          <w:spacing w:val="-4"/>
          <w:sz w:val="26"/>
          <w:szCs w:val="26"/>
        </w:rPr>
        <w:t>QCVN 08-MT:2015/BTNMT.</w:t>
      </w:r>
    </w:p>
    <w:p w14:paraId="07890DCE" w14:textId="77777777" w:rsidR="00085789" w:rsidRDefault="00000000">
      <w:pPr>
        <w:widowControl w:val="0"/>
        <w:spacing w:before="120" w:line="240" w:lineRule="auto"/>
        <w:ind w:firstLine="720"/>
        <w:jc w:val="both"/>
        <w:rPr>
          <w:noProof/>
          <w:spacing w:val="-4"/>
          <w:sz w:val="26"/>
          <w:szCs w:val="26"/>
        </w:rPr>
      </w:pPr>
      <w:r>
        <w:rPr>
          <w:noProof/>
          <w:spacing w:val="-4"/>
          <w:sz w:val="26"/>
          <w:szCs w:val="26"/>
        </w:rPr>
        <w:t xml:space="preserve">- Năm 2023-Quý II/2025: Năm 2023, hàm lượng Coliform trong nước suối Rào An, sông Ngàn Trươi tại thời điểm quan trắc nằm trong giá trị giới hạn cho phép theo </w:t>
      </w:r>
      <w:r>
        <w:rPr>
          <w:bCs/>
          <w:spacing w:val="-4"/>
          <w:sz w:val="26"/>
          <w:szCs w:val="26"/>
        </w:rPr>
        <w:t xml:space="preserve">Mức A </w:t>
      </w:r>
      <w:r>
        <w:rPr>
          <w:noProof/>
          <w:spacing w:val="-4"/>
          <w:sz w:val="26"/>
          <w:szCs w:val="26"/>
        </w:rPr>
        <w:t xml:space="preserve">QCVN 08:2023/BTNMT; các sông, suối còn lại vượt giá trị giới hạn </w:t>
      </w:r>
      <w:r>
        <w:rPr>
          <w:bCs/>
          <w:spacing w:val="-4"/>
          <w:sz w:val="26"/>
          <w:szCs w:val="26"/>
        </w:rPr>
        <w:t xml:space="preserve">Mức A </w:t>
      </w:r>
      <w:r>
        <w:rPr>
          <w:noProof/>
          <w:spacing w:val="-4"/>
          <w:sz w:val="26"/>
          <w:szCs w:val="26"/>
        </w:rPr>
        <w:t>QCVN 08:2023/BTNMT từ 1,33-5,47 lần. Năm 2024, hàm lượng Coliform trong nước sông Ngàn Phố đoạn cấp nước Nhà máy nước Phố Châu, sông Ngàn Sâu tại xã Phúc Trạch, sông Tiêm tại xã Hương Khê, sông Ngàn Trươi tại xã Thượng Đức, sông La tại xã Đức Thọ tại thời điểm quan trắc vượt giá trị giới hạn từ 1,09-1,97 lần; hàm lượng Coliform trong nước các sông, suối còn lại nằm trong giới hạn cho phép. Đến Quý II/2025, hàm lượng Coliform khe Trươi, sông Tiêm, sông La tại thời điểm quan trắc vượt giá trị giới hạn từ 1,1-2,71 lần; hàm lượng Coliform trong nước các sông, suối còn lại nằm trong giới hạn cho phép. Nguyên nhân: Do hoạt động xả nước thải sinh hoạt, chăn nuôi, trồng trọt của khu vực thượng nguồn,... ra môi trường nước mặt các sông này</w:t>
      </w:r>
      <w:r>
        <w:rPr>
          <w:noProof/>
          <w:spacing w:val="-2"/>
          <w:sz w:val="26"/>
          <w:szCs w:val="26"/>
        </w:rPr>
        <w:t>.</w:t>
      </w:r>
    </w:p>
    <w:p w14:paraId="2FE351D5" w14:textId="77777777" w:rsidR="00085789" w:rsidRDefault="00000000">
      <w:pPr>
        <w:spacing w:before="120" w:line="240" w:lineRule="auto"/>
        <w:ind w:firstLine="709"/>
        <w:jc w:val="both"/>
        <w:rPr>
          <w:b/>
          <w:bCs/>
          <w:spacing w:val="-2"/>
          <w:sz w:val="26"/>
          <w:szCs w:val="26"/>
        </w:rPr>
      </w:pPr>
      <w:r>
        <w:rPr>
          <w:b/>
          <w:bCs/>
          <w:spacing w:val="-2"/>
          <w:sz w:val="26"/>
          <w:szCs w:val="26"/>
        </w:rPr>
        <w:t>b) Đánh giá chất lượng nước hệ thống sông La giai đoạn 2021-2024:</w:t>
      </w:r>
    </w:p>
    <w:p w14:paraId="3EC7227C" w14:textId="77777777" w:rsidR="00085789" w:rsidRDefault="00000000">
      <w:pPr>
        <w:spacing w:before="120" w:line="240" w:lineRule="auto"/>
        <w:ind w:firstLine="720"/>
        <w:jc w:val="both"/>
        <w:rPr>
          <w:bCs/>
          <w:iCs/>
          <w:sz w:val="26"/>
          <w:szCs w:val="26"/>
          <w:lang w:val="pt-BR"/>
        </w:rPr>
      </w:pPr>
      <w:r>
        <w:rPr>
          <w:bCs/>
          <w:iCs/>
          <w:sz w:val="26"/>
          <w:szCs w:val="26"/>
          <w:lang w:val="pt-BR"/>
        </w:rPr>
        <w:t>Chất lượng nước hệ thống sông Ngàn La được thể hiện qua chỉ số đánh giá chất lượng nước WQI như hình sau:</w:t>
      </w:r>
    </w:p>
    <w:p w14:paraId="7882BB2C" w14:textId="77777777" w:rsidR="00085789" w:rsidRDefault="00000000">
      <w:pPr>
        <w:spacing w:line="240" w:lineRule="auto"/>
        <w:jc w:val="both"/>
        <w:rPr>
          <w:bCs/>
          <w:iCs/>
          <w:lang w:val="pt-BR"/>
        </w:rPr>
      </w:pPr>
      <w:r>
        <w:rPr>
          <w:noProof/>
        </w:rPr>
        <w:drawing>
          <wp:inline distT="0" distB="0" distL="0" distR="0" wp14:anchorId="6FE8AF38" wp14:editId="4C96DB39">
            <wp:extent cx="5761990" cy="3528203"/>
            <wp:effectExtent l="0" t="0" r="10160" b="15240"/>
            <wp:docPr id="1406731090" name="Chart 1">
              <a:extLst xmlns:a="http://schemas.openxmlformats.org/drawingml/2006/main">
                <a:ext uri="{FF2B5EF4-FFF2-40B4-BE49-F238E27FC236}">
                  <a16:creationId xmlns:a16="http://schemas.microsoft.com/office/drawing/2014/main" id="{0FF77545-B389-4689-8F17-4D3E0C4D45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A5375CE" w14:textId="77777777" w:rsidR="00085789" w:rsidRDefault="00000000">
      <w:pPr>
        <w:pStyle w:val="-bac4"/>
        <w:rPr>
          <w:lang w:val="pt-BR"/>
        </w:rPr>
      </w:pPr>
      <w:bookmarkStart w:id="617" w:name="_Toc205915723"/>
      <w:bookmarkStart w:id="618" w:name="_Toc213597418"/>
      <w:bookmarkStart w:id="619" w:name="_Toc213600777"/>
      <w:r>
        <w:rPr>
          <w:lang w:val="pt-BR"/>
        </w:rPr>
        <w:t xml:space="preserve">Hình 3.24. Chỉ số WQI nước mặt hệ thống sông La </w:t>
      </w:r>
      <w:r>
        <w:rPr>
          <w:bCs/>
          <w:spacing w:val="-2"/>
          <w:lang w:val="pt-BR"/>
        </w:rPr>
        <w:t>giai đoạn 2021-2024</w:t>
      </w:r>
      <w:bookmarkEnd w:id="617"/>
      <w:bookmarkEnd w:id="618"/>
      <w:bookmarkEnd w:id="619"/>
    </w:p>
    <w:p w14:paraId="7EDB2C2F" w14:textId="77777777" w:rsidR="00085789" w:rsidRDefault="00000000">
      <w:pPr>
        <w:spacing w:before="120" w:line="240" w:lineRule="auto"/>
        <w:ind w:firstLine="720"/>
        <w:jc w:val="both"/>
        <w:rPr>
          <w:spacing w:val="-2"/>
          <w:sz w:val="26"/>
          <w:szCs w:val="26"/>
          <w:lang w:val="pt-BR"/>
        </w:rPr>
      </w:pPr>
      <w:r>
        <w:rPr>
          <w:bCs/>
          <w:iCs/>
          <w:spacing w:val="-2"/>
          <w:sz w:val="26"/>
          <w:szCs w:val="26"/>
          <w:lang w:val="pt-BR"/>
        </w:rPr>
        <w:t>Qua kết quả</w:t>
      </w:r>
      <w:r>
        <w:rPr>
          <w:spacing w:val="-2"/>
          <w:sz w:val="26"/>
          <w:szCs w:val="26"/>
          <w:lang w:val="pt-BR"/>
        </w:rPr>
        <w:t xml:space="preserve"> WQI trung bình năm của hệ thống sông La cho thấy:</w:t>
      </w:r>
    </w:p>
    <w:p w14:paraId="393B0ACD" w14:textId="77777777" w:rsidR="00085789" w:rsidRDefault="00000000">
      <w:pPr>
        <w:spacing w:before="120" w:line="240" w:lineRule="auto"/>
        <w:ind w:firstLine="720"/>
        <w:jc w:val="both"/>
        <w:rPr>
          <w:spacing w:val="-2"/>
          <w:sz w:val="26"/>
          <w:szCs w:val="26"/>
          <w:lang w:val="pt-BR"/>
        </w:rPr>
      </w:pPr>
      <w:r>
        <w:rPr>
          <w:spacing w:val="-2"/>
          <w:sz w:val="26"/>
          <w:szCs w:val="26"/>
          <w:lang w:val="pt-BR"/>
        </w:rPr>
        <w:t>- Đối với lưu vực sông Ngàn Phố: Hầu hết các vị trí quan trắc qua các năm 2021-2024 có chất lượng nước rất tốt có thể sử dụng tốt cho mục đích cấp nước sinh hoạt. Một số vị trí như suối Rào Qua tại điểm cấp nước cho xã Sơn Tây (năm 2021), sông Ngàn Phố tại điểm cấp nước cho xã Hương Sơn (năm 2021), sông Ngàn Phố đoạn chảy qua xã Tứ Mỹ (năm 2021, năm 2023) có chất lượng nước có thể sử dụng cho mục đích cấp nước sinh hoạt nhưng cần có các biện pháp xử lý phù hợp.</w:t>
      </w:r>
    </w:p>
    <w:p w14:paraId="291A1A8A" w14:textId="77777777" w:rsidR="00085789" w:rsidRDefault="00000000">
      <w:pPr>
        <w:spacing w:before="120" w:line="240" w:lineRule="auto"/>
        <w:ind w:firstLine="720"/>
        <w:jc w:val="both"/>
        <w:rPr>
          <w:sz w:val="26"/>
          <w:szCs w:val="26"/>
          <w:lang w:val="pt-BR"/>
        </w:rPr>
      </w:pPr>
      <w:r>
        <w:rPr>
          <w:bCs/>
          <w:iCs/>
          <w:spacing w:val="-2"/>
          <w:sz w:val="26"/>
          <w:szCs w:val="26"/>
          <w:lang w:val="pt-BR"/>
        </w:rPr>
        <w:lastRenderedPageBreak/>
        <w:t>-</w:t>
      </w:r>
      <w:r>
        <w:rPr>
          <w:bCs/>
          <w:iCs/>
          <w:sz w:val="26"/>
          <w:szCs w:val="26"/>
          <w:lang w:val="pt-BR"/>
        </w:rPr>
        <w:t xml:space="preserve"> Đối với lưu vực sông Ngàn Sâu:</w:t>
      </w:r>
      <w:r>
        <w:rPr>
          <w:sz w:val="26"/>
          <w:szCs w:val="26"/>
          <w:lang w:val="pt-BR"/>
        </w:rPr>
        <w:t xml:space="preserve"> Hầu</w:t>
      </w:r>
      <w:r>
        <w:rPr>
          <w:sz w:val="26"/>
          <w:szCs w:val="26"/>
          <w:lang w:val="vi-VN"/>
        </w:rPr>
        <w:t xml:space="preserve"> hết các vị trí tại các thời điểm quan trắc có </w:t>
      </w:r>
      <w:r>
        <w:rPr>
          <w:sz w:val="26"/>
          <w:szCs w:val="26"/>
          <w:lang w:val="pt-BR"/>
        </w:rPr>
        <w:t>chất lượng nước sử dụng cho mục đích cấp nước sinh hoạt nhưng cần có các biện pháp xử lý phù hợp. Riêng</w:t>
      </w:r>
      <w:r>
        <w:rPr>
          <w:sz w:val="26"/>
          <w:szCs w:val="26"/>
          <w:lang w:val="vi-VN"/>
        </w:rPr>
        <w:t xml:space="preserve"> m</w:t>
      </w:r>
      <w:r>
        <w:rPr>
          <w:sz w:val="26"/>
          <w:szCs w:val="26"/>
          <w:lang w:val="pt-BR"/>
        </w:rPr>
        <w:t>ẫu nước Sông Ngàn Trươi</w:t>
      </w:r>
      <w:r>
        <w:rPr>
          <w:sz w:val="26"/>
          <w:szCs w:val="26"/>
          <w:lang w:val="vi-VN"/>
        </w:rPr>
        <w:t xml:space="preserve"> tại điểm cấp nước </w:t>
      </w:r>
      <w:r>
        <w:rPr>
          <w:sz w:val="26"/>
          <w:szCs w:val="26"/>
          <w:lang w:val="pt-BR"/>
        </w:rPr>
        <w:t>xã Vũ Quang vào</w:t>
      </w:r>
      <w:r>
        <w:rPr>
          <w:sz w:val="26"/>
          <w:szCs w:val="26"/>
          <w:lang w:val="vi-VN"/>
        </w:rPr>
        <w:t xml:space="preserve"> </w:t>
      </w:r>
      <w:r>
        <w:rPr>
          <w:sz w:val="26"/>
          <w:szCs w:val="26"/>
          <w:lang w:val="pt-BR"/>
        </w:rPr>
        <w:t>năm 2021</w:t>
      </w:r>
      <w:r>
        <w:rPr>
          <w:sz w:val="26"/>
          <w:szCs w:val="26"/>
          <w:lang w:val="vi-VN"/>
        </w:rPr>
        <w:t xml:space="preserve"> </w:t>
      </w:r>
      <w:r>
        <w:rPr>
          <w:sz w:val="26"/>
          <w:szCs w:val="26"/>
          <w:lang w:val="pt-BR"/>
        </w:rPr>
        <w:t xml:space="preserve">có chất lượng nước </w:t>
      </w:r>
      <w:r>
        <w:rPr>
          <w:sz w:val="26"/>
          <w:szCs w:val="26"/>
          <w:lang w:val="vi-VN"/>
        </w:rPr>
        <w:t>sử dụng cho mục đích tưới tiêu và các mục đích tương đương khác</w:t>
      </w:r>
      <w:r>
        <w:rPr>
          <w:sz w:val="26"/>
          <w:szCs w:val="26"/>
          <w:lang w:val="pt-BR"/>
        </w:rPr>
        <w:t>. Vì vậy, cần duy trì các điểm quan trắc hiện tại, ngoại trừ không cần thực hiện quan trắc vị trí tại điểm đầu sông Ngàn Sâu đoạn qua xã Phúc Trạch (vì vị trí này gần điểm quan trắc mạng lưới quốc gia) và hồ Ngàn Trươi (gần điểm quan trắc cầu Khe Trươi và trạm bơm nước xã Vũ Quang).</w:t>
      </w:r>
    </w:p>
    <w:p w14:paraId="6978DF38" w14:textId="77777777" w:rsidR="00085789" w:rsidRDefault="00000000">
      <w:pPr>
        <w:spacing w:before="120" w:line="240" w:lineRule="auto"/>
        <w:ind w:firstLine="720"/>
        <w:jc w:val="both"/>
        <w:rPr>
          <w:sz w:val="26"/>
          <w:szCs w:val="26"/>
          <w:lang w:val="pt-BR"/>
        </w:rPr>
      </w:pPr>
      <w:r>
        <w:rPr>
          <w:bCs/>
          <w:iCs/>
          <w:sz w:val="26"/>
          <w:szCs w:val="26"/>
          <w:lang w:val="pt-BR"/>
        </w:rPr>
        <w:t>- Đối với đoạn s</w:t>
      </w:r>
      <w:r>
        <w:rPr>
          <w:sz w:val="26"/>
          <w:szCs w:val="26"/>
          <w:lang w:val="pt-BR"/>
        </w:rPr>
        <w:t>ông La</w:t>
      </w:r>
      <w:r>
        <w:rPr>
          <w:sz w:val="26"/>
          <w:szCs w:val="26"/>
          <w:lang w:val="vi-VN"/>
        </w:rPr>
        <w:t xml:space="preserve"> </w:t>
      </w:r>
      <w:r>
        <w:rPr>
          <w:sz w:val="26"/>
          <w:szCs w:val="26"/>
          <w:lang w:val="pt-BR"/>
        </w:rPr>
        <w:t>qua dưới hạ lưu: Có chất lượng nước có thể sử dụng cho mục đích cấp nước sinh hoạt nhưng cần có các biện pháp xử lý phù hợp. Vì vậy, để kiểm soát chất lượng nước sông La cần thực hiện quan trắc vị trí kênh 19/5. Tại vị trí cầu Linh Cảm II không cần thực hiện quan trắc vì trùng với vị trí mạng lưới quốc gia.</w:t>
      </w:r>
    </w:p>
    <w:p w14:paraId="5D18654C" w14:textId="77777777" w:rsidR="00085789" w:rsidRDefault="00000000">
      <w:pPr>
        <w:pStyle w:val="StyleHeading4Char1Char11Char11CharHeading4CharCharCharC1"/>
        <w:keepNext w:val="0"/>
        <w:widowControl w:val="0"/>
        <w:spacing w:before="60" w:after="0" w:line="240" w:lineRule="auto"/>
        <w:ind w:firstLine="709"/>
        <w:jc w:val="both"/>
        <w:outlineLvl w:val="9"/>
        <w:rPr>
          <w:b/>
          <w:lang w:val="pt-BR"/>
        </w:rPr>
      </w:pPr>
      <w:r>
        <w:rPr>
          <w:lang w:val="pt-BR"/>
        </w:rPr>
        <w:t>3.1.2.1.4. Diễn biến chất lượng nước hệ thống sông Quyền:</w:t>
      </w:r>
    </w:p>
    <w:p w14:paraId="0BF2FB6A" w14:textId="77777777" w:rsidR="00085789" w:rsidRDefault="00000000">
      <w:pPr>
        <w:widowControl w:val="0"/>
        <w:spacing w:before="60" w:line="240" w:lineRule="auto"/>
        <w:ind w:firstLine="709"/>
        <w:jc w:val="both"/>
        <w:rPr>
          <w:rFonts w:ascii="Times New Roman Bold" w:hAnsi="Times New Roman Bold"/>
          <w:b/>
          <w:bCs/>
          <w:spacing w:val="-4"/>
          <w:sz w:val="26"/>
          <w:szCs w:val="26"/>
          <w:lang w:val="pt-BR"/>
        </w:rPr>
      </w:pPr>
      <w:r>
        <w:rPr>
          <w:rFonts w:ascii="Times New Roman Bold" w:hAnsi="Times New Roman Bold"/>
          <w:b/>
          <w:bCs/>
          <w:spacing w:val="-4"/>
          <w:sz w:val="26"/>
          <w:szCs w:val="26"/>
          <w:lang w:val="pt-BR"/>
        </w:rPr>
        <w:t xml:space="preserve">a) Phân tích diễn biến chất lượng nước hệ thống sông Quyền </w:t>
      </w:r>
      <w:r>
        <w:rPr>
          <w:rFonts w:ascii="Times New Roman Bold" w:hAnsi="Times New Roman Bold"/>
          <w:b/>
          <w:noProof/>
          <w:spacing w:val="-4"/>
          <w:sz w:val="26"/>
          <w:szCs w:val="26"/>
          <w:lang w:val="pt-BR"/>
        </w:rPr>
        <w:t>từ năm 2021-Quý II/2025</w:t>
      </w:r>
      <w:r>
        <w:rPr>
          <w:rFonts w:ascii="Times New Roman Bold" w:hAnsi="Times New Roman Bold"/>
          <w:b/>
          <w:bCs/>
          <w:spacing w:val="-4"/>
          <w:sz w:val="26"/>
          <w:szCs w:val="26"/>
          <w:lang w:val="pt-BR"/>
        </w:rPr>
        <w:t>:</w:t>
      </w:r>
    </w:p>
    <w:p w14:paraId="03A3CD14" w14:textId="77777777" w:rsidR="00085789" w:rsidRDefault="00000000">
      <w:pPr>
        <w:widowControl w:val="0"/>
        <w:spacing w:before="60" w:line="240" w:lineRule="auto"/>
        <w:ind w:firstLine="709"/>
        <w:jc w:val="both"/>
        <w:rPr>
          <w:spacing w:val="-2"/>
          <w:sz w:val="26"/>
          <w:szCs w:val="26"/>
          <w:lang w:val="pt-BR"/>
        </w:rPr>
      </w:pPr>
      <w:r>
        <w:rPr>
          <w:sz w:val="26"/>
          <w:szCs w:val="26"/>
          <w:lang w:val="pt-BR"/>
        </w:rPr>
        <w:t>Sông Quyền bắt nguồn từ dãy Hoành Sơn ở độ cao 1.040 m, dài 70 km. Đoạn thượng nguồn gọi là khe Đá Hát, chảy theo hướng Tây - Nam, với diện tích lưu vực 295 km</w:t>
      </w:r>
      <w:r>
        <w:rPr>
          <w:sz w:val="26"/>
          <w:szCs w:val="26"/>
          <w:vertAlign w:val="superscript"/>
          <w:lang w:val="pt-BR"/>
        </w:rPr>
        <w:t>2</w:t>
      </w:r>
      <w:r>
        <w:rPr>
          <w:sz w:val="26"/>
          <w:szCs w:val="26"/>
          <w:lang w:val="pt-BR"/>
        </w:rPr>
        <w:t>, sông đổ ra Cửa Khẩu tại phường Hải Ninh. Hạ lưu sông có cống ngăn mặn giữ ngọt Tây Yên. Các vị trí quan trắc đều là vị trí chịu ảnh hưởng nhiều bởi các hoạt động sản xuất nông nghiệp, công nghiệp, sinh hoạt và kinh doanh, dịch vụ của con người. Diễn biến ô nhiễm môi trường nước hệ thống sông Quyền qua từng năm như sau:</w:t>
      </w:r>
    </w:p>
    <w:p w14:paraId="3DFF3B41" w14:textId="77777777" w:rsidR="00085789" w:rsidRDefault="00000000">
      <w:pPr>
        <w:spacing w:before="120" w:line="240" w:lineRule="auto"/>
        <w:ind w:firstLine="720"/>
        <w:jc w:val="both"/>
        <w:rPr>
          <w:b/>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vertAlign w:val="superscript"/>
          <w:lang w:val="pt-BR"/>
        </w:rPr>
        <w:t xml:space="preserve"> </w:t>
      </w:r>
      <w:r>
        <w:rPr>
          <w:b/>
          <w:noProof/>
          <w:spacing w:val="-4"/>
          <w:sz w:val="26"/>
          <w:szCs w:val="26"/>
          <w:lang w:val="pt-BR"/>
        </w:rPr>
        <w:t>từ năm 2021-Quý II/2025:</w:t>
      </w:r>
      <w:r>
        <w:rPr>
          <w:b/>
          <w:noProof/>
          <w:sz w:val="26"/>
          <w:szCs w:val="26"/>
          <w:lang w:val="pt-BR"/>
        </w:rPr>
        <w:t xml:space="preserve"> </w:t>
      </w:r>
    </w:p>
    <w:p w14:paraId="0390EEEE" w14:textId="77777777" w:rsidR="00085789" w:rsidRDefault="00000000">
      <w:pPr>
        <w:spacing w:before="120" w:line="240" w:lineRule="auto"/>
        <w:jc w:val="both"/>
        <w:rPr>
          <w:b/>
          <w:noProof/>
          <w:spacing w:val="-4"/>
          <w:sz w:val="26"/>
          <w:szCs w:val="26"/>
        </w:rPr>
      </w:pPr>
      <w:r>
        <w:rPr>
          <w:noProof/>
        </w:rPr>
        <w:drawing>
          <wp:inline distT="0" distB="0" distL="0" distR="0" wp14:anchorId="5264F87E" wp14:editId="069DCB00">
            <wp:extent cx="5761990" cy="2156604"/>
            <wp:effectExtent l="0" t="0" r="10160" b="15240"/>
            <wp:docPr id="1395448271" name="Chart 1">
              <a:extLst xmlns:a="http://schemas.openxmlformats.org/drawingml/2006/main">
                <a:ext uri="{FF2B5EF4-FFF2-40B4-BE49-F238E27FC236}">
                  <a16:creationId xmlns:a16="http://schemas.microsoft.com/office/drawing/2014/main" id="{F9AB7D70-5C30-474B-8B2E-05EB3E82A6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6A2ACA6B" w14:textId="77777777" w:rsidR="00085789" w:rsidRDefault="00000000">
      <w:pPr>
        <w:pStyle w:val="-bac4"/>
        <w:rPr>
          <w:i/>
        </w:rPr>
      </w:pPr>
      <w:bookmarkStart w:id="620" w:name="_Toc181861432"/>
      <w:bookmarkStart w:id="621" w:name="_Toc184097532"/>
      <w:bookmarkStart w:id="622" w:name="_Toc205915724"/>
      <w:bookmarkStart w:id="623" w:name="_Toc213597419"/>
      <w:bookmarkStart w:id="624" w:name="_Toc213600778"/>
      <w:r>
        <w:rPr>
          <w:rStyle w:val="b5Char"/>
          <w:b/>
          <w:i w:val="0"/>
          <w:color w:val="auto"/>
        </w:rPr>
        <w:t>Hình 3.25. Diễn biến hàm lượng BOD</w:t>
      </w:r>
      <w:r>
        <w:rPr>
          <w:rStyle w:val="b5Char"/>
          <w:b/>
          <w:i w:val="0"/>
          <w:color w:val="auto"/>
          <w:vertAlign w:val="subscript"/>
        </w:rPr>
        <w:t>5</w:t>
      </w:r>
      <w:r>
        <w:rPr>
          <w:rStyle w:val="b5Char"/>
          <w:b/>
          <w:i w:val="0"/>
          <w:color w:val="auto"/>
        </w:rPr>
        <w:t xml:space="preserve"> </w:t>
      </w:r>
      <w:r>
        <w:t>trong nước hệ thống sông Quyền</w:t>
      </w:r>
      <w:bookmarkEnd w:id="620"/>
      <w:bookmarkEnd w:id="621"/>
      <w:bookmarkEnd w:id="622"/>
      <w:bookmarkEnd w:id="623"/>
      <w:bookmarkEnd w:id="624"/>
    </w:p>
    <w:p w14:paraId="06A4604A" w14:textId="77777777" w:rsidR="00085789" w:rsidRDefault="00000000">
      <w:pPr>
        <w:widowControl w:val="0"/>
        <w:spacing w:before="60" w:line="240" w:lineRule="auto"/>
        <w:ind w:firstLine="709"/>
        <w:jc w:val="both"/>
        <w:rPr>
          <w:noProof/>
          <w:sz w:val="26"/>
          <w:szCs w:val="26"/>
          <w:u w:val="single"/>
        </w:rPr>
      </w:pPr>
      <w:r>
        <w:rPr>
          <w:i/>
          <w:noProof/>
          <w:sz w:val="26"/>
          <w:szCs w:val="26"/>
          <w:u w:val="single"/>
        </w:rPr>
        <w:t>Nhận xét:</w:t>
      </w:r>
    </w:p>
    <w:p w14:paraId="6B0E9C32" w14:textId="77777777" w:rsidR="00085789" w:rsidRDefault="00000000">
      <w:pPr>
        <w:widowControl w:val="0"/>
        <w:spacing w:before="60" w:line="240" w:lineRule="auto"/>
        <w:ind w:firstLine="709"/>
        <w:jc w:val="both"/>
        <w:rPr>
          <w:noProof/>
          <w:sz w:val="26"/>
          <w:szCs w:val="26"/>
        </w:rPr>
      </w:pPr>
      <w:r>
        <w:rPr>
          <w:noProof/>
          <w:sz w:val="26"/>
          <w:szCs w:val="26"/>
        </w:rPr>
        <w:t>- Năm 2021-2022: Hàm lượng BOD</w:t>
      </w:r>
      <w:r>
        <w:rPr>
          <w:noProof/>
          <w:sz w:val="26"/>
          <w:szCs w:val="26"/>
          <w:vertAlign w:val="subscript"/>
        </w:rPr>
        <w:t>5</w:t>
      </w:r>
      <w:r>
        <w:rPr>
          <w:noProof/>
          <w:sz w:val="26"/>
          <w:szCs w:val="26"/>
        </w:rPr>
        <w:t xml:space="preserve"> trong nước hệ thống sông Quyền tại thời điểm quan trắc hầu hết đang nằm trong giới hạn cho phép theo </w:t>
      </w:r>
      <w:r>
        <w:rPr>
          <w:bCs/>
          <w:sz w:val="26"/>
          <w:szCs w:val="26"/>
        </w:rPr>
        <w:t xml:space="preserve">Cột B1 </w:t>
      </w:r>
      <w:r>
        <w:rPr>
          <w:noProof/>
          <w:sz w:val="26"/>
          <w:szCs w:val="26"/>
        </w:rPr>
        <w:t>QCVN 08-MT:2015/BTNMT. Riêng mẫu nước mặt sông Trí tại cầu Kỳ Hưng vượt giá trị giới hạn cho phép nhưng ở mức nhỏ (1,02 lần).</w:t>
      </w:r>
    </w:p>
    <w:p w14:paraId="2A8B158A" w14:textId="77777777" w:rsidR="00085789" w:rsidRDefault="00000000">
      <w:pPr>
        <w:widowControl w:val="0"/>
        <w:spacing w:before="60" w:line="240" w:lineRule="auto"/>
        <w:ind w:firstLine="709"/>
        <w:jc w:val="both"/>
        <w:rPr>
          <w:noProof/>
          <w:sz w:val="26"/>
          <w:szCs w:val="26"/>
        </w:rPr>
      </w:pPr>
      <w:r>
        <w:rPr>
          <w:noProof/>
          <w:sz w:val="26"/>
          <w:szCs w:val="26"/>
        </w:rPr>
        <w:t>- Năm 2023-Quý II/2025: Hàm lượng BOD</w:t>
      </w:r>
      <w:r>
        <w:rPr>
          <w:noProof/>
          <w:sz w:val="26"/>
          <w:szCs w:val="26"/>
          <w:vertAlign w:val="subscript"/>
        </w:rPr>
        <w:t>5</w:t>
      </w:r>
      <w:r>
        <w:rPr>
          <w:noProof/>
          <w:sz w:val="26"/>
          <w:szCs w:val="26"/>
        </w:rPr>
        <w:t xml:space="preserve"> trong nước hệ thống sông Quyền tại thời điểm quan trắc đang nằm trong giới hạn cho phép theo </w:t>
      </w:r>
      <w:r>
        <w:rPr>
          <w:bCs/>
          <w:sz w:val="26"/>
          <w:szCs w:val="26"/>
        </w:rPr>
        <w:t xml:space="preserve">Mức B </w:t>
      </w:r>
      <w:r>
        <w:rPr>
          <w:noProof/>
          <w:sz w:val="26"/>
          <w:szCs w:val="26"/>
        </w:rPr>
        <w:t>QCVN 08:2023/BTNMT. Chất lượng nguồn nước trong những năm gần đây ổn định.</w:t>
      </w:r>
    </w:p>
    <w:p w14:paraId="34C60DD9" w14:textId="77777777" w:rsidR="00085789" w:rsidRDefault="00000000">
      <w:pPr>
        <w:spacing w:before="60" w:line="240" w:lineRule="auto"/>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w:t>
      </w:r>
    </w:p>
    <w:p w14:paraId="2D0E18F2" w14:textId="77777777" w:rsidR="00085789" w:rsidRDefault="00000000">
      <w:pPr>
        <w:spacing w:before="120" w:line="240" w:lineRule="auto"/>
        <w:jc w:val="both"/>
        <w:rPr>
          <w:b/>
          <w:noProof/>
          <w:spacing w:val="-4"/>
          <w:sz w:val="26"/>
          <w:szCs w:val="26"/>
        </w:rPr>
      </w:pPr>
      <w:r>
        <w:rPr>
          <w:noProof/>
        </w:rPr>
        <w:lastRenderedPageBreak/>
        <w:drawing>
          <wp:inline distT="0" distB="0" distL="0" distR="0" wp14:anchorId="6E816E94" wp14:editId="767C0AB7">
            <wp:extent cx="5761990" cy="1802921"/>
            <wp:effectExtent l="0" t="0" r="10160" b="6985"/>
            <wp:docPr id="1820026135" name="Chart 1">
              <a:extLst xmlns:a="http://schemas.openxmlformats.org/drawingml/2006/main">
                <a:ext uri="{FF2B5EF4-FFF2-40B4-BE49-F238E27FC236}">
                  <a16:creationId xmlns:a16="http://schemas.microsoft.com/office/drawing/2014/main" id="{A301803D-014F-4ADE-812E-FA21090292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10DFD0F6" w14:textId="77777777" w:rsidR="00085789" w:rsidRDefault="00000000">
      <w:pPr>
        <w:pStyle w:val="-bac4"/>
      </w:pPr>
      <w:bookmarkStart w:id="625" w:name="_Toc181861433"/>
      <w:bookmarkStart w:id="626" w:name="_Toc184097533"/>
      <w:bookmarkStart w:id="627" w:name="_Toc205915725"/>
      <w:bookmarkStart w:id="628" w:name="_Toc213597420"/>
      <w:bookmarkStart w:id="629" w:name="_Toc213600779"/>
      <w:r>
        <w:t>Hình 3.26. Diễn biến hàm lượng COD trong nước hệ thống sông Quyền</w:t>
      </w:r>
      <w:bookmarkEnd w:id="625"/>
      <w:bookmarkEnd w:id="626"/>
      <w:bookmarkEnd w:id="627"/>
      <w:bookmarkEnd w:id="628"/>
      <w:bookmarkEnd w:id="629"/>
    </w:p>
    <w:p w14:paraId="7560270F" w14:textId="77777777" w:rsidR="00085789" w:rsidRDefault="00000000">
      <w:pPr>
        <w:widowControl w:val="0"/>
        <w:spacing w:before="6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04C76569" w14:textId="77777777" w:rsidR="00085789" w:rsidRDefault="00000000">
      <w:pPr>
        <w:widowControl w:val="0"/>
        <w:spacing w:before="60" w:line="240" w:lineRule="auto"/>
        <w:ind w:firstLine="709"/>
        <w:jc w:val="both"/>
        <w:rPr>
          <w:noProof/>
          <w:spacing w:val="-4"/>
          <w:sz w:val="26"/>
          <w:szCs w:val="26"/>
        </w:rPr>
      </w:pPr>
      <w:r>
        <w:rPr>
          <w:noProof/>
          <w:spacing w:val="-4"/>
          <w:sz w:val="26"/>
          <w:szCs w:val="26"/>
        </w:rPr>
        <w:t xml:space="preserve">- Năm 2021-2022: Hàm lượng COD trong nước hệ thống sông Quyền tại thời điểm quan trắc đang nằm trong giới hạn cho phép theo </w:t>
      </w:r>
      <w:r>
        <w:rPr>
          <w:bCs/>
          <w:spacing w:val="-4"/>
          <w:sz w:val="26"/>
          <w:szCs w:val="26"/>
        </w:rPr>
        <w:t xml:space="preserve">Cột B1 </w:t>
      </w:r>
      <w:r>
        <w:rPr>
          <w:noProof/>
          <w:spacing w:val="-4"/>
          <w:sz w:val="26"/>
          <w:szCs w:val="26"/>
        </w:rPr>
        <w:t>QCVN 08-MT:2015/BTNMT.</w:t>
      </w:r>
    </w:p>
    <w:p w14:paraId="708A2377" w14:textId="77777777" w:rsidR="00085789" w:rsidRDefault="00000000">
      <w:pPr>
        <w:spacing w:before="60" w:line="240" w:lineRule="auto"/>
        <w:ind w:firstLine="720"/>
        <w:jc w:val="both"/>
        <w:rPr>
          <w:noProof/>
          <w:spacing w:val="-4"/>
          <w:sz w:val="26"/>
          <w:szCs w:val="26"/>
        </w:rPr>
      </w:pPr>
      <w:r>
        <w:rPr>
          <w:noProof/>
          <w:spacing w:val="-4"/>
          <w:sz w:val="26"/>
          <w:szCs w:val="26"/>
        </w:rPr>
        <w:t xml:space="preserve">- Năm 2023-Quý II/2025: </w:t>
      </w:r>
      <w:r>
        <w:rPr>
          <w:noProof/>
          <w:sz w:val="26"/>
          <w:szCs w:val="26"/>
        </w:rPr>
        <w:t xml:space="preserve">Hàm lượng COD trong nước hệ thống sông Quyền tại thời điểm quan trắc hầu hết đang nằm trong giới hạn cho phép theo </w:t>
      </w:r>
      <w:r>
        <w:rPr>
          <w:bCs/>
          <w:sz w:val="26"/>
          <w:szCs w:val="26"/>
        </w:rPr>
        <w:t xml:space="preserve">Cột B1 </w:t>
      </w:r>
      <w:r>
        <w:rPr>
          <w:noProof/>
          <w:sz w:val="26"/>
          <w:szCs w:val="26"/>
        </w:rPr>
        <w:t>QCVN 08-MT:2015/BTNMT. Riêng mẫu nước mặt khe Đá Hát vượt giá trị giới hạn cho phép nhưng ở mức nhỏ (1,07 lần).</w:t>
      </w:r>
    </w:p>
    <w:p w14:paraId="7E7F8084" w14:textId="77777777" w:rsidR="00085789" w:rsidRDefault="00000000">
      <w:pPr>
        <w:spacing w:before="120" w:line="240" w:lineRule="auto"/>
        <w:ind w:firstLine="720"/>
        <w:jc w:val="both"/>
        <w:rPr>
          <w:b/>
          <w:noProof/>
          <w:spacing w:val="-4"/>
          <w:sz w:val="26"/>
          <w:szCs w:val="26"/>
        </w:rPr>
      </w:pPr>
      <w:r>
        <w:rPr>
          <w:b/>
          <w:noProof/>
          <w:spacing w:val="-4"/>
          <w:sz w:val="26"/>
          <w:szCs w:val="26"/>
        </w:rPr>
        <w:t xml:space="preserve">(3) Diễn biến hàm lượng TSS </w:t>
      </w:r>
      <w:r>
        <w:rPr>
          <w:b/>
          <w:noProof/>
          <w:spacing w:val="-4"/>
          <w:sz w:val="26"/>
          <w:szCs w:val="26"/>
          <w:lang w:val="pt-BR"/>
        </w:rPr>
        <w:t>từ năm 2021-Quý II/2025</w:t>
      </w:r>
      <w:r>
        <w:rPr>
          <w:b/>
          <w:noProof/>
          <w:spacing w:val="-4"/>
          <w:sz w:val="26"/>
          <w:szCs w:val="26"/>
        </w:rPr>
        <w:t xml:space="preserve">: </w:t>
      </w:r>
    </w:p>
    <w:p w14:paraId="7C72448E" w14:textId="77777777" w:rsidR="00085789" w:rsidRDefault="00000000">
      <w:pPr>
        <w:spacing w:before="120" w:line="240" w:lineRule="auto"/>
        <w:jc w:val="both"/>
        <w:rPr>
          <w:b/>
          <w:noProof/>
          <w:spacing w:val="-4"/>
          <w:sz w:val="26"/>
          <w:szCs w:val="26"/>
        </w:rPr>
      </w:pPr>
      <w:r>
        <w:rPr>
          <w:noProof/>
        </w:rPr>
        <w:drawing>
          <wp:inline distT="0" distB="0" distL="0" distR="0" wp14:anchorId="0FB3FE80" wp14:editId="07373D42">
            <wp:extent cx="5761990" cy="1794295"/>
            <wp:effectExtent l="0" t="0" r="10160" b="15875"/>
            <wp:docPr id="1915189564" name="Chart 1">
              <a:extLst xmlns:a="http://schemas.openxmlformats.org/drawingml/2006/main">
                <a:ext uri="{FF2B5EF4-FFF2-40B4-BE49-F238E27FC236}">
                  <a16:creationId xmlns:a16="http://schemas.microsoft.com/office/drawing/2014/main" id="{5C1CBA7F-68B5-4B34-9832-E2EBDFF3F7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6BCFE7C" w14:textId="77777777" w:rsidR="00085789" w:rsidRDefault="00000000">
      <w:pPr>
        <w:pStyle w:val="-bac4"/>
        <w:spacing w:before="0" w:after="0" w:line="240" w:lineRule="auto"/>
      </w:pPr>
      <w:bookmarkStart w:id="630" w:name="_Toc181861431"/>
      <w:bookmarkStart w:id="631" w:name="_Toc184097531"/>
      <w:bookmarkStart w:id="632" w:name="_Toc205915726"/>
      <w:bookmarkStart w:id="633" w:name="_Toc213597421"/>
      <w:bookmarkStart w:id="634" w:name="_Toc213600780"/>
      <w:r>
        <w:t>Hình 3.27. Diễn biến hàm lượng TSS trong nước hệ thống sông Quyền</w:t>
      </w:r>
      <w:bookmarkEnd w:id="630"/>
      <w:bookmarkEnd w:id="631"/>
      <w:bookmarkEnd w:id="632"/>
      <w:bookmarkEnd w:id="633"/>
      <w:bookmarkEnd w:id="634"/>
    </w:p>
    <w:p w14:paraId="5B7BC179" w14:textId="77777777" w:rsidR="00085789" w:rsidRDefault="00000000">
      <w:pPr>
        <w:widowControl w:val="0"/>
        <w:spacing w:line="240" w:lineRule="auto"/>
        <w:ind w:firstLine="709"/>
        <w:jc w:val="both"/>
        <w:rPr>
          <w:noProof/>
          <w:sz w:val="26"/>
          <w:szCs w:val="26"/>
          <w:u w:val="single"/>
        </w:rPr>
      </w:pPr>
      <w:r>
        <w:rPr>
          <w:i/>
          <w:noProof/>
          <w:sz w:val="26"/>
          <w:szCs w:val="26"/>
          <w:u w:val="single"/>
        </w:rPr>
        <w:t>Nhận xét:</w:t>
      </w:r>
    </w:p>
    <w:p w14:paraId="35BA2469" w14:textId="77777777" w:rsidR="00085789" w:rsidRDefault="00000000">
      <w:pPr>
        <w:widowControl w:val="0"/>
        <w:spacing w:line="240" w:lineRule="auto"/>
        <w:ind w:firstLine="709"/>
        <w:jc w:val="both"/>
        <w:rPr>
          <w:noProof/>
          <w:sz w:val="26"/>
          <w:szCs w:val="26"/>
        </w:rPr>
      </w:pPr>
      <w:r>
        <w:rPr>
          <w:noProof/>
          <w:sz w:val="26"/>
          <w:szCs w:val="26"/>
        </w:rPr>
        <w:t xml:space="preserve">- Năm 2021-2022: Hàm lượng TSS trong nước hệ thống sông Quyền tại thời điểm quan trắc đang nằm trong giới hạn cho phép theo </w:t>
      </w:r>
      <w:r>
        <w:rPr>
          <w:bCs/>
          <w:sz w:val="26"/>
          <w:szCs w:val="26"/>
        </w:rPr>
        <w:t xml:space="preserve">Cột B1 </w:t>
      </w:r>
      <w:r>
        <w:rPr>
          <w:noProof/>
          <w:sz w:val="26"/>
          <w:szCs w:val="26"/>
        </w:rPr>
        <w:t>QCVN 08-MT:2015/BTNMT.</w:t>
      </w:r>
    </w:p>
    <w:p w14:paraId="4113A7BC" w14:textId="77777777" w:rsidR="00085789" w:rsidRDefault="00000000">
      <w:pPr>
        <w:spacing w:line="240" w:lineRule="auto"/>
        <w:ind w:firstLine="709"/>
        <w:jc w:val="both"/>
        <w:rPr>
          <w:noProof/>
          <w:sz w:val="26"/>
          <w:szCs w:val="26"/>
        </w:rPr>
      </w:pPr>
      <w:r>
        <w:rPr>
          <w:noProof/>
          <w:sz w:val="26"/>
          <w:szCs w:val="26"/>
        </w:rPr>
        <w:t xml:space="preserve">- Năm 2023-Quý II/2025: Hàm lượng TSS trong nước hệ thống sông Quyền tại thời điểm quan trắc đang nằm trong giới hạn cho phép theo </w:t>
      </w:r>
      <w:r>
        <w:rPr>
          <w:bCs/>
          <w:sz w:val="26"/>
          <w:szCs w:val="26"/>
        </w:rPr>
        <w:t xml:space="preserve">Mức B </w:t>
      </w:r>
      <w:r>
        <w:rPr>
          <w:noProof/>
          <w:sz w:val="26"/>
          <w:szCs w:val="26"/>
        </w:rPr>
        <w:t>QCVN 08:2023/BTNMT.</w:t>
      </w:r>
    </w:p>
    <w:p w14:paraId="2A16BE1A" w14:textId="77777777" w:rsidR="00085789" w:rsidRDefault="00000000">
      <w:pPr>
        <w:spacing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p>
    <w:p w14:paraId="4587A703" w14:textId="77777777" w:rsidR="00085789" w:rsidRDefault="00000000">
      <w:pPr>
        <w:spacing w:before="120" w:line="240" w:lineRule="auto"/>
        <w:jc w:val="both"/>
        <w:rPr>
          <w:b/>
          <w:noProof/>
          <w:spacing w:val="-4"/>
          <w:sz w:val="26"/>
          <w:szCs w:val="26"/>
        </w:rPr>
      </w:pPr>
      <w:r>
        <w:rPr>
          <w:noProof/>
        </w:rPr>
        <w:drawing>
          <wp:inline distT="0" distB="0" distL="0" distR="0" wp14:anchorId="6D35CEC3" wp14:editId="4449FB1C">
            <wp:extent cx="5761990" cy="1889185"/>
            <wp:effectExtent l="0" t="0" r="10160" b="15875"/>
            <wp:docPr id="313623319" name="Chart 1">
              <a:extLst xmlns:a="http://schemas.openxmlformats.org/drawingml/2006/main">
                <a:ext uri="{FF2B5EF4-FFF2-40B4-BE49-F238E27FC236}">
                  <a16:creationId xmlns:a16="http://schemas.microsoft.com/office/drawing/2014/main" id="{ECBB85A6-45E0-4FDA-AA3F-4C319DC026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01F0771" w14:textId="77777777" w:rsidR="00085789" w:rsidRDefault="00000000">
      <w:pPr>
        <w:pStyle w:val="-bac4"/>
      </w:pPr>
      <w:bookmarkStart w:id="635" w:name="_Toc181861430"/>
      <w:bookmarkStart w:id="636" w:name="_Toc184097530"/>
      <w:bookmarkStart w:id="637" w:name="_Toc205915727"/>
      <w:bookmarkStart w:id="638" w:name="_Toc213597422"/>
      <w:bookmarkStart w:id="639" w:name="_Toc213600781"/>
      <w:r>
        <w:t>Hình 3.28. Diễn biến hàm lượng DO trong nước hệ thống sông Quyền</w:t>
      </w:r>
      <w:bookmarkEnd w:id="635"/>
      <w:bookmarkEnd w:id="636"/>
      <w:bookmarkEnd w:id="637"/>
      <w:bookmarkEnd w:id="638"/>
      <w:bookmarkEnd w:id="639"/>
    </w:p>
    <w:p w14:paraId="416D3C5D" w14:textId="77777777" w:rsidR="00085789" w:rsidRDefault="00000000">
      <w:pPr>
        <w:widowControl w:val="0"/>
        <w:spacing w:line="340" w:lineRule="exact"/>
        <w:ind w:firstLine="709"/>
        <w:jc w:val="both"/>
        <w:rPr>
          <w:noProof/>
          <w:sz w:val="26"/>
          <w:szCs w:val="26"/>
          <w:u w:val="single"/>
        </w:rPr>
      </w:pPr>
      <w:r>
        <w:rPr>
          <w:i/>
          <w:noProof/>
          <w:sz w:val="26"/>
          <w:szCs w:val="26"/>
          <w:u w:val="single"/>
        </w:rPr>
        <w:lastRenderedPageBreak/>
        <w:t>Nhận xét:</w:t>
      </w:r>
    </w:p>
    <w:p w14:paraId="16B18C1D" w14:textId="77777777" w:rsidR="00085789" w:rsidRDefault="00000000">
      <w:pPr>
        <w:widowControl w:val="0"/>
        <w:spacing w:line="340" w:lineRule="exact"/>
        <w:ind w:firstLine="709"/>
        <w:jc w:val="both"/>
        <w:rPr>
          <w:noProof/>
          <w:sz w:val="26"/>
          <w:szCs w:val="26"/>
        </w:rPr>
      </w:pPr>
      <w:r>
        <w:rPr>
          <w:noProof/>
          <w:sz w:val="26"/>
          <w:szCs w:val="26"/>
        </w:rPr>
        <w:t xml:space="preserve">- Năm 2021-2022: Lượng ôxy hòa tan trong nước hệ thống sông Quyền tại thời điểm quan trắc đang nằm trong giới hạn cho phép theo </w:t>
      </w:r>
      <w:r>
        <w:rPr>
          <w:bCs/>
          <w:sz w:val="26"/>
          <w:szCs w:val="26"/>
        </w:rPr>
        <w:t xml:space="preserve">Cột B1 </w:t>
      </w:r>
      <w:r>
        <w:rPr>
          <w:noProof/>
          <w:sz w:val="26"/>
          <w:szCs w:val="26"/>
        </w:rPr>
        <w:t>QCVN 08-MT:2015/BTNMT.</w:t>
      </w:r>
    </w:p>
    <w:p w14:paraId="3458EB9C" w14:textId="77777777" w:rsidR="00085789" w:rsidRDefault="00000000">
      <w:pPr>
        <w:widowControl w:val="0"/>
        <w:spacing w:line="340" w:lineRule="exact"/>
        <w:ind w:firstLine="709"/>
        <w:jc w:val="both"/>
        <w:rPr>
          <w:noProof/>
          <w:sz w:val="26"/>
          <w:szCs w:val="26"/>
        </w:rPr>
      </w:pPr>
      <w:r>
        <w:rPr>
          <w:noProof/>
          <w:sz w:val="26"/>
          <w:szCs w:val="26"/>
        </w:rPr>
        <w:t xml:space="preserve">- Năm 2023-Quý II/2025: Lượng ôxy hòa tan trong nước hệ thống sông Quyền tại thời điểm quan trắc đang nằm trong giới hạn cho phép theo </w:t>
      </w:r>
      <w:r>
        <w:rPr>
          <w:bCs/>
          <w:sz w:val="26"/>
          <w:szCs w:val="26"/>
        </w:rPr>
        <w:t xml:space="preserve">Mức B theo </w:t>
      </w:r>
      <w:r>
        <w:rPr>
          <w:noProof/>
          <w:sz w:val="26"/>
          <w:szCs w:val="26"/>
        </w:rPr>
        <w:t>QCVN 08:2023/BTNMT.</w:t>
      </w:r>
    </w:p>
    <w:p w14:paraId="5253868E" w14:textId="77777777" w:rsidR="00085789" w:rsidRDefault="00000000">
      <w:pPr>
        <w:spacing w:before="120" w:line="360" w:lineRule="exact"/>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695DC8FB" w14:textId="77777777" w:rsidR="00085789" w:rsidRDefault="00000000">
      <w:pPr>
        <w:spacing w:before="120" w:line="240" w:lineRule="auto"/>
        <w:jc w:val="both"/>
        <w:rPr>
          <w:b/>
          <w:noProof/>
          <w:spacing w:val="-4"/>
          <w:sz w:val="26"/>
          <w:szCs w:val="26"/>
        </w:rPr>
      </w:pPr>
      <w:r>
        <w:rPr>
          <w:noProof/>
        </w:rPr>
        <w:drawing>
          <wp:inline distT="0" distB="0" distL="0" distR="0" wp14:anchorId="65334D24" wp14:editId="7C235476">
            <wp:extent cx="5761990" cy="1850746"/>
            <wp:effectExtent l="0" t="0" r="10160" b="16510"/>
            <wp:docPr id="1592923150" name="Chart 1">
              <a:extLst xmlns:a="http://schemas.openxmlformats.org/drawingml/2006/main">
                <a:ext uri="{FF2B5EF4-FFF2-40B4-BE49-F238E27FC236}">
                  <a16:creationId xmlns:a16="http://schemas.microsoft.com/office/drawing/2014/main" id="{B26D1FD6-B800-41DA-9702-4256110D2C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4DF42564" w14:textId="77777777" w:rsidR="00085789" w:rsidRDefault="00000000">
      <w:pPr>
        <w:pStyle w:val="-bac4"/>
      </w:pPr>
      <w:bookmarkStart w:id="640" w:name="_Toc181861434"/>
      <w:bookmarkStart w:id="641" w:name="_Toc184097534"/>
      <w:bookmarkStart w:id="642" w:name="_Toc205915728"/>
      <w:bookmarkStart w:id="643" w:name="_Toc213597423"/>
      <w:bookmarkStart w:id="644" w:name="_Toc213600782"/>
      <w:r>
        <w:t>Hình 3.29. Diễn biến hàm lượng Nitrat trong nước hệ thống sông Quyền</w:t>
      </w:r>
      <w:bookmarkEnd w:id="640"/>
      <w:bookmarkEnd w:id="641"/>
      <w:bookmarkEnd w:id="642"/>
      <w:bookmarkEnd w:id="643"/>
      <w:bookmarkEnd w:id="644"/>
    </w:p>
    <w:p w14:paraId="2A4B4FDC" w14:textId="77777777" w:rsidR="00085789" w:rsidRDefault="00000000">
      <w:pPr>
        <w:widowControl w:val="0"/>
        <w:spacing w:before="120" w:line="240" w:lineRule="auto"/>
        <w:ind w:firstLine="709"/>
        <w:jc w:val="both"/>
        <w:rPr>
          <w:i/>
          <w:noProof/>
          <w:spacing w:val="-4"/>
          <w:sz w:val="24"/>
          <w:szCs w:val="24"/>
        </w:rPr>
      </w:pPr>
      <w:r>
        <w:rPr>
          <w:i/>
          <w:noProof/>
          <w:spacing w:val="-4"/>
          <w:sz w:val="24"/>
          <w:szCs w:val="24"/>
        </w:rPr>
        <w:t>Ghi chú: Thông số Nitrat không quy định trong QCVN 08:2023/BTNMT.</w:t>
      </w:r>
    </w:p>
    <w:p w14:paraId="26437F4B" w14:textId="77777777" w:rsidR="00085789" w:rsidRDefault="00000000">
      <w:pPr>
        <w:widowControl w:val="0"/>
        <w:spacing w:before="120" w:line="240" w:lineRule="auto"/>
        <w:ind w:firstLine="709"/>
        <w:jc w:val="both"/>
        <w:rPr>
          <w:noProof/>
          <w:spacing w:val="-4"/>
          <w:sz w:val="26"/>
          <w:szCs w:val="26"/>
        </w:rPr>
      </w:pPr>
      <w:r>
        <w:rPr>
          <w:i/>
          <w:noProof/>
          <w:sz w:val="26"/>
          <w:szCs w:val="26"/>
          <w:u w:val="single"/>
        </w:rPr>
        <w:t>Nhận xét</w:t>
      </w:r>
      <w:r>
        <w:rPr>
          <w:noProof/>
          <w:sz w:val="26"/>
          <w:szCs w:val="26"/>
          <w:u w:val="single"/>
        </w:rPr>
        <w:t>:</w:t>
      </w:r>
      <w:r>
        <w:rPr>
          <w:noProof/>
          <w:sz w:val="26"/>
          <w:szCs w:val="26"/>
        </w:rPr>
        <w:t xml:space="preserve"> Hàm lượng Nitrat trung bình trong nước hệ thống sông Quyền tại thời điểm quan trắc từ năm 2021 đến nay đang nằm trong giới hạn cho phép theo </w:t>
      </w:r>
      <w:r>
        <w:rPr>
          <w:bCs/>
          <w:sz w:val="26"/>
          <w:szCs w:val="26"/>
        </w:rPr>
        <w:t xml:space="preserve">Cột B1 </w:t>
      </w:r>
      <w:r>
        <w:rPr>
          <w:noProof/>
          <w:sz w:val="26"/>
          <w:szCs w:val="26"/>
        </w:rPr>
        <w:t>QCVN 08-MT:2015/BTNMT.</w:t>
      </w:r>
    </w:p>
    <w:p w14:paraId="067727F5" w14:textId="77777777" w:rsidR="00085789" w:rsidRDefault="00000000">
      <w:pPr>
        <w:spacing w:before="120"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 xml:space="preserve">: </w:t>
      </w:r>
    </w:p>
    <w:p w14:paraId="24448EF7" w14:textId="77777777" w:rsidR="00085789" w:rsidRDefault="00000000">
      <w:pPr>
        <w:spacing w:before="120" w:line="240" w:lineRule="auto"/>
        <w:jc w:val="both"/>
        <w:rPr>
          <w:b/>
          <w:noProof/>
          <w:spacing w:val="-4"/>
          <w:sz w:val="26"/>
          <w:szCs w:val="26"/>
        </w:rPr>
      </w:pPr>
      <w:r>
        <w:rPr>
          <w:noProof/>
        </w:rPr>
        <w:drawing>
          <wp:inline distT="0" distB="0" distL="0" distR="0" wp14:anchorId="726C32C4" wp14:editId="3BE48BCE">
            <wp:extent cx="5761990" cy="1909267"/>
            <wp:effectExtent l="0" t="0" r="10160" b="15240"/>
            <wp:docPr id="977750481" name="Chart 1">
              <a:extLst xmlns:a="http://schemas.openxmlformats.org/drawingml/2006/main">
                <a:ext uri="{FF2B5EF4-FFF2-40B4-BE49-F238E27FC236}">
                  <a16:creationId xmlns:a16="http://schemas.microsoft.com/office/drawing/2014/main" id="{91BC9C04-D2D4-4565-A5B7-1A20DF35BB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752D4C9B" w14:textId="77777777" w:rsidR="00085789" w:rsidRDefault="00000000">
      <w:pPr>
        <w:pStyle w:val="-bac4"/>
      </w:pPr>
      <w:bookmarkStart w:id="645" w:name="_Toc181861438"/>
      <w:bookmarkStart w:id="646" w:name="_Toc184097538"/>
      <w:bookmarkStart w:id="647" w:name="_Toc205915729"/>
      <w:bookmarkStart w:id="648" w:name="_Toc213597424"/>
      <w:bookmarkStart w:id="649" w:name="_Toc213600783"/>
      <w:r>
        <w:t xml:space="preserve">Hình 3.30. Diễn biến hàm lượng </w:t>
      </w:r>
      <w:r>
        <w:rPr>
          <w:spacing w:val="-4"/>
        </w:rPr>
        <w:t>Photphat</w:t>
      </w:r>
      <w:r>
        <w:t xml:space="preserve"> trong nước hệ thống sông Quyền</w:t>
      </w:r>
      <w:bookmarkEnd w:id="645"/>
      <w:bookmarkEnd w:id="646"/>
      <w:bookmarkEnd w:id="647"/>
      <w:bookmarkEnd w:id="648"/>
      <w:bookmarkEnd w:id="649"/>
    </w:p>
    <w:p w14:paraId="65E0BCF5" w14:textId="77777777" w:rsidR="00085789" w:rsidRDefault="00000000">
      <w:pPr>
        <w:widowControl w:val="0"/>
        <w:spacing w:before="120" w:line="240" w:lineRule="auto"/>
        <w:ind w:firstLine="709"/>
        <w:jc w:val="both"/>
        <w:rPr>
          <w:i/>
          <w:noProof/>
          <w:spacing w:val="-4"/>
          <w:sz w:val="24"/>
          <w:szCs w:val="24"/>
        </w:rPr>
      </w:pPr>
      <w:r>
        <w:rPr>
          <w:i/>
          <w:noProof/>
          <w:spacing w:val="-4"/>
          <w:sz w:val="24"/>
          <w:szCs w:val="24"/>
        </w:rPr>
        <w:t>Ghi chú: Thông số Photphat không quy định trong QCVN 08:2023/BTNMT.</w:t>
      </w:r>
    </w:p>
    <w:p w14:paraId="79BDFD82" w14:textId="77777777" w:rsidR="00085789" w:rsidRDefault="00000000">
      <w:pPr>
        <w:widowControl w:val="0"/>
        <w:spacing w:before="120" w:line="240" w:lineRule="auto"/>
        <w:ind w:firstLine="709"/>
        <w:jc w:val="both"/>
        <w:rPr>
          <w:noProof/>
          <w:spacing w:val="-4"/>
          <w:sz w:val="26"/>
          <w:szCs w:val="26"/>
        </w:rPr>
      </w:pPr>
      <w:r>
        <w:rPr>
          <w:i/>
          <w:noProof/>
          <w:sz w:val="26"/>
          <w:szCs w:val="26"/>
          <w:u w:val="single"/>
        </w:rPr>
        <w:t>Nhận xét:</w:t>
      </w:r>
      <w:r>
        <w:rPr>
          <w:i/>
          <w:noProof/>
          <w:sz w:val="26"/>
          <w:szCs w:val="26"/>
        </w:rPr>
        <w:t xml:space="preserve"> </w:t>
      </w:r>
      <w:r>
        <w:rPr>
          <w:noProof/>
          <w:spacing w:val="-4"/>
          <w:sz w:val="26"/>
          <w:szCs w:val="26"/>
        </w:rPr>
        <w:t>Hàm lượng PO</w:t>
      </w:r>
      <w:r>
        <w:rPr>
          <w:noProof/>
          <w:spacing w:val="-4"/>
          <w:sz w:val="26"/>
          <w:szCs w:val="26"/>
          <w:vertAlign w:val="subscript"/>
        </w:rPr>
        <w:t>4</w:t>
      </w:r>
      <w:r>
        <w:rPr>
          <w:noProof/>
          <w:spacing w:val="-4"/>
          <w:sz w:val="26"/>
          <w:szCs w:val="26"/>
          <w:vertAlign w:val="superscript"/>
        </w:rPr>
        <w:t>3-</w:t>
      </w:r>
      <w:r>
        <w:rPr>
          <w:noProof/>
          <w:spacing w:val="-4"/>
          <w:sz w:val="26"/>
          <w:szCs w:val="26"/>
        </w:rPr>
        <w:t xml:space="preserve"> trung bình trong nước hệ thống sông Quyền tại thời điểm quan trắc từ năm 2021 đến nay đang nằm trong giới hạn cho phép theo </w:t>
      </w:r>
      <w:r>
        <w:rPr>
          <w:bCs/>
          <w:spacing w:val="-4"/>
          <w:sz w:val="26"/>
          <w:szCs w:val="26"/>
        </w:rPr>
        <w:t xml:space="preserve">Cột B1 </w:t>
      </w:r>
      <w:r>
        <w:rPr>
          <w:noProof/>
          <w:spacing w:val="-4"/>
          <w:sz w:val="26"/>
          <w:szCs w:val="26"/>
        </w:rPr>
        <w:t>QCVN 08-MT:2015/BTNMT.</w:t>
      </w:r>
    </w:p>
    <w:p w14:paraId="08B363C2" w14:textId="77777777" w:rsidR="00085789" w:rsidRDefault="00085789">
      <w:pPr>
        <w:widowControl w:val="0"/>
        <w:spacing w:before="120" w:line="320" w:lineRule="exact"/>
        <w:ind w:firstLine="709"/>
        <w:jc w:val="both"/>
        <w:rPr>
          <w:b/>
          <w:noProof/>
          <w:spacing w:val="-4"/>
          <w:sz w:val="26"/>
          <w:szCs w:val="26"/>
        </w:rPr>
      </w:pPr>
    </w:p>
    <w:p w14:paraId="6506C2F2" w14:textId="77777777" w:rsidR="00085789" w:rsidRDefault="00085789">
      <w:pPr>
        <w:widowControl w:val="0"/>
        <w:spacing w:before="120" w:line="320" w:lineRule="exact"/>
        <w:ind w:firstLine="709"/>
        <w:jc w:val="both"/>
        <w:rPr>
          <w:b/>
          <w:noProof/>
          <w:spacing w:val="-4"/>
          <w:sz w:val="26"/>
          <w:szCs w:val="26"/>
        </w:rPr>
      </w:pPr>
    </w:p>
    <w:p w14:paraId="4F71A3F7" w14:textId="77777777" w:rsidR="00085789" w:rsidRDefault="00085789">
      <w:pPr>
        <w:widowControl w:val="0"/>
        <w:spacing w:before="120" w:line="320" w:lineRule="exact"/>
        <w:ind w:firstLine="709"/>
        <w:jc w:val="both"/>
        <w:rPr>
          <w:b/>
          <w:noProof/>
          <w:spacing w:val="-4"/>
          <w:sz w:val="26"/>
          <w:szCs w:val="26"/>
        </w:rPr>
      </w:pPr>
    </w:p>
    <w:p w14:paraId="55AC23B4" w14:textId="77777777" w:rsidR="00085789" w:rsidRDefault="00000000">
      <w:pPr>
        <w:widowControl w:val="0"/>
        <w:spacing w:before="120" w:line="320" w:lineRule="exact"/>
        <w:ind w:firstLine="709"/>
        <w:jc w:val="both"/>
        <w:rPr>
          <w:b/>
          <w:noProof/>
          <w:spacing w:val="-4"/>
          <w:sz w:val="26"/>
          <w:szCs w:val="26"/>
        </w:rPr>
      </w:pPr>
      <w:r>
        <w:rPr>
          <w:b/>
          <w:noProof/>
          <w:spacing w:val="-4"/>
          <w:sz w:val="26"/>
          <w:szCs w:val="26"/>
        </w:rPr>
        <w:lastRenderedPageBreak/>
        <w:t xml:space="preserve">(7) Diễn biến hàm lượng Coliform </w:t>
      </w:r>
      <w:r>
        <w:rPr>
          <w:b/>
          <w:noProof/>
          <w:spacing w:val="-4"/>
          <w:sz w:val="26"/>
          <w:szCs w:val="26"/>
          <w:lang w:val="pt-BR"/>
        </w:rPr>
        <w:t>từ năm 2021-Quý II/2025</w:t>
      </w:r>
      <w:r>
        <w:rPr>
          <w:b/>
          <w:noProof/>
          <w:spacing w:val="-4"/>
          <w:sz w:val="26"/>
          <w:szCs w:val="26"/>
        </w:rPr>
        <w:t>:</w:t>
      </w:r>
    </w:p>
    <w:p w14:paraId="47E29C96" w14:textId="77777777" w:rsidR="00085789" w:rsidRDefault="00000000">
      <w:pPr>
        <w:widowControl w:val="0"/>
        <w:spacing w:before="120" w:line="240" w:lineRule="auto"/>
        <w:jc w:val="both"/>
        <w:rPr>
          <w:b/>
          <w:noProof/>
          <w:spacing w:val="-4"/>
          <w:sz w:val="26"/>
          <w:szCs w:val="26"/>
        </w:rPr>
      </w:pPr>
      <w:r>
        <w:rPr>
          <w:noProof/>
        </w:rPr>
        <w:drawing>
          <wp:inline distT="0" distB="0" distL="0" distR="0" wp14:anchorId="49D42864" wp14:editId="6B1E53E6">
            <wp:extent cx="5761990" cy="2074460"/>
            <wp:effectExtent l="0" t="0" r="10160" b="2540"/>
            <wp:docPr id="1236068561" name="Chart 1">
              <a:extLst xmlns:a="http://schemas.openxmlformats.org/drawingml/2006/main">
                <a:ext uri="{FF2B5EF4-FFF2-40B4-BE49-F238E27FC236}">
                  <a16:creationId xmlns:a16="http://schemas.microsoft.com/office/drawing/2014/main" id="{018DC4E2-80AF-4A39-A67E-51DB4E052D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5B9E0B6B" w14:textId="77777777" w:rsidR="00085789" w:rsidRDefault="00000000">
      <w:pPr>
        <w:pStyle w:val="-bac4"/>
      </w:pPr>
      <w:bookmarkStart w:id="650" w:name="_Toc181861437"/>
      <w:bookmarkStart w:id="651" w:name="_Toc184097537"/>
      <w:bookmarkStart w:id="652" w:name="_Toc205915730"/>
      <w:bookmarkStart w:id="653" w:name="_Toc213597425"/>
      <w:bookmarkStart w:id="654" w:name="_Toc213600784"/>
      <w:r>
        <w:t>Hình 3.31. Diễn biến hàm lượng Coliform trong nước hệ thống sông Quyền</w:t>
      </w:r>
      <w:bookmarkEnd w:id="650"/>
      <w:bookmarkEnd w:id="651"/>
      <w:bookmarkEnd w:id="652"/>
      <w:bookmarkEnd w:id="653"/>
      <w:bookmarkEnd w:id="654"/>
    </w:p>
    <w:p w14:paraId="5928FB69"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1441C86F" w14:textId="77777777" w:rsidR="00085789" w:rsidRDefault="00000000">
      <w:pPr>
        <w:widowControl w:val="0"/>
        <w:spacing w:before="120" w:line="240" w:lineRule="auto"/>
        <w:ind w:firstLine="709"/>
        <w:jc w:val="both"/>
        <w:rPr>
          <w:noProof/>
          <w:spacing w:val="-4"/>
          <w:sz w:val="26"/>
          <w:szCs w:val="26"/>
        </w:rPr>
      </w:pPr>
      <w:r>
        <w:rPr>
          <w:noProof/>
          <w:spacing w:val="-4"/>
          <w:sz w:val="26"/>
          <w:szCs w:val="26"/>
        </w:rPr>
        <w:t xml:space="preserve">- Năm 2021-2022: Hàm lượng Coliform trong nước hệ thống sông Quyền tại thời điểm quan trắc đang nằm trong giới hạn cho phép theo </w:t>
      </w:r>
      <w:r>
        <w:rPr>
          <w:bCs/>
          <w:spacing w:val="-4"/>
          <w:sz w:val="26"/>
          <w:szCs w:val="26"/>
        </w:rPr>
        <w:t xml:space="preserve">Cột B1 </w:t>
      </w:r>
      <w:r>
        <w:rPr>
          <w:noProof/>
          <w:spacing w:val="-4"/>
          <w:sz w:val="26"/>
          <w:szCs w:val="26"/>
        </w:rPr>
        <w:t>QCVN 08-MT:2015/BTNMT.</w:t>
      </w:r>
    </w:p>
    <w:p w14:paraId="3AB30345" w14:textId="77777777" w:rsidR="00085789" w:rsidRDefault="00000000">
      <w:pPr>
        <w:spacing w:before="120" w:line="240" w:lineRule="auto"/>
        <w:ind w:firstLine="720"/>
        <w:jc w:val="both"/>
        <w:rPr>
          <w:noProof/>
          <w:spacing w:val="-4"/>
          <w:sz w:val="26"/>
          <w:szCs w:val="26"/>
        </w:rPr>
      </w:pPr>
      <w:r>
        <w:rPr>
          <w:noProof/>
          <w:spacing w:val="-4"/>
          <w:sz w:val="26"/>
          <w:szCs w:val="26"/>
        </w:rPr>
        <w:t xml:space="preserve">- Năm 2023-Quý II/2025: </w:t>
      </w:r>
      <w:r>
        <w:rPr>
          <w:noProof/>
          <w:sz w:val="26"/>
          <w:szCs w:val="26"/>
        </w:rPr>
        <w:t xml:space="preserve">Hàm lượng Coliform trong nước hệ thống sông Quyền tại thời điểm quan trắc trong giai đoạn này hầu hết đang nằm trong giới hạn cho phép theo </w:t>
      </w:r>
      <w:r>
        <w:rPr>
          <w:bCs/>
          <w:sz w:val="26"/>
          <w:szCs w:val="26"/>
        </w:rPr>
        <w:t xml:space="preserve">Cột B1 </w:t>
      </w:r>
      <w:r>
        <w:rPr>
          <w:noProof/>
          <w:sz w:val="26"/>
          <w:szCs w:val="26"/>
        </w:rPr>
        <w:t xml:space="preserve">QCVN 08-MT:2015/BTNMT. Riêng hàm lượng Coliform tại sông Trí tại thời điểm quan trắc vượt giá trị giới hạn 1,21 lần. </w:t>
      </w:r>
      <w:r>
        <w:rPr>
          <w:noProof/>
          <w:spacing w:val="-4"/>
          <w:sz w:val="26"/>
          <w:szCs w:val="26"/>
        </w:rPr>
        <w:t>Nguyên nhân: Do các hoạt động NTTS trên khu vực làm gia tăng hàm lượng Coliform tại thời điểm quan trắc.</w:t>
      </w:r>
    </w:p>
    <w:p w14:paraId="009149B5" w14:textId="77777777" w:rsidR="00085789" w:rsidRDefault="00000000">
      <w:pPr>
        <w:spacing w:before="120" w:line="240" w:lineRule="auto"/>
        <w:ind w:firstLine="709"/>
        <w:jc w:val="both"/>
        <w:rPr>
          <w:b/>
          <w:bCs/>
          <w:spacing w:val="-2"/>
          <w:sz w:val="26"/>
          <w:szCs w:val="26"/>
        </w:rPr>
      </w:pPr>
      <w:r>
        <w:rPr>
          <w:b/>
          <w:bCs/>
          <w:spacing w:val="-2"/>
          <w:sz w:val="26"/>
          <w:szCs w:val="26"/>
        </w:rPr>
        <w:t>b) Đánh giá chất lượng nước hệ thống sông Quyền giai đoạn 2021-2024:</w:t>
      </w:r>
    </w:p>
    <w:p w14:paraId="60C55DD9" w14:textId="77777777" w:rsidR="00085789" w:rsidRDefault="00000000">
      <w:pPr>
        <w:spacing w:before="120" w:line="240" w:lineRule="auto"/>
        <w:ind w:firstLine="720"/>
        <w:jc w:val="both"/>
        <w:rPr>
          <w:b/>
          <w:noProof/>
          <w:spacing w:val="-4"/>
          <w:sz w:val="26"/>
          <w:szCs w:val="26"/>
        </w:rPr>
      </w:pPr>
      <w:r>
        <w:rPr>
          <w:bCs/>
          <w:iCs/>
          <w:sz w:val="26"/>
          <w:szCs w:val="26"/>
          <w:lang w:val="pt-BR"/>
        </w:rPr>
        <w:t>Chất lượng nước hệ thống sông Quyền được thể hiện qua chỉ số đánh giá chất lượng nước WQI như hình sau:</w:t>
      </w:r>
    </w:p>
    <w:p w14:paraId="0EAE3769" w14:textId="77777777" w:rsidR="00085789" w:rsidRDefault="00000000">
      <w:pPr>
        <w:spacing w:line="240" w:lineRule="auto"/>
        <w:rPr>
          <w:bCs/>
          <w:iCs/>
          <w:lang w:val="pt-BR"/>
        </w:rPr>
      </w:pPr>
      <w:r>
        <w:rPr>
          <w:noProof/>
        </w:rPr>
        <w:drawing>
          <wp:inline distT="0" distB="0" distL="0" distR="0" wp14:anchorId="05859B04" wp14:editId="719890B0">
            <wp:extent cx="5761990" cy="2438400"/>
            <wp:effectExtent l="0" t="0" r="10160" b="0"/>
            <wp:docPr id="1338145330" name="Chart 1">
              <a:extLst xmlns:a="http://schemas.openxmlformats.org/drawingml/2006/main">
                <a:ext uri="{FF2B5EF4-FFF2-40B4-BE49-F238E27FC236}">
                  <a16:creationId xmlns:a16="http://schemas.microsoft.com/office/drawing/2014/main" id="{475F6F4E-6ECD-4D07-8AC0-9D4BDD8349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C907376" w14:textId="77777777" w:rsidR="00085789" w:rsidRDefault="00000000">
      <w:pPr>
        <w:pStyle w:val="-bac4"/>
        <w:rPr>
          <w:lang w:val="pt-BR"/>
        </w:rPr>
      </w:pPr>
      <w:bookmarkStart w:id="655" w:name="_Toc205915731"/>
      <w:bookmarkStart w:id="656" w:name="_Toc213597426"/>
      <w:bookmarkStart w:id="657" w:name="_Toc213600785"/>
      <w:r>
        <w:rPr>
          <w:lang w:val="pt-BR"/>
        </w:rPr>
        <w:t xml:space="preserve">Hình 3.32. Chỉ số WQI nước mặt hệ thống sông Quyền </w:t>
      </w:r>
      <w:r>
        <w:rPr>
          <w:bCs/>
          <w:spacing w:val="-2"/>
          <w:lang w:val="pt-BR"/>
        </w:rPr>
        <w:t>giai đoạn 2021-2024</w:t>
      </w:r>
      <w:bookmarkEnd w:id="655"/>
      <w:bookmarkEnd w:id="656"/>
      <w:bookmarkEnd w:id="657"/>
    </w:p>
    <w:p w14:paraId="5CAA582C" w14:textId="77777777" w:rsidR="00085789" w:rsidRDefault="00000000">
      <w:pPr>
        <w:widowControl w:val="0"/>
        <w:spacing w:before="120" w:line="240" w:lineRule="auto"/>
        <w:ind w:firstLine="720"/>
        <w:jc w:val="both"/>
        <w:rPr>
          <w:sz w:val="26"/>
          <w:szCs w:val="26"/>
          <w:lang w:val="pt-BR"/>
        </w:rPr>
      </w:pPr>
      <w:r>
        <w:rPr>
          <w:bCs/>
          <w:i/>
          <w:sz w:val="26"/>
          <w:szCs w:val="26"/>
          <w:u w:val="single"/>
          <w:lang w:val="pt-BR"/>
        </w:rPr>
        <w:t>Nhận xét:</w:t>
      </w:r>
      <w:r>
        <w:rPr>
          <w:bCs/>
          <w:iCs/>
          <w:sz w:val="26"/>
          <w:szCs w:val="26"/>
          <w:lang w:val="pt-BR"/>
        </w:rPr>
        <w:t xml:space="preserve"> Nhìn vào </w:t>
      </w:r>
      <w:r>
        <w:rPr>
          <w:sz w:val="26"/>
          <w:szCs w:val="26"/>
          <w:lang w:val="pt-BR"/>
        </w:rPr>
        <w:t>chỉ số chất lượng nước WQI trung bình năm của hệ thống sông Quyền qua các năm 2021-2024 đều có chất lượng nước có thể sử dụng cho mục đích cấp nước sinh hoạt nhưng cần có các biện pháp xử lý phù hợp. Như vậy, để đánh giá chất lượng nước hệ thống sông Quyền vừa đảm bảo tính kế thừa, vừa đại diện cho các nguồn tác động trong thời gian tới một số vị trí không cần thiết quan trắc như khe Đá Hát (đã có điểm quan trắc tại cầu Tây Yên), khe Lau, khe Thầu Dầu, khe Thanh Trạng (có điểm quan trắc kênh thoát lũ.</w:t>
      </w:r>
    </w:p>
    <w:p w14:paraId="0E0575D1" w14:textId="77777777" w:rsidR="00085789" w:rsidRDefault="00000000">
      <w:pPr>
        <w:pStyle w:val="StyleHeading4Char1Char11Char11CharHeading4CharCharCharC1"/>
        <w:spacing w:before="60" w:after="0" w:line="240" w:lineRule="auto"/>
        <w:rPr>
          <w:b/>
          <w:lang w:val="pt-BR"/>
        </w:rPr>
      </w:pPr>
      <w:r>
        <w:rPr>
          <w:lang w:val="pt-BR"/>
        </w:rPr>
        <w:lastRenderedPageBreak/>
        <w:t>3.1.2.1.5. Diễn biến chất lượng nước hệ thống sông, suối khác qua từng năm</w:t>
      </w:r>
    </w:p>
    <w:p w14:paraId="028580A3" w14:textId="77777777" w:rsidR="00085789" w:rsidRDefault="00000000">
      <w:pPr>
        <w:spacing w:before="60" w:line="240" w:lineRule="auto"/>
        <w:ind w:firstLine="709"/>
        <w:jc w:val="both"/>
        <w:rPr>
          <w:rFonts w:ascii="Times New Roman Bold" w:hAnsi="Times New Roman Bold"/>
          <w:b/>
          <w:bCs/>
          <w:spacing w:val="-8"/>
          <w:sz w:val="26"/>
          <w:szCs w:val="26"/>
          <w:lang w:val="pt-BR"/>
        </w:rPr>
      </w:pPr>
      <w:r>
        <w:rPr>
          <w:rFonts w:ascii="Times New Roman Bold" w:hAnsi="Times New Roman Bold"/>
          <w:b/>
          <w:bCs/>
          <w:spacing w:val="-8"/>
          <w:sz w:val="26"/>
          <w:szCs w:val="26"/>
          <w:lang w:val="pt-BR"/>
        </w:rPr>
        <w:t xml:space="preserve">a) Phân tích diễn biến chất lượng nước các sông, suối khác </w:t>
      </w:r>
      <w:r>
        <w:rPr>
          <w:rFonts w:ascii="Times New Roman Bold" w:hAnsi="Times New Roman Bold"/>
          <w:b/>
          <w:noProof/>
          <w:spacing w:val="-8"/>
          <w:sz w:val="26"/>
          <w:szCs w:val="26"/>
          <w:lang w:val="pt-BR"/>
        </w:rPr>
        <w:t>từ năm 2021-Quý II/2025</w:t>
      </w:r>
      <w:r>
        <w:rPr>
          <w:rFonts w:ascii="Times New Roman Bold" w:hAnsi="Times New Roman Bold"/>
          <w:b/>
          <w:bCs/>
          <w:spacing w:val="-8"/>
          <w:sz w:val="26"/>
          <w:szCs w:val="26"/>
          <w:lang w:val="pt-BR"/>
        </w:rPr>
        <w:t>:</w:t>
      </w:r>
    </w:p>
    <w:p w14:paraId="56A4990C" w14:textId="77777777" w:rsidR="00085789" w:rsidRDefault="00000000">
      <w:pPr>
        <w:widowControl w:val="0"/>
        <w:spacing w:before="60" w:line="240" w:lineRule="auto"/>
        <w:ind w:firstLine="720"/>
        <w:jc w:val="both"/>
        <w:rPr>
          <w:spacing w:val="-2"/>
          <w:sz w:val="26"/>
          <w:szCs w:val="26"/>
          <w:lang w:val="pt-BR"/>
        </w:rPr>
      </w:pPr>
      <w:r>
        <w:rPr>
          <w:spacing w:val="-2"/>
          <w:sz w:val="26"/>
          <w:szCs w:val="26"/>
          <w:lang w:val="pt-BR"/>
        </w:rPr>
        <w:t xml:space="preserve">Các sông, suối nhỏ khác gồm sông Mỹ Dương, sông Gia Hội, kênh thoát lũ Kỳ Phương, sông Vịnh là các sông chỉ có chức năng cấp nước tưới tiêu và các mục đích khác có chất lượng thấp; ngoài ra, sông Rào Trổ, sông Nhà Lê (Kỳ Anh) là các tuyến sông nhỏ có chức năng cấp nước sinh hoạt. </w:t>
      </w:r>
      <w:r>
        <w:rPr>
          <w:sz w:val="26"/>
          <w:szCs w:val="26"/>
          <w:lang w:val="pt-BR"/>
        </w:rPr>
        <w:t>Các vị trí quan trắc đều là vị trí chịu ảnh hưởng nhiều bởi các hoạt động sản xuất nông nghiệp, công nghiệp, sinh hoạt và kinh doanh, dịch vụ của con người. Diễn biến ô nhiễm môi trường nước các sông, suối trên qua từng năm như sau:</w:t>
      </w:r>
    </w:p>
    <w:p w14:paraId="0390452C" w14:textId="77777777" w:rsidR="00085789" w:rsidRDefault="00000000">
      <w:pPr>
        <w:spacing w:before="120" w:line="240" w:lineRule="auto"/>
        <w:ind w:firstLine="720"/>
        <w:jc w:val="both"/>
        <w:rPr>
          <w:b/>
          <w:noProof/>
          <w:sz w:val="26"/>
          <w:szCs w:val="26"/>
          <w:lang w:val="pt-BR"/>
        </w:rPr>
      </w:pPr>
      <w:r>
        <w:rPr>
          <w:b/>
          <w:noProof/>
          <w:spacing w:val="-4"/>
          <w:sz w:val="26"/>
          <w:szCs w:val="26"/>
          <w:lang w:val="pt-BR"/>
        </w:rPr>
        <w:t>(1) Diễn biến hàm lượng BOD</w:t>
      </w:r>
      <w:r>
        <w:rPr>
          <w:b/>
          <w:noProof/>
          <w:spacing w:val="-4"/>
          <w:sz w:val="26"/>
          <w:szCs w:val="26"/>
          <w:vertAlign w:val="subscript"/>
          <w:lang w:val="pt-BR"/>
        </w:rPr>
        <w:t>5</w:t>
      </w:r>
      <w:r>
        <w:rPr>
          <w:b/>
          <w:noProof/>
          <w:spacing w:val="-4"/>
          <w:sz w:val="26"/>
          <w:szCs w:val="26"/>
          <w:lang w:val="pt-BR"/>
        </w:rPr>
        <w:t xml:space="preserve"> từ năm 2021-Quý II/2025:</w:t>
      </w:r>
      <w:r>
        <w:rPr>
          <w:b/>
          <w:noProof/>
          <w:sz w:val="26"/>
          <w:szCs w:val="26"/>
          <w:lang w:val="pt-BR"/>
        </w:rPr>
        <w:t xml:space="preserve"> </w:t>
      </w:r>
    </w:p>
    <w:p w14:paraId="50BA4B00" w14:textId="77777777" w:rsidR="00085789" w:rsidRDefault="00000000">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83360" behindDoc="0" locked="0" layoutInCell="1" allowOverlap="1" wp14:anchorId="04F39E89" wp14:editId="1115A525">
                <wp:simplePos x="0" y="0"/>
                <wp:positionH relativeFrom="column">
                  <wp:posOffset>4921885</wp:posOffset>
                </wp:positionH>
                <wp:positionV relativeFrom="paragraph">
                  <wp:posOffset>855344</wp:posOffset>
                </wp:positionV>
                <wp:extent cx="723900" cy="0"/>
                <wp:effectExtent l="0" t="0" r="0" b="0"/>
                <wp:wrapNone/>
                <wp:docPr id="1166792933"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8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55pt,67.35pt" to="444.55pt,6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" strokecolor="#f93" strokeweight="2pt">
                <o:lock v:ext="edit" shapetype="f"/>
              </v:line>
            </w:pict>
          </mc:Fallback>
        </mc:AlternateContent>
      </w:r>
      <w:r>
        <w:rPr>
          <w:noProof/>
        </w:rPr>
        <mc:AlternateContent>
          <mc:Choice Requires="wps">
            <w:drawing>
              <wp:anchor distT="4294967295" distB="4294967295" distL="114300" distR="114300" simplePos="0" relativeHeight="251984384" behindDoc="0" locked="0" layoutInCell="1" allowOverlap="1" wp14:anchorId="066D38D6" wp14:editId="272A2CA8">
                <wp:simplePos x="0" y="0"/>
                <wp:positionH relativeFrom="column">
                  <wp:posOffset>4919980</wp:posOffset>
                </wp:positionH>
                <wp:positionV relativeFrom="paragraph">
                  <wp:posOffset>929639</wp:posOffset>
                </wp:positionV>
                <wp:extent cx="723900" cy="0"/>
                <wp:effectExtent l="0" t="0" r="0" b="0"/>
                <wp:wrapNone/>
                <wp:docPr id="696623360"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8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4pt,73.2pt" to="444.4pt,7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" strokecolor="maroon" strokeweight="2pt">
                <o:lock v:ext="edit" shapetype="f"/>
              </v:line>
            </w:pict>
          </mc:Fallback>
        </mc:AlternateContent>
      </w:r>
      <w:r>
        <w:rPr>
          <w:noProof/>
        </w:rPr>
        <w:drawing>
          <wp:inline distT="0" distB="0" distL="0" distR="0" wp14:anchorId="17FFE461" wp14:editId="4EE90B52">
            <wp:extent cx="5761990" cy="1733909"/>
            <wp:effectExtent l="0" t="0" r="10160" b="0"/>
            <wp:docPr id="976923337" name="Chart 1">
              <a:extLst xmlns:a="http://schemas.openxmlformats.org/drawingml/2006/main">
                <a:ext uri="{FF2B5EF4-FFF2-40B4-BE49-F238E27FC236}">
                  <a16:creationId xmlns:a16="http://schemas.microsoft.com/office/drawing/2014/main" id="{57850F1F-B198-48AB-B0B6-D3D40903C8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5DC2AAD" w14:textId="77777777" w:rsidR="00085789" w:rsidRDefault="00000000">
      <w:pPr>
        <w:pStyle w:val="-bac4"/>
        <w:rPr>
          <w:i/>
        </w:rPr>
      </w:pPr>
      <w:bookmarkStart w:id="658" w:name="_Toc181861442"/>
      <w:bookmarkStart w:id="659" w:name="_Toc184097542"/>
      <w:bookmarkStart w:id="660" w:name="_Toc205915732"/>
      <w:bookmarkStart w:id="661" w:name="_Toc213597427"/>
      <w:bookmarkStart w:id="662" w:name="_Toc213600786"/>
      <w:r>
        <w:rPr>
          <w:rStyle w:val="b5Char"/>
          <w:b/>
          <w:i w:val="0"/>
          <w:color w:val="auto"/>
        </w:rPr>
        <w:t>Hình 3.33. Diễn biến hàm lượng BOD</w:t>
      </w:r>
      <w:r>
        <w:rPr>
          <w:rStyle w:val="b5Char"/>
          <w:b/>
          <w:i w:val="0"/>
          <w:color w:val="auto"/>
          <w:vertAlign w:val="subscript"/>
        </w:rPr>
        <w:t>5</w:t>
      </w:r>
      <w:r>
        <w:rPr>
          <w:rStyle w:val="b5Char"/>
          <w:b/>
          <w:i w:val="0"/>
          <w:color w:val="auto"/>
        </w:rPr>
        <w:t xml:space="preserve"> </w:t>
      </w:r>
      <w:r>
        <w:t>trong nước các sông/suối khác</w:t>
      </w:r>
      <w:bookmarkEnd w:id="658"/>
      <w:bookmarkEnd w:id="659"/>
      <w:bookmarkEnd w:id="660"/>
      <w:bookmarkEnd w:id="661"/>
      <w:bookmarkEnd w:id="662"/>
    </w:p>
    <w:p w14:paraId="3A5DE300" w14:textId="77777777" w:rsidR="00085789" w:rsidRDefault="00000000">
      <w:pPr>
        <w:widowControl w:val="0"/>
        <w:spacing w:before="60" w:line="240" w:lineRule="auto"/>
        <w:ind w:firstLine="709"/>
        <w:jc w:val="both"/>
        <w:rPr>
          <w:noProof/>
          <w:sz w:val="26"/>
          <w:szCs w:val="26"/>
          <w:u w:val="single"/>
        </w:rPr>
      </w:pPr>
      <w:r>
        <w:rPr>
          <w:i/>
          <w:noProof/>
          <w:sz w:val="26"/>
          <w:szCs w:val="26"/>
          <w:u w:val="single"/>
        </w:rPr>
        <w:t>Nhận xét:</w:t>
      </w:r>
    </w:p>
    <w:p w14:paraId="3EDA3AA9" w14:textId="77777777" w:rsidR="00085789" w:rsidRDefault="00000000">
      <w:pPr>
        <w:widowControl w:val="0"/>
        <w:spacing w:before="60" w:line="240" w:lineRule="auto"/>
        <w:ind w:firstLine="709"/>
        <w:jc w:val="both"/>
        <w:rPr>
          <w:noProof/>
          <w:spacing w:val="-2"/>
          <w:sz w:val="26"/>
          <w:szCs w:val="26"/>
        </w:rPr>
      </w:pPr>
      <w:r>
        <w:rPr>
          <w:noProof/>
          <w:spacing w:val="-2"/>
          <w:sz w:val="26"/>
          <w:szCs w:val="26"/>
        </w:rPr>
        <w:t xml:space="preserve">- Năm 2021-2022: </w:t>
      </w:r>
    </w:p>
    <w:p w14:paraId="5509400F" w14:textId="77777777" w:rsidR="00085789" w:rsidRDefault="00000000">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Mỹ Dương, sông Gia Hội, kênh thoát lũ, sông Vịnh và sông Nhà Lê tại thời điểm quan trắc đạt </w:t>
      </w:r>
      <w:r>
        <w:rPr>
          <w:bCs/>
          <w:spacing w:val="-2"/>
          <w:sz w:val="26"/>
          <w:szCs w:val="26"/>
        </w:rPr>
        <w:t xml:space="preserve">Cột B1 </w:t>
      </w:r>
      <w:r>
        <w:rPr>
          <w:noProof/>
          <w:spacing w:val="-2"/>
          <w:sz w:val="26"/>
          <w:szCs w:val="26"/>
        </w:rPr>
        <w:t>QCVN 08-MT:2015/BTNMT.</w:t>
      </w:r>
    </w:p>
    <w:p w14:paraId="5EEB510B" w14:textId="77777777" w:rsidR="00085789" w:rsidRDefault="00000000">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Rào Trổ tại thời điểm quan trắc năm 2021 vượt giá trị giới hạn tại </w:t>
      </w:r>
      <w:r>
        <w:rPr>
          <w:bCs/>
          <w:spacing w:val="-2"/>
          <w:sz w:val="26"/>
          <w:szCs w:val="26"/>
        </w:rPr>
        <w:t xml:space="preserve">Cột A2 </w:t>
      </w:r>
      <w:r>
        <w:rPr>
          <w:noProof/>
          <w:spacing w:val="-2"/>
          <w:sz w:val="26"/>
          <w:szCs w:val="26"/>
        </w:rPr>
        <w:t>QCVN 08-MT:2015/BTNMT 2,16 lần. Năm 2022: Hàm lượng BOD</w:t>
      </w:r>
      <w:r>
        <w:rPr>
          <w:noProof/>
          <w:spacing w:val="-2"/>
          <w:sz w:val="26"/>
          <w:szCs w:val="26"/>
          <w:vertAlign w:val="subscript"/>
        </w:rPr>
        <w:t>5</w:t>
      </w:r>
      <w:r>
        <w:rPr>
          <w:noProof/>
          <w:spacing w:val="-2"/>
          <w:sz w:val="26"/>
          <w:szCs w:val="26"/>
        </w:rPr>
        <w:t xml:space="preserve"> trong nước sông Rào Trổ vượt giá trị giới hạn 1,25 lần. Nhưng ở mức nhỏ, có thể do các yếu tố về sinh hoạt, chăn nuôi nông nghiệp.</w:t>
      </w:r>
    </w:p>
    <w:p w14:paraId="04910BC9" w14:textId="77777777" w:rsidR="00085789" w:rsidRDefault="00000000">
      <w:pPr>
        <w:widowControl w:val="0"/>
        <w:spacing w:before="60" w:line="240" w:lineRule="auto"/>
        <w:ind w:firstLine="709"/>
        <w:jc w:val="both"/>
        <w:rPr>
          <w:noProof/>
          <w:spacing w:val="-2"/>
          <w:sz w:val="26"/>
          <w:szCs w:val="26"/>
        </w:rPr>
      </w:pPr>
      <w:r>
        <w:rPr>
          <w:noProof/>
          <w:spacing w:val="-2"/>
          <w:sz w:val="26"/>
          <w:szCs w:val="26"/>
        </w:rPr>
        <w:t>- Năm 2023-Quý II/2025:</w:t>
      </w:r>
    </w:p>
    <w:p w14:paraId="4B7DCA01" w14:textId="77777777" w:rsidR="00085789" w:rsidRDefault="00000000">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Mỹ Dương, sông Gia Hội, kênh thoát lũ, sông Nhà Lê và sông Vịnh tại thời điểm quan trắc đạt </w:t>
      </w:r>
      <w:r>
        <w:rPr>
          <w:bCs/>
          <w:sz w:val="26"/>
          <w:szCs w:val="26"/>
        </w:rPr>
        <w:t xml:space="preserve">Mức B </w:t>
      </w:r>
      <w:r>
        <w:rPr>
          <w:noProof/>
          <w:sz w:val="26"/>
          <w:szCs w:val="26"/>
        </w:rPr>
        <w:t>QCVN 08:2023/BTNMT</w:t>
      </w:r>
      <w:r>
        <w:rPr>
          <w:noProof/>
          <w:spacing w:val="-2"/>
          <w:sz w:val="26"/>
          <w:szCs w:val="26"/>
        </w:rPr>
        <w:t>.</w:t>
      </w:r>
    </w:p>
    <w:p w14:paraId="33BB53BE" w14:textId="77777777" w:rsidR="00085789" w:rsidRDefault="00000000">
      <w:pPr>
        <w:widowControl w:val="0"/>
        <w:spacing w:before="60" w:line="240" w:lineRule="auto"/>
        <w:ind w:firstLine="709"/>
        <w:jc w:val="both"/>
        <w:rPr>
          <w:noProof/>
          <w:spacing w:val="-2"/>
          <w:sz w:val="26"/>
          <w:szCs w:val="26"/>
        </w:rPr>
      </w:pPr>
      <w:r>
        <w:rPr>
          <w:noProof/>
          <w:spacing w:val="-2"/>
          <w:sz w:val="26"/>
          <w:szCs w:val="26"/>
        </w:rPr>
        <w:t>+ Hàm lượng BOD</w:t>
      </w:r>
      <w:r>
        <w:rPr>
          <w:noProof/>
          <w:spacing w:val="-2"/>
          <w:sz w:val="26"/>
          <w:szCs w:val="26"/>
          <w:vertAlign w:val="subscript"/>
        </w:rPr>
        <w:t>5</w:t>
      </w:r>
      <w:r>
        <w:rPr>
          <w:noProof/>
          <w:spacing w:val="-2"/>
          <w:sz w:val="26"/>
          <w:szCs w:val="26"/>
        </w:rPr>
        <w:t xml:space="preserve"> trong nước sông Rào Trổ tại thời điểm quan trắc đang nằm trong giá trị giới hạn tại Mức A </w:t>
      </w:r>
      <w:r>
        <w:rPr>
          <w:noProof/>
          <w:sz w:val="26"/>
          <w:szCs w:val="26"/>
        </w:rPr>
        <w:t>QCVN 08:2023/BTNMT</w:t>
      </w:r>
      <w:r>
        <w:rPr>
          <w:noProof/>
          <w:spacing w:val="-2"/>
          <w:sz w:val="26"/>
          <w:szCs w:val="26"/>
        </w:rPr>
        <w:t>.</w:t>
      </w:r>
    </w:p>
    <w:p w14:paraId="34886F86" w14:textId="77777777" w:rsidR="00085789" w:rsidRDefault="00000000">
      <w:pPr>
        <w:spacing w:before="120" w:line="32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w:t>
      </w:r>
    </w:p>
    <w:p w14:paraId="712B36CD" w14:textId="77777777" w:rsidR="00085789" w:rsidRDefault="00000000">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80288" behindDoc="0" locked="0" layoutInCell="1" allowOverlap="1" wp14:anchorId="5D641776" wp14:editId="63E4FF6E">
                <wp:simplePos x="0" y="0"/>
                <wp:positionH relativeFrom="column">
                  <wp:posOffset>4918710</wp:posOffset>
                </wp:positionH>
                <wp:positionV relativeFrom="paragraph">
                  <wp:posOffset>941069</wp:posOffset>
                </wp:positionV>
                <wp:extent cx="723900" cy="0"/>
                <wp:effectExtent l="0" t="0" r="0" b="0"/>
                <wp:wrapNone/>
                <wp:docPr id="1892310156"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8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3pt,74.1pt" to="444.3pt,7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" strokecolor="maroon" strokeweight="2pt">
                <o:lock v:ext="edit" shapetype="f"/>
              </v:line>
            </w:pict>
          </mc:Fallback>
        </mc:AlternateContent>
      </w:r>
      <w:r>
        <w:rPr>
          <w:noProof/>
        </w:rPr>
        <mc:AlternateContent>
          <mc:Choice Requires="wps">
            <w:drawing>
              <wp:anchor distT="4294967295" distB="4294967295" distL="114300" distR="114300" simplePos="0" relativeHeight="251981312" behindDoc="0" locked="0" layoutInCell="1" allowOverlap="1" wp14:anchorId="6327F893" wp14:editId="0F780289">
                <wp:simplePos x="0" y="0"/>
                <wp:positionH relativeFrom="column">
                  <wp:posOffset>4907915</wp:posOffset>
                </wp:positionH>
                <wp:positionV relativeFrom="paragraph">
                  <wp:posOffset>786764</wp:posOffset>
                </wp:positionV>
                <wp:extent cx="723900" cy="0"/>
                <wp:effectExtent l="0" t="0" r="0" b="0"/>
                <wp:wrapNone/>
                <wp:docPr id="15550369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8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6.45pt,61.95pt" to="443.45pt,6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" strokecolor="#f90" strokeweight="2pt">
                <o:lock v:ext="edit" shapetype="f"/>
              </v:line>
            </w:pict>
          </mc:Fallback>
        </mc:AlternateContent>
      </w:r>
      <w:r>
        <w:rPr>
          <w:noProof/>
        </w:rPr>
        <w:drawing>
          <wp:inline distT="0" distB="0" distL="0" distR="0" wp14:anchorId="0A06012A" wp14:editId="23674EFF">
            <wp:extent cx="5761990" cy="1889185"/>
            <wp:effectExtent l="0" t="0" r="10160" b="15875"/>
            <wp:docPr id="1588364580" name="Chart 1">
              <a:extLst xmlns:a="http://schemas.openxmlformats.org/drawingml/2006/main">
                <a:ext uri="{FF2B5EF4-FFF2-40B4-BE49-F238E27FC236}">
                  <a16:creationId xmlns:a16="http://schemas.microsoft.com/office/drawing/2014/main" id="{98D14C9B-4EB4-4702-9755-0EE2A2259A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21E24F7C" w14:textId="77777777" w:rsidR="00085789" w:rsidRDefault="00000000">
      <w:pPr>
        <w:pStyle w:val="-bac4"/>
      </w:pPr>
      <w:bookmarkStart w:id="663" w:name="_Toc181861443"/>
      <w:bookmarkStart w:id="664" w:name="_Toc184097543"/>
      <w:bookmarkStart w:id="665" w:name="_Toc205915733"/>
      <w:bookmarkStart w:id="666" w:name="_Toc213597428"/>
      <w:bookmarkStart w:id="667" w:name="_Toc213600787"/>
      <w:r>
        <w:t>Hình 3.34. Diễn biến hàm lượng COD trong nước các sông/suối khác</w:t>
      </w:r>
      <w:bookmarkEnd w:id="663"/>
      <w:bookmarkEnd w:id="664"/>
      <w:bookmarkEnd w:id="665"/>
      <w:bookmarkEnd w:id="666"/>
      <w:bookmarkEnd w:id="667"/>
    </w:p>
    <w:p w14:paraId="02100904"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lastRenderedPageBreak/>
        <w:t>Nhận xét:</w:t>
      </w:r>
    </w:p>
    <w:p w14:paraId="3C367E13" w14:textId="77777777" w:rsidR="00085789" w:rsidRDefault="00000000">
      <w:pPr>
        <w:widowControl w:val="0"/>
        <w:spacing w:before="120" w:line="240" w:lineRule="auto"/>
        <w:ind w:firstLine="709"/>
        <w:jc w:val="both"/>
        <w:rPr>
          <w:noProof/>
          <w:spacing w:val="-2"/>
          <w:sz w:val="26"/>
          <w:szCs w:val="26"/>
        </w:rPr>
      </w:pPr>
      <w:r>
        <w:rPr>
          <w:noProof/>
          <w:spacing w:val="-2"/>
          <w:sz w:val="26"/>
          <w:szCs w:val="26"/>
        </w:rPr>
        <w:t xml:space="preserve">- Năm 2021-2022: </w:t>
      </w:r>
    </w:p>
    <w:p w14:paraId="118F6B69" w14:textId="77777777" w:rsidR="00085789" w:rsidRDefault="00000000">
      <w:pPr>
        <w:widowControl w:val="0"/>
        <w:spacing w:before="120" w:line="240" w:lineRule="auto"/>
        <w:ind w:firstLine="709"/>
        <w:jc w:val="both"/>
        <w:rPr>
          <w:noProof/>
          <w:spacing w:val="-4"/>
          <w:sz w:val="26"/>
          <w:szCs w:val="26"/>
        </w:rPr>
      </w:pPr>
      <w:r>
        <w:rPr>
          <w:noProof/>
          <w:spacing w:val="-4"/>
          <w:sz w:val="26"/>
          <w:szCs w:val="26"/>
        </w:rPr>
        <w:t xml:space="preserve">+ Hàm lượng COD trong nước sông Mỹ Dương, sông Gia Hội, kênh thoát lũ, sông Nhà Lê và sông Vịnh tại thời điểm quan trắc đạt </w:t>
      </w:r>
      <w:r>
        <w:rPr>
          <w:bCs/>
          <w:spacing w:val="-4"/>
          <w:sz w:val="26"/>
          <w:szCs w:val="26"/>
        </w:rPr>
        <w:t xml:space="preserve">Cột B1 </w:t>
      </w:r>
      <w:r>
        <w:rPr>
          <w:noProof/>
          <w:spacing w:val="-4"/>
          <w:sz w:val="26"/>
          <w:szCs w:val="26"/>
        </w:rPr>
        <w:t>QCVN 08-MT:2015/BTNMT.</w:t>
      </w:r>
    </w:p>
    <w:p w14:paraId="461850B8" w14:textId="77777777" w:rsidR="00085789" w:rsidRDefault="00000000">
      <w:pPr>
        <w:widowControl w:val="0"/>
        <w:spacing w:before="120" w:line="240" w:lineRule="auto"/>
        <w:ind w:firstLine="709"/>
        <w:jc w:val="both"/>
        <w:rPr>
          <w:noProof/>
          <w:spacing w:val="-2"/>
          <w:sz w:val="26"/>
          <w:szCs w:val="26"/>
        </w:rPr>
      </w:pPr>
      <w:r>
        <w:rPr>
          <w:noProof/>
          <w:spacing w:val="-2"/>
          <w:sz w:val="26"/>
          <w:szCs w:val="26"/>
        </w:rPr>
        <w:t xml:space="preserve">+ Hàm lượng COD trung bình tại sông Rào Trổ tại thời điểm quan trắc đang nằm trong giới hạn cho phép tại </w:t>
      </w:r>
      <w:r>
        <w:rPr>
          <w:bCs/>
          <w:spacing w:val="-2"/>
          <w:sz w:val="26"/>
          <w:szCs w:val="26"/>
        </w:rPr>
        <w:t xml:space="preserve">Cột A2 </w:t>
      </w:r>
      <w:r>
        <w:rPr>
          <w:noProof/>
          <w:spacing w:val="-2"/>
          <w:sz w:val="26"/>
          <w:szCs w:val="26"/>
        </w:rPr>
        <w:t>QCVN 08-MT:2015/BTNMT.</w:t>
      </w:r>
    </w:p>
    <w:p w14:paraId="2DDD77D0" w14:textId="77777777" w:rsidR="00085789" w:rsidRDefault="00000000">
      <w:pPr>
        <w:widowControl w:val="0"/>
        <w:spacing w:before="120" w:line="240" w:lineRule="auto"/>
        <w:ind w:firstLine="709"/>
        <w:jc w:val="both"/>
        <w:rPr>
          <w:noProof/>
          <w:spacing w:val="-2"/>
          <w:sz w:val="26"/>
          <w:szCs w:val="26"/>
        </w:rPr>
      </w:pPr>
      <w:r>
        <w:rPr>
          <w:noProof/>
          <w:spacing w:val="-2"/>
          <w:sz w:val="26"/>
          <w:szCs w:val="26"/>
        </w:rPr>
        <w:t xml:space="preserve">- Năm 2023-Quý II/2025: </w:t>
      </w:r>
    </w:p>
    <w:p w14:paraId="244A3FA7" w14:textId="77777777" w:rsidR="00085789" w:rsidRDefault="00000000">
      <w:pPr>
        <w:widowControl w:val="0"/>
        <w:spacing w:before="120" w:line="240" w:lineRule="auto"/>
        <w:ind w:firstLine="709"/>
        <w:jc w:val="both"/>
        <w:rPr>
          <w:noProof/>
          <w:spacing w:val="-2"/>
          <w:sz w:val="26"/>
          <w:szCs w:val="26"/>
        </w:rPr>
      </w:pPr>
      <w:r>
        <w:rPr>
          <w:noProof/>
          <w:spacing w:val="-2"/>
          <w:sz w:val="26"/>
          <w:szCs w:val="26"/>
        </w:rPr>
        <w:t xml:space="preserve">+ Hàm lượng COD trong nước sông Mỹ Dương, sông Gia Hội, kênh thoát lũ tại thời điểm quan trắc vượt giá trị giới hạn cho phép </w:t>
      </w:r>
      <w:r>
        <w:rPr>
          <w:bCs/>
          <w:spacing w:val="-2"/>
          <w:sz w:val="26"/>
          <w:szCs w:val="26"/>
        </w:rPr>
        <w:t xml:space="preserve">Mức B </w:t>
      </w:r>
      <w:r>
        <w:rPr>
          <w:noProof/>
          <w:spacing w:val="-2"/>
          <w:sz w:val="26"/>
          <w:szCs w:val="26"/>
        </w:rPr>
        <w:t>QCVN 08:2023/BTNMT. Cụ thể, năm 2023: Sông Mỹ dương vượt 1,42 lần, kênh thoát lũ vượt 1,07 lần, sông Nhà Lê vượt 1,2 lần; Năm 2024: sông Gia Hội vượt 1,07 lần; Quý II/2025: sông Mỹ Dương vượt 1,07 lần, sông Nhà Lê vượt 1,23 lần. Còn lại đang nằm trong giới hạn Mức B theo quy chuẩn.</w:t>
      </w:r>
    </w:p>
    <w:p w14:paraId="4F78C262" w14:textId="77777777" w:rsidR="00085789" w:rsidRDefault="00000000">
      <w:pPr>
        <w:widowControl w:val="0"/>
        <w:spacing w:before="120" w:line="240" w:lineRule="auto"/>
        <w:ind w:firstLine="709"/>
        <w:jc w:val="both"/>
        <w:rPr>
          <w:noProof/>
          <w:spacing w:val="-4"/>
          <w:sz w:val="26"/>
          <w:szCs w:val="26"/>
        </w:rPr>
      </w:pPr>
      <w:r>
        <w:rPr>
          <w:noProof/>
          <w:spacing w:val="-4"/>
          <w:sz w:val="26"/>
          <w:szCs w:val="26"/>
        </w:rPr>
        <w:t xml:space="preserve">+ Hàm lượng </w:t>
      </w:r>
      <w:r>
        <w:rPr>
          <w:noProof/>
          <w:spacing w:val="-2"/>
          <w:sz w:val="26"/>
          <w:szCs w:val="26"/>
        </w:rPr>
        <w:t>COD</w:t>
      </w:r>
      <w:r>
        <w:rPr>
          <w:noProof/>
          <w:spacing w:val="-4"/>
          <w:sz w:val="26"/>
          <w:szCs w:val="26"/>
        </w:rPr>
        <w:t xml:space="preserve"> trong nước sông Rào Trổ tại thời điểm quan trắc hầu hết đang nằm trong giá trị giới hạn tại Mức A QCVN 08:2023/BTNMT, riêng Quý II/2025 vượt giá trị giới hạn 1,5 lần.</w:t>
      </w:r>
    </w:p>
    <w:p w14:paraId="66C605D6" w14:textId="77777777" w:rsidR="00085789" w:rsidRDefault="00000000">
      <w:pPr>
        <w:widowControl w:val="0"/>
        <w:spacing w:before="120" w:line="240" w:lineRule="auto"/>
        <w:ind w:firstLine="709"/>
        <w:jc w:val="both"/>
        <w:rPr>
          <w:noProof/>
          <w:spacing w:val="-2"/>
          <w:sz w:val="26"/>
          <w:szCs w:val="26"/>
        </w:rPr>
      </w:pPr>
      <w:r>
        <w:rPr>
          <w:noProof/>
          <w:spacing w:val="-4"/>
          <w:sz w:val="26"/>
          <w:szCs w:val="26"/>
        </w:rPr>
        <w:t xml:space="preserve">=&gt; Nguyên nhân: Do các hoạt động sinh hoạt, sản xuất nông nghiệp trên khu vực làm gia tăng hàm lượng </w:t>
      </w:r>
      <w:r>
        <w:rPr>
          <w:noProof/>
          <w:spacing w:val="-2"/>
          <w:sz w:val="26"/>
          <w:szCs w:val="26"/>
        </w:rPr>
        <w:t>COD</w:t>
      </w:r>
      <w:r>
        <w:rPr>
          <w:noProof/>
          <w:spacing w:val="-4"/>
          <w:sz w:val="26"/>
          <w:szCs w:val="26"/>
        </w:rPr>
        <w:t xml:space="preserve"> tại thời điểm quan trắc.</w:t>
      </w:r>
    </w:p>
    <w:p w14:paraId="55DAD395" w14:textId="77777777" w:rsidR="00085789" w:rsidRDefault="00000000">
      <w:pPr>
        <w:spacing w:before="120" w:line="320" w:lineRule="exact"/>
        <w:ind w:firstLine="720"/>
        <w:jc w:val="both"/>
        <w:rPr>
          <w:b/>
          <w:noProof/>
          <w:spacing w:val="-4"/>
          <w:sz w:val="26"/>
          <w:szCs w:val="26"/>
          <w:lang w:val="pt-BR"/>
        </w:rPr>
      </w:pPr>
      <w:r>
        <w:rPr>
          <w:b/>
          <w:noProof/>
          <w:spacing w:val="-4"/>
          <w:sz w:val="26"/>
          <w:szCs w:val="26"/>
          <w:lang w:val="pt-BR"/>
        </w:rPr>
        <w:t>(3) Diễn biến hàm lượng TSS từ năm 2021-Quý II/2025:</w:t>
      </w:r>
    </w:p>
    <w:p w14:paraId="46F3EA19" w14:textId="77777777" w:rsidR="00085789" w:rsidRDefault="00000000">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8240" behindDoc="0" locked="0" layoutInCell="1" allowOverlap="1" wp14:anchorId="4D4E62F4" wp14:editId="53370E12">
                <wp:simplePos x="0" y="0"/>
                <wp:positionH relativeFrom="column">
                  <wp:posOffset>4923790</wp:posOffset>
                </wp:positionH>
                <wp:positionV relativeFrom="paragraph">
                  <wp:posOffset>800734</wp:posOffset>
                </wp:positionV>
                <wp:extent cx="723900" cy="0"/>
                <wp:effectExtent l="0" t="0" r="0" b="0"/>
                <wp:wrapNone/>
                <wp:docPr id="118269424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7pt,63.05pt" to="444.7pt,6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" strokecolor="maroon" strokeweight="2pt">
                <o:lock v:ext="edit" shapetype="f"/>
              </v:line>
            </w:pict>
          </mc:Fallback>
        </mc:AlternateContent>
      </w:r>
      <w:r>
        <w:rPr>
          <w:noProof/>
        </w:rPr>
        <mc:AlternateContent>
          <mc:Choice Requires="wps">
            <w:drawing>
              <wp:anchor distT="4294967295" distB="4294967295" distL="114300" distR="114300" simplePos="0" relativeHeight="251979264" behindDoc="0" locked="0" layoutInCell="1" allowOverlap="1" wp14:anchorId="0223A3CE" wp14:editId="2C4FD274">
                <wp:simplePos x="0" y="0"/>
                <wp:positionH relativeFrom="column">
                  <wp:posOffset>4922520</wp:posOffset>
                </wp:positionH>
                <wp:positionV relativeFrom="paragraph">
                  <wp:posOffset>750569</wp:posOffset>
                </wp:positionV>
                <wp:extent cx="723900" cy="0"/>
                <wp:effectExtent l="0" t="0" r="0" b="0"/>
                <wp:wrapNone/>
                <wp:docPr id="2068980287"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6pt,59.1pt" to="444.6pt,5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" strokecolor="#f93" strokeweight="2pt">
                <o:lock v:ext="edit" shapetype="f"/>
              </v:line>
            </w:pict>
          </mc:Fallback>
        </mc:AlternateContent>
      </w:r>
      <w:r>
        <w:rPr>
          <w:noProof/>
        </w:rPr>
        <w:drawing>
          <wp:inline distT="0" distB="0" distL="0" distR="0" wp14:anchorId="0D4983F6" wp14:editId="58583A59">
            <wp:extent cx="5761990" cy="1719072"/>
            <wp:effectExtent l="0" t="0" r="10160" b="14605"/>
            <wp:docPr id="1614359754" name="Chart 1">
              <a:extLst xmlns:a="http://schemas.openxmlformats.org/drawingml/2006/main">
                <a:ext uri="{FF2B5EF4-FFF2-40B4-BE49-F238E27FC236}">
                  <a16:creationId xmlns:a16="http://schemas.microsoft.com/office/drawing/2014/main" id="{2BD9EAE9-4FAE-4F2F-ACC1-4ED599DC07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16689B4C" w14:textId="77777777" w:rsidR="00085789" w:rsidRDefault="00000000">
      <w:pPr>
        <w:pStyle w:val="-bac4"/>
      </w:pPr>
      <w:bookmarkStart w:id="668" w:name="_Toc181861441"/>
      <w:bookmarkStart w:id="669" w:name="_Toc184097541"/>
      <w:bookmarkStart w:id="670" w:name="_Toc205915734"/>
      <w:bookmarkStart w:id="671" w:name="_Toc213597429"/>
      <w:bookmarkStart w:id="672" w:name="_Toc213600788"/>
      <w:r>
        <w:t>Hình 3.35. Diễn biến hàm lượng TSS trong nước các sông/suối khác</w:t>
      </w:r>
      <w:bookmarkEnd w:id="668"/>
      <w:bookmarkEnd w:id="669"/>
      <w:bookmarkEnd w:id="670"/>
      <w:bookmarkEnd w:id="671"/>
      <w:bookmarkEnd w:id="672"/>
    </w:p>
    <w:p w14:paraId="461A80C2"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01CA7DA1"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Hàm lượng TSS trong nước sông Rào Trổ tại thời điểm quan trắc đang nằm trong giới hạn cho phép theo </w:t>
      </w:r>
      <w:r>
        <w:rPr>
          <w:bCs/>
          <w:sz w:val="26"/>
          <w:szCs w:val="26"/>
        </w:rPr>
        <w:t xml:space="preserve">Cột A2 </w:t>
      </w:r>
      <w:r>
        <w:rPr>
          <w:noProof/>
          <w:sz w:val="26"/>
          <w:szCs w:val="26"/>
        </w:rPr>
        <w:t>QCVN 08-MT:2015/BTNMT. Hàm lượng TSS trong các vị trí nước mặt các sông/suối khác nằm trong giới hạn cho phép theo Cột B1 QCVN 08-MT:2015/BTNMT.</w:t>
      </w:r>
    </w:p>
    <w:p w14:paraId="50423339" w14:textId="77777777" w:rsidR="00085789" w:rsidRDefault="00000000">
      <w:pPr>
        <w:spacing w:before="120" w:line="240" w:lineRule="auto"/>
        <w:ind w:firstLine="709"/>
        <w:jc w:val="both"/>
        <w:rPr>
          <w:bCs/>
          <w:spacing w:val="-4"/>
          <w:sz w:val="26"/>
          <w:szCs w:val="26"/>
        </w:rPr>
      </w:pPr>
      <w:r>
        <w:rPr>
          <w:noProof/>
          <w:spacing w:val="-4"/>
          <w:sz w:val="26"/>
          <w:szCs w:val="26"/>
        </w:rPr>
        <w:t xml:space="preserve">- Năm 2023-Quý II/2025: Hàm lượng TSS trong nước sông Rào Trổ tại thời điểm quan trắc đang nằm trong giới hạn cho phép theo </w:t>
      </w:r>
      <w:r>
        <w:rPr>
          <w:bCs/>
          <w:spacing w:val="-4"/>
          <w:sz w:val="26"/>
          <w:szCs w:val="26"/>
        </w:rPr>
        <w:t xml:space="preserve">Mức A </w:t>
      </w:r>
      <w:r>
        <w:rPr>
          <w:noProof/>
          <w:spacing w:val="-4"/>
          <w:sz w:val="26"/>
          <w:szCs w:val="26"/>
        </w:rPr>
        <w:t>QCVN 08:2023/BTNMT;</w:t>
      </w:r>
      <w:r>
        <w:rPr>
          <w:bCs/>
          <w:spacing w:val="-4"/>
          <w:sz w:val="26"/>
          <w:szCs w:val="26"/>
        </w:rPr>
        <w:t xml:space="preserve"> hàm lượng TSS trong nước mặt các sông/suối khác tại thời điểm quan trắc đang nằm trong giá trị giới hạn theo Mức B </w:t>
      </w:r>
      <w:r>
        <w:rPr>
          <w:noProof/>
          <w:spacing w:val="-4"/>
          <w:sz w:val="26"/>
          <w:szCs w:val="26"/>
        </w:rPr>
        <w:t>QCVN 08:2023/BTNMT.</w:t>
      </w:r>
    </w:p>
    <w:p w14:paraId="16B3F238" w14:textId="77777777" w:rsidR="00085789" w:rsidRDefault="00000000">
      <w:pPr>
        <w:spacing w:before="120"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r>
        <w:rPr>
          <w:noProof/>
        </w:rPr>
        <w:t xml:space="preserve"> </w:t>
      </w:r>
    </w:p>
    <w:p w14:paraId="10601707" w14:textId="77777777" w:rsidR="00085789" w:rsidRDefault="00000000">
      <w:pPr>
        <w:spacing w:before="120" w:line="240" w:lineRule="auto"/>
        <w:jc w:val="both"/>
        <w:rPr>
          <w:b/>
          <w:noProof/>
          <w:spacing w:val="-4"/>
          <w:sz w:val="26"/>
          <w:szCs w:val="26"/>
        </w:rPr>
      </w:pPr>
      <w:r>
        <w:rPr>
          <w:noProof/>
        </w:rPr>
        <w:lastRenderedPageBreak/>
        <mc:AlternateContent>
          <mc:Choice Requires="wps">
            <w:drawing>
              <wp:anchor distT="4294967295" distB="4294967295" distL="114300" distR="114300" simplePos="0" relativeHeight="251977216" behindDoc="0" locked="0" layoutInCell="1" allowOverlap="1" wp14:anchorId="4BC35B32" wp14:editId="208E7877">
                <wp:simplePos x="0" y="0"/>
                <wp:positionH relativeFrom="column">
                  <wp:posOffset>4923790</wp:posOffset>
                </wp:positionH>
                <wp:positionV relativeFrom="paragraph">
                  <wp:posOffset>600074</wp:posOffset>
                </wp:positionV>
                <wp:extent cx="723900" cy="0"/>
                <wp:effectExtent l="0" t="0" r="0" b="0"/>
                <wp:wrapNone/>
                <wp:docPr id="125063954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7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7pt,47.25pt" to="444.7pt,4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" strokecolor="maroon" strokeweight="2pt">
                <o:lock v:ext="edit" shapetype="f"/>
              </v:line>
            </w:pict>
          </mc:Fallback>
        </mc:AlternateContent>
      </w:r>
      <w:r>
        <w:rPr>
          <w:noProof/>
        </w:rPr>
        <mc:AlternateContent>
          <mc:Choice Requires="wps">
            <w:drawing>
              <wp:anchor distT="4294967295" distB="4294967295" distL="114300" distR="114300" simplePos="0" relativeHeight="251976192" behindDoc="0" locked="0" layoutInCell="1" allowOverlap="1" wp14:anchorId="14B024E8" wp14:editId="44848A2F">
                <wp:simplePos x="0" y="0"/>
                <wp:positionH relativeFrom="column">
                  <wp:posOffset>4922520</wp:posOffset>
                </wp:positionH>
                <wp:positionV relativeFrom="paragraph">
                  <wp:posOffset>702309</wp:posOffset>
                </wp:positionV>
                <wp:extent cx="723900" cy="0"/>
                <wp:effectExtent l="0" t="0" r="0" b="0"/>
                <wp:wrapNone/>
                <wp:docPr id="819734959"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6pt,55.3pt" to="444.6pt,5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" strokecolor="#f93" strokeweight="2pt">
                <o:lock v:ext="edit" shapetype="f"/>
              </v:line>
            </w:pict>
          </mc:Fallback>
        </mc:AlternateContent>
      </w:r>
      <w:r>
        <w:rPr>
          <w:noProof/>
        </w:rPr>
        <w:drawing>
          <wp:inline distT="0" distB="0" distL="0" distR="0" wp14:anchorId="2BB605DE" wp14:editId="010BD27F">
            <wp:extent cx="5761990" cy="1982419"/>
            <wp:effectExtent l="0" t="0" r="10160" b="18415"/>
            <wp:docPr id="629797268" name="Chart 1">
              <a:extLst xmlns:a="http://schemas.openxmlformats.org/drawingml/2006/main">
                <a:ext uri="{FF2B5EF4-FFF2-40B4-BE49-F238E27FC236}">
                  <a16:creationId xmlns:a16="http://schemas.microsoft.com/office/drawing/2014/main" id="{7808801E-2E82-4560-A241-B092224C505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160225C" w14:textId="77777777" w:rsidR="00085789" w:rsidRDefault="00000000">
      <w:pPr>
        <w:pStyle w:val="-bac4"/>
      </w:pPr>
      <w:bookmarkStart w:id="673" w:name="_Toc181861440"/>
      <w:bookmarkStart w:id="674" w:name="_Toc184097540"/>
      <w:bookmarkStart w:id="675" w:name="_Toc205915735"/>
      <w:bookmarkStart w:id="676" w:name="_Toc213597430"/>
      <w:bookmarkStart w:id="677" w:name="_Toc213600789"/>
      <w:r>
        <w:t>Hình 3.36. Diễn biến hàm lượng DO trong nước các sông/suối khác</w:t>
      </w:r>
      <w:bookmarkEnd w:id="673"/>
      <w:bookmarkEnd w:id="674"/>
      <w:bookmarkEnd w:id="675"/>
      <w:bookmarkEnd w:id="676"/>
      <w:bookmarkEnd w:id="677"/>
    </w:p>
    <w:p w14:paraId="701313D0"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26EBFE16" w14:textId="77777777" w:rsidR="00085789" w:rsidRDefault="00000000">
      <w:pPr>
        <w:widowControl w:val="0"/>
        <w:spacing w:before="120" w:line="240" w:lineRule="auto"/>
        <w:ind w:firstLine="709"/>
        <w:jc w:val="both"/>
        <w:rPr>
          <w:noProof/>
          <w:spacing w:val="-4"/>
          <w:sz w:val="26"/>
          <w:szCs w:val="26"/>
        </w:rPr>
      </w:pPr>
      <w:r>
        <w:rPr>
          <w:noProof/>
          <w:spacing w:val="-4"/>
          <w:sz w:val="26"/>
          <w:szCs w:val="26"/>
        </w:rPr>
        <w:t xml:space="preserve">- Năm 2021-2022: Lượng ôxy hòa tan trong nước sông Mỹ Dương, sông Gia Hội, sông Vịnh, sông Nhà Lê, kênh thoát lũ tại thôn Thắng Lợi tại thời điểm quan trắc đang nằm trong giới hạn cho phép theo </w:t>
      </w:r>
      <w:r>
        <w:rPr>
          <w:bCs/>
          <w:spacing w:val="-4"/>
          <w:sz w:val="26"/>
          <w:szCs w:val="26"/>
        </w:rPr>
        <w:t xml:space="preserve">Cột B1 </w:t>
      </w:r>
      <w:r>
        <w:rPr>
          <w:noProof/>
          <w:spacing w:val="-4"/>
          <w:sz w:val="26"/>
          <w:szCs w:val="26"/>
        </w:rPr>
        <w:t xml:space="preserve">QCVN 08-MT:2015/BTNMT. Lượng ôxy hòa tan trong nước sông Rào Trổ tại thời điểm quan trắc đang nằm trong giới hạn cho phép theo </w:t>
      </w:r>
      <w:r>
        <w:rPr>
          <w:bCs/>
          <w:spacing w:val="-4"/>
          <w:sz w:val="26"/>
          <w:szCs w:val="26"/>
        </w:rPr>
        <w:t xml:space="preserve">Cột A2 </w:t>
      </w:r>
      <w:r>
        <w:rPr>
          <w:noProof/>
          <w:spacing w:val="-4"/>
          <w:sz w:val="26"/>
          <w:szCs w:val="26"/>
        </w:rPr>
        <w:t>QCVN 08-MT:2015/BTNMT.</w:t>
      </w:r>
    </w:p>
    <w:p w14:paraId="467F5EA5" w14:textId="77777777" w:rsidR="00085789" w:rsidRDefault="00000000">
      <w:pPr>
        <w:widowControl w:val="0"/>
        <w:spacing w:before="120" w:line="240" w:lineRule="auto"/>
        <w:ind w:firstLine="709"/>
        <w:jc w:val="both"/>
        <w:rPr>
          <w:noProof/>
          <w:sz w:val="26"/>
          <w:szCs w:val="26"/>
        </w:rPr>
      </w:pPr>
      <w:r>
        <w:rPr>
          <w:noProof/>
          <w:sz w:val="26"/>
          <w:szCs w:val="26"/>
        </w:rPr>
        <w:t xml:space="preserve">- Năm 2023-Quý II/2025: </w:t>
      </w:r>
      <w:r>
        <w:rPr>
          <w:noProof/>
          <w:spacing w:val="-4"/>
          <w:sz w:val="26"/>
          <w:szCs w:val="26"/>
        </w:rPr>
        <w:t xml:space="preserve">Lượng ôxy hòa tan trong nước sông Mỹ Dương, sông Gia Hội, sông Vịnh, sông Nhà Lê, kênh thoát lũ tại thôn Thắng Lợi tại thời điểm quan trắc đang nằm trong giới hạn cho phép theo </w:t>
      </w:r>
      <w:r>
        <w:rPr>
          <w:noProof/>
          <w:sz w:val="26"/>
          <w:szCs w:val="26"/>
        </w:rPr>
        <w:t>Mức</w:t>
      </w:r>
      <w:r>
        <w:rPr>
          <w:bCs/>
          <w:sz w:val="26"/>
          <w:szCs w:val="26"/>
        </w:rPr>
        <w:t xml:space="preserve"> B </w:t>
      </w:r>
      <w:r>
        <w:rPr>
          <w:noProof/>
          <w:sz w:val="26"/>
          <w:szCs w:val="26"/>
        </w:rPr>
        <w:t>QCVN 08:2023/BTNMT</w:t>
      </w:r>
      <w:r>
        <w:rPr>
          <w:noProof/>
          <w:spacing w:val="-4"/>
          <w:sz w:val="26"/>
          <w:szCs w:val="26"/>
        </w:rPr>
        <w:t xml:space="preserve">. Lượng ôxy hòa tan trong nước sông Rào Trổ tại thời điểm quan trắc đang nằm trong giới hạn cho phép theo </w:t>
      </w:r>
      <w:r>
        <w:rPr>
          <w:noProof/>
          <w:sz w:val="26"/>
          <w:szCs w:val="26"/>
        </w:rPr>
        <w:t>Mức</w:t>
      </w:r>
      <w:r>
        <w:rPr>
          <w:bCs/>
          <w:sz w:val="26"/>
          <w:szCs w:val="26"/>
        </w:rPr>
        <w:t xml:space="preserve"> A </w:t>
      </w:r>
      <w:r>
        <w:rPr>
          <w:noProof/>
          <w:sz w:val="26"/>
          <w:szCs w:val="26"/>
        </w:rPr>
        <w:t>QCVN 08:2023/BTNMT</w:t>
      </w:r>
      <w:r>
        <w:rPr>
          <w:noProof/>
          <w:spacing w:val="-4"/>
          <w:sz w:val="26"/>
          <w:szCs w:val="26"/>
        </w:rPr>
        <w:t>.</w:t>
      </w:r>
    </w:p>
    <w:p w14:paraId="1F5EB2D0" w14:textId="77777777" w:rsidR="00085789" w:rsidRDefault="00000000">
      <w:pPr>
        <w:spacing w:before="120" w:line="240" w:lineRule="auto"/>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0EFEAB5C" w14:textId="77777777" w:rsidR="00085789" w:rsidRDefault="00000000">
      <w:pPr>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3120" behindDoc="0" locked="0" layoutInCell="1" allowOverlap="1" wp14:anchorId="3D96F222" wp14:editId="62D3CB55">
                <wp:simplePos x="0" y="0"/>
                <wp:positionH relativeFrom="column">
                  <wp:posOffset>4930140</wp:posOffset>
                </wp:positionH>
                <wp:positionV relativeFrom="paragraph">
                  <wp:posOffset>581024</wp:posOffset>
                </wp:positionV>
                <wp:extent cx="723900" cy="0"/>
                <wp:effectExtent l="0" t="0" r="0" b="0"/>
                <wp:wrapNone/>
                <wp:docPr id="1281418644"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8.2pt,45.75pt" to="445.2pt,4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" strokecolor="#f93" strokeweight="2pt">
                <o:lock v:ext="edit" shapetype="f"/>
              </v:line>
            </w:pict>
          </mc:Fallback>
        </mc:AlternateContent>
      </w:r>
      <w:r>
        <w:rPr>
          <w:noProof/>
        </w:rPr>
        <w:drawing>
          <wp:inline distT="0" distB="0" distL="0" distR="0" wp14:anchorId="722C5E08" wp14:editId="2B205729">
            <wp:extent cx="5761990" cy="1667865"/>
            <wp:effectExtent l="0" t="0" r="10160" b="8890"/>
            <wp:docPr id="1080122157" name="Chart 1">
              <a:extLst xmlns:a="http://schemas.openxmlformats.org/drawingml/2006/main">
                <a:ext uri="{FF2B5EF4-FFF2-40B4-BE49-F238E27FC236}">
                  <a16:creationId xmlns:a16="http://schemas.microsoft.com/office/drawing/2014/main" id="{13AA6928-49C9-4509-8E3F-8D59733ECD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B009B12" w14:textId="77777777" w:rsidR="00085789" w:rsidRDefault="00000000">
      <w:pPr>
        <w:pStyle w:val="-bac4"/>
      </w:pPr>
      <w:bookmarkStart w:id="678" w:name="_Toc181861444"/>
      <w:bookmarkStart w:id="679" w:name="_Toc184097544"/>
      <w:bookmarkStart w:id="680" w:name="_Toc205915736"/>
      <w:bookmarkStart w:id="681" w:name="_Toc213597431"/>
      <w:bookmarkStart w:id="682" w:name="_Toc213600790"/>
      <w:r>
        <w:t>Hình 3.37. Diễn biến hàm lượng Nitrat trong nước các sông/suối khác</w:t>
      </w:r>
      <w:bookmarkEnd w:id="678"/>
      <w:bookmarkEnd w:id="679"/>
      <w:bookmarkEnd w:id="680"/>
      <w:bookmarkEnd w:id="681"/>
      <w:bookmarkEnd w:id="682"/>
    </w:p>
    <w:p w14:paraId="4149F9A6" w14:textId="77777777" w:rsidR="00085789" w:rsidRDefault="00000000">
      <w:pPr>
        <w:widowControl w:val="0"/>
        <w:spacing w:before="120" w:line="240" w:lineRule="auto"/>
        <w:ind w:firstLine="709"/>
        <w:jc w:val="both"/>
        <w:rPr>
          <w:i/>
          <w:noProof/>
          <w:spacing w:val="-4"/>
          <w:sz w:val="24"/>
          <w:szCs w:val="24"/>
          <w:u w:val="single"/>
        </w:rPr>
      </w:pPr>
      <w:r>
        <w:rPr>
          <w:i/>
          <w:noProof/>
          <w:spacing w:val="-4"/>
          <w:sz w:val="24"/>
          <w:szCs w:val="24"/>
          <w:u w:val="single"/>
        </w:rPr>
        <w:t>Ghi chú: Thông số Nitrat không quy định trong QCVN 08:2023/BTNMT.</w:t>
      </w:r>
    </w:p>
    <w:p w14:paraId="4DFB35A9" w14:textId="77777777" w:rsidR="00085789" w:rsidRDefault="00000000">
      <w:pPr>
        <w:widowControl w:val="0"/>
        <w:spacing w:before="120" w:line="240" w:lineRule="auto"/>
        <w:ind w:firstLine="709"/>
        <w:jc w:val="both"/>
        <w:rPr>
          <w:noProof/>
          <w:spacing w:val="-4"/>
          <w:sz w:val="26"/>
          <w:szCs w:val="26"/>
        </w:rPr>
      </w:pPr>
      <w:r>
        <w:rPr>
          <w:i/>
          <w:noProof/>
          <w:spacing w:val="-4"/>
          <w:sz w:val="26"/>
          <w:szCs w:val="26"/>
          <w:u w:val="single"/>
        </w:rPr>
        <w:t>Nhận xét</w:t>
      </w:r>
      <w:r>
        <w:rPr>
          <w:noProof/>
          <w:spacing w:val="-4"/>
          <w:sz w:val="26"/>
          <w:szCs w:val="26"/>
          <w:u w:val="single"/>
        </w:rPr>
        <w:t>:</w:t>
      </w:r>
      <w:r>
        <w:rPr>
          <w:noProof/>
          <w:spacing w:val="-4"/>
          <w:sz w:val="26"/>
          <w:szCs w:val="26"/>
        </w:rPr>
        <w:t xml:space="preserve"> </w:t>
      </w:r>
    </w:p>
    <w:p w14:paraId="394684DD" w14:textId="77777777" w:rsidR="00085789" w:rsidRDefault="00000000">
      <w:pPr>
        <w:widowControl w:val="0"/>
        <w:spacing w:before="120" w:line="240" w:lineRule="auto"/>
        <w:ind w:firstLine="709"/>
        <w:jc w:val="both"/>
        <w:rPr>
          <w:noProof/>
          <w:sz w:val="26"/>
          <w:szCs w:val="26"/>
        </w:rPr>
      </w:pPr>
      <w:r>
        <w:rPr>
          <w:noProof/>
          <w:spacing w:val="-4"/>
          <w:sz w:val="26"/>
          <w:szCs w:val="26"/>
        </w:rPr>
        <w:t xml:space="preserve">- Hàm lượng Nitrat trong nước sông Rào Trổ tại thời điểm quan trắc đang nằm trong giới hạn cho phép theo </w:t>
      </w:r>
      <w:r>
        <w:rPr>
          <w:bCs/>
          <w:spacing w:val="-4"/>
          <w:sz w:val="26"/>
          <w:szCs w:val="26"/>
        </w:rPr>
        <w:t xml:space="preserve">Cột A2 </w:t>
      </w:r>
      <w:r>
        <w:rPr>
          <w:noProof/>
          <w:spacing w:val="-4"/>
          <w:sz w:val="26"/>
          <w:szCs w:val="26"/>
        </w:rPr>
        <w:t>QCVN 08-MT:2015/BTNMT</w:t>
      </w:r>
      <w:r>
        <w:rPr>
          <w:noProof/>
          <w:sz w:val="26"/>
          <w:szCs w:val="26"/>
        </w:rPr>
        <w:t xml:space="preserve">. </w:t>
      </w:r>
    </w:p>
    <w:p w14:paraId="6163DE69" w14:textId="77777777" w:rsidR="00085789" w:rsidRDefault="00000000">
      <w:pPr>
        <w:widowControl w:val="0"/>
        <w:spacing w:before="120" w:line="240" w:lineRule="auto"/>
        <w:ind w:firstLine="709"/>
        <w:jc w:val="both"/>
        <w:rPr>
          <w:noProof/>
          <w:sz w:val="26"/>
          <w:szCs w:val="26"/>
        </w:rPr>
      </w:pPr>
      <w:r>
        <w:rPr>
          <w:noProof/>
          <w:sz w:val="26"/>
          <w:szCs w:val="26"/>
        </w:rPr>
        <w:t>- Hàm lượng Nitrat trong các sông sông Mỹ Dương, sông Gia Hội, sông Vịnh, Kênh thoát lũ kỳ Phương</w:t>
      </w:r>
      <w:r>
        <w:rPr>
          <w:noProof/>
          <w:spacing w:val="-4"/>
          <w:sz w:val="26"/>
          <w:szCs w:val="26"/>
        </w:rPr>
        <w:t>, sông Nhà Lê</w:t>
      </w:r>
      <w:r>
        <w:rPr>
          <w:noProof/>
          <w:sz w:val="26"/>
          <w:szCs w:val="26"/>
        </w:rPr>
        <w:t xml:space="preserve"> đang nằm trong giới hạn cho phép theo </w:t>
      </w:r>
      <w:r>
        <w:rPr>
          <w:bCs/>
          <w:sz w:val="26"/>
          <w:szCs w:val="26"/>
        </w:rPr>
        <w:t xml:space="preserve">Cột B1 </w:t>
      </w:r>
      <w:r>
        <w:rPr>
          <w:noProof/>
          <w:sz w:val="26"/>
          <w:szCs w:val="26"/>
        </w:rPr>
        <w:t>QCVN 08-MT:2015/BTNMT.</w:t>
      </w:r>
    </w:p>
    <w:p w14:paraId="4F5850F6" w14:textId="77777777" w:rsidR="00085789" w:rsidRDefault="00000000">
      <w:pPr>
        <w:spacing w:before="120" w:line="240" w:lineRule="auto"/>
        <w:ind w:firstLine="720"/>
        <w:jc w:val="both"/>
        <w:rPr>
          <w:b/>
          <w:noProof/>
          <w:spacing w:val="-4"/>
          <w:sz w:val="26"/>
          <w:szCs w:val="26"/>
        </w:rPr>
      </w:pPr>
      <w:r>
        <w:rPr>
          <w:b/>
          <w:noProof/>
          <w:spacing w:val="-4"/>
          <w:sz w:val="26"/>
          <w:szCs w:val="26"/>
        </w:rPr>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0A26E003" w14:textId="77777777" w:rsidR="00085789" w:rsidRDefault="00000000">
      <w:pPr>
        <w:spacing w:before="120" w:line="240" w:lineRule="auto"/>
        <w:jc w:val="both"/>
        <w:rPr>
          <w:b/>
          <w:noProof/>
          <w:spacing w:val="-4"/>
          <w:sz w:val="26"/>
          <w:szCs w:val="26"/>
        </w:rPr>
      </w:pPr>
      <w:r>
        <w:rPr>
          <w:noProof/>
        </w:rPr>
        <w:lastRenderedPageBreak/>
        <mc:AlternateContent>
          <mc:Choice Requires="wps">
            <w:drawing>
              <wp:anchor distT="4294967295" distB="4294967295" distL="114300" distR="114300" simplePos="0" relativeHeight="251972096" behindDoc="0" locked="0" layoutInCell="1" allowOverlap="1" wp14:anchorId="12BC9C49" wp14:editId="68C44E92">
                <wp:simplePos x="0" y="0"/>
                <wp:positionH relativeFrom="column">
                  <wp:posOffset>4930140</wp:posOffset>
                </wp:positionH>
                <wp:positionV relativeFrom="paragraph">
                  <wp:posOffset>480059</wp:posOffset>
                </wp:positionV>
                <wp:extent cx="723900" cy="0"/>
                <wp:effectExtent l="0" t="0" r="0" b="0"/>
                <wp:wrapNone/>
                <wp:docPr id="399289108"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2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8.2pt,37.8pt" to="445.2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" strokecolor="#f93" strokeweight="2pt">
                <o:lock v:ext="edit" shapetype="f"/>
              </v:line>
            </w:pict>
          </mc:Fallback>
        </mc:AlternateContent>
      </w:r>
      <w:r>
        <w:rPr>
          <w:noProof/>
        </w:rPr>
        <w:drawing>
          <wp:inline distT="0" distB="0" distL="0" distR="0" wp14:anchorId="4E071DC4" wp14:editId="020DC32C">
            <wp:extent cx="5761990" cy="1799539"/>
            <wp:effectExtent l="0" t="0" r="10160" b="10795"/>
            <wp:docPr id="1463435925" name="Chart 1">
              <a:extLst xmlns:a="http://schemas.openxmlformats.org/drawingml/2006/main">
                <a:ext uri="{FF2B5EF4-FFF2-40B4-BE49-F238E27FC236}">
                  <a16:creationId xmlns:a16="http://schemas.microsoft.com/office/drawing/2014/main" id="{8A959A26-F877-4E6F-AA36-4C2A1603F4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106C831F" w14:textId="77777777" w:rsidR="00085789" w:rsidRDefault="00000000">
      <w:pPr>
        <w:pStyle w:val="-bac4"/>
      </w:pPr>
      <w:bookmarkStart w:id="683" w:name="_Toc181861448"/>
      <w:bookmarkStart w:id="684" w:name="_Toc184097548"/>
      <w:bookmarkStart w:id="685" w:name="_Toc205915737"/>
      <w:bookmarkStart w:id="686" w:name="_Toc213597432"/>
      <w:bookmarkStart w:id="687" w:name="_Toc213600791"/>
      <w:r>
        <w:t xml:space="preserve">Hình 3.38. Diễn biến hàm lượng </w:t>
      </w:r>
      <w:r>
        <w:rPr>
          <w:spacing w:val="-4"/>
        </w:rPr>
        <w:t>Photphat</w:t>
      </w:r>
      <w:r>
        <w:t xml:space="preserve"> trong nước các sông/suối khác</w:t>
      </w:r>
      <w:bookmarkEnd w:id="683"/>
      <w:bookmarkEnd w:id="684"/>
      <w:bookmarkEnd w:id="685"/>
      <w:bookmarkEnd w:id="686"/>
      <w:bookmarkEnd w:id="687"/>
    </w:p>
    <w:p w14:paraId="2DEF004C" w14:textId="77777777" w:rsidR="00085789" w:rsidRDefault="00000000">
      <w:pPr>
        <w:widowControl w:val="0"/>
        <w:spacing w:before="120" w:line="240" w:lineRule="auto"/>
        <w:ind w:firstLine="709"/>
        <w:jc w:val="both"/>
        <w:rPr>
          <w:i/>
          <w:noProof/>
          <w:sz w:val="26"/>
          <w:szCs w:val="26"/>
          <w:u w:val="single"/>
        </w:rPr>
      </w:pPr>
      <w:r>
        <w:rPr>
          <w:i/>
          <w:noProof/>
          <w:spacing w:val="-4"/>
          <w:sz w:val="24"/>
          <w:szCs w:val="24"/>
          <w:u w:val="single"/>
        </w:rPr>
        <w:t>Ghi chú: Thông số Photphat không quy định trong QCVN 08:2023/BTNMT.</w:t>
      </w:r>
    </w:p>
    <w:p w14:paraId="44EB3AC0"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0F39BB1C" w14:textId="77777777" w:rsidR="00085789" w:rsidRDefault="00000000">
      <w:pPr>
        <w:widowControl w:val="0"/>
        <w:spacing w:before="120" w:line="240" w:lineRule="auto"/>
        <w:ind w:firstLine="709"/>
        <w:jc w:val="both"/>
        <w:rPr>
          <w:noProof/>
          <w:sz w:val="26"/>
          <w:szCs w:val="26"/>
        </w:rPr>
      </w:pPr>
      <w:r>
        <w:rPr>
          <w:noProof/>
          <w:sz w:val="26"/>
          <w:szCs w:val="26"/>
        </w:rPr>
        <w:t xml:space="preserve">- 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sông Rào Trổ tại thời điểm quan trắc đang nằm trong giới hạn cho phép theo </w:t>
      </w:r>
      <w:r>
        <w:rPr>
          <w:bCs/>
          <w:sz w:val="26"/>
          <w:szCs w:val="26"/>
        </w:rPr>
        <w:t xml:space="preserve">Cột A2 </w:t>
      </w:r>
      <w:r>
        <w:rPr>
          <w:noProof/>
          <w:sz w:val="26"/>
          <w:szCs w:val="26"/>
        </w:rPr>
        <w:t>QCVN 08-MT:2015/BTNMT</w:t>
      </w:r>
      <w:r>
        <w:rPr>
          <w:noProof/>
          <w:spacing w:val="-2"/>
          <w:sz w:val="26"/>
          <w:szCs w:val="26"/>
        </w:rPr>
        <w:t>.</w:t>
      </w:r>
      <w:r>
        <w:rPr>
          <w:noProof/>
          <w:sz w:val="26"/>
          <w:szCs w:val="26"/>
        </w:rPr>
        <w:t xml:space="preserve"> </w:t>
      </w:r>
    </w:p>
    <w:p w14:paraId="34CBCF1B" w14:textId="77777777" w:rsidR="00085789" w:rsidRDefault="00000000">
      <w:pPr>
        <w:widowControl w:val="0"/>
        <w:spacing w:before="120" w:line="240" w:lineRule="auto"/>
        <w:ind w:firstLine="709"/>
        <w:jc w:val="both"/>
        <w:rPr>
          <w:noProof/>
          <w:spacing w:val="-4"/>
          <w:sz w:val="26"/>
          <w:szCs w:val="26"/>
        </w:rPr>
      </w:pPr>
      <w:r>
        <w:rPr>
          <w:noProof/>
          <w:sz w:val="26"/>
          <w:szCs w:val="26"/>
        </w:rPr>
        <w:t xml:space="preserve">- Hàm lượng </w:t>
      </w:r>
      <w:r>
        <w:rPr>
          <w:noProof/>
          <w:spacing w:val="-4"/>
          <w:sz w:val="26"/>
          <w:szCs w:val="26"/>
        </w:rPr>
        <w:t>PO</w:t>
      </w:r>
      <w:r>
        <w:rPr>
          <w:noProof/>
          <w:spacing w:val="-4"/>
          <w:sz w:val="26"/>
          <w:szCs w:val="26"/>
          <w:vertAlign w:val="subscript"/>
        </w:rPr>
        <w:t>4</w:t>
      </w:r>
      <w:r>
        <w:rPr>
          <w:noProof/>
          <w:spacing w:val="-4"/>
          <w:sz w:val="26"/>
          <w:szCs w:val="26"/>
          <w:vertAlign w:val="superscript"/>
        </w:rPr>
        <w:t>3-</w:t>
      </w:r>
      <w:r>
        <w:rPr>
          <w:noProof/>
          <w:sz w:val="26"/>
          <w:szCs w:val="26"/>
        </w:rPr>
        <w:t xml:space="preserve"> trong nước các sông Mỹ Dương, Gia Hội, sông Vịnh, kênh thoát nước Kỳ Phương, sông Nhà Lê tại thời điểm quan trắc đang nằm trong giới hạn cho phép theo </w:t>
      </w:r>
      <w:r>
        <w:rPr>
          <w:bCs/>
          <w:sz w:val="26"/>
          <w:szCs w:val="26"/>
        </w:rPr>
        <w:t xml:space="preserve">Cột B1 </w:t>
      </w:r>
      <w:r>
        <w:rPr>
          <w:noProof/>
          <w:sz w:val="26"/>
          <w:szCs w:val="26"/>
        </w:rPr>
        <w:t>QCVN 08-MT:2015/BTNMT</w:t>
      </w:r>
      <w:r>
        <w:rPr>
          <w:noProof/>
          <w:spacing w:val="-2"/>
          <w:sz w:val="26"/>
          <w:szCs w:val="26"/>
        </w:rPr>
        <w:t>.</w:t>
      </w:r>
    </w:p>
    <w:p w14:paraId="09D4FF8D" w14:textId="77777777" w:rsidR="00085789" w:rsidRDefault="00000000">
      <w:pPr>
        <w:widowControl w:val="0"/>
        <w:spacing w:before="120" w:line="320" w:lineRule="exact"/>
        <w:ind w:firstLine="709"/>
        <w:jc w:val="both"/>
        <w:rPr>
          <w:b/>
          <w:noProof/>
          <w:spacing w:val="-4"/>
          <w:sz w:val="26"/>
          <w:szCs w:val="26"/>
        </w:rPr>
      </w:pPr>
      <w:r>
        <w:rPr>
          <w:b/>
          <w:noProof/>
          <w:spacing w:val="-4"/>
          <w:sz w:val="26"/>
          <w:szCs w:val="26"/>
        </w:rPr>
        <w:t xml:space="preserve">(7) Diễn biến hàm lượng Coliform </w:t>
      </w:r>
      <w:r>
        <w:rPr>
          <w:b/>
          <w:noProof/>
          <w:spacing w:val="-4"/>
          <w:sz w:val="26"/>
          <w:szCs w:val="26"/>
          <w:lang w:val="pt-BR"/>
        </w:rPr>
        <w:t>từ năm 2021-Quý II/2025</w:t>
      </w:r>
      <w:r>
        <w:rPr>
          <w:b/>
          <w:noProof/>
          <w:spacing w:val="-4"/>
          <w:sz w:val="26"/>
          <w:szCs w:val="26"/>
        </w:rPr>
        <w:t xml:space="preserve">: </w:t>
      </w:r>
    </w:p>
    <w:p w14:paraId="4B5C754D" w14:textId="77777777" w:rsidR="00085789" w:rsidRDefault="00000000">
      <w:pPr>
        <w:widowControl w:val="0"/>
        <w:spacing w:before="120" w:line="240" w:lineRule="auto"/>
        <w:jc w:val="both"/>
        <w:rPr>
          <w:b/>
          <w:noProof/>
          <w:spacing w:val="-4"/>
          <w:sz w:val="26"/>
          <w:szCs w:val="26"/>
        </w:rPr>
      </w:pPr>
      <w:r>
        <w:rPr>
          <w:noProof/>
        </w:rPr>
        <mc:AlternateContent>
          <mc:Choice Requires="wps">
            <w:drawing>
              <wp:anchor distT="4294967295" distB="4294967295" distL="114300" distR="114300" simplePos="0" relativeHeight="251974144" behindDoc="0" locked="0" layoutInCell="1" allowOverlap="1" wp14:anchorId="65050FBA" wp14:editId="0E393AE0">
                <wp:simplePos x="0" y="0"/>
                <wp:positionH relativeFrom="column">
                  <wp:posOffset>4923155</wp:posOffset>
                </wp:positionH>
                <wp:positionV relativeFrom="paragraph">
                  <wp:posOffset>530859</wp:posOffset>
                </wp:positionV>
                <wp:extent cx="723900" cy="0"/>
                <wp:effectExtent l="0" t="0" r="0" b="0"/>
                <wp:wrapNone/>
                <wp:docPr id="1648923571"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FF993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4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7.65pt,41.8pt" to="444.65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" strokecolor="#f93" strokeweight="2pt">
                <o:lock v:ext="edit" shapetype="f"/>
              </v:line>
            </w:pict>
          </mc:Fallback>
        </mc:AlternateContent>
      </w:r>
      <w:r>
        <w:rPr>
          <w:noProof/>
        </w:rPr>
        <mc:AlternateContent>
          <mc:Choice Requires="wps">
            <w:drawing>
              <wp:anchor distT="4294967295" distB="4294967295" distL="114300" distR="114300" simplePos="0" relativeHeight="251971072" behindDoc="0" locked="0" layoutInCell="1" allowOverlap="1" wp14:anchorId="449467DC" wp14:editId="0C613D83">
                <wp:simplePos x="0" y="0"/>
                <wp:positionH relativeFrom="column">
                  <wp:posOffset>4940300</wp:posOffset>
                </wp:positionH>
                <wp:positionV relativeFrom="paragraph">
                  <wp:posOffset>1132839</wp:posOffset>
                </wp:positionV>
                <wp:extent cx="723900" cy="0"/>
                <wp:effectExtent l="0" t="0" r="0" b="0"/>
                <wp:wrapNone/>
                <wp:docPr id="755239390"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23900" cy="0"/>
                        </a:xfrm>
                        <a:prstGeom prst="line">
                          <a:avLst/>
                        </a:prstGeom>
                        <a:ln w="25400">
                          <a:solidFill>
                            <a:srgbClr val="8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id="Straight Connector 2" o:spid="_x0000_s1026" style="position:absolute;z-index:251971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89pt,89.2pt" to="446pt,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" strokecolor="maroon" strokeweight="2pt">
                <o:lock v:ext="edit" shapetype="f"/>
              </v:line>
            </w:pict>
          </mc:Fallback>
        </mc:AlternateContent>
      </w:r>
      <w:r>
        <w:rPr>
          <w:noProof/>
        </w:rPr>
        <w:drawing>
          <wp:inline distT="0" distB="0" distL="0" distR="0" wp14:anchorId="09819539" wp14:editId="4B465BE3">
            <wp:extent cx="5761990" cy="2062887"/>
            <wp:effectExtent l="0" t="0" r="10160" b="13970"/>
            <wp:docPr id="1818038745" name="Chart 1">
              <a:extLst xmlns:a="http://schemas.openxmlformats.org/drawingml/2006/main">
                <a:ext uri="{FF2B5EF4-FFF2-40B4-BE49-F238E27FC236}">
                  <a16:creationId xmlns:a16="http://schemas.microsoft.com/office/drawing/2014/main" id="{5E2D5B8B-D37D-4568-AF82-6DE61CD997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50CE3D7" w14:textId="77777777" w:rsidR="00085789" w:rsidRDefault="00000000">
      <w:pPr>
        <w:pStyle w:val="-bac4"/>
      </w:pPr>
      <w:bookmarkStart w:id="688" w:name="_Toc181861447"/>
      <w:bookmarkStart w:id="689" w:name="_Toc184097547"/>
      <w:bookmarkStart w:id="690" w:name="_Toc205915738"/>
      <w:bookmarkStart w:id="691" w:name="_Toc213597433"/>
      <w:bookmarkStart w:id="692" w:name="_Toc213600792"/>
      <w:r>
        <w:t>Hình 3.39. Diễn biến hàm lượng Coliform trong nước các sông/suối khác</w:t>
      </w:r>
      <w:bookmarkEnd w:id="688"/>
      <w:bookmarkEnd w:id="689"/>
      <w:bookmarkEnd w:id="690"/>
      <w:bookmarkEnd w:id="691"/>
      <w:bookmarkEnd w:id="692"/>
    </w:p>
    <w:p w14:paraId="4A8D72EA" w14:textId="77777777" w:rsidR="00085789" w:rsidRDefault="00000000">
      <w:pPr>
        <w:widowControl w:val="0"/>
        <w:spacing w:line="340" w:lineRule="exact"/>
        <w:ind w:firstLine="709"/>
        <w:jc w:val="both"/>
        <w:rPr>
          <w:noProof/>
          <w:sz w:val="26"/>
          <w:szCs w:val="26"/>
          <w:u w:val="single"/>
        </w:rPr>
      </w:pPr>
      <w:r>
        <w:rPr>
          <w:i/>
          <w:noProof/>
          <w:sz w:val="26"/>
          <w:szCs w:val="26"/>
          <w:u w:val="single"/>
        </w:rPr>
        <w:t>Nhận xét:</w:t>
      </w:r>
      <w:r>
        <w:rPr>
          <w:noProof/>
          <w:sz w:val="26"/>
          <w:szCs w:val="26"/>
          <w:u w:val="single"/>
        </w:rPr>
        <w:t xml:space="preserve"> </w:t>
      </w:r>
    </w:p>
    <w:p w14:paraId="2F7E639C" w14:textId="77777777" w:rsidR="00085789" w:rsidRDefault="00000000">
      <w:pPr>
        <w:widowControl w:val="0"/>
        <w:spacing w:before="120" w:line="240" w:lineRule="auto"/>
        <w:ind w:firstLine="709"/>
        <w:jc w:val="both"/>
        <w:rPr>
          <w:noProof/>
          <w:sz w:val="26"/>
          <w:szCs w:val="26"/>
        </w:rPr>
      </w:pPr>
      <w:r>
        <w:rPr>
          <w:noProof/>
          <w:sz w:val="26"/>
          <w:szCs w:val="26"/>
        </w:rPr>
        <w:t xml:space="preserve">- Năm 2021-2022: </w:t>
      </w:r>
      <w:r>
        <w:rPr>
          <w:noProof/>
          <w:spacing w:val="-4"/>
          <w:sz w:val="26"/>
          <w:szCs w:val="26"/>
        </w:rPr>
        <w:t xml:space="preserve">Hàm lượng Coliform trong nước sông Rào Trổ, sông Nhà Lê tại thời điểm quan trắc đang nằm trong giới hạn cho phép theo </w:t>
      </w:r>
      <w:r>
        <w:rPr>
          <w:bCs/>
          <w:spacing w:val="-4"/>
          <w:sz w:val="26"/>
          <w:szCs w:val="26"/>
        </w:rPr>
        <w:t xml:space="preserve">Cột A2 </w:t>
      </w:r>
      <w:r>
        <w:rPr>
          <w:noProof/>
          <w:spacing w:val="-4"/>
          <w:sz w:val="26"/>
          <w:szCs w:val="26"/>
        </w:rPr>
        <w:t xml:space="preserve">QCVN 08-MT:2015/BTNMT. Hàm lượng Coliform trong nước các sông Mỹ Dương, Gia Hội, sông Vịnh, kênh thoát lũ Kỳ Thương tại thời điểm quan trắc đang nằm trong giá trị giới hạn cho phép theo </w:t>
      </w:r>
      <w:r>
        <w:rPr>
          <w:bCs/>
          <w:spacing w:val="-4"/>
          <w:sz w:val="26"/>
          <w:szCs w:val="26"/>
        </w:rPr>
        <w:t xml:space="preserve">Cột B1 </w:t>
      </w:r>
      <w:r>
        <w:rPr>
          <w:noProof/>
          <w:spacing w:val="-4"/>
          <w:sz w:val="26"/>
          <w:szCs w:val="26"/>
        </w:rPr>
        <w:t>QCVN 08-MT:2015/BTNMT.</w:t>
      </w:r>
    </w:p>
    <w:p w14:paraId="1EC02107" w14:textId="77777777" w:rsidR="00085789" w:rsidRDefault="00000000">
      <w:pPr>
        <w:spacing w:before="120" w:line="240" w:lineRule="auto"/>
        <w:ind w:firstLine="720"/>
        <w:jc w:val="both"/>
        <w:rPr>
          <w:noProof/>
          <w:spacing w:val="-4"/>
          <w:sz w:val="26"/>
          <w:szCs w:val="26"/>
        </w:rPr>
      </w:pPr>
      <w:r>
        <w:rPr>
          <w:noProof/>
          <w:spacing w:val="-4"/>
          <w:sz w:val="26"/>
          <w:szCs w:val="26"/>
        </w:rPr>
        <w:t xml:space="preserve">- Năm 2023-Quý II/2025: Hàm lượng Coliform trong nước sông Rào Trổ tại thời điểm quan trắc đạt giá trị giới hạn cho phép theo </w:t>
      </w:r>
      <w:r>
        <w:rPr>
          <w:bCs/>
          <w:spacing w:val="-4"/>
          <w:sz w:val="26"/>
          <w:szCs w:val="26"/>
        </w:rPr>
        <w:t xml:space="preserve">Mức A </w:t>
      </w:r>
      <w:r>
        <w:rPr>
          <w:noProof/>
          <w:spacing w:val="-4"/>
          <w:sz w:val="26"/>
          <w:szCs w:val="26"/>
        </w:rPr>
        <w:t xml:space="preserve">QCVN 08:2023/BTNMT, sông Nhà Lê vượt giới hạn cho phép từ 1,22-2,3 lần; hàm lượng Coliform trong nước các sông còn lại tại thời điểm quan trắc đang nằm trong giới hạn cho phép theo </w:t>
      </w:r>
      <w:r>
        <w:rPr>
          <w:bCs/>
          <w:spacing w:val="-4"/>
          <w:sz w:val="26"/>
          <w:szCs w:val="26"/>
        </w:rPr>
        <w:t xml:space="preserve">Mức B </w:t>
      </w:r>
      <w:r>
        <w:rPr>
          <w:noProof/>
          <w:spacing w:val="-4"/>
          <w:sz w:val="26"/>
          <w:szCs w:val="26"/>
        </w:rPr>
        <w:t>QCVN 08:2023/BTNMT.</w:t>
      </w:r>
    </w:p>
    <w:p w14:paraId="4BBFDCB7" w14:textId="77777777" w:rsidR="00085789" w:rsidRDefault="00000000">
      <w:pPr>
        <w:spacing w:before="120" w:line="240" w:lineRule="auto"/>
        <w:ind w:firstLine="709"/>
        <w:jc w:val="both"/>
        <w:rPr>
          <w:rFonts w:ascii="Times New Roman Bold" w:hAnsi="Times New Roman Bold"/>
          <w:b/>
          <w:bCs/>
          <w:spacing w:val="-4"/>
          <w:sz w:val="26"/>
          <w:szCs w:val="26"/>
        </w:rPr>
      </w:pPr>
      <w:r>
        <w:rPr>
          <w:rFonts w:ascii="Times New Roman Bold" w:hAnsi="Times New Roman Bold"/>
          <w:b/>
          <w:bCs/>
          <w:spacing w:val="-4"/>
          <w:sz w:val="26"/>
          <w:szCs w:val="26"/>
        </w:rPr>
        <w:t>b) Đánh giá chất lượng nước các sông, suối khác giai đoạn 2021-2024:</w:t>
      </w:r>
    </w:p>
    <w:p w14:paraId="1A8323C9" w14:textId="77777777" w:rsidR="00085789" w:rsidRDefault="00000000">
      <w:pPr>
        <w:spacing w:before="120" w:line="240" w:lineRule="auto"/>
        <w:ind w:firstLine="720"/>
        <w:jc w:val="both"/>
        <w:rPr>
          <w:bCs/>
          <w:iCs/>
          <w:sz w:val="26"/>
          <w:szCs w:val="26"/>
          <w:lang w:val="pt-BR"/>
        </w:rPr>
      </w:pPr>
      <w:r>
        <w:rPr>
          <w:bCs/>
          <w:iCs/>
          <w:sz w:val="26"/>
          <w:szCs w:val="26"/>
          <w:lang w:val="pt-BR"/>
        </w:rPr>
        <w:t>Chất lượng nước các sông, suối khác được thể hiện qua chỉ số đánh giá chất lượng nước WQI như hình sau:</w:t>
      </w:r>
    </w:p>
    <w:p w14:paraId="34009E8D" w14:textId="77777777" w:rsidR="00085789" w:rsidRDefault="00000000">
      <w:pPr>
        <w:spacing w:line="240" w:lineRule="auto"/>
        <w:jc w:val="both"/>
        <w:rPr>
          <w:bCs/>
          <w:iCs/>
          <w:sz w:val="26"/>
          <w:szCs w:val="26"/>
          <w:lang w:val="pt-BR"/>
        </w:rPr>
      </w:pPr>
      <w:r>
        <w:rPr>
          <w:noProof/>
        </w:rPr>
        <w:lastRenderedPageBreak/>
        <w:drawing>
          <wp:inline distT="0" distB="0" distL="0" distR="0" wp14:anchorId="653FE56F" wp14:editId="5F51C896">
            <wp:extent cx="5761990" cy="2362200"/>
            <wp:effectExtent l="0" t="0" r="10160" b="0"/>
            <wp:docPr id="1317203464" name="Chart 1">
              <a:extLst xmlns:a="http://schemas.openxmlformats.org/drawingml/2006/main">
                <a:ext uri="{FF2B5EF4-FFF2-40B4-BE49-F238E27FC236}">
                  <a16:creationId xmlns:a16="http://schemas.microsoft.com/office/drawing/2014/main" id="{367825E2-EE1F-4F42-BBC3-6E676AE5A0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6CF5A79" w14:textId="77777777" w:rsidR="00085789" w:rsidRDefault="00000000">
      <w:pPr>
        <w:pStyle w:val="-bac4"/>
        <w:rPr>
          <w:lang w:val="pt-BR"/>
        </w:rPr>
      </w:pPr>
      <w:bookmarkStart w:id="693" w:name="_Toc205915739"/>
      <w:bookmarkStart w:id="694" w:name="_Toc213597434"/>
      <w:bookmarkStart w:id="695" w:name="_Toc213600793"/>
      <w:r>
        <w:rPr>
          <w:lang w:val="pt-BR"/>
        </w:rPr>
        <w:t xml:space="preserve">Hình 3.40. Chỉ số WQI các sông, suối khác trên địa bàn tỉnh </w:t>
      </w:r>
      <w:r>
        <w:rPr>
          <w:bCs/>
          <w:spacing w:val="-2"/>
          <w:lang w:val="pt-BR"/>
        </w:rPr>
        <w:t>giai đoạn 2021-2024</w:t>
      </w:r>
      <w:bookmarkEnd w:id="693"/>
      <w:bookmarkEnd w:id="694"/>
      <w:bookmarkEnd w:id="695"/>
    </w:p>
    <w:p w14:paraId="2BCE7FDE" w14:textId="77777777" w:rsidR="00085789" w:rsidRDefault="00000000">
      <w:pPr>
        <w:spacing w:before="120" w:line="240" w:lineRule="auto"/>
        <w:ind w:firstLine="720"/>
        <w:jc w:val="both"/>
        <w:rPr>
          <w:sz w:val="26"/>
          <w:szCs w:val="26"/>
          <w:lang w:val="pt-BR"/>
        </w:rPr>
      </w:pPr>
      <w:r>
        <w:rPr>
          <w:bCs/>
          <w:i/>
          <w:sz w:val="26"/>
          <w:szCs w:val="26"/>
          <w:u w:val="single"/>
          <w:lang w:val="pt-BR"/>
        </w:rPr>
        <w:t>Nhận xét:</w:t>
      </w:r>
      <w:r>
        <w:rPr>
          <w:bCs/>
          <w:iCs/>
          <w:sz w:val="26"/>
          <w:szCs w:val="26"/>
          <w:lang w:val="pt-BR"/>
        </w:rPr>
        <w:t xml:space="preserve"> Nhìn vào </w:t>
      </w:r>
      <w:r>
        <w:rPr>
          <w:sz w:val="26"/>
          <w:szCs w:val="26"/>
          <w:lang w:val="pt-BR"/>
        </w:rPr>
        <w:t>chỉ số chất lượng nước WQI trung bình năm của hệ thống sông Quyền qua các năm 2021-2024 đều có chất lượng nước có thể sử dụng cho mục đích cấp nước sinh hoạt nhưng cần có các biện pháp xử lý phù hợp. Như vậy, để đánh giá chất lượng nước hệ thống sông Quyền vừa đảm bảo tính kế thừa, vừa đại diện cho các nguồn tác động trong thời gian tới một số vị trí không cần thiết quan trắc như khe Đá Hát (đã có điểm quan trắc tại cầu Tây Yên), khe Lau, khe Thầu Dầu, khe Thanh Trạng (có điểm quan trắc kênh thoát lũ).</w:t>
      </w:r>
    </w:p>
    <w:p w14:paraId="2C0C2C0F" w14:textId="77777777" w:rsidR="00085789" w:rsidRDefault="00000000">
      <w:pPr>
        <w:pStyle w:val="-bac3"/>
        <w:spacing w:before="120" w:after="0" w:line="240" w:lineRule="auto"/>
        <w:rPr>
          <w:smallCaps/>
          <w:lang w:val="pt-BR"/>
        </w:rPr>
      </w:pPr>
      <w:bookmarkStart w:id="696" w:name="_Toc181861450"/>
      <w:bookmarkStart w:id="697" w:name="_Toc181861951"/>
      <w:bookmarkStart w:id="698" w:name="_Toc184097550"/>
      <w:bookmarkStart w:id="699" w:name="_Toc214311233"/>
      <w:r>
        <w:rPr>
          <w:lang w:val="pt-BR"/>
        </w:rPr>
        <w:t>3.1.2.2. Hiện trạng môi trường nước mặt hồ, đập</w:t>
      </w:r>
      <w:bookmarkEnd w:id="696"/>
      <w:bookmarkEnd w:id="697"/>
      <w:bookmarkEnd w:id="698"/>
      <w:bookmarkEnd w:id="699"/>
    </w:p>
    <w:p w14:paraId="6A030F11" w14:textId="77777777" w:rsidR="00085789" w:rsidRDefault="00000000">
      <w:pPr>
        <w:spacing w:before="120" w:line="240" w:lineRule="auto"/>
        <w:ind w:firstLine="720"/>
        <w:jc w:val="both"/>
        <w:rPr>
          <w:spacing w:val="-2"/>
          <w:sz w:val="26"/>
          <w:szCs w:val="26"/>
          <w:shd w:val="clear" w:color="auto" w:fill="FFFFFF"/>
          <w:lang w:val="pt-BR"/>
        </w:rPr>
      </w:pPr>
      <w:bookmarkStart w:id="700" w:name="_Toc107559735"/>
      <w:r>
        <w:rPr>
          <w:spacing w:val="-4"/>
          <w:sz w:val="26"/>
          <w:szCs w:val="26"/>
          <w:shd w:val="clear" w:color="auto" w:fill="FFFFFF"/>
          <w:lang w:val="pt-BR"/>
        </w:rPr>
        <w:t>Trên địa bàn tỉnh Hà Tĩnh hiện nay có hệ thống hồ/đập số lượng lớn (khoảng 348 hồ chứa) có trữ lượng lớn so với cả nước (gần 1,6 tỷ m</w:t>
      </w:r>
      <w:r>
        <w:rPr>
          <w:spacing w:val="-4"/>
          <w:sz w:val="26"/>
          <w:szCs w:val="26"/>
          <w:shd w:val="clear" w:color="auto" w:fill="FFFFFF"/>
          <w:vertAlign w:val="superscript"/>
          <w:lang w:val="pt-BR"/>
        </w:rPr>
        <w:t>3</w:t>
      </w:r>
      <w:r>
        <w:rPr>
          <w:spacing w:val="-4"/>
          <w:sz w:val="26"/>
          <w:szCs w:val="26"/>
          <w:shd w:val="clear" w:color="auto" w:fill="FFFFFF"/>
          <w:lang w:val="pt-BR"/>
        </w:rPr>
        <w:t xml:space="preserve"> nước) và 86 đập dâng (lưu lượng thiết kế hơn 5.780m</w:t>
      </w:r>
      <w:r>
        <w:rPr>
          <w:spacing w:val="-4"/>
          <w:sz w:val="26"/>
          <w:szCs w:val="26"/>
          <w:shd w:val="clear" w:color="auto" w:fill="FFFFFF"/>
          <w:vertAlign w:val="superscript"/>
          <w:lang w:val="pt-BR"/>
        </w:rPr>
        <w:t>3</w:t>
      </w:r>
      <w:r>
        <w:rPr>
          <w:spacing w:val="-4"/>
          <w:sz w:val="26"/>
          <w:szCs w:val="26"/>
          <w:shd w:val="clear" w:color="auto" w:fill="FFFFFF"/>
          <w:lang w:val="pt-BR"/>
        </w:rPr>
        <w:t xml:space="preserve"> nước), có chức năng rất quan trọng trong việc duy trì nguồn nước mặt cung cấp cho các hoạt động KT-XH, an ninh quốc phòng và ứng phó thiên tai bão lũ. Thông tin các hồ đập chịu tác động lớn bởi hoạt động phát triển KT-XH đại diện đánh giá như sau</w:t>
      </w:r>
      <w:r>
        <w:rPr>
          <w:spacing w:val="-2"/>
          <w:sz w:val="26"/>
          <w:szCs w:val="26"/>
          <w:shd w:val="clear" w:color="auto" w:fill="FFFFFF"/>
          <w:lang w:val="pt-BR"/>
        </w:rPr>
        <w:t>:</w:t>
      </w:r>
    </w:p>
    <w:p w14:paraId="1265F44B" w14:textId="77777777" w:rsidR="00085789" w:rsidRDefault="00000000">
      <w:pPr>
        <w:pStyle w:val="Hd2-hinh"/>
        <w:spacing w:after="0" w:line="240" w:lineRule="auto"/>
        <w:rPr>
          <w:color w:val="auto"/>
          <w:sz w:val="26"/>
          <w:lang w:val="pt-BR"/>
        </w:rPr>
      </w:pPr>
      <w:bookmarkStart w:id="701" w:name="_Toc181861451"/>
      <w:bookmarkStart w:id="702" w:name="_Toc184097551"/>
      <w:r>
        <w:rPr>
          <w:color w:val="auto"/>
          <w:sz w:val="26"/>
          <w:lang w:val="pt-BR"/>
        </w:rPr>
        <w:t>Bảng 3.4. Thông tin vị trí nguồn nước hồ/đập chịu sức ép từ các hoạt động phát triển KT-XH trên địa bàn tỉnh Hà Tĩnh</w:t>
      </w:r>
      <w:bookmarkEnd w:id="701"/>
      <w:bookmarkEnd w:id="702"/>
    </w:p>
    <w:p w14:paraId="6C59910C" w14:textId="77777777" w:rsidR="00085789" w:rsidRDefault="00085789">
      <w:pPr>
        <w:pStyle w:val="Hd2-hinh"/>
        <w:spacing w:after="0" w:line="240" w:lineRule="auto"/>
        <w:rPr>
          <w:color w:val="auto"/>
          <w:sz w:val="8"/>
          <w:szCs w:val="6"/>
          <w:lang w:val="pt-BR"/>
        </w:rPr>
      </w:pPr>
    </w:p>
    <w:tbl>
      <w:tblPr>
        <w:tblW w:w="92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1940"/>
        <w:gridCol w:w="2630"/>
        <w:gridCol w:w="2065"/>
        <w:gridCol w:w="1913"/>
        <w:gridCol w:w="7"/>
      </w:tblGrid>
      <w:tr w:rsidR="00085789" w14:paraId="2BFA1911" w14:textId="77777777">
        <w:trPr>
          <w:trHeight w:val="94"/>
          <w:tblHeader/>
          <w:jc w:val="center"/>
        </w:trPr>
        <w:tc>
          <w:tcPr>
            <w:tcW w:w="684" w:type="dxa"/>
            <w:vMerge w:val="restart"/>
            <w:vAlign w:val="center"/>
          </w:tcPr>
          <w:p w14:paraId="431E7537" w14:textId="77777777" w:rsidR="00085789" w:rsidRDefault="00000000">
            <w:pPr>
              <w:spacing w:before="20" w:after="20" w:line="240" w:lineRule="auto"/>
              <w:jc w:val="center"/>
              <w:rPr>
                <w:b/>
                <w:bCs/>
                <w:sz w:val="24"/>
                <w:szCs w:val="24"/>
              </w:rPr>
            </w:pPr>
            <w:r>
              <w:rPr>
                <w:b/>
                <w:bCs/>
                <w:sz w:val="24"/>
                <w:szCs w:val="24"/>
              </w:rPr>
              <w:t>TT</w:t>
            </w:r>
          </w:p>
        </w:tc>
        <w:tc>
          <w:tcPr>
            <w:tcW w:w="1940" w:type="dxa"/>
            <w:vMerge w:val="restart"/>
            <w:vAlign w:val="center"/>
          </w:tcPr>
          <w:p w14:paraId="0283A290" w14:textId="77777777" w:rsidR="00085789" w:rsidRDefault="00000000">
            <w:pPr>
              <w:spacing w:before="20" w:after="20" w:line="240" w:lineRule="auto"/>
              <w:jc w:val="center"/>
              <w:rPr>
                <w:b/>
                <w:bCs/>
                <w:sz w:val="24"/>
                <w:szCs w:val="24"/>
              </w:rPr>
            </w:pPr>
            <w:r>
              <w:rPr>
                <w:b/>
                <w:bCs/>
                <w:sz w:val="24"/>
                <w:szCs w:val="24"/>
              </w:rPr>
              <w:t>Tên hồ</w:t>
            </w:r>
          </w:p>
        </w:tc>
        <w:tc>
          <w:tcPr>
            <w:tcW w:w="2630" w:type="dxa"/>
            <w:vMerge w:val="restart"/>
            <w:vAlign w:val="center"/>
          </w:tcPr>
          <w:p w14:paraId="0F003127" w14:textId="77777777" w:rsidR="00085789" w:rsidRDefault="00000000">
            <w:pPr>
              <w:spacing w:before="20" w:after="20" w:line="240" w:lineRule="auto"/>
              <w:jc w:val="center"/>
              <w:rPr>
                <w:b/>
                <w:bCs/>
                <w:sz w:val="24"/>
                <w:szCs w:val="24"/>
              </w:rPr>
            </w:pPr>
            <w:r>
              <w:rPr>
                <w:b/>
                <w:sz w:val="24"/>
                <w:szCs w:val="24"/>
              </w:rPr>
              <w:t>Địa danh hành chính</w:t>
            </w:r>
          </w:p>
        </w:tc>
        <w:tc>
          <w:tcPr>
            <w:tcW w:w="3985" w:type="dxa"/>
            <w:gridSpan w:val="3"/>
            <w:vAlign w:val="center"/>
          </w:tcPr>
          <w:p w14:paraId="156A598C" w14:textId="77777777" w:rsidR="00085789" w:rsidRDefault="00000000">
            <w:pPr>
              <w:spacing w:before="20" w:after="20" w:line="240" w:lineRule="auto"/>
              <w:jc w:val="center"/>
              <w:rPr>
                <w:b/>
                <w:bCs/>
                <w:sz w:val="24"/>
                <w:szCs w:val="24"/>
              </w:rPr>
            </w:pPr>
            <w:r>
              <w:rPr>
                <w:b/>
                <w:bCs/>
                <w:sz w:val="24"/>
                <w:szCs w:val="24"/>
              </w:rPr>
              <w:t>Quy chuẩn đánh giá</w:t>
            </w:r>
          </w:p>
        </w:tc>
      </w:tr>
      <w:tr w:rsidR="00085789" w14:paraId="4B22E870" w14:textId="77777777">
        <w:trPr>
          <w:gridAfter w:val="1"/>
          <w:wAfter w:w="7" w:type="dxa"/>
          <w:trHeight w:val="56"/>
          <w:tblHeader/>
          <w:jc w:val="center"/>
        </w:trPr>
        <w:tc>
          <w:tcPr>
            <w:tcW w:w="684" w:type="dxa"/>
            <w:vMerge/>
            <w:vAlign w:val="center"/>
          </w:tcPr>
          <w:p w14:paraId="34A06669" w14:textId="77777777" w:rsidR="00085789" w:rsidRDefault="00085789">
            <w:pPr>
              <w:spacing w:before="20" w:after="20" w:line="240" w:lineRule="auto"/>
              <w:jc w:val="center"/>
              <w:rPr>
                <w:b/>
                <w:bCs/>
                <w:sz w:val="24"/>
                <w:szCs w:val="24"/>
              </w:rPr>
            </w:pPr>
          </w:p>
        </w:tc>
        <w:tc>
          <w:tcPr>
            <w:tcW w:w="1940" w:type="dxa"/>
            <w:vMerge/>
            <w:vAlign w:val="center"/>
          </w:tcPr>
          <w:p w14:paraId="08859DB1" w14:textId="77777777" w:rsidR="00085789" w:rsidRDefault="00085789">
            <w:pPr>
              <w:spacing w:before="20" w:after="20" w:line="240" w:lineRule="auto"/>
              <w:rPr>
                <w:b/>
                <w:bCs/>
                <w:sz w:val="24"/>
                <w:szCs w:val="24"/>
              </w:rPr>
            </w:pPr>
          </w:p>
        </w:tc>
        <w:tc>
          <w:tcPr>
            <w:tcW w:w="2630" w:type="dxa"/>
            <w:vMerge/>
            <w:vAlign w:val="center"/>
          </w:tcPr>
          <w:p w14:paraId="08FF5716" w14:textId="77777777" w:rsidR="00085789" w:rsidRDefault="00085789">
            <w:pPr>
              <w:spacing w:before="20" w:after="20" w:line="240" w:lineRule="auto"/>
              <w:jc w:val="center"/>
              <w:rPr>
                <w:b/>
                <w:sz w:val="24"/>
                <w:szCs w:val="24"/>
              </w:rPr>
            </w:pPr>
          </w:p>
        </w:tc>
        <w:tc>
          <w:tcPr>
            <w:tcW w:w="2065" w:type="dxa"/>
            <w:vAlign w:val="center"/>
          </w:tcPr>
          <w:p w14:paraId="46BC9AEB" w14:textId="77777777" w:rsidR="00085789" w:rsidRDefault="00000000">
            <w:pPr>
              <w:spacing w:before="20" w:after="20" w:line="240" w:lineRule="auto"/>
              <w:jc w:val="center"/>
              <w:rPr>
                <w:b/>
                <w:bCs/>
                <w:sz w:val="24"/>
                <w:szCs w:val="24"/>
              </w:rPr>
            </w:pPr>
            <w:r>
              <w:rPr>
                <w:b/>
                <w:bCs/>
                <w:sz w:val="24"/>
                <w:szCs w:val="24"/>
              </w:rPr>
              <w:t>Năm 2021-2022</w:t>
            </w:r>
          </w:p>
        </w:tc>
        <w:tc>
          <w:tcPr>
            <w:tcW w:w="1913" w:type="dxa"/>
            <w:vAlign w:val="center"/>
          </w:tcPr>
          <w:p w14:paraId="4C8FFE7D" w14:textId="77777777" w:rsidR="00085789" w:rsidRDefault="00000000">
            <w:pPr>
              <w:spacing w:before="20" w:after="20" w:line="240" w:lineRule="auto"/>
              <w:jc w:val="center"/>
              <w:rPr>
                <w:b/>
                <w:bCs/>
                <w:sz w:val="24"/>
                <w:szCs w:val="24"/>
              </w:rPr>
            </w:pPr>
            <w:r>
              <w:rPr>
                <w:b/>
                <w:bCs/>
                <w:sz w:val="24"/>
                <w:szCs w:val="24"/>
              </w:rPr>
              <w:t>Năm 2023-2025</w:t>
            </w:r>
          </w:p>
        </w:tc>
      </w:tr>
      <w:tr w:rsidR="00085789" w14:paraId="5AE28CAE" w14:textId="77777777">
        <w:trPr>
          <w:gridAfter w:val="1"/>
          <w:wAfter w:w="7" w:type="dxa"/>
          <w:trHeight w:val="315"/>
          <w:jc w:val="center"/>
        </w:trPr>
        <w:tc>
          <w:tcPr>
            <w:tcW w:w="684" w:type="dxa"/>
            <w:vAlign w:val="center"/>
          </w:tcPr>
          <w:p w14:paraId="153BE12A" w14:textId="77777777" w:rsidR="00085789" w:rsidRDefault="00000000">
            <w:pPr>
              <w:spacing w:before="20" w:after="20" w:line="240" w:lineRule="auto"/>
              <w:jc w:val="center"/>
              <w:rPr>
                <w:bCs/>
                <w:sz w:val="24"/>
                <w:szCs w:val="24"/>
              </w:rPr>
            </w:pPr>
            <w:r>
              <w:rPr>
                <w:bCs/>
                <w:sz w:val="24"/>
                <w:szCs w:val="24"/>
              </w:rPr>
              <w:t>1</w:t>
            </w:r>
          </w:p>
        </w:tc>
        <w:tc>
          <w:tcPr>
            <w:tcW w:w="1940" w:type="dxa"/>
            <w:vAlign w:val="center"/>
          </w:tcPr>
          <w:p w14:paraId="3539BEE2" w14:textId="77777777" w:rsidR="00085789" w:rsidRDefault="00000000">
            <w:pPr>
              <w:spacing w:before="20" w:after="20" w:line="240" w:lineRule="auto"/>
              <w:rPr>
                <w:sz w:val="24"/>
                <w:szCs w:val="24"/>
              </w:rPr>
            </w:pPr>
            <w:r>
              <w:rPr>
                <w:sz w:val="24"/>
                <w:szCs w:val="24"/>
              </w:rPr>
              <w:t>Hồ Vực Trống</w:t>
            </w:r>
          </w:p>
        </w:tc>
        <w:tc>
          <w:tcPr>
            <w:tcW w:w="2630" w:type="dxa"/>
            <w:vAlign w:val="center"/>
          </w:tcPr>
          <w:p w14:paraId="035CA78B" w14:textId="77777777" w:rsidR="00085789" w:rsidRDefault="00000000">
            <w:pPr>
              <w:spacing w:before="20" w:after="20" w:line="240" w:lineRule="auto"/>
              <w:jc w:val="both"/>
              <w:rPr>
                <w:bCs/>
                <w:sz w:val="24"/>
                <w:szCs w:val="24"/>
              </w:rPr>
            </w:pPr>
            <w:r>
              <w:rPr>
                <w:bCs/>
                <w:sz w:val="24"/>
                <w:szCs w:val="24"/>
              </w:rPr>
              <w:t>Xã Phú Lộc (nay là Trường Lưu)</w:t>
            </w:r>
          </w:p>
        </w:tc>
        <w:tc>
          <w:tcPr>
            <w:tcW w:w="2065" w:type="dxa"/>
            <w:vAlign w:val="center"/>
          </w:tcPr>
          <w:p w14:paraId="14941EE5"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1171EECB" w14:textId="77777777" w:rsidR="00085789" w:rsidRDefault="00000000">
            <w:pPr>
              <w:spacing w:before="20" w:after="20" w:line="240" w:lineRule="auto"/>
              <w:jc w:val="center"/>
              <w:rPr>
                <w:sz w:val="24"/>
                <w:szCs w:val="24"/>
              </w:rPr>
            </w:pPr>
            <w:r>
              <w:rPr>
                <w:noProof/>
                <w:sz w:val="24"/>
                <w:szCs w:val="24"/>
              </w:rPr>
              <w:t>QCVN 08:2023/BTNMT</w:t>
            </w:r>
          </w:p>
        </w:tc>
      </w:tr>
      <w:tr w:rsidR="00085789" w14:paraId="48915934" w14:textId="77777777">
        <w:trPr>
          <w:gridAfter w:val="1"/>
          <w:wAfter w:w="7" w:type="dxa"/>
          <w:trHeight w:val="315"/>
          <w:jc w:val="center"/>
        </w:trPr>
        <w:tc>
          <w:tcPr>
            <w:tcW w:w="684" w:type="dxa"/>
            <w:vAlign w:val="center"/>
          </w:tcPr>
          <w:p w14:paraId="403BCC1F" w14:textId="77777777" w:rsidR="00085789" w:rsidRDefault="00000000">
            <w:pPr>
              <w:spacing w:before="20" w:after="20" w:line="240" w:lineRule="auto"/>
              <w:jc w:val="center"/>
              <w:rPr>
                <w:bCs/>
                <w:sz w:val="24"/>
                <w:szCs w:val="24"/>
              </w:rPr>
            </w:pPr>
            <w:r>
              <w:rPr>
                <w:bCs/>
                <w:sz w:val="24"/>
                <w:szCs w:val="24"/>
              </w:rPr>
              <w:t>2</w:t>
            </w:r>
          </w:p>
        </w:tc>
        <w:tc>
          <w:tcPr>
            <w:tcW w:w="1940" w:type="dxa"/>
            <w:vAlign w:val="center"/>
          </w:tcPr>
          <w:p w14:paraId="5112A417" w14:textId="77777777" w:rsidR="00085789" w:rsidRDefault="00000000">
            <w:pPr>
              <w:spacing w:before="20" w:after="20" w:line="240" w:lineRule="auto"/>
              <w:rPr>
                <w:sz w:val="24"/>
                <w:szCs w:val="24"/>
              </w:rPr>
            </w:pPr>
            <w:r>
              <w:rPr>
                <w:sz w:val="24"/>
                <w:szCs w:val="24"/>
              </w:rPr>
              <w:t>Hồ Khe Trúc</w:t>
            </w:r>
          </w:p>
        </w:tc>
        <w:tc>
          <w:tcPr>
            <w:tcW w:w="2630" w:type="dxa"/>
            <w:vAlign w:val="center"/>
          </w:tcPr>
          <w:p w14:paraId="532DF699" w14:textId="77777777" w:rsidR="00085789" w:rsidRDefault="00000000">
            <w:pPr>
              <w:spacing w:before="20" w:after="20" w:line="240" w:lineRule="auto"/>
              <w:jc w:val="both"/>
              <w:rPr>
                <w:bCs/>
                <w:spacing w:val="-4"/>
                <w:sz w:val="24"/>
                <w:szCs w:val="24"/>
              </w:rPr>
            </w:pPr>
            <w:r>
              <w:rPr>
                <w:bCs/>
                <w:spacing w:val="-4"/>
                <w:sz w:val="24"/>
                <w:szCs w:val="24"/>
              </w:rPr>
              <w:t>Xã Thiên Lộc (nay là xã Can Lộc)</w:t>
            </w:r>
          </w:p>
        </w:tc>
        <w:tc>
          <w:tcPr>
            <w:tcW w:w="2065" w:type="dxa"/>
            <w:vAlign w:val="center"/>
          </w:tcPr>
          <w:p w14:paraId="255A292B"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0EEA2B71" w14:textId="77777777" w:rsidR="00085789" w:rsidRDefault="00000000">
            <w:pPr>
              <w:spacing w:before="20" w:after="20" w:line="240" w:lineRule="auto"/>
              <w:jc w:val="center"/>
              <w:rPr>
                <w:sz w:val="24"/>
                <w:szCs w:val="24"/>
              </w:rPr>
            </w:pPr>
            <w:r>
              <w:rPr>
                <w:noProof/>
                <w:sz w:val="24"/>
                <w:szCs w:val="24"/>
              </w:rPr>
              <w:t>QCVN 08:2023/BTNMT</w:t>
            </w:r>
          </w:p>
        </w:tc>
      </w:tr>
      <w:tr w:rsidR="00085789" w14:paraId="54004F3D" w14:textId="77777777">
        <w:trPr>
          <w:gridAfter w:val="1"/>
          <w:wAfter w:w="7" w:type="dxa"/>
          <w:trHeight w:val="315"/>
          <w:jc w:val="center"/>
        </w:trPr>
        <w:tc>
          <w:tcPr>
            <w:tcW w:w="684" w:type="dxa"/>
            <w:vAlign w:val="center"/>
          </w:tcPr>
          <w:p w14:paraId="0B1800DA" w14:textId="77777777" w:rsidR="00085789" w:rsidRDefault="00000000">
            <w:pPr>
              <w:spacing w:before="20" w:after="20" w:line="240" w:lineRule="auto"/>
              <w:jc w:val="center"/>
              <w:rPr>
                <w:bCs/>
                <w:sz w:val="24"/>
                <w:szCs w:val="24"/>
              </w:rPr>
            </w:pPr>
            <w:r>
              <w:rPr>
                <w:bCs/>
                <w:sz w:val="24"/>
                <w:szCs w:val="24"/>
              </w:rPr>
              <w:t>3</w:t>
            </w:r>
          </w:p>
        </w:tc>
        <w:tc>
          <w:tcPr>
            <w:tcW w:w="1940" w:type="dxa"/>
            <w:vAlign w:val="center"/>
          </w:tcPr>
          <w:p w14:paraId="32E56052" w14:textId="77777777" w:rsidR="00085789" w:rsidRDefault="00000000">
            <w:pPr>
              <w:spacing w:before="20" w:after="20" w:line="240" w:lineRule="auto"/>
              <w:rPr>
                <w:sz w:val="24"/>
                <w:szCs w:val="24"/>
              </w:rPr>
            </w:pPr>
            <w:r>
              <w:rPr>
                <w:sz w:val="24"/>
                <w:szCs w:val="24"/>
              </w:rPr>
              <w:t xml:space="preserve">Hồ Thiên Tượng </w:t>
            </w:r>
          </w:p>
        </w:tc>
        <w:tc>
          <w:tcPr>
            <w:tcW w:w="2630" w:type="dxa"/>
            <w:vAlign w:val="center"/>
          </w:tcPr>
          <w:p w14:paraId="24ACFB50" w14:textId="77777777" w:rsidR="00085789" w:rsidRDefault="00000000">
            <w:pPr>
              <w:spacing w:before="20" w:after="20" w:line="240" w:lineRule="auto"/>
              <w:jc w:val="both"/>
              <w:rPr>
                <w:bCs/>
                <w:sz w:val="24"/>
                <w:szCs w:val="24"/>
              </w:rPr>
            </w:pPr>
            <w:r>
              <w:rPr>
                <w:bCs/>
                <w:sz w:val="24"/>
                <w:szCs w:val="24"/>
              </w:rPr>
              <w:t>Phường Bắc Hồng (nay là phường Bắc Hồng Lĩnh)</w:t>
            </w:r>
          </w:p>
        </w:tc>
        <w:tc>
          <w:tcPr>
            <w:tcW w:w="2065" w:type="dxa"/>
            <w:vAlign w:val="center"/>
          </w:tcPr>
          <w:p w14:paraId="1B31F785"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66F1596B" w14:textId="77777777" w:rsidR="00085789" w:rsidRDefault="00000000">
            <w:pPr>
              <w:spacing w:before="20" w:after="20" w:line="240" w:lineRule="auto"/>
              <w:jc w:val="center"/>
              <w:rPr>
                <w:sz w:val="24"/>
                <w:szCs w:val="24"/>
              </w:rPr>
            </w:pPr>
            <w:r>
              <w:rPr>
                <w:noProof/>
                <w:sz w:val="24"/>
                <w:szCs w:val="24"/>
              </w:rPr>
              <w:t>QCVN 08:2023/BTNMT</w:t>
            </w:r>
          </w:p>
        </w:tc>
      </w:tr>
      <w:tr w:rsidR="00085789" w14:paraId="7E1E0984" w14:textId="77777777">
        <w:trPr>
          <w:gridAfter w:val="1"/>
          <w:wAfter w:w="7" w:type="dxa"/>
          <w:trHeight w:val="315"/>
          <w:jc w:val="center"/>
        </w:trPr>
        <w:tc>
          <w:tcPr>
            <w:tcW w:w="684" w:type="dxa"/>
            <w:vAlign w:val="center"/>
          </w:tcPr>
          <w:p w14:paraId="2AECAA2F" w14:textId="77777777" w:rsidR="00085789" w:rsidRDefault="00000000">
            <w:pPr>
              <w:spacing w:before="20" w:after="20" w:line="240" w:lineRule="auto"/>
              <w:jc w:val="center"/>
              <w:rPr>
                <w:bCs/>
                <w:sz w:val="24"/>
                <w:szCs w:val="24"/>
              </w:rPr>
            </w:pPr>
            <w:r>
              <w:rPr>
                <w:bCs/>
                <w:sz w:val="24"/>
                <w:szCs w:val="24"/>
              </w:rPr>
              <w:t>4</w:t>
            </w:r>
          </w:p>
        </w:tc>
        <w:tc>
          <w:tcPr>
            <w:tcW w:w="1940" w:type="dxa"/>
            <w:vAlign w:val="center"/>
          </w:tcPr>
          <w:p w14:paraId="54498A71" w14:textId="77777777" w:rsidR="00085789" w:rsidRDefault="00000000">
            <w:pPr>
              <w:spacing w:before="20" w:after="20" w:line="240" w:lineRule="auto"/>
              <w:rPr>
                <w:sz w:val="24"/>
                <w:szCs w:val="24"/>
              </w:rPr>
            </w:pPr>
            <w:r>
              <w:rPr>
                <w:sz w:val="24"/>
                <w:szCs w:val="24"/>
              </w:rPr>
              <w:t xml:space="preserve">Hồ Đá Bạc </w:t>
            </w:r>
          </w:p>
        </w:tc>
        <w:tc>
          <w:tcPr>
            <w:tcW w:w="2630" w:type="dxa"/>
            <w:vAlign w:val="center"/>
          </w:tcPr>
          <w:p w14:paraId="2450E1D3" w14:textId="77777777" w:rsidR="00085789" w:rsidRDefault="00000000">
            <w:pPr>
              <w:spacing w:before="20" w:after="20" w:line="240" w:lineRule="auto"/>
              <w:jc w:val="both"/>
              <w:rPr>
                <w:bCs/>
                <w:sz w:val="24"/>
                <w:szCs w:val="24"/>
              </w:rPr>
            </w:pPr>
            <w:r>
              <w:rPr>
                <w:bCs/>
                <w:sz w:val="24"/>
                <w:szCs w:val="24"/>
              </w:rPr>
              <w:t>Phường Đậu Liêu (nay là phường Nam Hồng Lĩnh)</w:t>
            </w:r>
          </w:p>
        </w:tc>
        <w:tc>
          <w:tcPr>
            <w:tcW w:w="2065" w:type="dxa"/>
            <w:vAlign w:val="center"/>
          </w:tcPr>
          <w:p w14:paraId="4DF42E26"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2B9B411F" w14:textId="77777777" w:rsidR="00085789" w:rsidRDefault="00000000">
            <w:pPr>
              <w:spacing w:before="20" w:after="20" w:line="240" w:lineRule="auto"/>
              <w:jc w:val="center"/>
              <w:rPr>
                <w:sz w:val="24"/>
                <w:szCs w:val="24"/>
              </w:rPr>
            </w:pPr>
            <w:r>
              <w:rPr>
                <w:noProof/>
                <w:sz w:val="24"/>
                <w:szCs w:val="24"/>
              </w:rPr>
              <w:t>QCVN 08:2023/BTNMT</w:t>
            </w:r>
          </w:p>
        </w:tc>
      </w:tr>
      <w:tr w:rsidR="00085789" w14:paraId="16428639" w14:textId="77777777">
        <w:trPr>
          <w:gridAfter w:val="1"/>
          <w:wAfter w:w="7" w:type="dxa"/>
          <w:trHeight w:val="315"/>
          <w:jc w:val="center"/>
        </w:trPr>
        <w:tc>
          <w:tcPr>
            <w:tcW w:w="684" w:type="dxa"/>
            <w:vAlign w:val="center"/>
          </w:tcPr>
          <w:p w14:paraId="61600330" w14:textId="77777777" w:rsidR="00085789" w:rsidRDefault="00000000">
            <w:pPr>
              <w:spacing w:before="20" w:after="20" w:line="240" w:lineRule="auto"/>
              <w:jc w:val="center"/>
              <w:rPr>
                <w:bCs/>
                <w:sz w:val="24"/>
                <w:szCs w:val="24"/>
              </w:rPr>
            </w:pPr>
            <w:r>
              <w:rPr>
                <w:bCs/>
                <w:sz w:val="24"/>
                <w:szCs w:val="24"/>
              </w:rPr>
              <w:t>5</w:t>
            </w:r>
          </w:p>
        </w:tc>
        <w:tc>
          <w:tcPr>
            <w:tcW w:w="1940" w:type="dxa"/>
            <w:vAlign w:val="center"/>
          </w:tcPr>
          <w:p w14:paraId="3B673A8E" w14:textId="77777777" w:rsidR="00085789" w:rsidRDefault="00000000">
            <w:pPr>
              <w:spacing w:before="20" w:after="20" w:line="240" w:lineRule="auto"/>
              <w:rPr>
                <w:sz w:val="24"/>
                <w:szCs w:val="24"/>
              </w:rPr>
            </w:pPr>
            <w:r>
              <w:rPr>
                <w:sz w:val="24"/>
                <w:szCs w:val="24"/>
              </w:rPr>
              <w:t>Hồ Khe Lang</w:t>
            </w:r>
          </w:p>
        </w:tc>
        <w:tc>
          <w:tcPr>
            <w:tcW w:w="2630" w:type="dxa"/>
            <w:vAlign w:val="center"/>
          </w:tcPr>
          <w:p w14:paraId="023E2591" w14:textId="77777777" w:rsidR="00085789" w:rsidRDefault="00000000">
            <w:pPr>
              <w:spacing w:before="20" w:after="20" w:line="240" w:lineRule="auto"/>
              <w:jc w:val="both"/>
              <w:rPr>
                <w:bCs/>
                <w:spacing w:val="-8"/>
                <w:sz w:val="24"/>
                <w:szCs w:val="24"/>
              </w:rPr>
            </w:pPr>
            <w:r>
              <w:rPr>
                <w:bCs/>
                <w:spacing w:val="-8"/>
                <w:sz w:val="24"/>
                <w:szCs w:val="24"/>
              </w:rPr>
              <w:t>Còn gọi là hồ Bình Hà, xã An Dũng (nay là xã Đức Thịnh)</w:t>
            </w:r>
          </w:p>
        </w:tc>
        <w:tc>
          <w:tcPr>
            <w:tcW w:w="2065" w:type="dxa"/>
            <w:vAlign w:val="center"/>
          </w:tcPr>
          <w:p w14:paraId="2533E632"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5312E0AF" w14:textId="77777777" w:rsidR="00085789" w:rsidRDefault="00000000">
            <w:pPr>
              <w:spacing w:before="20" w:after="20" w:line="240" w:lineRule="auto"/>
              <w:jc w:val="center"/>
              <w:rPr>
                <w:sz w:val="24"/>
                <w:szCs w:val="24"/>
              </w:rPr>
            </w:pPr>
            <w:r>
              <w:rPr>
                <w:noProof/>
                <w:sz w:val="24"/>
                <w:szCs w:val="24"/>
              </w:rPr>
              <w:t>QCVN 08:2023/BTNMT</w:t>
            </w:r>
          </w:p>
        </w:tc>
      </w:tr>
      <w:tr w:rsidR="00085789" w14:paraId="7180D45D" w14:textId="77777777">
        <w:trPr>
          <w:gridAfter w:val="1"/>
          <w:wAfter w:w="7" w:type="dxa"/>
          <w:trHeight w:val="315"/>
          <w:jc w:val="center"/>
        </w:trPr>
        <w:tc>
          <w:tcPr>
            <w:tcW w:w="684" w:type="dxa"/>
            <w:vAlign w:val="center"/>
          </w:tcPr>
          <w:p w14:paraId="1123FAB9" w14:textId="77777777" w:rsidR="00085789" w:rsidRDefault="00000000">
            <w:pPr>
              <w:spacing w:before="20" w:after="20" w:line="240" w:lineRule="auto"/>
              <w:jc w:val="center"/>
              <w:rPr>
                <w:bCs/>
                <w:sz w:val="24"/>
                <w:szCs w:val="24"/>
              </w:rPr>
            </w:pPr>
            <w:r>
              <w:rPr>
                <w:bCs/>
                <w:sz w:val="24"/>
                <w:szCs w:val="24"/>
              </w:rPr>
              <w:t>6</w:t>
            </w:r>
          </w:p>
        </w:tc>
        <w:tc>
          <w:tcPr>
            <w:tcW w:w="1940" w:type="dxa"/>
            <w:vAlign w:val="center"/>
          </w:tcPr>
          <w:p w14:paraId="2C563FA9" w14:textId="77777777" w:rsidR="00085789" w:rsidRDefault="00000000">
            <w:pPr>
              <w:spacing w:before="20" w:after="20" w:line="240" w:lineRule="auto"/>
              <w:rPr>
                <w:sz w:val="24"/>
                <w:szCs w:val="24"/>
              </w:rPr>
            </w:pPr>
            <w:r>
              <w:rPr>
                <w:sz w:val="24"/>
                <w:szCs w:val="24"/>
              </w:rPr>
              <w:t>Hồ Xuân Hoa</w:t>
            </w:r>
          </w:p>
        </w:tc>
        <w:tc>
          <w:tcPr>
            <w:tcW w:w="2630" w:type="dxa"/>
            <w:vAlign w:val="center"/>
          </w:tcPr>
          <w:p w14:paraId="03D4EF92" w14:textId="77777777" w:rsidR="00085789" w:rsidRDefault="00000000">
            <w:pPr>
              <w:spacing w:before="20" w:after="20" w:line="240" w:lineRule="auto"/>
              <w:jc w:val="both"/>
              <w:rPr>
                <w:bCs/>
                <w:sz w:val="24"/>
                <w:szCs w:val="24"/>
              </w:rPr>
            </w:pPr>
            <w:r>
              <w:rPr>
                <w:bCs/>
                <w:sz w:val="24"/>
                <w:szCs w:val="24"/>
              </w:rPr>
              <w:t xml:space="preserve">Xã Cổ Đạm </w:t>
            </w:r>
          </w:p>
        </w:tc>
        <w:tc>
          <w:tcPr>
            <w:tcW w:w="2065" w:type="dxa"/>
            <w:vAlign w:val="center"/>
          </w:tcPr>
          <w:p w14:paraId="1AF757DB"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1DF23FA8" w14:textId="77777777" w:rsidR="00085789" w:rsidRDefault="00000000">
            <w:pPr>
              <w:spacing w:before="20" w:after="20" w:line="240" w:lineRule="auto"/>
              <w:jc w:val="center"/>
              <w:rPr>
                <w:sz w:val="24"/>
                <w:szCs w:val="24"/>
              </w:rPr>
            </w:pPr>
            <w:r>
              <w:rPr>
                <w:noProof/>
                <w:sz w:val="24"/>
                <w:szCs w:val="24"/>
              </w:rPr>
              <w:t>QCVN 08:2023/BTNMT</w:t>
            </w:r>
          </w:p>
        </w:tc>
      </w:tr>
      <w:tr w:rsidR="00085789" w14:paraId="41F3CA44" w14:textId="77777777">
        <w:trPr>
          <w:gridAfter w:val="1"/>
          <w:wAfter w:w="7" w:type="dxa"/>
          <w:trHeight w:val="315"/>
          <w:jc w:val="center"/>
        </w:trPr>
        <w:tc>
          <w:tcPr>
            <w:tcW w:w="684" w:type="dxa"/>
            <w:vAlign w:val="center"/>
          </w:tcPr>
          <w:p w14:paraId="765FE6CC" w14:textId="77777777" w:rsidR="00085789" w:rsidRDefault="00000000">
            <w:pPr>
              <w:spacing w:before="20" w:after="20" w:line="240" w:lineRule="auto"/>
              <w:jc w:val="center"/>
              <w:rPr>
                <w:bCs/>
                <w:sz w:val="24"/>
                <w:szCs w:val="24"/>
              </w:rPr>
            </w:pPr>
            <w:r>
              <w:rPr>
                <w:bCs/>
                <w:sz w:val="24"/>
                <w:szCs w:val="24"/>
              </w:rPr>
              <w:lastRenderedPageBreak/>
              <w:t>7</w:t>
            </w:r>
          </w:p>
        </w:tc>
        <w:tc>
          <w:tcPr>
            <w:tcW w:w="1940" w:type="dxa"/>
            <w:vAlign w:val="center"/>
          </w:tcPr>
          <w:p w14:paraId="5826196B" w14:textId="77777777" w:rsidR="00085789" w:rsidRDefault="00000000">
            <w:pPr>
              <w:spacing w:before="20" w:after="20" w:line="240" w:lineRule="auto"/>
              <w:rPr>
                <w:sz w:val="24"/>
                <w:szCs w:val="24"/>
              </w:rPr>
            </w:pPr>
            <w:r>
              <w:rPr>
                <w:sz w:val="24"/>
                <w:szCs w:val="24"/>
              </w:rPr>
              <w:t>Đập Khe Hao</w:t>
            </w:r>
          </w:p>
        </w:tc>
        <w:tc>
          <w:tcPr>
            <w:tcW w:w="2630" w:type="dxa"/>
            <w:vAlign w:val="center"/>
          </w:tcPr>
          <w:p w14:paraId="48A9FAB5" w14:textId="77777777" w:rsidR="00085789" w:rsidRDefault="00000000">
            <w:pPr>
              <w:spacing w:before="20" w:after="20" w:line="240" w:lineRule="auto"/>
              <w:jc w:val="both"/>
              <w:rPr>
                <w:bCs/>
                <w:sz w:val="24"/>
                <w:szCs w:val="24"/>
              </w:rPr>
            </w:pPr>
            <w:r>
              <w:rPr>
                <w:bCs/>
                <w:sz w:val="24"/>
                <w:szCs w:val="24"/>
              </w:rPr>
              <w:t xml:space="preserve">Xã Hồng Lộc </w:t>
            </w:r>
          </w:p>
        </w:tc>
        <w:tc>
          <w:tcPr>
            <w:tcW w:w="2065" w:type="dxa"/>
            <w:vAlign w:val="center"/>
          </w:tcPr>
          <w:p w14:paraId="3C03CD9E"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78F3F465" w14:textId="77777777" w:rsidR="00085789" w:rsidRDefault="00000000">
            <w:pPr>
              <w:spacing w:before="20" w:after="20" w:line="240" w:lineRule="auto"/>
              <w:jc w:val="center"/>
              <w:rPr>
                <w:sz w:val="24"/>
                <w:szCs w:val="24"/>
              </w:rPr>
            </w:pPr>
            <w:r>
              <w:rPr>
                <w:noProof/>
                <w:sz w:val="24"/>
                <w:szCs w:val="24"/>
              </w:rPr>
              <w:t>QCVN 08:2023/BTNMT</w:t>
            </w:r>
          </w:p>
        </w:tc>
      </w:tr>
      <w:tr w:rsidR="00085789" w14:paraId="21DA4BA3" w14:textId="77777777">
        <w:trPr>
          <w:gridAfter w:val="1"/>
          <w:wAfter w:w="7" w:type="dxa"/>
          <w:trHeight w:val="315"/>
          <w:jc w:val="center"/>
        </w:trPr>
        <w:tc>
          <w:tcPr>
            <w:tcW w:w="684" w:type="dxa"/>
            <w:vAlign w:val="center"/>
          </w:tcPr>
          <w:p w14:paraId="40A36B0B" w14:textId="77777777" w:rsidR="00085789" w:rsidRDefault="00000000">
            <w:pPr>
              <w:spacing w:before="20" w:after="20" w:line="240" w:lineRule="auto"/>
              <w:jc w:val="center"/>
              <w:rPr>
                <w:bCs/>
                <w:sz w:val="24"/>
                <w:szCs w:val="24"/>
              </w:rPr>
            </w:pPr>
            <w:r>
              <w:rPr>
                <w:bCs/>
                <w:sz w:val="24"/>
                <w:szCs w:val="24"/>
              </w:rPr>
              <w:t>8</w:t>
            </w:r>
          </w:p>
        </w:tc>
        <w:tc>
          <w:tcPr>
            <w:tcW w:w="1940" w:type="dxa"/>
            <w:vAlign w:val="center"/>
          </w:tcPr>
          <w:p w14:paraId="584E64C1" w14:textId="77777777" w:rsidR="00085789" w:rsidRDefault="00000000">
            <w:pPr>
              <w:spacing w:before="20" w:after="20" w:line="240" w:lineRule="auto"/>
              <w:rPr>
                <w:sz w:val="24"/>
                <w:szCs w:val="24"/>
              </w:rPr>
            </w:pPr>
            <w:r>
              <w:rPr>
                <w:sz w:val="24"/>
                <w:szCs w:val="24"/>
              </w:rPr>
              <w:t>Hồ Đá Hàn</w:t>
            </w:r>
          </w:p>
        </w:tc>
        <w:tc>
          <w:tcPr>
            <w:tcW w:w="2630" w:type="dxa"/>
            <w:vAlign w:val="center"/>
          </w:tcPr>
          <w:p w14:paraId="527C1F32" w14:textId="77777777" w:rsidR="00085789" w:rsidRDefault="00000000">
            <w:pPr>
              <w:spacing w:before="20" w:after="20" w:line="240" w:lineRule="auto"/>
              <w:jc w:val="both"/>
              <w:rPr>
                <w:bCs/>
                <w:sz w:val="24"/>
                <w:szCs w:val="24"/>
              </w:rPr>
            </w:pPr>
            <w:r>
              <w:rPr>
                <w:bCs/>
                <w:sz w:val="24"/>
                <w:szCs w:val="24"/>
              </w:rPr>
              <w:t>Xã Hòa Hải (nay là xã Hương Bình)</w:t>
            </w:r>
          </w:p>
        </w:tc>
        <w:tc>
          <w:tcPr>
            <w:tcW w:w="2065" w:type="dxa"/>
            <w:vAlign w:val="center"/>
          </w:tcPr>
          <w:p w14:paraId="7EC5AE42"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00BB05CD" w14:textId="77777777" w:rsidR="00085789" w:rsidRDefault="00000000">
            <w:pPr>
              <w:spacing w:before="20" w:after="20" w:line="240" w:lineRule="auto"/>
              <w:jc w:val="center"/>
              <w:rPr>
                <w:sz w:val="24"/>
                <w:szCs w:val="24"/>
              </w:rPr>
            </w:pPr>
            <w:r>
              <w:rPr>
                <w:noProof/>
                <w:sz w:val="24"/>
                <w:szCs w:val="24"/>
              </w:rPr>
              <w:t>QCVN 08:2023/BTNMT</w:t>
            </w:r>
          </w:p>
        </w:tc>
      </w:tr>
      <w:tr w:rsidR="00085789" w14:paraId="10E1D57F" w14:textId="77777777">
        <w:trPr>
          <w:gridAfter w:val="1"/>
          <w:wAfter w:w="7" w:type="dxa"/>
          <w:trHeight w:val="315"/>
          <w:jc w:val="center"/>
        </w:trPr>
        <w:tc>
          <w:tcPr>
            <w:tcW w:w="684" w:type="dxa"/>
            <w:vAlign w:val="center"/>
          </w:tcPr>
          <w:p w14:paraId="4E946E9A" w14:textId="77777777" w:rsidR="00085789" w:rsidRDefault="00000000">
            <w:pPr>
              <w:spacing w:before="20" w:after="20" w:line="240" w:lineRule="auto"/>
              <w:jc w:val="center"/>
              <w:rPr>
                <w:bCs/>
                <w:sz w:val="24"/>
                <w:szCs w:val="24"/>
              </w:rPr>
            </w:pPr>
            <w:r>
              <w:rPr>
                <w:bCs/>
                <w:sz w:val="24"/>
                <w:szCs w:val="24"/>
              </w:rPr>
              <w:t>9</w:t>
            </w:r>
          </w:p>
        </w:tc>
        <w:tc>
          <w:tcPr>
            <w:tcW w:w="1940" w:type="dxa"/>
            <w:vAlign w:val="center"/>
          </w:tcPr>
          <w:p w14:paraId="2F63ECBD" w14:textId="77777777" w:rsidR="00085789" w:rsidRDefault="00000000">
            <w:pPr>
              <w:spacing w:before="20" w:after="20" w:line="240" w:lineRule="auto"/>
              <w:rPr>
                <w:sz w:val="24"/>
                <w:szCs w:val="24"/>
              </w:rPr>
            </w:pPr>
            <w:r>
              <w:rPr>
                <w:sz w:val="24"/>
                <w:szCs w:val="24"/>
              </w:rPr>
              <w:t>Đập dâng Vũ Quang</w:t>
            </w:r>
          </w:p>
        </w:tc>
        <w:tc>
          <w:tcPr>
            <w:tcW w:w="2630" w:type="dxa"/>
            <w:vAlign w:val="center"/>
          </w:tcPr>
          <w:p w14:paraId="277DE847" w14:textId="77777777" w:rsidR="00085789" w:rsidRDefault="00000000">
            <w:pPr>
              <w:spacing w:before="20" w:after="20" w:line="240" w:lineRule="auto"/>
              <w:jc w:val="both"/>
              <w:rPr>
                <w:bCs/>
                <w:sz w:val="24"/>
                <w:szCs w:val="24"/>
              </w:rPr>
            </w:pPr>
            <w:r>
              <w:rPr>
                <w:bCs/>
                <w:sz w:val="24"/>
                <w:szCs w:val="24"/>
              </w:rPr>
              <w:t>Thị trấn Vũ Quang (nay là xã Vũ Quang)</w:t>
            </w:r>
          </w:p>
        </w:tc>
        <w:tc>
          <w:tcPr>
            <w:tcW w:w="2065" w:type="dxa"/>
            <w:vAlign w:val="center"/>
          </w:tcPr>
          <w:p w14:paraId="2444A890"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79035BB3"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72F7B8A7" w14:textId="77777777">
        <w:trPr>
          <w:gridAfter w:val="1"/>
          <w:wAfter w:w="7" w:type="dxa"/>
          <w:trHeight w:val="315"/>
          <w:jc w:val="center"/>
        </w:trPr>
        <w:tc>
          <w:tcPr>
            <w:tcW w:w="684" w:type="dxa"/>
            <w:vAlign w:val="center"/>
          </w:tcPr>
          <w:p w14:paraId="42C8192A" w14:textId="77777777" w:rsidR="00085789" w:rsidRDefault="00000000">
            <w:pPr>
              <w:spacing w:before="20" w:after="20" w:line="240" w:lineRule="auto"/>
              <w:jc w:val="center"/>
              <w:rPr>
                <w:bCs/>
                <w:sz w:val="24"/>
                <w:szCs w:val="24"/>
              </w:rPr>
            </w:pPr>
            <w:r>
              <w:rPr>
                <w:bCs/>
                <w:sz w:val="24"/>
                <w:szCs w:val="24"/>
              </w:rPr>
              <w:t>10</w:t>
            </w:r>
          </w:p>
        </w:tc>
        <w:tc>
          <w:tcPr>
            <w:tcW w:w="1940" w:type="dxa"/>
            <w:vAlign w:val="center"/>
          </w:tcPr>
          <w:p w14:paraId="117A4AA9" w14:textId="77777777" w:rsidR="00085789" w:rsidRDefault="00000000">
            <w:pPr>
              <w:spacing w:before="20" w:after="20" w:line="240" w:lineRule="auto"/>
              <w:rPr>
                <w:sz w:val="24"/>
                <w:szCs w:val="24"/>
              </w:rPr>
            </w:pPr>
            <w:r>
              <w:rPr>
                <w:sz w:val="24"/>
                <w:szCs w:val="24"/>
              </w:rPr>
              <w:t xml:space="preserve">Hồ Ngàn Trươi </w:t>
            </w:r>
          </w:p>
        </w:tc>
        <w:tc>
          <w:tcPr>
            <w:tcW w:w="2630" w:type="dxa"/>
            <w:vAlign w:val="center"/>
          </w:tcPr>
          <w:p w14:paraId="1B8EE62D" w14:textId="77777777" w:rsidR="00085789" w:rsidRDefault="00000000">
            <w:pPr>
              <w:spacing w:before="20" w:after="20" w:line="240" w:lineRule="auto"/>
              <w:jc w:val="both"/>
              <w:rPr>
                <w:bCs/>
                <w:sz w:val="24"/>
                <w:szCs w:val="24"/>
              </w:rPr>
            </w:pPr>
            <w:r>
              <w:rPr>
                <w:bCs/>
                <w:spacing w:val="-4"/>
                <w:sz w:val="24"/>
                <w:szCs w:val="24"/>
              </w:rPr>
              <w:t>Thị trấn Vũ Quang (nay là xã Vũ Quang)</w:t>
            </w:r>
          </w:p>
        </w:tc>
        <w:tc>
          <w:tcPr>
            <w:tcW w:w="2065" w:type="dxa"/>
            <w:vAlign w:val="center"/>
          </w:tcPr>
          <w:p w14:paraId="54210957"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127022E7"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48B787D1" w14:textId="77777777">
        <w:trPr>
          <w:gridAfter w:val="1"/>
          <w:wAfter w:w="7" w:type="dxa"/>
          <w:trHeight w:val="315"/>
          <w:jc w:val="center"/>
        </w:trPr>
        <w:tc>
          <w:tcPr>
            <w:tcW w:w="684" w:type="dxa"/>
            <w:vAlign w:val="center"/>
          </w:tcPr>
          <w:p w14:paraId="2473DC79" w14:textId="77777777" w:rsidR="00085789" w:rsidRDefault="00000000">
            <w:pPr>
              <w:spacing w:before="20" w:after="20" w:line="240" w:lineRule="auto"/>
              <w:jc w:val="center"/>
              <w:rPr>
                <w:bCs/>
                <w:sz w:val="24"/>
                <w:szCs w:val="24"/>
              </w:rPr>
            </w:pPr>
            <w:r>
              <w:rPr>
                <w:bCs/>
                <w:sz w:val="24"/>
                <w:szCs w:val="24"/>
              </w:rPr>
              <w:t>11</w:t>
            </w:r>
          </w:p>
        </w:tc>
        <w:tc>
          <w:tcPr>
            <w:tcW w:w="1940" w:type="dxa"/>
            <w:vAlign w:val="center"/>
          </w:tcPr>
          <w:p w14:paraId="0BDDE6E7" w14:textId="77777777" w:rsidR="00085789" w:rsidRDefault="00000000">
            <w:pPr>
              <w:spacing w:before="20" w:after="20" w:line="240" w:lineRule="auto"/>
              <w:rPr>
                <w:sz w:val="24"/>
                <w:szCs w:val="24"/>
              </w:rPr>
            </w:pPr>
            <w:r>
              <w:rPr>
                <w:sz w:val="24"/>
                <w:szCs w:val="24"/>
              </w:rPr>
              <w:t>Hồ Kẻ Gỗ</w:t>
            </w:r>
          </w:p>
        </w:tc>
        <w:tc>
          <w:tcPr>
            <w:tcW w:w="2630" w:type="dxa"/>
            <w:vAlign w:val="center"/>
          </w:tcPr>
          <w:p w14:paraId="5AEFD055" w14:textId="77777777" w:rsidR="00085789" w:rsidRDefault="00000000">
            <w:pPr>
              <w:spacing w:before="20" w:after="20" w:line="240" w:lineRule="auto"/>
              <w:jc w:val="both"/>
              <w:rPr>
                <w:bCs/>
                <w:sz w:val="24"/>
                <w:szCs w:val="24"/>
              </w:rPr>
            </w:pPr>
            <w:r>
              <w:rPr>
                <w:bCs/>
                <w:sz w:val="24"/>
                <w:szCs w:val="24"/>
              </w:rPr>
              <w:t>Xã Cẩm Mỹ (nay là xã Cẩm Duệ)</w:t>
            </w:r>
          </w:p>
        </w:tc>
        <w:tc>
          <w:tcPr>
            <w:tcW w:w="2065" w:type="dxa"/>
            <w:vAlign w:val="center"/>
          </w:tcPr>
          <w:p w14:paraId="3D18315C"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642A6026"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7C65D56E" w14:textId="77777777">
        <w:trPr>
          <w:gridAfter w:val="1"/>
          <w:wAfter w:w="7" w:type="dxa"/>
          <w:trHeight w:val="315"/>
          <w:jc w:val="center"/>
        </w:trPr>
        <w:tc>
          <w:tcPr>
            <w:tcW w:w="684" w:type="dxa"/>
            <w:vAlign w:val="center"/>
          </w:tcPr>
          <w:p w14:paraId="43E239FD" w14:textId="77777777" w:rsidR="00085789" w:rsidRDefault="00000000">
            <w:pPr>
              <w:spacing w:before="20" w:after="20" w:line="240" w:lineRule="auto"/>
              <w:jc w:val="center"/>
              <w:rPr>
                <w:bCs/>
                <w:sz w:val="24"/>
                <w:szCs w:val="24"/>
              </w:rPr>
            </w:pPr>
            <w:r>
              <w:rPr>
                <w:bCs/>
                <w:sz w:val="24"/>
                <w:szCs w:val="24"/>
              </w:rPr>
              <w:t>12</w:t>
            </w:r>
          </w:p>
        </w:tc>
        <w:tc>
          <w:tcPr>
            <w:tcW w:w="1940" w:type="dxa"/>
            <w:vAlign w:val="center"/>
          </w:tcPr>
          <w:p w14:paraId="58D76950" w14:textId="77777777" w:rsidR="00085789" w:rsidRDefault="00000000">
            <w:pPr>
              <w:spacing w:before="20" w:after="20" w:line="240" w:lineRule="auto"/>
              <w:rPr>
                <w:sz w:val="24"/>
                <w:szCs w:val="24"/>
              </w:rPr>
            </w:pPr>
            <w:r>
              <w:rPr>
                <w:sz w:val="24"/>
                <w:szCs w:val="24"/>
              </w:rPr>
              <w:t>Hồ Bộc Nguyên</w:t>
            </w:r>
          </w:p>
        </w:tc>
        <w:tc>
          <w:tcPr>
            <w:tcW w:w="2630" w:type="dxa"/>
            <w:vAlign w:val="center"/>
          </w:tcPr>
          <w:p w14:paraId="5AF00A10" w14:textId="77777777" w:rsidR="00085789" w:rsidRDefault="00000000">
            <w:pPr>
              <w:spacing w:before="20" w:after="20" w:line="240" w:lineRule="auto"/>
              <w:jc w:val="both"/>
              <w:rPr>
                <w:bCs/>
                <w:sz w:val="24"/>
                <w:szCs w:val="24"/>
              </w:rPr>
            </w:pPr>
            <w:r>
              <w:rPr>
                <w:bCs/>
                <w:spacing w:val="-4"/>
                <w:sz w:val="24"/>
                <w:szCs w:val="24"/>
              </w:rPr>
              <w:t>Xã Cẩm Thạch (nay là xã Cẩm Duệ)</w:t>
            </w:r>
          </w:p>
        </w:tc>
        <w:tc>
          <w:tcPr>
            <w:tcW w:w="2065" w:type="dxa"/>
            <w:vAlign w:val="center"/>
          </w:tcPr>
          <w:p w14:paraId="45BEE626"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47900D95"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3B507252" w14:textId="77777777">
        <w:trPr>
          <w:gridAfter w:val="1"/>
          <w:wAfter w:w="7" w:type="dxa"/>
          <w:trHeight w:val="315"/>
          <w:jc w:val="center"/>
        </w:trPr>
        <w:tc>
          <w:tcPr>
            <w:tcW w:w="684" w:type="dxa"/>
            <w:vAlign w:val="center"/>
          </w:tcPr>
          <w:p w14:paraId="69B9E807" w14:textId="77777777" w:rsidR="00085789" w:rsidRDefault="00000000">
            <w:pPr>
              <w:spacing w:before="20" w:after="20" w:line="240" w:lineRule="auto"/>
              <w:jc w:val="center"/>
              <w:rPr>
                <w:bCs/>
                <w:sz w:val="24"/>
                <w:szCs w:val="24"/>
              </w:rPr>
            </w:pPr>
            <w:r>
              <w:rPr>
                <w:bCs/>
                <w:sz w:val="24"/>
                <w:szCs w:val="24"/>
              </w:rPr>
              <w:t>13</w:t>
            </w:r>
          </w:p>
        </w:tc>
        <w:tc>
          <w:tcPr>
            <w:tcW w:w="1940" w:type="dxa"/>
            <w:vAlign w:val="center"/>
          </w:tcPr>
          <w:p w14:paraId="1C07332E" w14:textId="77777777" w:rsidR="00085789" w:rsidRDefault="00000000">
            <w:pPr>
              <w:spacing w:before="20" w:after="20" w:line="240" w:lineRule="auto"/>
              <w:rPr>
                <w:sz w:val="24"/>
                <w:szCs w:val="24"/>
              </w:rPr>
            </w:pPr>
            <w:r>
              <w:rPr>
                <w:sz w:val="24"/>
                <w:szCs w:val="24"/>
              </w:rPr>
              <w:t>Đập Đá Hàn</w:t>
            </w:r>
          </w:p>
        </w:tc>
        <w:tc>
          <w:tcPr>
            <w:tcW w:w="2630" w:type="dxa"/>
            <w:vAlign w:val="center"/>
          </w:tcPr>
          <w:p w14:paraId="5B432EFF" w14:textId="77777777" w:rsidR="00085789" w:rsidRDefault="00000000">
            <w:pPr>
              <w:spacing w:before="20" w:after="20" w:line="240" w:lineRule="auto"/>
              <w:jc w:val="both"/>
              <w:rPr>
                <w:bCs/>
                <w:sz w:val="24"/>
                <w:szCs w:val="24"/>
              </w:rPr>
            </w:pPr>
            <w:r>
              <w:rPr>
                <w:bCs/>
                <w:sz w:val="24"/>
                <w:szCs w:val="24"/>
              </w:rPr>
              <w:t>Xã Cẩm Quan (nay là xã Cẩm Xuyên)</w:t>
            </w:r>
          </w:p>
        </w:tc>
        <w:tc>
          <w:tcPr>
            <w:tcW w:w="2065" w:type="dxa"/>
            <w:vAlign w:val="center"/>
          </w:tcPr>
          <w:p w14:paraId="3B6ECAD2"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2467C07E"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11A2976E" w14:textId="77777777">
        <w:trPr>
          <w:gridAfter w:val="1"/>
          <w:wAfter w:w="7" w:type="dxa"/>
          <w:trHeight w:val="315"/>
          <w:jc w:val="center"/>
        </w:trPr>
        <w:tc>
          <w:tcPr>
            <w:tcW w:w="684" w:type="dxa"/>
            <w:vAlign w:val="center"/>
          </w:tcPr>
          <w:p w14:paraId="183E97BF" w14:textId="77777777" w:rsidR="00085789" w:rsidRDefault="00000000">
            <w:pPr>
              <w:spacing w:before="20" w:after="20" w:line="240" w:lineRule="auto"/>
              <w:jc w:val="center"/>
              <w:rPr>
                <w:bCs/>
                <w:sz w:val="24"/>
                <w:szCs w:val="24"/>
              </w:rPr>
            </w:pPr>
            <w:r>
              <w:rPr>
                <w:bCs/>
                <w:sz w:val="24"/>
                <w:szCs w:val="24"/>
              </w:rPr>
              <w:t>14</w:t>
            </w:r>
          </w:p>
        </w:tc>
        <w:tc>
          <w:tcPr>
            <w:tcW w:w="1940" w:type="dxa"/>
            <w:vAlign w:val="center"/>
          </w:tcPr>
          <w:p w14:paraId="345039B4" w14:textId="77777777" w:rsidR="00085789" w:rsidRDefault="00000000">
            <w:pPr>
              <w:spacing w:before="20" w:after="20" w:line="240" w:lineRule="auto"/>
              <w:rPr>
                <w:sz w:val="24"/>
                <w:szCs w:val="24"/>
              </w:rPr>
            </w:pPr>
            <w:r>
              <w:rPr>
                <w:sz w:val="24"/>
                <w:szCs w:val="24"/>
              </w:rPr>
              <w:t>Hồ Sông Rác</w:t>
            </w:r>
          </w:p>
        </w:tc>
        <w:tc>
          <w:tcPr>
            <w:tcW w:w="2630" w:type="dxa"/>
            <w:vAlign w:val="center"/>
          </w:tcPr>
          <w:p w14:paraId="04C27487" w14:textId="77777777" w:rsidR="00085789" w:rsidRDefault="00000000">
            <w:pPr>
              <w:spacing w:before="20" w:after="20" w:line="240" w:lineRule="auto"/>
              <w:jc w:val="both"/>
              <w:rPr>
                <w:bCs/>
                <w:sz w:val="24"/>
                <w:szCs w:val="24"/>
              </w:rPr>
            </w:pPr>
            <w:r>
              <w:rPr>
                <w:bCs/>
                <w:sz w:val="24"/>
                <w:szCs w:val="24"/>
              </w:rPr>
              <w:t xml:space="preserve">Xã Cẩm Lạc </w:t>
            </w:r>
          </w:p>
        </w:tc>
        <w:tc>
          <w:tcPr>
            <w:tcW w:w="2065" w:type="dxa"/>
            <w:vAlign w:val="center"/>
          </w:tcPr>
          <w:p w14:paraId="32FD131F"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31D348F4"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54F7D073" w14:textId="77777777">
        <w:trPr>
          <w:gridAfter w:val="1"/>
          <w:wAfter w:w="7" w:type="dxa"/>
          <w:trHeight w:val="315"/>
          <w:jc w:val="center"/>
        </w:trPr>
        <w:tc>
          <w:tcPr>
            <w:tcW w:w="684" w:type="dxa"/>
            <w:vAlign w:val="center"/>
          </w:tcPr>
          <w:p w14:paraId="259801D2" w14:textId="77777777" w:rsidR="00085789" w:rsidRDefault="00000000">
            <w:pPr>
              <w:spacing w:before="20" w:after="20" w:line="240" w:lineRule="auto"/>
              <w:jc w:val="center"/>
              <w:rPr>
                <w:bCs/>
                <w:sz w:val="24"/>
                <w:szCs w:val="24"/>
              </w:rPr>
            </w:pPr>
            <w:r>
              <w:rPr>
                <w:bCs/>
                <w:sz w:val="24"/>
                <w:szCs w:val="24"/>
              </w:rPr>
              <w:t>15</w:t>
            </w:r>
          </w:p>
        </w:tc>
        <w:tc>
          <w:tcPr>
            <w:tcW w:w="1940" w:type="dxa"/>
            <w:vAlign w:val="center"/>
          </w:tcPr>
          <w:p w14:paraId="538AAB3B" w14:textId="77777777" w:rsidR="00085789" w:rsidRDefault="00000000">
            <w:pPr>
              <w:spacing w:before="20" w:after="20" w:line="240" w:lineRule="auto"/>
              <w:rPr>
                <w:sz w:val="24"/>
                <w:szCs w:val="24"/>
              </w:rPr>
            </w:pPr>
            <w:r>
              <w:rPr>
                <w:sz w:val="24"/>
                <w:szCs w:val="24"/>
              </w:rPr>
              <w:t>Hồ Mặc Khê</w:t>
            </w:r>
          </w:p>
        </w:tc>
        <w:tc>
          <w:tcPr>
            <w:tcW w:w="2630" w:type="dxa"/>
            <w:vAlign w:val="center"/>
          </w:tcPr>
          <w:p w14:paraId="09D7DD64" w14:textId="77777777" w:rsidR="00085789" w:rsidRDefault="00000000">
            <w:pPr>
              <w:spacing w:before="20" w:after="20" w:line="240" w:lineRule="auto"/>
              <w:jc w:val="both"/>
              <w:rPr>
                <w:bCs/>
                <w:sz w:val="24"/>
                <w:szCs w:val="24"/>
              </w:rPr>
            </w:pPr>
            <w:r>
              <w:rPr>
                <w:bCs/>
                <w:spacing w:val="-4"/>
                <w:sz w:val="24"/>
                <w:szCs w:val="24"/>
              </w:rPr>
              <w:t>Xã Kỳ Giang (nay là xã Kỳ Anh)</w:t>
            </w:r>
          </w:p>
        </w:tc>
        <w:tc>
          <w:tcPr>
            <w:tcW w:w="2065" w:type="dxa"/>
            <w:vAlign w:val="center"/>
          </w:tcPr>
          <w:p w14:paraId="3954E878"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096724B4"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60EB5E0D" w14:textId="77777777">
        <w:trPr>
          <w:gridAfter w:val="1"/>
          <w:wAfter w:w="7" w:type="dxa"/>
          <w:trHeight w:val="315"/>
          <w:jc w:val="center"/>
        </w:trPr>
        <w:tc>
          <w:tcPr>
            <w:tcW w:w="684" w:type="dxa"/>
            <w:vAlign w:val="center"/>
          </w:tcPr>
          <w:p w14:paraId="4204BB6C" w14:textId="77777777" w:rsidR="00085789" w:rsidRDefault="00000000">
            <w:pPr>
              <w:spacing w:before="20" w:after="20" w:line="240" w:lineRule="auto"/>
              <w:jc w:val="center"/>
              <w:rPr>
                <w:bCs/>
                <w:sz w:val="24"/>
                <w:szCs w:val="24"/>
              </w:rPr>
            </w:pPr>
            <w:r>
              <w:rPr>
                <w:bCs/>
                <w:sz w:val="24"/>
                <w:szCs w:val="24"/>
              </w:rPr>
              <w:t>16</w:t>
            </w:r>
          </w:p>
        </w:tc>
        <w:tc>
          <w:tcPr>
            <w:tcW w:w="1940" w:type="dxa"/>
            <w:vAlign w:val="center"/>
          </w:tcPr>
          <w:p w14:paraId="4A96EA70" w14:textId="77777777" w:rsidR="00085789" w:rsidRDefault="00000000">
            <w:pPr>
              <w:spacing w:before="20" w:after="20" w:line="240" w:lineRule="auto"/>
              <w:rPr>
                <w:sz w:val="24"/>
                <w:szCs w:val="24"/>
              </w:rPr>
            </w:pPr>
            <w:r>
              <w:rPr>
                <w:sz w:val="24"/>
                <w:szCs w:val="24"/>
              </w:rPr>
              <w:t>Hồ Thượng Sông Trí</w:t>
            </w:r>
          </w:p>
        </w:tc>
        <w:tc>
          <w:tcPr>
            <w:tcW w:w="2630" w:type="dxa"/>
            <w:vAlign w:val="center"/>
          </w:tcPr>
          <w:p w14:paraId="1AAC9A1D" w14:textId="77777777" w:rsidR="00085789" w:rsidRDefault="00000000">
            <w:pPr>
              <w:spacing w:before="20" w:after="20" w:line="240" w:lineRule="auto"/>
              <w:jc w:val="both"/>
              <w:rPr>
                <w:bCs/>
                <w:sz w:val="24"/>
                <w:szCs w:val="24"/>
              </w:rPr>
            </w:pPr>
            <w:r>
              <w:rPr>
                <w:bCs/>
                <w:sz w:val="24"/>
                <w:szCs w:val="24"/>
              </w:rPr>
              <w:t xml:space="preserve">Xã Kỳ Hoa </w:t>
            </w:r>
          </w:p>
        </w:tc>
        <w:tc>
          <w:tcPr>
            <w:tcW w:w="2065" w:type="dxa"/>
            <w:vAlign w:val="center"/>
          </w:tcPr>
          <w:p w14:paraId="6AA112B0"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4056E711"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43CFCC83" w14:textId="77777777">
        <w:trPr>
          <w:gridAfter w:val="1"/>
          <w:wAfter w:w="7" w:type="dxa"/>
          <w:trHeight w:val="315"/>
          <w:jc w:val="center"/>
        </w:trPr>
        <w:tc>
          <w:tcPr>
            <w:tcW w:w="684" w:type="dxa"/>
            <w:vAlign w:val="center"/>
          </w:tcPr>
          <w:p w14:paraId="4084019F" w14:textId="77777777" w:rsidR="00085789" w:rsidRDefault="00000000">
            <w:pPr>
              <w:spacing w:before="20" w:after="20" w:line="240" w:lineRule="auto"/>
              <w:jc w:val="center"/>
              <w:rPr>
                <w:bCs/>
                <w:sz w:val="24"/>
                <w:szCs w:val="24"/>
              </w:rPr>
            </w:pPr>
            <w:r>
              <w:rPr>
                <w:bCs/>
                <w:sz w:val="24"/>
                <w:szCs w:val="24"/>
              </w:rPr>
              <w:t>17</w:t>
            </w:r>
          </w:p>
        </w:tc>
        <w:tc>
          <w:tcPr>
            <w:tcW w:w="1940" w:type="dxa"/>
            <w:vAlign w:val="center"/>
          </w:tcPr>
          <w:p w14:paraId="233F15FE" w14:textId="77777777" w:rsidR="00085789" w:rsidRDefault="00000000">
            <w:pPr>
              <w:spacing w:before="20" w:after="20" w:line="240" w:lineRule="auto"/>
              <w:rPr>
                <w:sz w:val="24"/>
                <w:szCs w:val="24"/>
              </w:rPr>
            </w:pPr>
            <w:r>
              <w:rPr>
                <w:sz w:val="24"/>
                <w:szCs w:val="24"/>
              </w:rPr>
              <w:t>Hồ Kim Sơn</w:t>
            </w:r>
          </w:p>
        </w:tc>
        <w:tc>
          <w:tcPr>
            <w:tcW w:w="2630" w:type="dxa"/>
            <w:vAlign w:val="center"/>
          </w:tcPr>
          <w:p w14:paraId="463B73F6" w14:textId="77777777" w:rsidR="00085789" w:rsidRDefault="00000000">
            <w:pPr>
              <w:spacing w:before="20" w:after="20" w:line="240" w:lineRule="auto"/>
              <w:jc w:val="both"/>
              <w:rPr>
                <w:bCs/>
                <w:sz w:val="24"/>
                <w:szCs w:val="24"/>
              </w:rPr>
            </w:pPr>
            <w:r>
              <w:rPr>
                <w:bCs/>
                <w:sz w:val="24"/>
                <w:szCs w:val="24"/>
              </w:rPr>
              <w:t xml:space="preserve">Xã Kỳ Hoa </w:t>
            </w:r>
          </w:p>
        </w:tc>
        <w:tc>
          <w:tcPr>
            <w:tcW w:w="2065" w:type="dxa"/>
            <w:vAlign w:val="center"/>
          </w:tcPr>
          <w:p w14:paraId="71DC712A"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30EE5F6E"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507BAAEF" w14:textId="77777777">
        <w:trPr>
          <w:gridAfter w:val="1"/>
          <w:wAfter w:w="7" w:type="dxa"/>
          <w:trHeight w:val="315"/>
          <w:jc w:val="center"/>
        </w:trPr>
        <w:tc>
          <w:tcPr>
            <w:tcW w:w="684" w:type="dxa"/>
            <w:vAlign w:val="center"/>
          </w:tcPr>
          <w:p w14:paraId="15E5975B" w14:textId="77777777" w:rsidR="00085789" w:rsidRDefault="00000000">
            <w:pPr>
              <w:spacing w:before="20" w:after="20" w:line="240" w:lineRule="auto"/>
              <w:jc w:val="center"/>
              <w:rPr>
                <w:bCs/>
                <w:sz w:val="24"/>
                <w:szCs w:val="24"/>
              </w:rPr>
            </w:pPr>
            <w:r>
              <w:rPr>
                <w:bCs/>
                <w:sz w:val="24"/>
                <w:szCs w:val="24"/>
              </w:rPr>
              <w:t>18</w:t>
            </w:r>
          </w:p>
        </w:tc>
        <w:tc>
          <w:tcPr>
            <w:tcW w:w="1940" w:type="dxa"/>
            <w:vAlign w:val="center"/>
          </w:tcPr>
          <w:p w14:paraId="23EC48C4" w14:textId="77777777" w:rsidR="00085789" w:rsidRDefault="00000000">
            <w:pPr>
              <w:spacing w:before="20" w:after="20" w:line="240" w:lineRule="auto"/>
              <w:rPr>
                <w:sz w:val="24"/>
                <w:szCs w:val="24"/>
              </w:rPr>
            </w:pPr>
            <w:r>
              <w:rPr>
                <w:sz w:val="24"/>
                <w:szCs w:val="24"/>
              </w:rPr>
              <w:t>Hồ Tàu Voi</w:t>
            </w:r>
          </w:p>
        </w:tc>
        <w:tc>
          <w:tcPr>
            <w:tcW w:w="2630" w:type="dxa"/>
            <w:vAlign w:val="center"/>
          </w:tcPr>
          <w:p w14:paraId="3AB03E5A" w14:textId="77777777" w:rsidR="00085789" w:rsidRDefault="00000000">
            <w:pPr>
              <w:spacing w:before="20" w:after="20" w:line="240" w:lineRule="auto"/>
              <w:jc w:val="both"/>
              <w:rPr>
                <w:bCs/>
                <w:sz w:val="24"/>
                <w:szCs w:val="24"/>
              </w:rPr>
            </w:pPr>
            <w:r>
              <w:rPr>
                <w:bCs/>
                <w:spacing w:val="-4"/>
                <w:sz w:val="24"/>
                <w:szCs w:val="24"/>
              </w:rPr>
              <w:t>Phường Kỳ Thịnh (nay là phường Vũng Áng)</w:t>
            </w:r>
          </w:p>
        </w:tc>
        <w:tc>
          <w:tcPr>
            <w:tcW w:w="2065" w:type="dxa"/>
            <w:vAlign w:val="center"/>
          </w:tcPr>
          <w:p w14:paraId="1654D08C" w14:textId="77777777" w:rsidR="00085789" w:rsidRDefault="00000000">
            <w:pPr>
              <w:spacing w:before="20" w:after="20" w:line="240" w:lineRule="auto"/>
              <w:jc w:val="center"/>
              <w:rPr>
                <w:noProof/>
                <w:sz w:val="24"/>
                <w:szCs w:val="24"/>
              </w:rPr>
            </w:pPr>
            <w:r>
              <w:rPr>
                <w:noProof/>
                <w:sz w:val="24"/>
                <w:szCs w:val="24"/>
              </w:rPr>
              <w:t>Cột A</w:t>
            </w:r>
            <w:r>
              <w:rPr>
                <w:noProof/>
                <w:sz w:val="24"/>
                <w:szCs w:val="24"/>
                <w:vertAlign w:val="subscript"/>
              </w:rPr>
              <w:t>2</w:t>
            </w:r>
            <w:r>
              <w:rPr>
                <w:noProof/>
                <w:sz w:val="24"/>
                <w:szCs w:val="24"/>
              </w:rPr>
              <w:t>, QCVN 08-MT:2015/BTNMT</w:t>
            </w:r>
          </w:p>
        </w:tc>
        <w:tc>
          <w:tcPr>
            <w:tcW w:w="1913" w:type="dxa"/>
            <w:vAlign w:val="center"/>
          </w:tcPr>
          <w:p w14:paraId="4ED15A22"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1C0E6EEF" w14:textId="77777777">
        <w:trPr>
          <w:gridAfter w:val="1"/>
          <w:wAfter w:w="7" w:type="dxa"/>
          <w:trHeight w:val="315"/>
          <w:jc w:val="center"/>
        </w:trPr>
        <w:tc>
          <w:tcPr>
            <w:tcW w:w="684" w:type="dxa"/>
            <w:vAlign w:val="center"/>
          </w:tcPr>
          <w:p w14:paraId="335971D6" w14:textId="77777777" w:rsidR="00085789" w:rsidRDefault="00000000">
            <w:pPr>
              <w:spacing w:before="20" w:after="20" w:line="240" w:lineRule="auto"/>
              <w:jc w:val="center"/>
              <w:rPr>
                <w:bCs/>
                <w:sz w:val="24"/>
                <w:szCs w:val="24"/>
              </w:rPr>
            </w:pPr>
            <w:r>
              <w:rPr>
                <w:bCs/>
                <w:sz w:val="24"/>
                <w:szCs w:val="24"/>
              </w:rPr>
              <w:t>19</w:t>
            </w:r>
          </w:p>
        </w:tc>
        <w:tc>
          <w:tcPr>
            <w:tcW w:w="1940" w:type="dxa"/>
            <w:vAlign w:val="center"/>
          </w:tcPr>
          <w:p w14:paraId="0970DE83" w14:textId="77777777" w:rsidR="00085789" w:rsidRDefault="00000000">
            <w:pPr>
              <w:spacing w:before="20" w:after="20" w:line="240" w:lineRule="auto"/>
              <w:rPr>
                <w:sz w:val="24"/>
                <w:szCs w:val="24"/>
              </w:rPr>
            </w:pPr>
            <w:r>
              <w:rPr>
                <w:sz w:val="24"/>
                <w:szCs w:val="24"/>
              </w:rPr>
              <w:t>Đập Nhà Đường</w:t>
            </w:r>
          </w:p>
        </w:tc>
        <w:tc>
          <w:tcPr>
            <w:tcW w:w="2630" w:type="dxa"/>
            <w:vAlign w:val="center"/>
          </w:tcPr>
          <w:p w14:paraId="4A14EACE" w14:textId="77777777" w:rsidR="00085789" w:rsidRDefault="00000000">
            <w:pPr>
              <w:spacing w:before="20" w:after="20" w:line="240" w:lineRule="auto"/>
              <w:jc w:val="both"/>
              <w:rPr>
                <w:bCs/>
                <w:sz w:val="24"/>
                <w:szCs w:val="24"/>
              </w:rPr>
            </w:pPr>
            <w:r>
              <w:rPr>
                <w:bCs/>
                <w:sz w:val="24"/>
                <w:szCs w:val="24"/>
              </w:rPr>
              <w:t>Xã Thiên Lộc (nay là xã Can Lộc)</w:t>
            </w:r>
          </w:p>
        </w:tc>
        <w:tc>
          <w:tcPr>
            <w:tcW w:w="2065" w:type="dxa"/>
            <w:vAlign w:val="center"/>
          </w:tcPr>
          <w:p w14:paraId="1F80C8EA" w14:textId="77777777" w:rsidR="00085789" w:rsidRDefault="00000000">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2AA877F3" w14:textId="77777777" w:rsidR="00085789" w:rsidRDefault="00000000">
            <w:pPr>
              <w:spacing w:before="20" w:after="20" w:line="240" w:lineRule="auto"/>
              <w:jc w:val="center"/>
              <w:rPr>
                <w:noProof/>
                <w:sz w:val="24"/>
                <w:szCs w:val="24"/>
              </w:rPr>
            </w:pPr>
            <w:r>
              <w:rPr>
                <w:noProof/>
                <w:sz w:val="24"/>
                <w:szCs w:val="24"/>
              </w:rPr>
              <w:t>QCVN 08:2023/BTNMT</w:t>
            </w:r>
          </w:p>
        </w:tc>
      </w:tr>
      <w:tr w:rsidR="00085789" w14:paraId="3B2C6AE8" w14:textId="77777777">
        <w:trPr>
          <w:gridAfter w:val="1"/>
          <w:wAfter w:w="7" w:type="dxa"/>
          <w:trHeight w:val="315"/>
          <w:jc w:val="center"/>
        </w:trPr>
        <w:tc>
          <w:tcPr>
            <w:tcW w:w="684" w:type="dxa"/>
            <w:vAlign w:val="center"/>
          </w:tcPr>
          <w:p w14:paraId="70C28F81" w14:textId="77777777" w:rsidR="00085789" w:rsidRDefault="00000000">
            <w:pPr>
              <w:spacing w:before="20" w:after="20" w:line="240" w:lineRule="auto"/>
              <w:jc w:val="center"/>
              <w:rPr>
                <w:bCs/>
                <w:sz w:val="24"/>
                <w:szCs w:val="24"/>
              </w:rPr>
            </w:pPr>
            <w:r>
              <w:rPr>
                <w:bCs/>
                <w:sz w:val="24"/>
                <w:szCs w:val="24"/>
              </w:rPr>
              <w:t>20</w:t>
            </w:r>
          </w:p>
        </w:tc>
        <w:tc>
          <w:tcPr>
            <w:tcW w:w="1940" w:type="dxa"/>
            <w:vAlign w:val="center"/>
          </w:tcPr>
          <w:p w14:paraId="7308290B" w14:textId="77777777" w:rsidR="00085789" w:rsidRDefault="00000000">
            <w:pPr>
              <w:spacing w:before="20" w:after="20" w:line="240" w:lineRule="auto"/>
              <w:rPr>
                <w:sz w:val="24"/>
                <w:szCs w:val="24"/>
              </w:rPr>
            </w:pPr>
            <w:r>
              <w:rPr>
                <w:sz w:val="24"/>
                <w:szCs w:val="24"/>
              </w:rPr>
              <w:t>Hồ Thượng Tuy</w:t>
            </w:r>
          </w:p>
        </w:tc>
        <w:tc>
          <w:tcPr>
            <w:tcW w:w="2630" w:type="dxa"/>
            <w:vAlign w:val="center"/>
          </w:tcPr>
          <w:p w14:paraId="1B1B7B77" w14:textId="77777777" w:rsidR="00085789" w:rsidRDefault="00000000">
            <w:pPr>
              <w:spacing w:before="20" w:after="20" w:line="240" w:lineRule="auto"/>
              <w:jc w:val="both"/>
              <w:rPr>
                <w:bCs/>
                <w:sz w:val="24"/>
                <w:szCs w:val="24"/>
              </w:rPr>
            </w:pPr>
            <w:r>
              <w:rPr>
                <w:bCs/>
                <w:sz w:val="24"/>
                <w:szCs w:val="24"/>
              </w:rPr>
              <w:t>Xã Cẩm Sơn (nay là xã Cẩm Lạc)</w:t>
            </w:r>
          </w:p>
        </w:tc>
        <w:tc>
          <w:tcPr>
            <w:tcW w:w="2065" w:type="dxa"/>
            <w:vAlign w:val="center"/>
          </w:tcPr>
          <w:p w14:paraId="085C5070" w14:textId="77777777" w:rsidR="00085789" w:rsidRDefault="00000000">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588681BF" w14:textId="77777777" w:rsidR="00085789" w:rsidRDefault="00000000">
            <w:pPr>
              <w:spacing w:before="20" w:after="20" w:line="240" w:lineRule="auto"/>
              <w:jc w:val="center"/>
              <w:rPr>
                <w:sz w:val="24"/>
                <w:szCs w:val="24"/>
              </w:rPr>
            </w:pPr>
            <w:r>
              <w:rPr>
                <w:noProof/>
                <w:sz w:val="24"/>
                <w:szCs w:val="24"/>
              </w:rPr>
              <w:t>QCVN 08:2023/BTNMT</w:t>
            </w:r>
          </w:p>
        </w:tc>
      </w:tr>
      <w:tr w:rsidR="00085789" w14:paraId="2FBA9E69" w14:textId="77777777">
        <w:trPr>
          <w:gridAfter w:val="1"/>
          <w:wAfter w:w="7" w:type="dxa"/>
          <w:trHeight w:val="315"/>
          <w:jc w:val="center"/>
        </w:trPr>
        <w:tc>
          <w:tcPr>
            <w:tcW w:w="684" w:type="dxa"/>
            <w:vAlign w:val="center"/>
          </w:tcPr>
          <w:p w14:paraId="320E1D0D" w14:textId="77777777" w:rsidR="00085789" w:rsidRDefault="00000000">
            <w:pPr>
              <w:spacing w:before="20" w:after="20" w:line="240" w:lineRule="auto"/>
              <w:jc w:val="center"/>
              <w:rPr>
                <w:bCs/>
                <w:sz w:val="24"/>
                <w:szCs w:val="24"/>
              </w:rPr>
            </w:pPr>
            <w:r>
              <w:rPr>
                <w:bCs/>
                <w:sz w:val="24"/>
                <w:szCs w:val="24"/>
              </w:rPr>
              <w:t>21</w:t>
            </w:r>
          </w:p>
        </w:tc>
        <w:tc>
          <w:tcPr>
            <w:tcW w:w="1940" w:type="dxa"/>
            <w:vAlign w:val="center"/>
          </w:tcPr>
          <w:p w14:paraId="627D3C3C" w14:textId="77777777" w:rsidR="00085789" w:rsidRDefault="00000000">
            <w:pPr>
              <w:spacing w:before="20" w:after="20" w:line="240" w:lineRule="auto"/>
              <w:rPr>
                <w:sz w:val="24"/>
                <w:szCs w:val="24"/>
              </w:rPr>
            </w:pPr>
            <w:r>
              <w:rPr>
                <w:sz w:val="24"/>
                <w:szCs w:val="24"/>
              </w:rPr>
              <w:t>Hồ Đá Cát</w:t>
            </w:r>
          </w:p>
        </w:tc>
        <w:tc>
          <w:tcPr>
            <w:tcW w:w="2630" w:type="dxa"/>
            <w:vAlign w:val="center"/>
          </w:tcPr>
          <w:p w14:paraId="797CB2B1" w14:textId="77777777" w:rsidR="00085789" w:rsidRDefault="00000000">
            <w:pPr>
              <w:spacing w:before="20" w:after="20" w:line="240" w:lineRule="auto"/>
              <w:jc w:val="both"/>
              <w:rPr>
                <w:bCs/>
                <w:spacing w:val="-6"/>
                <w:sz w:val="24"/>
                <w:szCs w:val="24"/>
              </w:rPr>
            </w:pPr>
            <w:r>
              <w:rPr>
                <w:bCs/>
                <w:spacing w:val="-6"/>
                <w:sz w:val="24"/>
                <w:szCs w:val="24"/>
              </w:rPr>
              <w:t>Xã Kỳ Tân (nay là xã Kỳ Hoa)</w:t>
            </w:r>
          </w:p>
        </w:tc>
        <w:tc>
          <w:tcPr>
            <w:tcW w:w="2065" w:type="dxa"/>
            <w:vAlign w:val="center"/>
          </w:tcPr>
          <w:p w14:paraId="3FE03BE4" w14:textId="77777777" w:rsidR="00085789" w:rsidRDefault="00000000">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186682F5" w14:textId="77777777" w:rsidR="00085789" w:rsidRDefault="00000000">
            <w:pPr>
              <w:spacing w:before="20" w:after="20" w:line="240" w:lineRule="auto"/>
              <w:jc w:val="center"/>
              <w:rPr>
                <w:sz w:val="24"/>
                <w:szCs w:val="24"/>
              </w:rPr>
            </w:pPr>
            <w:r>
              <w:rPr>
                <w:noProof/>
                <w:sz w:val="24"/>
                <w:szCs w:val="24"/>
              </w:rPr>
              <w:t>QCVN 08:2023/BTNMT</w:t>
            </w:r>
          </w:p>
        </w:tc>
      </w:tr>
      <w:tr w:rsidR="00085789" w14:paraId="01073BD3" w14:textId="77777777">
        <w:trPr>
          <w:gridAfter w:val="1"/>
          <w:wAfter w:w="7" w:type="dxa"/>
          <w:trHeight w:val="315"/>
          <w:jc w:val="center"/>
        </w:trPr>
        <w:tc>
          <w:tcPr>
            <w:tcW w:w="684" w:type="dxa"/>
            <w:vAlign w:val="center"/>
          </w:tcPr>
          <w:p w14:paraId="255BFED5" w14:textId="77777777" w:rsidR="00085789" w:rsidRDefault="00000000">
            <w:pPr>
              <w:spacing w:before="20" w:after="20" w:line="240" w:lineRule="auto"/>
              <w:jc w:val="center"/>
              <w:rPr>
                <w:bCs/>
                <w:sz w:val="24"/>
                <w:szCs w:val="24"/>
              </w:rPr>
            </w:pPr>
            <w:r>
              <w:rPr>
                <w:bCs/>
                <w:sz w:val="24"/>
                <w:szCs w:val="24"/>
              </w:rPr>
              <w:t>22</w:t>
            </w:r>
          </w:p>
        </w:tc>
        <w:tc>
          <w:tcPr>
            <w:tcW w:w="1940" w:type="dxa"/>
            <w:vAlign w:val="center"/>
          </w:tcPr>
          <w:p w14:paraId="554BFF4E" w14:textId="77777777" w:rsidR="00085789" w:rsidRDefault="00000000">
            <w:pPr>
              <w:spacing w:before="20" w:after="20" w:line="240" w:lineRule="auto"/>
              <w:rPr>
                <w:sz w:val="24"/>
                <w:szCs w:val="24"/>
              </w:rPr>
            </w:pPr>
            <w:r>
              <w:rPr>
                <w:sz w:val="24"/>
                <w:szCs w:val="24"/>
              </w:rPr>
              <w:t>Hồ Bồng Sơn</w:t>
            </w:r>
          </w:p>
        </w:tc>
        <w:tc>
          <w:tcPr>
            <w:tcW w:w="2630" w:type="dxa"/>
            <w:vAlign w:val="center"/>
          </w:tcPr>
          <w:p w14:paraId="5F8E2994" w14:textId="77777777" w:rsidR="00085789" w:rsidRDefault="00000000">
            <w:pPr>
              <w:spacing w:before="20" w:after="20" w:line="240" w:lineRule="auto"/>
              <w:jc w:val="both"/>
              <w:rPr>
                <w:bCs/>
                <w:sz w:val="24"/>
                <w:szCs w:val="24"/>
              </w:rPr>
            </w:pPr>
            <w:r>
              <w:rPr>
                <w:bCs/>
                <w:sz w:val="24"/>
                <w:szCs w:val="24"/>
              </w:rPr>
              <w:t>Phường Nam Hà (nay là phường Thành Sen)</w:t>
            </w:r>
          </w:p>
        </w:tc>
        <w:tc>
          <w:tcPr>
            <w:tcW w:w="2065" w:type="dxa"/>
            <w:vAlign w:val="center"/>
          </w:tcPr>
          <w:p w14:paraId="6BDDEF3A" w14:textId="77777777" w:rsidR="00085789" w:rsidRDefault="00000000">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3C2F6374" w14:textId="77777777" w:rsidR="00085789" w:rsidRDefault="00000000">
            <w:pPr>
              <w:spacing w:before="20" w:after="20" w:line="240" w:lineRule="auto"/>
              <w:jc w:val="center"/>
              <w:rPr>
                <w:sz w:val="24"/>
                <w:szCs w:val="24"/>
              </w:rPr>
            </w:pPr>
            <w:r>
              <w:rPr>
                <w:noProof/>
                <w:sz w:val="24"/>
                <w:szCs w:val="24"/>
              </w:rPr>
              <w:t>QCVN 08:2023/BTNMT</w:t>
            </w:r>
          </w:p>
        </w:tc>
      </w:tr>
      <w:tr w:rsidR="00085789" w14:paraId="5E096729" w14:textId="77777777">
        <w:trPr>
          <w:gridAfter w:val="1"/>
          <w:wAfter w:w="7" w:type="dxa"/>
          <w:trHeight w:val="315"/>
          <w:jc w:val="center"/>
        </w:trPr>
        <w:tc>
          <w:tcPr>
            <w:tcW w:w="684" w:type="dxa"/>
            <w:vAlign w:val="center"/>
          </w:tcPr>
          <w:p w14:paraId="0D8EC999" w14:textId="77777777" w:rsidR="00085789" w:rsidRDefault="00000000">
            <w:pPr>
              <w:spacing w:before="20" w:after="20" w:line="240" w:lineRule="auto"/>
              <w:jc w:val="center"/>
              <w:rPr>
                <w:bCs/>
                <w:sz w:val="24"/>
                <w:szCs w:val="24"/>
              </w:rPr>
            </w:pPr>
            <w:r>
              <w:rPr>
                <w:bCs/>
                <w:sz w:val="24"/>
                <w:szCs w:val="24"/>
              </w:rPr>
              <w:t>23</w:t>
            </w:r>
          </w:p>
        </w:tc>
        <w:tc>
          <w:tcPr>
            <w:tcW w:w="1940" w:type="dxa"/>
            <w:vAlign w:val="center"/>
          </w:tcPr>
          <w:p w14:paraId="39D8B20C" w14:textId="77777777" w:rsidR="00085789" w:rsidRDefault="00000000">
            <w:pPr>
              <w:spacing w:before="20" w:after="20" w:line="240" w:lineRule="auto"/>
              <w:rPr>
                <w:sz w:val="24"/>
                <w:szCs w:val="24"/>
              </w:rPr>
            </w:pPr>
            <w:r>
              <w:rPr>
                <w:sz w:val="24"/>
                <w:szCs w:val="24"/>
              </w:rPr>
              <w:t>Hồ Bình Sơn</w:t>
            </w:r>
          </w:p>
        </w:tc>
        <w:tc>
          <w:tcPr>
            <w:tcW w:w="2630" w:type="dxa"/>
            <w:vAlign w:val="center"/>
          </w:tcPr>
          <w:p w14:paraId="493355EE" w14:textId="77777777" w:rsidR="00085789" w:rsidRDefault="00000000">
            <w:pPr>
              <w:spacing w:before="20" w:after="20" w:line="240" w:lineRule="auto"/>
              <w:jc w:val="both"/>
              <w:rPr>
                <w:bCs/>
                <w:sz w:val="24"/>
                <w:szCs w:val="24"/>
              </w:rPr>
            </w:pPr>
            <w:r>
              <w:rPr>
                <w:bCs/>
                <w:sz w:val="24"/>
                <w:szCs w:val="24"/>
              </w:rPr>
              <w:t>Thị trấn Hương Khê (nay là xã Hương Khê)</w:t>
            </w:r>
          </w:p>
        </w:tc>
        <w:tc>
          <w:tcPr>
            <w:tcW w:w="2065" w:type="dxa"/>
            <w:vAlign w:val="center"/>
          </w:tcPr>
          <w:p w14:paraId="51746C44" w14:textId="77777777" w:rsidR="00085789" w:rsidRDefault="00000000">
            <w:pPr>
              <w:spacing w:before="20" w:after="20" w:line="240" w:lineRule="auto"/>
              <w:jc w:val="center"/>
              <w:rPr>
                <w:noProof/>
                <w:sz w:val="24"/>
                <w:szCs w:val="24"/>
              </w:rPr>
            </w:pPr>
            <w:r>
              <w:rPr>
                <w:noProof/>
                <w:sz w:val="24"/>
                <w:szCs w:val="24"/>
              </w:rPr>
              <w:t>Cột B</w:t>
            </w:r>
            <w:r>
              <w:rPr>
                <w:noProof/>
                <w:sz w:val="24"/>
                <w:szCs w:val="24"/>
                <w:vertAlign w:val="subscript"/>
              </w:rPr>
              <w:t>1</w:t>
            </w:r>
            <w:r>
              <w:rPr>
                <w:noProof/>
                <w:sz w:val="24"/>
                <w:szCs w:val="24"/>
              </w:rPr>
              <w:t>, QCVN 08-MT:2015/BTNMT</w:t>
            </w:r>
          </w:p>
        </w:tc>
        <w:tc>
          <w:tcPr>
            <w:tcW w:w="1913" w:type="dxa"/>
            <w:vAlign w:val="center"/>
          </w:tcPr>
          <w:p w14:paraId="7A6A609D" w14:textId="77777777" w:rsidR="00085789" w:rsidRDefault="00000000">
            <w:pPr>
              <w:spacing w:before="20" w:after="20" w:line="240" w:lineRule="auto"/>
              <w:jc w:val="center"/>
              <w:rPr>
                <w:sz w:val="24"/>
                <w:szCs w:val="24"/>
              </w:rPr>
            </w:pPr>
            <w:r>
              <w:rPr>
                <w:noProof/>
                <w:sz w:val="24"/>
                <w:szCs w:val="24"/>
              </w:rPr>
              <w:t>QCVN 08:2023/BTNMT</w:t>
            </w:r>
          </w:p>
        </w:tc>
      </w:tr>
    </w:tbl>
    <w:p w14:paraId="29C7811D" w14:textId="77777777" w:rsidR="00085789" w:rsidRDefault="00085789">
      <w:pPr>
        <w:widowControl w:val="0"/>
        <w:spacing w:before="120" w:line="240" w:lineRule="auto"/>
        <w:ind w:firstLine="709"/>
        <w:jc w:val="both"/>
        <w:rPr>
          <w:sz w:val="12"/>
          <w:szCs w:val="12"/>
        </w:rPr>
      </w:pPr>
    </w:p>
    <w:p w14:paraId="65B0FA9E" w14:textId="77777777" w:rsidR="00085789" w:rsidRDefault="00000000">
      <w:pPr>
        <w:widowControl w:val="0"/>
        <w:spacing w:before="120" w:line="240" w:lineRule="auto"/>
        <w:ind w:firstLine="709"/>
        <w:jc w:val="both"/>
        <w:rPr>
          <w:b/>
          <w:noProof/>
          <w:sz w:val="26"/>
          <w:szCs w:val="26"/>
          <w:lang w:val="pt-BR"/>
        </w:rPr>
      </w:pPr>
      <w:r>
        <w:rPr>
          <w:sz w:val="26"/>
          <w:szCs w:val="26"/>
        </w:rPr>
        <w:t xml:space="preserve">Hiện nay, nhiều hồ chứa nước trên địa bàn tỉnh ngoài việc chịu sức ép lớn từ hoạt động sản xuất nông nghiệp (tưới tiêu, chăn nuôi), sinh hoạt, sản xuất công nghiệp, còn có hoạt động NTTS. </w:t>
      </w:r>
      <w:r>
        <w:rPr>
          <w:sz w:val="26"/>
          <w:szCs w:val="26"/>
          <w:lang w:val="pt-BR"/>
        </w:rPr>
        <w:t>Các vị trí quan trắc đều là vị trí chịu ảnh hưởng nhiều bởi các hoạt động sản xuất nông nghiệp, công nghiệp, sinh hoạt và kinh doanh, dịch vụ của con người. Diễn biến ô nhiễm môi trường nước mặt các ao, hồ, đập trên địa bàn tỉnh qua từng năm như sau:</w:t>
      </w:r>
      <w:r>
        <w:rPr>
          <w:noProof/>
          <w:sz w:val="26"/>
          <w:szCs w:val="26"/>
          <w:lang w:val="pt-BR"/>
        </w:rPr>
        <w:br w:type="page"/>
      </w:r>
    </w:p>
    <w:p w14:paraId="518B6B5F" w14:textId="77777777" w:rsidR="00085789" w:rsidRDefault="00085789">
      <w:pPr>
        <w:pStyle w:val="S2"/>
        <w:rPr>
          <w:noProof/>
          <w:sz w:val="26"/>
          <w:lang w:val="pt-BR"/>
        </w:rPr>
        <w:sectPr w:rsidR="00085789">
          <w:headerReference w:type="default" r:id="rId76"/>
          <w:footerReference w:type="even" r:id="rId77"/>
          <w:footerReference w:type="default" r:id="rId78"/>
          <w:type w:val="continuous"/>
          <w:pgSz w:w="11909" w:h="16834" w:code="9"/>
          <w:pgMar w:top="1134" w:right="1134" w:bottom="1134" w:left="1418" w:header="567" w:footer="454" w:gutter="0"/>
          <w:cols w:space="720"/>
          <w:titlePg/>
          <w:docGrid w:linePitch="381"/>
        </w:sectPr>
      </w:pPr>
    </w:p>
    <w:p w14:paraId="6CA2EB88" w14:textId="77777777" w:rsidR="00085789" w:rsidRDefault="00000000">
      <w:pPr>
        <w:spacing w:before="120" w:line="340" w:lineRule="exact"/>
        <w:ind w:firstLine="720"/>
        <w:jc w:val="both"/>
        <w:rPr>
          <w:b/>
          <w:noProof/>
          <w:spacing w:val="-4"/>
          <w:sz w:val="26"/>
          <w:szCs w:val="26"/>
          <w:lang w:val="pt-BR"/>
        </w:rPr>
      </w:pPr>
      <w:r>
        <w:rPr>
          <w:b/>
          <w:noProof/>
          <w:spacing w:val="-4"/>
          <w:sz w:val="26"/>
          <w:szCs w:val="26"/>
          <w:lang w:val="pt-BR"/>
        </w:rPr>
        <w:lastRenderedPageBreak/>
        <w:t>(1) Diễn biến hàm lượng BOD</w:t>
      </w:r>
      <w:r>
        <w:rPr>
          <w:b/>
          <w:noProof/>
          <w:spacing w:val="-4"/>
          <w:sz w:val="26"/>
          <w:szCs w:val="26"/>
          <w:vertAlign w:val="subscript"/>
          <w:lang w:val="pt-BR"/>
        </w:rPr>
        <w:t>5</w:t>
      </w:r>
      <w:r>
        <w:rPr>
          <w:b/>
          <w:noProof/>
          <w:spacing w:val="-4"/>
          <w:sz w:val="26"/>
          <w:szCs w:val="26"/>
          <w:lang w:val="pt-BR"/>
        </w:rPr>
        <w:t xml:space="preserve"> từ năm 2021-Quý II/2025: </w:t>
      </w:r>
    </w:p>
    <w:p w14:paraId="4132C04F" w14:textId="77777777" w:rsidR="00085789" w:rsidRDefault="00000000">
      <w:pPr>
        <w:spacing w:before="120" w:line="240" w:lineRule="auto"/>
        <w:jc w:val="both"/>
        <w:rPr>
          <w:b/>
          <w:noProof/>
          <w:spacing w:val="-4"/>
          <w:sz w:val="26"/>
          <w:szCs w:val="26"/>
        </w:rPr>
      </w:pPr>
      <w:r>
        <w:rPr>
          <w:noProof/>
        </w:rPr>
        <w:drawing>
          <wp:inline distT="0" distB="0" distL="0" distR="0" wp14:anchorId="5F890698" wp14:editId="26CEE8D6">
            <wp:extent cx="9249410" cy="1952625"/>
            <wp:effectExtent l="0" t="0" r="8890" b="9525"/>
            <wp:docPr id="1744488332" name="Chart 1">
              <a:extLst xmlns:a="http://schemas.openxmlformats.org/drawingml/2006/main">
                <a:ext uri="{FF2B5EF4-FFF2-40B4-BE49-F238E27FC236}">
                  <a16:creationId xmlns:a16="http://schemas.microsoft.com/office/drawing/2014/main" id="{0C5B9FE4-5D44-436B-AC86-7C1644F45F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30872EF" w14:textId="77777777" w:rsidR="00085789" w:rsidRDefault="00000000">
      <w:pPr>
        <w:pStyle w:val="-bac4"/>
        <w:rPr>
          <w:i/>
        </w:rPr>
      </w:pPr>
      <w:bookmarkStart w:id="703" w:name="_Toc181861454"/>
      <w:bookmarkStart w:id="704" w:name="_Toc184097554"/>
      <w:bookmarkStart w:id="705" w:name="_Toc205915741"/>
      <w:bookmarkStart w:id="706" w:name="_Toc213597436"/>
      <w:bookmarkStart w:id="707" w:name="_Toc213600794"/>
      <w:r>
        <w:rPr>
          <w:rStyle w:val="b5Char"/>
          <w:b/>
          <w:i w:val="0"/>
          <w:color w:val="auto"/>
        </w:rPr>
        <w:t>Hình 3.41. Diễn biến hàm lượng BOD</w:t>
      </w:r>
      <w:r>
        <w:rPr>
          <w:rStyle w:val="b5Char"/>
          <w:b/>
          <w:i w:val="0"/>
          <w:color w:val="auto"/>
          <w:vertAlign w:val="subscript"/>
        </w:rPr>
        <w:t>5</w:t>
      </w:r>
      <w:r>
        <w:rPr>
          <w:rStyle w:val="b5Char"/>
          <w:b/>
          <w:i w:val="0"/>
          <w:color w:val="auto"/>
        </w:rPr>
        <w:t xml:space="preserve"> </w:t>
      </w:r>
      <w:r>
        <w:t>trong nước mặt các hồ/đập trên địa bàn tỉnh</w:t>
      </w:r>
      <w:bookmarkEnd w:id="703"/>
      <w:bookmarkEnd w:id="704"/>
      <w:bookmarkEnd w:id="705"/>
      <w:bookmarkEnd w:id="706"/>
      <w:bookmarkEnd w:id="707"/>
    </w:p>
    <w:p w14:paraId="062E2BAC"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344E07BA"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Năm 2021: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đập Nhà Đường, hồ Thượng Tuy, hồ Đá Cát, hồ Bồng Sơn, hồ Bình Sơn tại thời điểm quan trắc đang nằm trong giới hạn cho phép theo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Năm 2022: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đập Nhà Đường, hồ Đá Cát đang nằm trong giới hạn cho phép tại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tại các hồ Thượng Tuy, Bồng Sơn, Bình Sơn đều vượt giá trị giới hạn từ 1,06-1,55 lần. Năm 2023: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đập Nhà Đường, hồ thượng tuy, hồ Đá Cát đang nằm trong giới hạn cho phép tại </w:t>
      </w:r>
      <w:r>
        <w:rPr>
          <w:bCs/>
          <w:sz w:val="26"/>
          <w:szCs w:val="26"/>
        </w:rPr>
        <w:t xml:space="preserve">Mức B </w:t>
      </w:r>
      <w:r>
        <w:rPr>
          <w:noProof/>
          <w:sz w:val="26"/>
          <w:szCs w:val="26"/>
        </w:rPr>
        <w:t xml:space="preserve">QCVN 08:2023/BTNMT; riêng hồ Bồng Sơn và hồ Bình Sơn vượt lần lượt là 2,32 và 1,73 lần. Năm 2024: Chỉ có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Bồng Sơn vượt 2,26 lần; các hồ còn lại đạt quy chuẩn cho phép tại </w:t>
      </w:r>
      <w:r>
        <w:rPr>
          <w:bCs/>
          <w:sz w:val="26"/>
          <w:szCs w:val="26"/>
        </w:rPr>
        <w:t xml:space="preserve">Mức B </w:t>
      </w:r>
      <w:r>
        <w:rPr>
          <w:noProof/>
          <w:sz w:val="26"/>
          <w:szCs w:val="26"/>
        </w:rPr>
        <w:t xml:space="preserve">QCVN 08:2023/BTNMT. Quý II/2025: Chỉ có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Bồng Sơn vượt 2,08 lần; các hồ còn lại đạt quy chuẩn cho phép tại </w:t>
      </w:r>
      <w:r>
        <w:rPr>
          <w:bCs/>
          <w:sz w:val="26"/>
          <w:szCs w:val="26"/>
        </w:rPr>
        <w:t xml:space="preserve">Mức B </w:t>
      </w:r>
      <w:r>
        <w:rPr>
          <w:noProof/>
          <w:sz w:val="26"/>
          <w:szCs w:val="26"/>
        </w:rPr>
        <w:t>QCVN 08:2023/BTNMT.</w:t>
      </w:r>
    </w:p>
    <w:p w14:paraId="308B44C9" w14:textId="77777777" w:rsidR="00085789" w:rsidRDefault="00000000">
      <w:pPr>
        <w:widowControl w:val="0"/>
        <w:spacing w:before="120" w:line="240" w:lineRule="auto"/>
        <w:ind w:firstLine="709"/>
        <w:jc w:val="both"/>
        <w:rPr>
          <w:noProof/>
          <w:spacing w:val="-2"/>
          <w:sz w:val="26"/>
          <w:szCs w:val="26"/>
        </w:rPr>
      </w:pPr>
      <w:r>
        <w:rPr>
          <w:noProof/>
          <w:spacing w:val="-2"/>
          <w:sz w:val="26"/>
          <w:szCs w:val="26"/>
        </w:rPr>
        <w:t xml:space="preserve">- Các hồ chứa có chức năng cấp nước sinh hoạt: Năm 2021: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Vực Trống, hồ Khe Lang, hồ Ngàn Trươi vượt giá trị giới hạn theo </w:t>
      </w:r>
      <w:r>
        <w:rPr>
          <w:bCs/>
          <w:spacing w:val="-2"/>
          <w:sz w:val="26"/>
          <w:szCs w:val="26"/>
        </w:rPr>
        <w:t>Cột A</w:t>
      </w:r>
      <w:r>
        <w:rPr>
          <w:bCs/>
          <w:spacing w:val="-2"/>
          <w:sz w:val="26"/>
          <w:szCs w:val="26"/>
          <w:vertAlign w:val="subscript"/>
        </w:rPr>
        <w:t>2</w:t>
      </w:r>
      <w:r>
        <w:rPr>
          <w:bCs/>
          <w:spacing w:val="-2"/>
          <w:sz w:val="26"/>
          <w:szCs w:val="26"/>
        </w:rPr>
        <w:t xml:space="preserve"> </w:t>
      </w:r>
      <w:r>
        <w:rPr>
          <w:noProof/>
          <w:spacing w:val="-2"/>
          <w:sz w:val="26"/>
          <w:szCs w:val="26"/>
        </w:rPr>
        <w:t xml:space="preserve">QCVN 08-MT:2015/BTNMT;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các hồ còn lại đang nằm trong quy chuẩn cho phép. Năm 2022: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Khe Trúc, đập Khe Hao, hồ Ngàn Trươi đang nằm trong giới hạn cho phép theo </w:t>
      </w:r>
      <w:r>
        <w:rPr>
          <w:bCs/>
          <w:spacing w:val="-2"/>
          <w:sz w:val="26"/>
          <w:szCs w:val="26"/>
        </w:rPr>
        <w:t>Cột A</w:t>
      </w:r>
      <w:r>
        <w:rPr>
          <w:bCs/>
          <w:spacing w:val="-2"/>
          <w:sz w:val="26"/>
          <w:szCs w:val="26"/>
          <w:vertAlign w:val="subscript"/>
        </w:rPr>
        <w:t>2</w:t>
      </w:r>
      <w:r>
        <w:rPr>
          <w:bCs/>
          <w:spacing w:val="-2"/>
          <w:sz w:val="26"/>
          <w:szCs w:val="26"/>
        </w:rPr>
        <w:t xml:space="preserve"> </w:t>
      </w:r>
      <w:r>
        <w:rPr>
          <w:noProof/>
          <w:spacing w:val="-2"/>
          <w:sz w:val="26"/>
          <w:szCs w:val="26"/>
        </w:rPr>
        <w:t xml:space="preserve">QCVN 08-MT:2015/BTNMT;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các hồ còn lại vượt giá trị giới hạn từ 1,11-4,11 lần. Năm 2023: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Khe Lang, hồ Tàu Voi vượt giá trị giới hạn cho phép theo </w:t>
      </w:r>
      <w:r>
        <w:rPr>
          <w:bCs/>
          <w:spacing w:val="-2"/>
          <w:sz w:val="26"/>
          <w:szCs w:val="26"/>
        </w:rPr>
        <w:t xml:space="preserve">Mức A </w:t>
      </w:r>
      <w:r>
        <w:rPr>
          <w:noProof/>
          <w:spacing w:val="-2"/>
          <w:sz w:val="26"/>
          <w:szCs w:val="26"/>
        </w:rPr>
        <w:t xml:space="preserve">QCVN 08:2023/BTNMT từ 1,2-1,45 lần;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các hồ còn lại đang nằm trong giới hạn cho phép. Năm 2024: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tất cả các hồ có chức năng cấp nước sinh hoạt đều đạt </w:t>
      </w:r>
      <w:r>
        <w:rPr>
          <w:bCs/>
          <w:spacing w:val="-2"/>
          <w:sz w:val="26"/>
          <w:szCs w:val="26"/>
        </w:rPr>
        <w:t xml:space="preserve">Mức A </w:t>
      </w:r>
      <w:r>
        <w:rPr>
          <w:noProof/>
          <w:spacing w:val="-2"/>
          <w:sz w:val="26"/>
          <w:szCs w:val="26"/>
        </w:rPr>
        <w:t xml:space="preserve">QCVN 08:2023/BTNMT. Quý II/2025: Chỉ có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hồ Khe Lang vượt giá trị giới hạn 1,07 lần; hàm lượng </w:t>
      </w:r>
      <w:r>
        <w:rPr>
          <w:rStyle w:val="b5Char"/>
          <w:b w:val="0"/>
          <w:i w:val="0"/>
          <w:color w:val="auto"/>
          <w:spacing w:val="-2"/>
          <w:szCs w:val="26"/>
        </w:rPr>
        <w:t>BOD</w:t>
      </w:r>
      <w:r>
        <w:rPr>
          <w:rStyle w:val="b5Char"/>
          <w:b w:val="0"/>
          <w:i w:val="0"/>
          <w:color w:val="auto"/>
          <w:spacing w:val="-2"/>
          <w:szCs w:val="26"/>
          <w:vertAlign w:val="subscript"/>
        </w:rPr>
        <w:t>5</w:t>
      </w:r>
      <w:r>
        <w:rPr>
          <w:noProof/>
          <w:spacing w:val="-2"/>
          <w:sz w:val="26"/>
          <w:szCs w:val="26"/>
        </w:rPr>
        <w:t xml:space="preserve"> trong nước tất cả các hồ có chức năng cấp nước sinh hoạt còn lại đều đạt quy chuẩn. </w:t>
      </w:r>
    </w:p>
    <w:p w14:paraId="69DAA12B" w14:textId="77777777" w:rsidR="00085789" w:rsidRDefault="00000000">
      <w:pPr>
        <w:widowControl w:val="0"/>
        <w:spacing w:line="340" w:lineRule="exact"/>
        <w:ind w:firstLine="709"/>
        <w:jc w:val="both"/>
        <w:rPr>
          <w:noProof/>
          <w:spacing w:val="-2"/>
          <w:sz w:val="26"/>
          <w:szCs w:val="26"/>
        </w:rPr>
      </w:pPr>
      <w:r>
        <w:rPr>
          <w:noProof/>
          <w:spacing w:val="-4"/>
          <w:sz w:val="26"/>
          <w:szCs w:val="26"/>
        </w:rPr>
        <w:lastRenderedPageBreak/>
        <w:t xml:space="preserve">=&gt; Nguyên nhân: Do các hoạt động sinh hoạt, sản xuất nông nghiệp, chăn nuôi trên khu vực gần các vị trí quan trắc làm gia tăng hàm lượng </w:t>
      </w:r>
      <w:r>
        <w:rPr>
          <w:noProof/>
          <w:spacing w:val="-2"/>
          <w:sz w:val="26"/>
          <w:szCs w:val="26"/>
        </w:rPr>
        <w:t>COD</w:t>
      </w:r>
      <w:r>
        <w:rPr>
          <w:noProof/>
          <w:spacing w:val="-4"/>
          <w:sz w:val="26"/>
          <w:szCs w:val="26"/>
        </w:rPr>
        <w:t xml:space="preserve"> tại thời điểm quan trắc.</w:t>
      </w:r>
    </w:p>
    <w:p w14:paraId="0365D9C6" w14:textId="77777777" w:rsidR="00085789" w:rsidRDefault="00000000">
      <w:pPr>
        <w:spacing w:before="120" w:line="320" w:lineRule="exact"/>
        <w:ind w:firstLine="720"/>
        <w:jc w:val="both"/>
        <w:rPr>
          <w:b/>
          <w:noProof/>
          <w:spacing w:val="-4"/>
          <w:sz w:val="26"/>
          <w:szCs w:val="26"/>
        </w:rPr>
      </w:pPr>
      <w:r>
        <w:rPr>
          <w:b/>
          <w:noProof/>
          <w:spacing w:val="-4"/>
          <w:sz w:val="26"/>
          <w:szCs w:val="26"/>
        </w:rPr>
        <w:t xml:space="preserve">(2) Diễn biến hàm lượng COD </w:t>
      </w:r>
      <w:r>
        <w:rPr>
          <w:b/>
          <w:noProof/>
          <w:spacing w:val="-4"/>
          <w:sz w:val="26"/>
          <w:szCs w:val="26"/>
          <w:lang w:val="pt-BR"/>
        </w:rPr>
        <w:t>từ năm 2021-Quý II/2025</w:t>
      </w:r>
      <w:r>
        <w:rPr>
          <w:b/>
          <w:noProof/>
          <w:spacing w:val="-4"/>
          <w:sz w:val="26"/>
          <w:szCs w:val="26"/>
        </w:rPr>
        <w:t xml:space="preserve">: </w:t>
      </w:r>
    </w:p>
    <w:p w14:paraId="75602AA9" w14:textId="77777777" w:rsidR="00085789" w:rsidRDefault="00000000">
      <w:pPr>
        <w:spacing w:before="120" w:line="240" w:lineRule="auto"/>
        <w:jc w:val="both"/>
        <w:rPr>
          <w:b/>
          <w:noProof/>
          <w:spacing w:val="-4"/>
          <w:sz w:val="26"/>
          <w:szCs w:val="26"/>
        </w:rPr>
      </w:pPr>
      <w:r>
        <w:rPr>
          <w:noProof/>
        </w:rPr>
        <w:drawing>
          <wp:inline distT="0" distB="0" distL="0" distR="0" wp14:anchorId="6AC717A1" wp14:editId="72E27D09">
            <wp:extent cx="9187180" cy="2419350"/>
            <wp:effectExtent l="0" t="0" r="13970" b="0"/>
            <wp:docPr id="641351860" name="Chart 1">
              <a:extLst xmlns:a="http://schemas.openxmlformats.org/drawingml/2006/main">
                <a:ext uri="{FF2B5EF4-FFF2-40B4-BE49-F238E27FC236}">
                  <a16:creationId xmlns:a16="http://schemas.microsoft.com/office/drawing/2014/main" id="{CDB68B69-5318-4630-A5E2-F33FB070B9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5519C45" w14:textId="77777777" w:rsidR="00085789" w:rsidRDefault="00000000">
      <w:pPr>
        <w:pStyle w:val="-bac4"/>
      </w:pPr>
      <w:bookmarkStart w:id="708" w:name="_Toc181861455"/>
      <w:bookmarkStart w:id="709" w:name="_Toc184097555"/>
      <w:bookmarkStart w:id="710" w:name="_Toc205915742"/>
      <w:bookmarkStart w:id="711" w:name="_Toc213597437"/>
      <w:bookmarkStart w:id="712" w:name="_Toc213600795"/>
      <w:r>
        <w:t>Hình 3.42. Diễn biến hàm lượng COD trong nước mặt các hồ/đập trên địa bàn tỉnh</w:t>
      </w:r>
      <w:bookmarkEnd w:id="708"/>
      <w:bookmarkEnd w:id="709"/>
      <w:bookmarkEnd w:id="710"/>
      <w:bookmarkEnd w:id="711"/>
      <w:bookmarkEnd w:id="712"/>
    </w:p>
    <w:p w14:paraId="26E4B4BF"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2EF6C746"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Năm 2021: Hàm lượng </w:t>
      </w:r>
      <w:r>
        <w:rPr>
          <w:rStyle w:val="b5Char"/>
          <w:b w:val="0"/>
          <w:i w:val="0"/>
          <w:color w:val="auto"/>
          <w:szCs w:val="26"/>
        </w:rPr>
        <w:t>COD</w:t>
      </w:r>
      <w:r>
        <w:rPr>
          <w:noProof/>
          <w:sz w:val="26"/>
          <w:szCs w:val="26"/>
        </w:rPr>
        <w:t xml:space="preserve"> trong nước đập Nhà Đường, hồ Thượng Tuy, hồ Đá Cát, hồ Bồng Sơn, hồ Bình Sơn tại thời điểm quan trắc đang nằm trong giới hạn cho phép theo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Năm 2021: Hàm lượng </w:t>
      </w:r>
      <w:r>
        <w:rPr>
          <w:rStyle w:val="b5Char"/>
          <w:b w:val="0"/>
          <w:i w:val="0"/>
          <w:color w:val="auto"/>
          <w:szCs w:val="26"/>
        </w:rPr>
        <w:t>COD</w:t>
      </w:r>
      <w:r>
        <w:rPr>
          <w:noProof/>
          <w:sz w:val="26"/>
          <w:szCs w:val="26"/>
        </w:rPr>
        <w:t xml:space="preserve"> trong nước đập Nhà Đường, hồ Thượng Tuy, hồ Đá Cát, hồ Bồng Sơn, hồ Bình Sơn tại thời điểm quan trắc đang nằm trong giới hạn cho phép theo </w:t>
      </w:r>
      <w:r>
        <w:rPr>
          <w:bCs/>
          <w:sz w:val="26"/>
          <w:szCs w:val="26"/>
        </w:rPr>
        <w:t>Cột B</w:t>
      </w:r>
      <w:r>
        <w:rPr>
          <w:bCs/>
          <w:sz w:val="26"/>
          <w:szCs w:val="26"/>
          <w:vertAlign w:val="subscript"/>
        </w:rPr>
        <w:t>1</w:t>
      </w:r>
      <w:r>
        <w:rPr>
          <w:bCs/>
          <w:sz w:val="26"/>
          <w:szCs w:val="26"/>
        </w:rPr>
        <w:t xml:space="preserve"> </w:t>
      </w:r>
      <w:r>
        <w:rPr>
          <w:noProof/>
          <w:sz w:val="26"/>
          <w:szCs w:val="26"/>
        </w:rPr>
        <w:t xml:space="preserve">QCVN 08-MT:2015/BTNMT. Năm 2023: Hàm lượng </w:t>
      </w:r>
      <w:r>
        <w:rPr>
          <w:rStyle w:val="b5Char"/>
          <w:b w:val="0"/>
          <w:i w:val="0"/>
          <w:color w:val="auto"/>
          <w:szCs w:val="26"/>
        </w:rPr>
        <w:t>COD</w:t>
      </w:r>
      <w:r>
        <w:rPr>
          <w:noProof/>
          <w:sz w:val="26"/>
          <w:szCs w:val="26"/>
        </w:rPr>
        <w:t xml:space="preserve"> trong nước đập Nhà Đường, hồ thượng tuy, hồ Đá Cát đang nằm trong giới hạn cho phép tại </w:t>
      </w:r>
      <w:r>
        <w:rPr>
          <w:bCs/>
          <w:sz w:val="26"/>
          <w:szCs w:val="26"/>
        </w:rPr>
        <w:t xml:space="preserve">Mức B </w:t>
      </w:r>
      <w:r>
        <w:rPr>
          <w:noProof/>
          <w:sz w:val="26"/>
          <w:szCs w:val="26"/>
        </w:rPr>
        <w:t xml:space="preserve">QCVN 08:2023/BTNMT; riêng hồ Bồng Sơn và hồ Bình Sơn vượt lần lượt là 2,67 và 1,91 lần. Năm 2024: Hàm lượng </w:t>
      </w:r>
      <w:r>
        <w:rPr>
          <w:rStyle w:val="b5Char"/>
          <w:b w:val="0"/>
          <w:i w:val="0"/>
          <w:color w:val="auto"/>
          <w:szCs w:val="26"/>
        </w:rPr>
        <w:t>COD</w:t>
      </w:r>
      <w:r>
        <w:rPr>
          <w:noProof/>
          <w:sz w:val="26"/>
          <w:szCs w:val="26"/>
        </w:rPr>
        <w:t xml:space="preserve"> trong nước hồ Bồng Sơn và hồ Bình Sơn vượt 2,08 và 1,13 lần; các hồ còn lại đạt quy chuẩn cho phép tại </w:t>
      </w:r>
      <w:r>
        <w:rPr>
          <w:bCs/>
          <w:sz w:val="26"/>
          <w:szCs w:val="26"/>
        </w:rPr>
        <w:t xml:space="preserve">Mức B </w:t>
      </w:r>
      <w:r>
        <w:rPr>
          <w:noProof/>
          <w:sz w:val="26"/>
          <w:szCs w:val="26"/>
        </w:rPr>
        <w:t xml:space="preserve">QCVN 08:2023/BTNMT. Quý II/2025: Chỉ có hàm lượng </w:t>
      </w:r>
      <w:r>
        <w:rPr>
          <w:rStyle w:val="b5Char"/>
          <w:b w:val="0"/>
          <w:i w:val="0"/>
          <w:color w:val="auto"/>
          <w:szCs w:val="26"/>
        </w:rPr>
        <w:t>COD</w:t>
      </w:r>
      <w:r>
        <w:rPr>
          <w:noProof/>
          <w:sz w:val="26"/>
          <w:szCs w:val="26"/>
        </w:rPr>
        <w:t xml:space="preserve"> trong nước hồ Bồng Sơn vượt 1,5 lần; các hồ còn lại đạt quy chuẩn cho phép tại </w:t>
      </w:r>
      <w:r>
        <w:rPr>
          <w:bCs/>
          <w:sz w:val="26"/>
          <w:szCs w:val="26"/>
        </w:rPr>
        <w:t xml:space="preserve">Mức B </w:t>
      </w:r>
      <w:r>
        <w:rPr>
          <w:noProof/>
          <w:sz w:val="26"/>
          <w:szCs w:val="26"/>
        </w:rPr>
        <w:t>QCVN 08:2023/BTNMT.</w:t>
      </w:r>
    </w:p>
    <w:p w14:paraId="4C4791A2"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có chức năng cấp nước sinh hoạt: Năm 2021: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có chức năng cấp nước sinh hoạt đang nằm trong quy chuẩn cho phép theo </w:t>
      </w:r>
      <w:r>
        <w:rPr>
          <w:bCs/>
          <w:sz w:val="26"/>
          <w:szCs w:val="26"/>
        </w:rPr>
        <w:t>Cột A</w:t>
      </w:r>
      <w:r>
        <w:rPr>
          <w:bCs/>
          <w:sz w:val="26"/>
          <w:szCs w:val="26"/>
          <w:vertAlign w:val="subscript"/>
        </w:rPr>
        <w:t>2</w:t>
      </w:r>
      <w:r>
        <w:rPr>
          <w:bCs/>
          <w:sz w:val="26"/>
          <w:szCs w:val="26"/>
        </w:rPr>
        <w:t xml:space="preserve"> </w:t>
      </w:r>
      <w:r>
        <w:rPr>
          <w:noProof/>
          <w:sz w:val="26"/>
          <w:szCs w:val="26"/>
        </w:rPr>
        <w:t xml:space="preserve">QCVN 08-MT:2015/BTNMT. Năm 2022: Chỉ có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Vực Trống vượt giá trị giới hạn cho phép theo </w:t>
      </w:r>
      <w:r>
        <w:rPr>
          <w:bCs/>
          <w:sz w:val="26"/>
          <w:szCs w:val="26"/>
        </w:rPr>
        <w:t>Cột A</w:t>
      </w:r>
      <w:r>
        <w:rPr>
          <w:bCs/>
          <w:sz w:val="26"/>
          <w:szCs w:val="26"/>
          <w:vertAlign w:val="subscript"/>
        </w:rPr>
        <w:t>2</w:t>
      </w:r>
      <w:r>
        <w:rPr>
          <w:bCs/>
          <w:sz w:val="26"/>
          <w:szCs w:val="26"/>
        </w:rPr>
        <w:t xml:space="preserve"> </w:t>
      </w:r>
      <w:r>
        <w:rPr>
          <w:noProof/>
          <w:sz w:val="26"/>
          <w:szCs w:val="26"/>
        </w:rPr>
        <w:t xml:space="preserve">QCVN 08-MT:2015/BTNMT 1,64 lần;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còn lại đang nằm </w:t>
      </w:r>
      <w:r>
        <w:rPr>
          <w:noProof/>
          <w:sz w:val="26"/>
          <w:szCs w:val="26"/>
        </w:rPr>
        <w:lastRenderedPageBreak/>
        <w:t xml:space="preserve">trong giới hạn quy chuẩn. Năm 2023: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Khe Trúc, hồ Khe Lang, hồ Xuân Hoa, hồ Tàu Voi vượt giá trị giới hạn cho phép theo </w:t>
      </w:r>
      <w:r>
        <w:rPr>
          <w:bCs/>
          <w:sz w:val="26"/>
          <w:szCs w:val="26"/>
        </w:rPr>
        <w:t xml:space="preserve">Mức A </w:t>
      </w:r>
      <w:r>
        <w:rPr>
          <w:noProof/>
          <w:sz w:val="26"/>
          <w:szCs w:val="26"/>
        </w:rPr>
        <w:t xml:space="preserve">QCVN 08:2023/BTNMT từ 1,13 - 1,46 lần;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còn lại đang nằm trong giới hạn cho phép. Năm 2024: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Khe Lang, hồ thượng Sông Trí, hồ Tàu Voi vượt giá trị giới hạn cho phép theo </w:t>
      </w:r>
      <w:r>
        <w:rPr>
          <w:bCs/>
          <w:sz w:val="26"/>
          <w:szCs w:val="26"/>
        </w:rPr>
        <w:t xml:space="preserve">Mức A </w:t>
      </w:r>
      <w:r>
        <w:rPr>
          <w:noProof/>
          <w:sz w:val="26"/>
          <w:szCs w:val="26"/>
        </w:rPr>
        <w:t xml:space="preserve">QCVN 08:2023/BTNMT từ 1,13 - 1,6 lần;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các hồ còn lại đang nằm trong giới hạn cho phép. Quý II/2025: Hàm lượng </w:t>
      </w:r>
      <w:r>
        <w:rPr>
          <w:rStyle w:val="b5Char"/>
          <w:b w:val="0"/>
          <w:i w:val="0"/>
          <w:color w:val="auto"/>
          <w:szCs w:val="26"/>
        </w:rPr>
        <w:t>BOD</w:t>
      </w:r>
      <w:r>
        <w:rPr>
          <w:rStyle w:val="b5Char"/>
          <w:b w:val="0"/>
          <w:i w:val="0"/>
          <w:color w:val="auto"/>
          <w:szCs w:val="26"/>
          <w:vertAlign w:val="subscript"/>
        </w:rPr>
        <w:t>5</w:t>
      </w:r>
      <w:r>
        <w:rPr>
          <w:noProof/>
          <w:sz w:val="26"/>
          <w:szCs w:val="26"/>
        </w:rPr>
        <w:t xml:space="preserve"> trong nước hồ Vực Trống, hồ Đá Bạc, hồ Xuân Hoa, đập Vũ Quang, hồ Sông Rác, hồ Mặc Khê, hồ Tàu Voi đạt </w:t>
      </w:r>
      <w:r>
        <w:rPr>
          <w:bCs/>
          <w:sz w:val="26"/>
          <w:szCs w:val="26"/>
        </w:rPr>
        <w:t xml:space="preserve">Mức A </w:t>
      </w:r>
      <w:r>
        <w:rPr>
          <w:noProof/>
          <w:sz w:val="26"/>
          <w:szCs w:val="26"/>
        </w:rPr>
        <w:t>QCVN 08:2023/BTNMT; các hồ còn lại vượt quy chuẩn từ 1,1 - 2,0 lần.</w:t>
      </w:r>
    </w:p>
    <w:p w14:paraId="70AADF72" w14:textId="77777777" w:rsidR="00085789" w:rsidRDefault="00000000">
      <w:pPr>
        <w:widowControl w:val="0"/>
        <w:spacing w:before="120" w:line="240" w:lineRule="auto"/>
        <w:ind w:firstLine="709"/>
        <w:jc w:val="both"/>
        <w:rPr>
          <w:noProof/>
          <w:sz w:val="26"/>
          <w:szCs w:val="26"/>
        </w:rPr>
      </w:pPr>
      <w:r>
        <w:rPr>
          <w:noProof/>
          <w:spacing w:val="-4"/>
          <w:sz w:val="26"/>
          <w:szCs w:val="26"/>
        </w:rPr>
        <w:t xml:space="preserve">=&gt; Nguyên nhân: Do các hoạt động sinh hoạt, sản xuất nông nghiệp, chăn nuôi trên khu vực gần các vị trí quan trắc làm gia tăng hàm lượng </w:t>
      </w:r>
      <w:r>
        <w:rPr>
          <w:noProof/>
          <w:spacing w:val="-2"/>
          <w:sz w:val="26"/>
          <w:szCs w:val="26"/>
        </w:rPr>
        <w:t>COD</w:t>
      </w:r>
      <w:r>
        <w:rPr>
          <w:noProof/>
          <w:spacing w:val="-4"/>
          <w:sz w:val="26"/>
          <w:szCs w:val="26"/>
        </w:rPr>
        <w:t xml:space="preserve"> tại thời điểm quan trắc.</w:t>
      </w:r>
    </w:p>
    <w:p w14:paraId="664B1252" w14:textId="77777777" w:rsidR="00085789" w:rsidRDefault="00000000">
      <w:pPr>
        <w:spacing w:before="120" w:line="240" w:lineRule="auto"/>
        <w:ind w:firstLine="720"/>
        <w:jc w:val="both"/>
        <w:rPr>
          <w:b/>
          <w:noProof/>
          <w:spacing w:val="-4"/>
          <w:sz w:val="26"/>
          <w:szCs w:val="26"/>
        </w:rPr>
      </w:pPr>
      <w:r>
        <w:rPr>
          <w:b/>
          <w:noProof/>
          <w:spacing w:val="-4"/>
          <w:sz w:val="26"/>
          <w:szCs w:val="26"/>
        </w:rPr>
        <w:t xml:space="preserve">(3) Diễn biến hàm lượng TSS </w:t>
      </w:r>
      <w:r>
        <w:rPr>
          <w:b/>
          <w:noProof/>
          <w:spacing w:val="-4"/>
          <w:sz w:val="26"/>
          <w:szCs w:val="26"/>
          <w:lang w:val="pt-BR"/>
        </w:rPr>
        <w:t>từ năm 2021-Quý II/2025</w:t>
      </w:r>
      <w:r>
        <w:rPr>
          <w:b/>
          <w:noProof/>
          <w:spacing w:val="-4"/>
          <w:sz w:val="26"/>
          <w:szCs w:val="26"/>
        </w:rPr>
        <w:t xml:space="preserve">: </w:t>
      </w:r>
    </w:p>
    <w:p w14:paraId="690AC202" w14:textId="77777777" w:rsidR="00085789" w:rsidRDefault="00000000">
      <w:pPr>
        <w:spacing w:before="120" w:line="240" w:lineRule="auto"/>
        <w:jc w:val="both"/>
        <w:rPr>
          <w:b/>
          <w:noProof/>
          <w:spacing w:val="-4"/>
          <w:sz w:val="26"/>
          <w:szCs w:val="26"/>
        </w:rPr>
      </w:pPr>
      <w:r>
        <w:rPr>
          <w:noProof/>
          <w:sz w:val="20"/>
          <w:szCs w:val="20"/>
        </w:rPr>
        <w:drawing>
          <wp:inline distT="0" distB="0" distL="0" distR="0" wp14:anchorId="75E3C4B7" wp14:editId="3DFEA9D3">
            <wp:extent cx="9249410" cy="2190750"/>
            <wp:effectExtent l="0" t="0" r="8890" b="0"/>
            <wp:docPr id="681331759" name="Chart 1">
              <a:extLst xmlns:a="http://schemas.openxmlformats.org/drawingml/2006/main">
                <a:ext uri="{FF2B5EF4-FFF2-40B4-BE49-F238E27FC236}">
                  <a16:creationId xmlns:a16="http://schemas.microsoft.com/office/drawing/2014/main" id="{1A00D612-589A-468A-84B2-994269F6B3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CC1A7FB" w14:textId="77777777" w:rsidR="00085789" w:rsidRDefault="00000000">
      <w:pPr>
        <w:pStyle w:val="-bac4"/>
      </w:pPr>
      <w:bookmarkStart w:id="713" w:name="_Toc181861453"/>
      <w:bookmarkStart w:id="714" w:name="_Toc184097553"/>
      <w:bookmarkStart w:id="715" w:name="_Toc205915743"/>
      <w:bookmarkStart w:id="716" w:name="_Toc213597438"/>
      <w:bookmarkStart w:id="717" w:name="_Toc213600796"/>
      <w:r>
        <w:t>Hình 3.43. Diễn biến hàm lượng TSS trong nước mặt các hồ/đập trên địa bàn tỉnh</w:t>
      </w:r>
      <w:bookmarkEnd w:id="713"/>
      <w:bookmarkEnd w:id="714"/>
      <w:bookmarkEnd w:id="715"/>
      <w:bookmarkEnd w:id="716"/>
      <w:bookmarkEnd w:id="717"/>
    </w:p>
    <w:p w14:paraId="0C563F8C"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63D09EE5" w14:textId="77777777" w:rsidR="00085789" w:rsidRDefault="00000000">
      <w:pPr>
        <w:widowControl w:val="0"/>
        <w:spacing w:before="120" w:line="240" w:lineRule="auto"/>
        <w:ind w:firstLine="709"/>
        <w:jc w:val="both"/>
        <w:rPr>
          <w:noProof/>
          <w:sz w:val="26"/>
          <w:szCs w:val="26"/>
        </w:rPr>
      </w:pPr>
      <w:r>
        <w:rPr>
          <w:noProof/>
          <w:sz w:val="26"/>
          <w:szCs w:val="26"/>
        </w:rPr>
        <w:t>- Năm 2021-2022:</w:t>
      </w:r>
    </w:p>
    <w:p w14:paraId="556CAA81"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TSS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 xml:space="preserve">QCVN 08-MT:2015/BTNMT. </w:t>
      </w:r>
    </w:p>
    <w:p w14:paraId="44D6059B" w14:textId="77777777" w:rsidR="00085789" w:rsidRDefault="00000000">
      <w:pPr>
        <w:widowControl w:val="0"/>
        <w:spacing w:before="120" w:line="240" w:lineRule="auto"/>
        <w:ind w:firstLine="709"/>
        <w:jc w:val="both"/>
        <w:rPr>
          <w:noProof/>
          <w:sz w:val="26"/>
          <w:szCs w:val="26"/>
        </w:rPr>
      </w:pPr>
      <w:r>
        <w:rPr>
          <w:noProof/>
          <w:sz w:val="26"/>
          <w:szCs w:val="26"/>
        </w:rPr>
        <w:t>+ Các hồ chứa có chức năng cấp nước sinh hoạt: Hàm lượng TSS trung bình năm trong nước 18 hồ chứa còn lại tại thời điểm quan trắc đều đạt Cột A2 QCVN 08-MT:2015/BTNMT.</w:t>
      </w:r>
    </w:p>
    <w:p w14:paraId="61A1F6FB" w14:textId="77777777" w:rsidR="00085789" w:rsidRDefault="00000000">
      <w:pPr>
        <w:widowControl w:val="0"/>
        <w:spacing w:before="120" w:line="240" w:lineRule="auto"/>
        <w:ind w:firstLine="709"/>
        <w:jc w:val="both"/>
        <w:rPr>
          <w:noProof/>
          <w:sz w:val="26"/>
          <w:szCs w:val="26"/>
        </w:rPr>
      </w:pPr>
      <w:r>
        <w:rPr>
          <w:noProof/>
          <w:sz w:val="26"/>
          <w:szCs w:val="26"/>
        </w:rPr>
        <w:lastRenderedPageBreak/>
        <w:t xml:space="preserve">- Năm 2023-Quý II/2025: </w:t>
      </w:r>
    </w:p>
    <w:p w14:paraId="1D8CD5B3"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TSS trung bình năm trong nước các hồ Thượng Tuy, đập Nhà Đường, hồ Đá Cát, hồ Bồng Sơn và hồ Bình Sơn tại thời điểm quan trắc đạt giá trị giới hạn tại </w:t>
      </w:r>
      <w:r>
        <w:rPr>
          <w:bCs/>
          <w:sz w:val="26"/>
          <w:szCs w:val="26"/>
        </w:rPr>
        <w:t xml:space="preserve">Mức B </w:t>
      </w:r>
      <w:r>
        <w:rPr>
          <w:noProof/>
          <w:sz w:val="26"/>
          <w:szCs w:val="26"/>
        </w:rPr>
        <w:t>QCVN 08:2023/BTNMT.</w:t>
      </w:r>
    </w:p>
    <w:p w14:paraId="3EEEF7B0"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có chức năng cấp nước sinh hoạt: Hàm lượng TSS trung bình năm trong nước 18 hồ chứa còn lại tại thời điểm quan trắc đều đạt </w:t>
      </w:r>
      <w:r>
        <w:rPr>
          <w:bCs/>
          <w:sz w:val="26"/>
          <w:szCs w:val="26"/>
        </w:rPr>
        <w:t xml:space="preserve">Mức A </w:t>
      </w:r>
      <w:r>
        <w:rPr>
          <w:noProof/>
          <w:sz w:val="26"/>
          <w:szCs w:val="26"/>
        </w:rPr>
        <w:t>QCVN 08:2023/BTNMT.</w:t>
      </w:r>
    </w:p>
    <w:p w14:paraId="70A0F599" w14:textId="77777777" w:rsidR="00085789" w:rsidRDefault="00000000">
      <w:pPr>
        <w:spacing w:before="120" w:line="240" w:lineRule="auto"/>
        <w:ind w:firstLine="720"/>
        <w:jc w:val="both"/>
        <w:rPr>
          <w:b/>
          <w:noProof/>
          <w:spacing w:val="-4"/>
          <w:sz w:val="26"/>
          <w:szCs w:val="26"/>
        </w:rPr>
      </w:pPr>
      <w:r>
        <w:rPr>
          <w:b/>
          <w:noProof/>
          <w:spacing w:val="-4"/>
          <w:sz w:val="26"/>
          <w:szCs w:val="26"/>
        </w:rPr>
        <w:t xml:space="preserve">(4) Diễn biến hàm lượng DO </w:t>
      </w:r>
      <w:r>
        <w:rPr>
          <w:b/>
          <w:noProof/>
          <w:spacing w:val="-4"/>
          <w:sz w:val="26"/>
          <w:szCs w:val="26"/>
          <w:lang w:val="pt-BR"/>
        </w:rPr>
        <w:t>từ năm 2021-Quý II/2025</w:t>
      </w:r>
      <w:r>
        <w:rPr>
          <w:b/>
          <w:noProof/>
          <w:spacing w:val="-4"/>
          <w:sz w:val="26"/>
          <w:szCs w:val="26"/>
        </w:rPr>
        <w:t>:</w:t>
      </w:r>
    </w:p>
    <w:p w14:paraId="69FAE68A" w14:textId="77777777" w:rsidR="00085789" w:rsidRDefault="00000000">
      <w:pPr>
        <w:spacing w:before="120" w:line="240" w:lineRule="auto"/>
        <w:jc w:val="both"/>
        <w:rPr>
          <w:b/>
          <w:noProof/>
          <w:spacing w:val="-4"/>
          <w:sz w:val="26"/>
          <w:szCs w:val="26"/>
        </w:rPr>
      </w:pPr>
      <w:r>
        <w:rPr>
          <w:noProof/>
        </w:rPr>
        <w:drawing>
          <wp:inline distT="0" distB="0" distL="0" distR="0" wp14:anchorId="6DC5DB8A" wp14:editId="5A843FCE">
            <wp:extent cx="9172575" cy="2714625"/>
            <wp:effectExtent l="0" t="0" r="9525" b="9525"/>
            <wp:docPr id="1614063522" name="Chart 1">
              <a:extLst xmlns:a="http://schemas.openxmlformats.org/drawingml/2006/main">
                <a:ext uri="{FF2B5EF4-FFF2-40B4-BE49-F238E27FC236}">
                  <a16:creationId xmlns:a16="http://schemas.microsoft.com/office/drawing/2014/main" id="{6A4624D8-392F-4A66-B532-2BBB9C6246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596B34FE" w14:textId="77777777" w:rsidR="00085789" w:rsidRDefault="00000000">
      <w:pPr>
        <w:pStyle w:val="-bac4"/>
      </w:pPr>
      <w:bookmarkStart w:id="718" w:name="_Toc181861452"/>
      <w:bookmarkStart w:id="719" w:name="_Toc184097552"/>
      <w:bookmarkStart w:id="720" w:name="_Toc205915744"/>
      <w:bookmarkStart w:id="721" w:name="_Toc213597439"/>
      <w:bookmarkStart w:id="722" w:name="_Toc213600797"/>
      <w:r>
        <w:t>Hình 3.44. Diễn biến hàm lượng DO trong nước mặt các hồ/đập trên địa bàn tỉnh</w:t>
      </w:r>
      <w:bookmarkEnd w:id="718"/>
      <w:bookmarkEnd w:id="719"/>
      <w:bookmarkEnd w:id="720"/>
      <w:bookmarkEnd w:id="721"/>
      <w:bookmarkEnd w:id="722"/>
    </w:p>
    <w:p w14:paraId="00DCCD98"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31C7E11D" w14:textId="77777777" w:rsidR="00085789" w:rsidRDefault="00000000">
      <w:pPr>
        <w:widowControl w:val="0"/>
        <w:spacing w:before="120" w:line="240" w:lineRule="auto"/>
        <w:ind w:firstLine="709"/>
        <w:jc w:val="both"/>
        <w:rPr>
          <w:noProof/>
          <w:sz w:val="26"/>
          <w:szCs w:val="26"/>
        </w:rPr>
      </w:pPr>
      <w:r>
        <w:rPr>
          <w:noProof/>
          <w:sz w:val="26"/>
          <w:szCs w:val="26"/>
        </w:rPr>
        <w:t>- Năm 2021-2022:</w:t>
      </w:r>
    </w:p>
    <w:p w14:paraId="5C13E569"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Lượng ôxy hòa tan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QCVN 08-MT:2015/BTNMT.</w:t>
      </w:r>
    </w:p>
    <w:p w14:paraId="0254C441" w14:textId="77777777" w:rsidR="00085789" w:rsidRDefault="00000000">
      <w:pPr>
        <w:widowControl w:val="0"/>
        <w:spacing w:before="120" w:line="240" w:lineRule="auto"/>
        <w:ind w:firstLine="709"/>
        <w:jc w:val="both"/>
        <w:rPr>
          <w:noProof/>
          <w:sz w:val="26"/>
          <w:szCs w:val="26"/>
        </w:rPr>
      </w:pPr>
      <w:r>
        <w:rPr>
          <w:noProof/>
          <w:sz w:val="26"/>
          <w:szCs w:val="26"/>
        </w:rPr>
        <w:t>+ Các hồ chứa có chức năng cấp nước sinh hoạt: Lượng ôxy hòa tan trung bình năm trong nước 18 hồ chứa còn lại tại thời điểm quan trắc đều đạt Cột A2 QCVN 08-MT:2015/BTNMT.</w:t>
      </w:r>
    </w:p>
    <w:p w14:paraId="08F997FB" w14:textId="77777777" w:rsidR="00085789" w:rsidRDefault="00000000">
      <w:pPr>
        <w:widowControl w:val="0"/>
        <w:spacing w:before="120" w:line="240" w:lineRule="auto"/>
        <w:ind w:firstLine="709"/>
        <w:jc w:val="both"/>
        <w:rPr>
          <w:noProof/>
          <w:sz w:val="26"/>
          <w:szCs w:val="26"/>
        </w:rPr>
      </w:pPr>
      <w:r>
        <w:rPr>
          <w:noProof/>
          <w:sz w:val="26"/>
          <w:szCs w:val="26"/>
        </w:rPr>
        <w:lastRenderedPageBreak/>
        <w:t xml:space="preserve">- Năm 2023-Quý II/2025: </w:t>
      </w:r>
    </w:p>
    <w:p w14:paraId="6A482BA9"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Lượng ôxy hòa tan trung bình năm trong nước các hồ Thượng Tuy, đập Nhà Đường, hồ Đá Cát, hồ Bồng Sơn và hồ Bình Sơn tại thời điểm quan trắc đạt giá trị giới hạn tại </w:t>
      </w:r>
      <w:r>
        <w:rPr>
          <w:bCs/>
          <w:sz w:val="26"/>
          <w:szCs w:val="26"/>
        </w:rPr>
        <w:t xml:space="preserve">Mức B </w:t>
      </w:r>
      <w:r>
        <w:rPr>
          <w:noProof/>
          <w:sz w:val="26"/>
          <w:szCs w:val="26"/>
        </w:rPr>
        <w:t>QCVN 08:2023/BTNMT.</w:t>
      </w:r>
    </w:p>
    <w:p w14:paraId="6DBFDB0F"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có chức năng cấp nước sinh hoạt: Lượng ôxy hòa tan trung bình năm trong nước hồ Ngàn Trươi năm 2023 và 2024 có vượt giá trị giới hạn tại </w:t>
      </w:r>
      <w:r>
        <w:rPr>
          <w:bCs/>
          <w:sz w:val="26"/>
          <w:szCs w:val="26"/>
        </w:rPr>
        <w:t xml:space="preserve">Mức A </w:t>
      </w:r>
      <w:r>
        <w:rPr>
          <w:noProof/>
          <w:sz w:val="26"/>
          <w:szCs w:val="26"/>
        </w:rPr>
        <w:t>QCVN 08:2023/BTNMT thời điểm quan trắc nhưng mức vượt rất nhỏ (từ 1,003 - 1,02 lần). Lượng ôxy hòa tan trung bình năm trong nước đập Vũ Quang năm 2023 có vượt giá trị giới hạn ở mức nhỏ (1,12 lần). Còn lại, lượng ôxy hòa tan trong nước tại tất cả các hồ tại các thời điểm quan trắc đều đạt giá trị giới hạn cho phép.</w:t>
      </w:r>
    </w:p>
    <w:p w14:paraId="7443B5D9" w14:textId="77777777" w:rsidR="00085789" w:rsidRDefault="00000000">
      <w:pPr>
        <w:spacing w:before="120" w:line="240" w:lineRule="auto"/>
        <w:ind w:firstLine="720"/>
        <w:jc w:val="both"/>
        <w:rPr>
          <w:b/>
          <w:noProof/>
          <w:spacing w:val="-4"/>
          <w:sz w:val="26"/>
          <w:szCs w:val="26"/>
        </w:rPr>
      </w:pPr>
      <w:r>
        <w:rPr>
          <w:b/>
          <w:noProof/>
          <w:spacing w:val="-4"/>
          <w:sz w:val="26"/>
          <w:szCs w:val="26"/>
        </w:rPr>
        <w:t>(5) Diễn biến hàm lượng Nitrat (NO</w:t>
      </w:r>
      <w:r>
        <w:rPr>
          <w:b/>
          <w:noProof/>
          <w:spacing w:val="-4"/>
          <w:sz w:val="26"/>
          <w:szCs w:val="26"/>
          <w:vertAlign w:val="subscript"/>
        </w:rPr>
        <w:t>3</w:t>
      </w:r>
      <w:r>
        <w:rPr>
          <w:b/>
          <w:noProof/>
          <w:spacing w:val="-4"/>
          <w:sz w:val="26"/>
          <w:szCs w:val="26"/>
          <w:vertAlign w:val="superscript"/>
        </w:rPr>
        <w:t>-</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64A43925" w14:textId="77777777" w:rsidR="00085789" w:rsidRDefault="00000000">
      <w:pPr>
        <w:spacing w:before="120" w:line="240" w:lineRule="auto"/>
        <w:jc w:val="both"/>
        <w:rPr>
          <w:b/>
          <w:noProof/>
          <w:spacing w:val="-4"/>
          <w:sz w:val="26"/>
          <w:szCs w:val="26"/>
        </w:rPr>
      </w:pPr>
      <w:r>
        <w:rPr>
          <w:noProof/>
        </w:rPr>
        <w:drawing>
          <wp:inline distT="0" distB="0" distL="0" distR="0" wp14:anchorId="1E90B9A6" wp14:editId="312ED9CA">
            <wp:extent cx="9249410" cy="2307265"/>
            <wp:effectExtent l="0" t="0" r="8890" b="17145"/>
            <wp:docPr id="1964150619" name="Chart 1">
              <a:extLst xmlns:a="http://schemas.openxmlformats.org/drawingml/2006/main">
                <a:ext uri="{FF2B5EF4-FFF2-40B4-BE49-F238E27FC236}">
                  <a16:creationId xmlns:a16="http://schemas.microsoft.com/office/drawing/2014/main" id="{61293C87-76E4-4854-AFA7-607498660A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0B312F44" w14:textId="77777777" w:rsidR="00085789" w:rsidRDefault="00000000">
      <w:pPr>
        <w:pStyle w:val="-bac4"/>
      </w:pPr>
      <w:bookmarkStart w:id="723" w:name="_Toc181861456"/>
      <w:bookmarkStart w:id="724" w:name="_Toc184097556"/>
      <w:bookmarkStart w:id="725" w:name="_Toc205915745"/>
      <w:bookmarkStart w:id="726" w:name="_Toc213597440"/>
      <w:bookmarkStart w:id="727" w:name="_Toc213600798"/>
      <w:r>
        <w:t>Hình 3.45. Diễn biến hàm lượng Nitrat trong nước mặt các hồ/đập trên địa bàn tỉnh</w:t>
      </w:r>
      <w:bookmarkEnd w:id="723"/>
      <w:bookmarkEnd w:id="724"/>
      <w:bookmarkEnd w:id="725"/>
      <w:bookmarkEnd w:id="726"/>
      <w:bookmarkEnd w:id="727"/>
    </w:p>
    <w:p w14:paraId="78EEE99D" w14:textId="77777777" w:rsidR="00085789" w:rsidRDefault="00000000">
      <w:pPr>
        <w:widowControl w:val="0"/>
        <w:spacing w:before="120" w:line="240" w:lineRule="auto"/>
        <w:ind w:firstLine="709"/>
        <w:jc w:val="both"/>
        <w:rPr>
          <w:i/>
          <w:noProof/>
          <w:sz w:val="26"/>
          <w:szCs w:val="26"/>
          <w:u w:val="single"/>
        </w:rPr>
      </w:pPr>
      <w:r>
        <w:rPr>
          <w:i/>
          <w:noProof/>
          <w:spacing w:val="-4"/>
          <w:sz w:val="24"/>
          <w:szCs w:val="24"/>
          <w:u w:val="single"/>
        </w:rPr>
        <w:t>Ghi chú: Thông số Nitrat không quy định trong QCVN 08:2023/BTNMT.</w:t>
      </w:r>
    </w:p>
    <w:p w14:paraId="008528CC" w14:textId="77777777" w:rsidR="00085789" w:rsidRDefault="00000000">
      <w:pPr>
        <w:widowControl w:val="0"/>
        <w:spacing w:before="120" w:line="240" w:lineRule="auto"/>
        <w:ind w:firstLine="709"/>
        <w:jc w:val="both"/>
        <w:rPr>
          <w:noProof/>
          <w:sz w:val="26"/>
          <w:szCs w:val="26"/>
        </w:rPr>
      </w:pPr>
      <w:r>
        <w:rPr>
          <w:i/>
          <w:noProof/>
          <w:sz w:val="26"/>
          <w:szCs w:val="26"/>
          <w:u w:val="single"/>
        </w:rPr>
        <w:t>Nhận xét</w:t>
      </w:r>
      <w:r>
        <w:rPr>
          <w:noProof/>
          <w:sz w:val="26"/>
          <w:szCs w:val="26"/>
          <w:u w:val="single"/>
        </w:rPr>
        <w:t>:</w:t>
      </w:r>
      <w:r>
        <w:rPr>
          <w:noProof/>
          <w:sz w:val="26"/>
          <w:szCs w:val="26"/>
        </w:rPr>
        <w:t xml:space="preserve"> </w:t>
      </w:r>
    </w:p>
    <w:p w14:paraId="0F7AB7DC"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Nitrat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 xml:space="preserve">QCVN 08-MT:2015/BTNMT. </w:t>
      </w:r>
    </w:p>
    <w:p w14:paraId="71EC2AAB" w14:textId="77777777" w:rsidR="00085789" w:rsidRDefault="00000000">
      <w:pPr>
        <w:widowControl w:val="0"/>
        <w:spacing w:before="120" w:line="240" w:lineRule="auto"/>
        <w:ind w:firstLine="709"/>
        <w:jc w:val="both"/>
        <w:rPr>
          <w:noProof/>
          <w:sz w:val="26"/>
          <w:szCs w:val="26"/>
        </w:rPr>
      </w:pPr>
      <w:r>
        <w:rPr>
          <w:noProof/>
          <w:sz w:val="26"/>
          <w:szCs w:val="26"/>
        </w:rPr>
        <w:t>- Các hồ chứa có chức năng cấp nước sinh hoạt: Hàm lượng Nitrat trung bình năm trong nước 18 hồ chứa còn lại tại thời điểm quan trắc đều đạt Cột A2 QCVN 08-MT:2015/BTNMT.</w:t>
      </w:r>
    </w:p>
    <w:p w14:paraId="0C2DCCDC" w14:textId="77777777" w:rsidR="00085789" w:rsidRDefault="00000000">
      <w:pPr>
        <w:spacing w:before="120" w:line="240" w:lineRule="auto"/>
        <w:ind w:firstLine="720"/>
        <w:jc w:val="both"/>
        <w:rPr>
          <w:b/>
          <w:noProof/>
          <w:spacing w:val="-4"/>
          <w:sz w:val="26"/>
          <w:szCs w:val="26"/>
        </w:rPr>
      </w:pPr>
      <w:r>
        <w:rPr>
          <w:b/>
          <w:noProof/>
          <w:spacing w:val="-4"/>
          <w:sz w:val="26"/>
          <w:szCs w:val="26"/>
        </w:rPr>
        <w:lastRenderedPageBreak/>
        <w:t>(6) Diễn biến hàm lượng Photphat (PO</w:t>
      </w:r>
      <w:r>
        <w:rPr>
          <w:b/>
          <w:noProof/>
          <w:spacing w:val="-4"/>
          <w:sz w:val="26"/>
          <w:szCs w:val="26"/>
          <w:vertAlign w:val="subscript"/>
        </w:rPr>
        <w:t>4</w:t>
      </w:r>
      <w:r>
        <w:rPr>
          <w:b/>
          <w:noProof/>
          <w:spacing w:val="-4"/>
          <w:sz w:val="26"/>
          <w:szCs w:val="26"/>
          <w:vertAlign w:val="superscript"/>
        </w:rPr>
        <w:t>3-</w:t>
      </w:r>
      <w:r>
        <w:rPr>
          <w:b/>
          <w:noProof/>
          <w:spacing w:val="-4"/>
          <w:sz w:val="26"/>
          <w:szCs w:val="26"/>
        </w:rPr>
        <w:t xml:space="preserve">) </w:t>
      </w:r>
      <w:r>
        <w:rPr>
          <w:b/>
          <w:noProof/>
          <w:spacing w:val="-4"/>
          <w:sz w:val="26"/>
          <w:szCs w:val="26"/>
          <w:lang w:val="pt-BR"/>
        </w:rPr>
        <w:t>từ năm 2021-Quý II/2025</w:t>
      </w:r>
      <w:r>
        <w:rPr>
          <w:b/>
          <w:noProof/>
          <w:spacing w:val="-4"/>
          <w:sz w:val="26"/>
          <w:szCs w:val="26"/>
        </w:rPr>
        <w:t>:</w:t>
      </w:r>
    </w:p>
    <w:p w14:paraId="5418D0FD" w14:textId="77777777" w:rsidR="00085789" w:rsidRDefault="00000000">
      <w:pPr>
        <w:spacing w:before="120" w:line="240" w:lineRule="auto"/>
        <w:jc w:val="both"/>
        <w:rPr>
          <w:b/>
          <w:noProof/>
          <w:spacing w:val="-4"/>
          <w:sz w:val="26"/>
          <w:szCs w:val="26"/>
        </w:rPr>
      </w:pPr>
      <w:r>
        <w:rPr>
          <w:noProof/>
        </w:rPr>
        <w:drawing>
          <wp:inline distT="0" distB="0" distL="0" distR="0" wp14:anchorId="6D65F4F8" wp14:editId="7B73BF15">
            <wp:extent cx="9249410" cy="3124200"/>
            <wp:effectExtent l="0" t="0" r="8890" b="0"/>
            <wp:docPr id="1003529677" name="Chart 1">
              <a:extLst xmlns:a="http://schemas.openxmlformats.org/drawingml/2006/main">
                <a:ext uri="{FF2B5EF4-FFF2-40B4-BE49-F238E27FC236}">
                  <a16:creationId xmlns:a16="http://schemas.microsoft.com/office/drawing/2014/main" id="{1184BD18-CD7D-48FA-88EA-51F7AE9D25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716552C" w14:textId="77777777" w:rsidR="00085789" w:rsidRDefault="00000000">
      <w:pPr>
        <w:pStyle w:val="-bac4"/>
      </w:pPr>
      <w:bookmarkStart w:id="728" w:name="_Toc181861460"/>
      <w:bookmarkStart w:id="729" w:name="_Toc184097560"/>
      <w:bookmarkStart w:id="730" w:name="_Toc205915746"/>
      <w:bookmarkStart w:id="731" w:name="_Toc213597441"/>
      <w:bookmarkStart w:id="732" w:name="_Toc213600799"/>
      <w:r>
        <w:t xml:space="preserve">Hình 3.46. Diễn biến hàm lượng </w:t>
      </w:r>
      <w:r>
        <w:rPr>
          <w:spacing w:val="-4"/>
        </w:rPr>
        <w:t>Photphat</w:t>
      </w:r>
      <w:r>
        <w:t xml:space="preserve"> trong nước mặt các hồ/đập trên địa bàn tỉnh</w:t>
      </w:r>
      <w:bookmarkEnd w:id="728"/>
      <w:bookmarkEnd w:id="729"/>
      <w:bookmarkEnd w:id="730"/>
      <w:bookmarkEnd w:id="731"/>
      <w:bookmarkEnd w:id="732"/>
    </w:p>
    <w:p w14:paraId="0ECE5BF8" w14:textId="77777777" w:rsidR="00085789" w:rsidRDefault="00000000">
      <w:pPr>
        <w:widowControl w:val="0"/>
        <w:spacing w:before="120" w:line="240" w:lineRule="auto"/>
        <w:ind w:firstLine="709"/>
        <w:jc w:val="both"/>
        <w:rPr>
          <w:i/>
          <w:noProof/>
          <w:sz w:val="26"/>
          <w:szCs w:val="26"/>
          <w:u w:val="single"/>
        </w:rPr>
      </w:pPr>
      <w:r>
        <w:rPr>
          <w:i/>
          <w:noProof/>
          <w:spacing w:val="-4"/>
          <w:sz w:val="24"/>
          <w:szCs w:val="24"/>
          <w:u w:val="single"/>
        </w:rPr>
        <w:t>Ghi chú: Thông số Photphat không quy định trong QCVN 08:2023/BTNMT.</w:t>
      </w:r>
    </w:p>
    <w:p w14:paraId="1DAAEA8D"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p>
    <w:p w14:paraId="40F4D234"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Hàm lượng Photphat 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 xml:space="preserve">QCVN 08-MT:2015/BTNMT. </w:t>
      </w:r>
    </w:p>
    <w:p w14:paraId="0B30EA76" w14:textId="77777777" w:rsidR="00085789" w:rsidRDefault="00000000">
      <w:pPr>
        <w:widowControl w:val="0"/>
        <w:spacing w:before="120" w:line="240" w:lineRule="auto"/>
        <w:ind w:firstLine="709"/>
        <w:jc w:val="both"/>
        <w:rPr>
          <w:noProof/>
          <w:sz w:val="26"/>
          <w:szCs w:val="26"/>
        </w:rPr>
      </w:pPr>
      <w:r>
        <w:rPr>
          <w:noProof/>
          <w:sz w:val="26"/>
          <w:szCs w:val="26"/>
        </w:rPr>
        <w:t>- Các hồ chứa có chức năng cấp nước sinh hoạt: Hàm lượng Photphat trung bình năm trong nước 18 hồ chứa còn lại tại thời điểm quan trắc đều đạt Cột A2 QCVN 08-MT:2015/BTNMT.</w:t>
      </w:r>
    </w:p>
    <w:p w14:paraId="6E9F74F9" w14:textId="77777777" w:rsidR="00085789" w:rsidRDefault="00000000">
      <w:pPr>
        <w:widowControl w:val="0"/>
        <w:spacing w:before="120" w:line="240" w:lineRule="auto"/>
        <w:ind w:firstLine="709"/>
        <w:jc w:val="both"/>
        <w:rPr>
          <w:b/>
          <w:noProof/>
          <w:spacing w:val="-4"/>
          <w:sz w:val="26"/>
          <w:szCs w:val="26"/>
          <w:lang w:val="vi-VN"/>
        </w:rPr>
      </w:pPr>
      <w:r>
        <w:rPr>
          <w:b/>
          <w:noProof/>
          <w:spacing w:val="-4"/>
          <w:sz w:val="26"/>
          <w:szCs w:val="26"/>
          <w:lang w:val="vi-VN"/>
        </w:rPr>
        <w:t xml:space="preserve">(7) Diễn biến hàm lượng Coliform </w:t>
      </w:r>
      <w:r>
        <w:rPr>
          <w:b/>
          <w:noProof/>
          <w:spacing w:val="-4"/>
          <w:sz w:val="26"/>
          <w:szCs w:val="26"/>
          <w:lang w:val="pt-BR"/>
        </w:rPr>
        <w:t>từ năm 2021-Quý II/2025</w:t>
      </w:r>
      <w:r>
        <w:rPr>
          <w:b/>
          <w:noProof/>
          <w:spacing w:val="-4"/>
          <w:sz w:val="26"/>
          <w:szCs w:val="26"/>
          <w:lang w:val="vi-VN"/>
        </w:rPr>
        <w:t xml:space="preserve">: </w:t>
      </w:r>
    </w:p>
    <w:p w14:paraId="765778ED" w14:textId="77777777" w:rsidR="00085789" w:rsidRDefault="00000000">
      <w:pPr>
        <w:keepNext/>
        <w:spacing w:before="120" w:line="240" w:lineRule="auto"/>
        <w:jc w:val="both"/>
        <w:rPr>
          <w:b/>
          <w:noProof/>
          <w:spacing w:val="-4"/>
          <w:sz w:val="26"/>
          <w:szCs w:val="26"/>
        </w:rPr>
      </w:pPr>
      <w:r>
        <w:rPr>
          <w:noProof/>
        </w:rPr>
        <w:lastRenderedPageBreak/>
        <w:drawing>
          <wp:inline distT="0" distB="0" distL="0" distR="0" wp14:anchorId="22768589" wp14:editId="37EDAAD1">
            <wp:extent cx="9249410" cy="2171700"/>
            <wp:effectExtent l="0" t="0" r="8890" b="0"/>
            <wp:docPr id="1864571780" name="Chart 1">
              <a:extLst xmlns:a="http://schemas.openxmlformats.org/drawingml/2006/main">
                <a:ext uri="{FF2B5EF4-FFF2-40B4-BE49-F238E27FC236}">
                  <a16:creationId xmlns:a16="http://schemas.microsoft.com/office/drawing/2014/main" id="{B028D00D-D171-4A8F-9CC3-C995A0904F5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4C721B3" w14:textId="77777777" w:rsidR="00085789" w:rsidRDefault="00000000">
      <w:pPr>
        <w:pStyle w:val="-bac4"/>
      </w:pPr>
      <w:bookmarkStart w:id="733" w:name="_Toc181861459"/>
      <w:bookmarkStart w:id="734" w:name="_Toc184097559"/>
      <w:bookmarkStart w:id="735" w:name="_Toc205915747"/>
      <w:bookmarkStart w:id="736" w:name="_Toc213597442"/>
      <w:bookmarkStart w:id="737" w:name="_Toc213600800"/>
      <w:r>
        <w:t>Hình 3.47. Diễn biến hàm lượng Coliform trong nước mặt các hồ/đập trên địa bàn tỉnh</w:t>
      </w:r>
      <w:bookmarkEnd w:id="733"/>
      <w:bookmarkEnd w:id="734"/>
      <w:bookmarkEnd w:id="735"/>
      <w:bookmarkEnd w:id="736"/>
      <w:bookmarkEnd w:id="737"/>
    </w:p>
    <w:p w14:paraId="36647E69" w14:textId="77777777" w:rsidR="00085789" w:rsidRDefault="00000000">
      <w:pPr>
        <w:widowControl w:val="0"/>
        <w:spacing w:before="120" w:line="240" w:lineRule="auto"/>
        <w:ind w:firstLine="709"/>
        <w:jc w:val="both"/>
        <w:rPr>
          <w:noProof/>
          <w:sz w:val="26"/>
          <w:szCs w:val="26"/>
          <w:u w:val="single"/>
        </w:rPr>
      </w:pPr>
      <w:r>
        <w:rPr>
          <w:i/>
          <w:noProof/>
          <w:sz w:val="26"/>
          <w:szCs w:val="26"/>
          <w:u w:val="single"/>
        </w:rPr>
        <w:t>Nhận xét:</w:t>
      </w:r>
      <w:r>
        <w:rPr>
          <w:noProof/>
          <w:sz w:val="26"/>
          <w:szCs w:val="26"/>
          <w:u w:val="single"/>
        </w:rPr>
        <w:t xml:space="preserve"> </w:t>
      </w:r>
    </w:p>
    <w:p w14:paraId="48524654" w14:textId="77777777" w:rsidR="00085789" w:rsidRDefault="00000000">
      <w:pPr>
        <w:widowControl w:val="0"/>
        <w:spacing w:before="120" w:line="240" w:lineRule="auto"/>
        <w:ind w:firstLine="709"/>
        <w:jc w:val="both"/>
        <w:rPr>
          <w:noProof/>
          <w:sz w:val="26"/>
          <w:szCs w:val="26"/>
        </w:rPr>
      </w:pPr>
      <w:r>
        <w:rPr>
          <w:noProof/>
          <w:sz w:val="26"/>
          <w:szCs w:val="26"/>
        </w:rPr>
        <w:t>- Năm 2021-2022:</w:t>
      </w:r>
    </w:p>
    <w:p w14:paraId="1760E999"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w:t>
      </w:r>
      <w:r>
        <w:rPr>
          <w:noProof/>
          <w:spacing w:val="-4"/>
          <w:sz w:val="26"/>
          <w:szCs w:val="26"/>
        </w:rPr>
        <w:t xml:space="preserve">Hàm lượng Coliform </w:t>
      </w:r>
      <w:r>
        <w:rPr>
          <w:noProof/>
          <w:sz w:val="26"/>
          <w:szCs w:val="26"/>
        </w:rPr>
        <w:t xml:space="preserve">trung bình năm trong nước các hồ Thượng Tuy, đập Nhà Đường, hồ Đá Cát, hồ Bồng Sơn và hồ Bình Sơn tại thời điểm quan trắc đạt giá trị giới hạn tại </w:t>
      </w:r>
      <w:r>
        <w:rPr>
          <w:bCs/>
          <w:sz w:val="26"/>
          <w:szCs w:val="26"/>
        </w:rPr>
        <w:t xml:space="preserve">Cột B1 </w:t>
      </w:r>
      <w:r>
        <w:rPr>
          <w:noProof/>
          <w:sz w:val="26"/>
          <w:szCs w:val="26"/>
        </w:rPr>
        <w:t>QCVN 08-MT:2015/BTNMT.</w:t>
      </w:r>
    </w:p>
    <w:p w14:paraId="7BEE4754"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có chức năng cấp nước sinh hoạt: </w:t>
      </w:r>
      <w:r>
        <w:rPr>
          <w:noProof/>
          <w:spacing w:val="-4"/>
          <w:sz w:val="26"/>
          <w:szCs w:val="26"/>
        </w:rPr>
        <w:t xml:space="preserve">Hàm lượng Coliform </w:t>
      </w:r>
      <w:r>
        <w:rPr>
          <w:noProof/>
          <w:sz w:val="26"/>
          <w:szCs w:val="26"/>
        </w:rPr>
        <w:t>trung bình năm trong nước 18 hồ chứa còn lại tại thời điểm quan trắc đều đạt Cột A2 QCVN 08-MT:2015/BTNMT.</w:t>
      </w:r>
    </w:p>
    <w:p w14:paraId="7F335CEB" w14:textId="77777777" w:rsidR="00085789" w:rsidRDefault="00000000">
      <w:pPr>
        <w:widowControl w:val="0"/>
        <w:spacing w:before="120" w:line="240" w:lineRule="auto"/>
        <w:ind w:firstLine="709"/>
        <w:jc w:val="both"/>
        <w:rPr>
          <w:noProof/>
          <w:sz w:val="26"/>
          <w:szCs w:val="26"/>
        </w:rPr>
      </w:pPr>
      <w:r>
        <w:rPr>
          <w:noProof/>
          <w:sz w:val="26"/>
          <w:szCs w:val="26"/>
        </w:rPr>
        <w:t xml:space="preserve">- Năm 2023-Quý II/2025: </w:t>
      </w:r>
    </w:p>
    <w:p w14:paraId="7080A9DD"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không có chức năng cấp nước sinh hoạt: </w:t>
      </w:r>
      <w:r>
        <w:rPr>
          <w:noProof/>
          <w:spacing w:val="-4"/>
          <w:sz w:val="26"/>
          <w:szCs w:val="26"/>
        </w:rPr>
        <w:t xml:space="preserve">Hàm lượng Coliform </w:t>
      </w:r>
      <w:r>
        <w:rPr>
          <w:noProof/>
          <w:sz w:val="26"/>
          <w:szCs w:val="26"/>
        </w:rPr>
        <w:t xml:space="preserve">trung bình năm 2023 trong nước các hồ Bình Sơn tại thời điểm quan trắc vượt giá trị giới hạn tại </w:t>
      </w:r>
      <w:r>
        <w:rPr>
          <w:bCs/>
          <w:sz w:val="26"/>
          <w:szCs w:val="26"/>
        </w:rPr>
        <w:t xml:space="preserve">Mức B </w:t>
      </w:r>
      <w:r>
        <w:rPr>
          <w:noProof/>
          <w:sz w:val="26"/>
          <w:szCs w:val="26"/>
        </w:rPr>
        <w:t xml:space="preserve">QCVN 08:2023/BTNMT. Hàm lượng Coliform các hồ thượng Tuy, đập Nhà Đường, hồ Đá Cát, hồ Bồng Sơn tại thời điểm quan trắc đạt giá trị giới hạn tại </w:t>
      </w:r>
      <w:r>
        <w:rPr>
          <w:bCs/>
          <w:sz w:val="26"/>
          <w:szCs w:val="26"/>
        </w:rPr>
        <w:t xml:space="preserve">Mức B </w:t>
      </w:r>
      <w:r>
        <w:rPr>
          <w:noProof/>
          <w:sz w:val="26"/>
          <w:szCs w:val="26"/>
        </w:rPr>
        <w:t>QCVN 08:2023/BTNMT.</w:t>
      </w:r>
    </w:p>
    <w:p w14:paraId="1301854A" w14:textId="77777777" w:rsidR="00085789" w:rsidRDefault="00000000">
      <w:pPr>
        <w:widowControl w:val="0"/>
        <w:spacing w:before="120" w:line="240" w:lineRule="auto"/>
        <w:ind w:firstLine="709"/>
        <w:jc w:val="both"/>
        <w:rPr>
          <w:noProof/>
          <w:sz w:val="26"/>
          <w:szCs w:val="26"/>
        </w:rPr>
      </w:pPr>
      <w:r>
        <w:rPr>
          <w:noProof/>
          <w:sz w:val="26"/>
          <w:szCs w:val="26"/>
        </w:rPr>
        <w:t xml:space="preserve">+ Các hồ chứa có chức năng cấp nước sinh hoạt: Năm 2023: </w:t>
      </w:r>
      <w:r>
        <w:rPr>
          <w:noProof/>
          <w:spacing w:val="-4"/>
          <w:sz w:val="26"/>
          <w:szCs w:val="26"/>
        </w:rPr>
        <w:t xml:space="preserve">Hàm lượng Coliform </w:t>
      </w:r>
      <w:r>
        <w:rPr>
          <w:noProof/>
          <w:sz w:val="26"/>
          <w:szCs w:val="26"/>
        </w:rPr>
        <w:t xml:space="preserve">trung bình năm trong nước hồ Thiên Tượng, hồ Bình Hà, đập Khe Hao, hồ Đá Hàn, hồ Kẻ Gỗ, đập Đá Hàn, hồ Sông Rác, hồ Kim Sơn có vượt giá trị giới hạn tại </w:t>
      </w:r>
      <w:r>
        <w:rPr>
          <w:bCs/>
          <w:sz w:val="26"/>
          <w:szCs w:val="26"/>
        </w:rPr>
        <w:t xml:space="preserve">Mức A </w:t>
      </w:r>
      <w:r>
        <w:rPr>
          <w:noProof/>
          <w:sz w:val="26"/>
          <w:szCs w:val="26"/>
        </w:rPr>
        <w:t xml:space="preserve">QCVN 08:2023/BTNMT thời điểm quan trắc từ 1,21 - 2,98 lần; </w:t>
      </w:r>
      <w:r>
        <w:rPr>
          <w:noProof/>
          <w:spacing w:val="-4"/>
          <w:sz w:val="26"/>
          <w:szCs w:val="26"/>
        </w:rPr>
        <w:t xml:space="preserve">Hàm lượng Coliform </w:t>
      </w:r>
      <w:r>
        <w:rPr>
          <w:noProof/>
          <w:sz w:val="26"/>
          <w:szCs w:val="26"/>
        </w:rPr>
        <w:t xml:space="preserve">trung bình năm trong nước 09 hồ còn lại đạt giá trị giới hạn tại </w:t>
      </w:r>
      <w:r>
        <w:rPr>
          <w:bCs/>
          <w:sz w:val="26"/>
          <w:szCs w:val="26"/>
        </w:rPr>
        <w:t xml:space="preserve">Mức A </w:t>
      </w:r>
      <w:r>
        <w:rPr>
          <w:noProof/>
          <w:sz w:val="26"/>
          <w:szCs w:val="26"/>
        </w:rPr>
        <w:t xml:space="preserve">QCVN 08:2023/BTNMT. Năm 2024: </w:t>
      </w:r>
      <w:r>
        <w:rPr>
          <w:noProof/>
          <w:spacing w:val="-4"/>
          <w:sz w:val="26"/>
          <w:szCs w:val="26"/>
        </w:rPr>
        <w:t xml:space="preserve">Hàm lượng Coliform </w:t>
      </w:r>
      <w:r>
        <w:rPr>
          <w:noProof/>
          <w:sz w:val="26"/>
          <w:szCs w:val="26"/>
        </w:rPr>
        <w:t xml:space="preserve">trung bình năm trong nước hồ Thiên Tượng, đập Đá Hàn, hồ Sông Rác, hồ Mạc Khê có vượt giá trị giới hạn tại </w:t>
      </w:r>
      <w:r>
        <w:rPr>
          <w:bCs/>
          <w:sz w:val="26"/>
          <w:szCs w:val="26"/>
        </w:rPr>
        <w:t xml:space="preserve">Mức A </w:t>
      </w:r>
      <w:r>
        <w:rPr>
          <w:noProof/>
          <w:sz w:val="26"/>
          <w:szCs w:val="26"/>
        </w:rPr>
        <w:t xml:space="preserve">QCVN 08:2023/BTNMT thời điểm quan trắc từ 1,006 - 1,45 lần; </w:t>
      </w:r>
      <w:r>
        <w:rPr>
          <w:noProof/>
          <w:spacing w:val="-4"/>
          <w:sz w:val="26"/>
          <w:szCs w:val="26"/>
        </w:rPr>
        <w:t xml:space="preserve">Hàm lượng Coliform </w:t>
      </w:r>
      <w:r>
        <w:rPr>
          <w:noProof/>
          <w:sz w:val="26"/>
          <w:szCs w:val="26"/>
        </w:rPr>
        <w:t xml:space="preserve">trung bình năm trong nước 14 hồ còn lại đạt giá trị giới hạn tại </w:t>
      </w:r>
      <w:r>
        <w:rPr>
          <w:bCs/>
          <w:sz w:val="26"/>
          <w:szCs w:val="26"/>
        </w:rPr>
        <w:t xml:space="preserve">Mức A </w:t>
      </w:r>
      <w:r>
        <w:rPr>
          <w:noProof/>
          <w:sz w:val="26"/>
          <w:szCs w:val="26"/>
        </w:rPr>
        <w:t xml:space="preserve">QCVN 08:2023/BTNMT; Tính đến Quý II/2025: </w:t>
      </w:r>
      <w:r>
        <w:rPr>
          <w:noProof/>
          <w:spacing w:val="-4"/>
          <w:sz w:val="26"/>
          <w:szCs w:val="26"/>
        </w:rPr>
        <w:t xml:space="preserve">Hàm lượng Coliform </w:t>
      </w:r>
      <w:r>
        <w:rPr>
          <w:noProof/>
          <w:sz w:val="26"/>
          <w:szCs w:val="26"/>
        </w:rPr>
        <w:t xml:space="preserve">trung bình năm trong </w:t>
      </w:r>
      <w:r>
        <w:rPr>
          <w:noProof/>
          <w:sz w:val="26"/>
          <w:szCs w:val="26"/>
        </w:rPr>
        <w:lastRenderedPageBreak/>
        <w:t xml:space="preserve">nước của tất cả các hồ chứa nước mặt tại thời điểm quan trắc đạt giá trị giới hạn tại </w:t>
      </w:r>
      <w:r>
        <w:rPr>
          <w:bCs/>
          <w:sz w:val="26"/>
          <w:szCs w:val="26"/>
        </w:rPr>
        <w:t xml:space="preserve">Mức A </w:t>
      </w:r>
      <w:r>
        <w:rPr>
          <w:noProof/>
          <w:sz w:val="26"/>
          <w:szCs w:val="26"/>
        </w:rPr>
        <w:t>QCVN 08:2023/BTNMT.</w:t>
      </w:r>
    </w:p>
    <w:p w14:paraId="3C63210E" w14:textId="77777777" w:rsidR="00085789" w:rsidRDefault="00000000">
      <w:pPr>
        <w:spacing w:before="120" w:line="240" w:lineRule="auto"/>
        <w:ind w:firstLine="709"/>
        <w:jc w:val="both"/>
        <w:rPr>
          <w:b/>
          <w:bCs/>
          <w:spacing w:val="-2"/>
          <w:sz w:val="26"/>
          <w:szCs w:val="26"/>
        </w:rPr>
      </w:pPr>
      <w:r>
        <w:rPr>
          <w:b/>
          <w:bCs/>
          <w:spacing w:val="-2"/>
          <w:sz w:val="26"/>
          <w:szCs w:val="26"/>
        </w:rPr>
        <w:t>b) Đánh giá chất lượng nước hệ thống các hồ, đập giai đoạn 2021-2024:</w:t>
      </w:r>
    </w:p>
    <w:p w14:paraId="41F7E044" w14:textId="77777777" w:rsidR="00085789" w:rsidRDefault="00000000">
      <w:pPr>
        <w:spacing w:before="120" w:line="240" w:lineRule="auto"/>
        <w:ind w:firstLine="709"/>
        <w:jc w:val="both"/>
        <w:rPr>
          <w:noProof/>
          <w:spacing w:val="-4"/>
          <w:sz w:val="26"/>
          <w:szCs w:val="26"/>
        </w:rPr>
      </w:pPr>
      <w:r>
        <w:rPr>
          <w:bCs/>
          <w:iCs/>
          <w:sz w:val="26"/>
          <w:szCs w:val="26"/>
          <w:lang w:val="pt-BR"/>
        </w:rPr>
        <w:t>Chất lượng nước hệ thống các hồ, đập được thể hiện qua chỉ số đánh giá chất lượng nước WQI như hình sau:</w:t>
      </w:r>
    </w:p>
    <w:p w14:paraId="5D6363CC" w14:textId="77777777" w:rsidR="00085789" w:rsidRDefault="00000000">
      <w:pPr>
        <w:spacing w:line="240" w:lineRule="auto"/>
        <w:rPr>
          <w:noProof/>
          <w:sz w:val="26"/>
          <w:szCs w:val="26"/>
        </w:rPr>
      </w:pPr>
      <w:r>
        <w:rPr>
          <w:noProof/>
        </w:rPr>
        <w:drawing>
          <wp:inline distT="0" distB="0" distL="0" distR="0" wp14:anchorId="33BEE9CB" wp14:editId="3E1BF0BB">
            <wp:extent cx="9324975" cy="3152775"/>
            <wp:effectExtent l="0" t="0" r="9525" b="9525"/>
            <wp:docPr id="179338108" name="Chart 1">
              <a:extLst xmlns:a="http://schemas.openxmlformats.org/drawingml/2006/main">
                <a:ext uri="{FF2B5EF4-FFF2-40B4-BE49-F238E27FC236}">
                  <a16:creationId xmlns:a16="http://schemas.microsoft.com/office/drawing/2014/main" id="{A6B9E411-D7DA-45C9-8C5B-734892E86C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8F873CF" w14:textId="77777777" w:rsidR="00085789" w:rsidRDefault="00000000">
      <w:pPr>
        <w:pStyle w:val="-bac4"/>
      </w:pPr>
      <w:bookmarkStart w:id="738" w:name="_Toc205915748"/>
      <w:bookmarkStart w:id="739" w:name="_Toc213597443"/>
      <w:bookmarkStart w:id="740" w:name="_Toc213600801"/>
      <w:r>
        <w:t xml:space="preserve">Hình 3.48. Chỉ số WQI trong nước mặt các hồ/đập trên địa bàn tỉnh </w:t>
      </w:r>
      <w:r>
        <w:rPr>
          <w:bCs/>
          <w:spacing w:val="-2"/>
        </w:rPr>
        <w:t>giai đoạn 2021-2024</w:t>
      </w:r>
      <w:bookmarkEnd w:id="738"/>
      <w:bookmarkEnd w:id="739"/>
      <w:bookmarkEnd w:id="740"/>
    </w:p>
    <w:p w14:paraId="7E7F98D9" w14:textId="77777777" w:rsidR="00085789" w:rsidRDefault="00000000">
      <w:pPr>
        <w:spacing w:before="120" w:line="240" w:lineRule="auto"/>
        <w:ind w:firstLine="720"/>
        <w:jc w:val="both"/>
        <w:rPr>
          <w:bCs/>
          <w:i/>
          <w:sz w:val="26"/>
          <w:szCs w:val="26"/>
          <w:u w:val="single"/>
          <w:lang w:val="pt-BR"/>
        </w:rPr>
      </w:pPr>
      <w:r>
        <w:rPr>
          <w:bCs/>
          <w:i/>
          <w:sz w:val="26"/>
          <w:szCs w:val="26"/>
          <w:u w:val="single"/>
          <w:lang w:val="pt-BR"/>
        </w:rPr>
        <w:t>Nhận xét:</w:t>
      </w:r>
    </w:p>
    <w:p w14:paraId="0017B612" w14:textId="77777777" w:rsidR="00085789" w:rsidRDefault="00000000">
      <w:pPr>
        <w:spacing w:before="120" w:line="240" w:lineRule="auto"/>
        <w:ind w:firstLine="720"/>
        <w:jc w:val="both"/>
        <w:rPr>
          <w:sz w:val="26"/>
          <w:szCs w:val="26"/>
          <w:lang w:val="pt-BR"/>
        </w:rPr>
        <w:sectPr w:rsidR="00085789">
          <w:pgSz w:w="16834" w:h="11909" w:orient="landscape" w:code="9"/>
          <w:pgMar w:top="1134" w:right="1134" w:bottom="1134" w:left="1134" w:header="680" w:footer="397" w:gutter="0"/>
          <w:cols w:space="720"/>
          <w:docGrid w:linePitch="381"/>
        </w:sectPr>
      </w:pPr>
      <w:r>
        <w:rPr>
          <w:bCs/>
          <w:iCs/>
          <w:sz w:val="26"/>
          <w:szCs w:val="26"/>
          <w:lang w:val="pt-BR"/>
        </w:rPr>
        <w:t xml:space="preserve">Nhìn vào </w:t>
      </w:r>
      <w:r>
        <w:rPr>
          <w:sz w:val="26"/>
          <w:szCs w:val="26"/>
          <w:lang w:val="pt-BR"/>
        </w:rPr>
        <w:t xml:space="preserve">chỉ số chất lượng nước WQI trung bình năm của các hồ/đập trên địa bàn Hà Tĩnh cho thấy hồ Vực Trống (năm 2021-2022) có chất lượng nước có thể sử dụng cho giao thông thủy và các mục đích tương đương khác; đập dâng Vũ Quang (năm 2021), hồ Bồng Sơn (năm 2021-2022), hồ Khe Lang (năm 2021-2022) có chất lượng nước </w:t>
      </w:r>
      <w:r>
        <w:rPr>
          <w:sz w:val="26"/>
          <w:szCs w:val="26"/>
          <w:lang w:val="vi-VN"/>
        </w:rPr>
        <w:t>có thể sử dụng cho mục đích tưới tiêu và các mục đích tương đương khác</w:t>
      </w:r>
      <w:r>
        <w:rPr>
          <w:sz w:val="26"/>
          <w:szCs w:val="26"/>
          <w:lang w:val="pt-BR"/>
        </w:rPr>
        <w:t xml:space="preserve">; các hồ, đập còn lại đều có chất lượng nước có thể sử dụng cho mục đích cấp nước sinh hoạt nhưng cần có các biện pháp xử lý phù hợp. Như vậy một số hồ chứa có chất lượng nước trung bình là do ô nhiễm chất hữu cơ và đặc biệt là giảm giá trị pH tại một số đợt quan trắc. Các </w:t>
      </w:r>
    </w:p>
    <w:p w14:paraId="28B0801F" w14:textId="77777777" w:rsidR="00085789" w:rsidRDefault="00000000">
      <w:pPr>
        <w:spacing w:before="120" w:line="240" w:lineRule="auto"/>
        <w:jc w:val="both"/>
        <w:rPr>
          <w:sz w:val="26"/>
          <w:szCs w:val="26"/>
          <w:lang w:val="pt-BR"/>
        </w:rPr>
      </w:pPr>
      <w:r>
        <w:rPr>
          <w:sz w:val="26"/>
          <w:szCs w:val="26"/>
          <w:lang w:val="pt-BR"/>
        </w:rPr>
        <w:lastRenderedPageBreak/>
        <w:t>vị trí có chỉ số chất lượng nước WQI cao hơn và chưa biểu hiện ô nhiễm tập trung chủ yếu tại những hồ đập ít chịu ảnh hưởng do chất thải của con người tạo ra như hồ Bộc Nguyên, hồ Kẻ Gỗ, hồ Sông Rác, hồ Kim Sơn, hồ Thượng Sông Trí, hồ Xuân Hoa,....</w:t>
      </w:r>
    </w:p>
    <w:p w14:paraId="162FE5DB" w14:textId="77777777" w:rsidR="00085789" w:rsidRDefault="00000000">
      <w:pPr>
        <w:spacing w:before="120" w:line="240" w:lineRule="auto"/>
        <w:ind w:firstLine="709"/>
        <w:jc w:val="both"/>
        <w:rPr>
          <w:sz w:val="26"/>
          <w:szCs w:val="26"/>
          <w:lang w:val="nl-NL"/>
        </w:rPr>
      </w:pPr>
      <w:r>
        <w:rPr>
          <w:sz w:val="26"/>
          <w:szCs w:val="26"/>
          <w:lang w:val="pt-BR"/>
        </w:rPr>
        <w:t xml:space="preserve">Như vậy, qua kết quả phân tích cho thấy hầu hết các vị trí quan trắc có sự biến động lớn các chất hữu cơ, chất dinh dưỡng, Sắt, Mangan, Clorua, pH và Coliform qua các thời điểm quan trắc là do </w:t>
      </w:r>
      <w:r>
        <w:rPr>
          <w:sz w:val="26"/>
          <w:szCs w:val="26"/>
          <w:lang w:val="nl-NL"/>
        </w:rPr>
        <w:t>chịu ảnh hưởng lớn theo mùa, trong đó mùa khô lưu lượng nước từ thượng nguồn đổ về và nguồn nước mưa bề mặt ít hơn mùa mưa tạo điều kiện cho việc xâm nhập mặn vào nội đồng. Mùa mưa, lượng nước mưa lớn sẽ góp phần làm pha loãng các chất bẩn bề mặt, chất bẩn có trong nước.</w:t>
      </w:r>
    </w:p>
    <w:p w14:paraId="4691B356" w14:textId="7408176D" w:rsidR="00085789" w:rsidRDefault="00000000">
      <w:pPr>
        <w:spacing w:before="120" w:line="240" w:lineRule="auto"/>
        <w:ind w:firstLine="709"/>
        <w:jc w:val="both"/>
        <w:rPr>
          <w:sz w:val="26"/>
          <w:szCs w:val="26"/>
          <w:lang w:val="nl-NL"/>
        </w:rPr>
      </w:pPr>
      <w:r>
        <w:rPr>
          <w:sz w:val="26"/>
          <w:szCs w:val="26"/>
          <w:lang w:val="nl-NL"/>
        </w:rPr>
        <w:t xml:space="preserve"> Hiện nay, trên địa bàn tỉnh Hà Tĩnh đã có 348 hồ chứa thủy lợi và khoảng 86 đập dâng giữ nước nhằm tích trữ, ngăn mặn chủ động trong việc điều tiết nguồn nước phục vụ sản xuất của người dân. Các công trình thủy lợi, đập dâng ngoài những ý nghĩa tích cực nêu trên thì cũng là nguyên nhân làm thay đổi dòng chảy tự nhiên, giảm lưu tốc dòng chảy, ảnh hưởng đến khả năng tự làm sạch tự nhiên, một số vị trí có hiện tượng ô nhiễm cục bộ do bị tù nước, gây nên tình trạng phú dưỡng không đảm bảo cho việc cung cấp nước sinh hoạt cho người dân. Ô nhiễm cục bộ có thể diễn ra ở một số sông, suối, kênh, mương, lạch, ao, hồ,... là nguồn tiếp nhận nước thải khu vực trung tâm đô thị, khu vực tập trung đông dân cư, khu vực tập trung hoạt động chăn nuôi lợn, tập trung hoạt động nuôi tôm (các dòng chảy chịu tác động lớn bởi hoạt động đô thị hóa như sông Rào Cái qua phường Hà Huy Tập, Thành Sen và Trần Phú; sông Cày qua phường Thành Sen, Trần Phú và xã Thạch Hà; sông Quyền qua khu kinh tế Vũng Áng,...; các dòng chịu tác động bởi hoạt động NTTS có quy mô tập trung như sông Nghèn đoạn dưới cống Đò Điệm đến cầu Cửa Sót, sông Gia Hội đoạn cầu Cửa Nhượng, sông Vịnh đoạn phường Hải Ninh,...). Việc sử dụng các loại hóa chất xử lý nguồn nước, thức ăn dư thừa, bùn cặn phát sinh từ hoạt động NTTS trong trường hợp không có biện pháp quản lý đảm bảo sẽ gây nên tình trạng ô nhiễm nguồn nước, trực tiếp ảnh hưởng đến hoạt động NTTS của người dân, đặc biệt là hoạt động nuôi tôm.</w:t>
      </w:r>
    </w:p>
    <w:p w14:paraId="5E99CD98" w14:textId="77777777" w:rsidR="00085789" w:rsidRDefault="00000000">
      <w:pPr>
        <w:pStyle w:val="-bac3"/>
        <w:spacing w:before="120" w:after="0" w:line="240" w:lineRule="auto"/>
        <w:rPr>
          <w:smallCaps/>
          <w:lang w:val="nl-NL"/>
        </w:rPr>
      </w:pPr>
      <w:bookmarkStart w:id="741" w:name="_Toc214311234"/>
      <w:bookmarkStart w:id="742" w:name="_Toc181861462"/>
      <w:bookmarkStart w:id="743" w:name="_Toc181861952"/>
      <w:bookmarkStart w:id="744" w:name="_Toc184097562"/>
      <w:r>
        <w:rPr>
          <w:lang w:val="nl-NL"/>
        </w:rPr>
        <w:t>3.1.2.3. Các vấn đề môi trường nước mặt</w:t>
      </w:r>
      <w:bookmarkEnd w:id="741"/>
    </w:p>
    <w:bookmarkEnd w:id="742"/>
    <w:bookmarkEnd w:id="743"/>
    <w:bookmarkEnd w:id="744"/>
    <w:p w14:paraId="4D713AE0" w14:textId="77777777" w:rsidR="00085789" w:rsidRDefault="00000000">
      <w:pPr>
        <w:widowControl w:val="0"/>
        <w:spacing w:before="120" w:line="240" w:lineRule="auto"/>
        <w:ind w:firstLine="709"/>
        <w:jc w:val="both"/>
        <w:rPr>
          <w:sz w:val="26"/>
          <w:szCs w:val="26"/>
          <w:lang w:val="nl-NL"/>
        </w:rPr>
      </w:pPr>
      <w:r>
        <w:rPr>
          <w:sz w:val="26"/>
          <w:szCs w:val="26"/>
          <w:lang w:val="nl-NL"/>
        </w:rPr>
        <w:t xml:space="preserve">Hầu hết các khu vực có nguy cơ chịu tác động tiêu cực từ hoạt động phát triển kinh tế tập trung tại khu vực đồng bằng và đồng bằng ven biển của tỉnh. Trong báo cáo đã xác định được một số sông, suối, hồ đập là khu vực tiếp nhận nhiều nguồn thải có nguy cơ ô nhiễm cao, trong giai đoạn từ năm 2021 - 2025, tại một số nguồn nước đã xảy ra tình trạng ô nhiễm cục bộ, cá chết, hoặc bị thủy sinh mọc gây ảnh hưởng đến môi trường nước mặt, cụ thể như sau: </w:t>
      </w:r>
    </w:p>
    <w:p w14:paraId="0BEC8A7B" w14:textId="77777777" w:rsidR="00085789" w:rsidRDefault="00000000">
      <w:pPr>
        <w:widowControl w:val="0"/>
        <w:spacing w:before="120" w:line="240" w:lineRule="auto"/>
        <w:ind w:firstLine="709"/>
        <w:jc w:val="both"/>
        <w:rPr>
          <w:sz w:val="26"/>
          <w:szCs w:val="26"/>
          <w:lang w:val="nl-NL"/>
        </w:rPr>
      </w:pPr>
      <w:r>
        <w:rPr>
          <w:b/>
          <w:sz w:val="26"/>
          <w:szCs w:val="26"/>
          <w:lang w:val="nl-NL"/>
        </w:rPr>
        <w:t>(1) Đối với sông, suối:</w:t>
      </w:r>
    </w:p>
    <w:p w14:paraId="0C8941C4" w14:textId="77777777" w:rsidR="00085789" w:rsidRDefault="00000000">
      <w:pPr>
        <w:widowControl w:val="0"/>
        <w:shd w:val="clear" w:color="auto" w:fill="FFFFFF" w:themeFill="background1"/>
        <w:spacing w:before="120" w:line="240" w:lineRule="auto"/>
        <w:ind w:firstLine="709"/>
        <w:jc w:val="both"/>
        <w:rPr>
          <w:sz w:val="26"/>
          <w:szCs w:val="26"/>
          <w:shd w:val="clear" w:color="auto" w:fill="FCFDFE"/>
          <w:lang w:val="nl-NL"/>
        </w:rPr>
      </w:pPr>
      <w:r>
        <w:rPr>
          <w:sz w:val="26"/>
          <w:szCs w:val="26"/>
          <w:lang w:val="nl-NL"/>
        </w:rPr>
        <w:t>- Lưu vực sông Nghèn giai đoạn từ năm 2021 đến nay chịu nhiều tác động bởi hoạt động sinh hoạt, sản xuất công nghiệp và dịch vụ. Đây là dòng chảy chịu sự kiểm soát của con người (thượng nguồn có cống ngăn mặn Trung Lương; hạ lưu có cống ngăn mặn Đò Điểm). Tình trạng thủy sinh mọc trên bề mặt nước xảy ra ở nhiều khu vực trong lưu vực sông Nghèn, gây ô nhiễm cho dòng chảy. Điển hình như sông Già (nhánh lớn của hệ thống Sông Nghèn)</w:t>
      </w:r>
      <w:r>
        <w:rPr>
          <w:sz w:val="26"/>
          <w:szCs w:val="26"/>
          <w:shd w:val="clear" w:color="auto" w:fill="FCFDFE"/>
          <w:lang w:val="nl-NL"/>
        </w:rPr>
        <w:t xml:space="preserve"> đoạn từ cầu Già (trên Quốc lộ 1A) ngược</w:t>
      </w:r>
      <w:r>
        <w:rPr>
          <w:spacing w:val="2"/>
          <w:sz w:val="26"/>
          <w:szCs w:val="26"/>
          <w:shd w:val="clear" w:color="auto" w:fill="FCFDFE"/>
          <w:lang w:val="nl-NL"/>
        </w:rPr>
        <w:t xml:space="preserve"> về thượng nguồn với chiều dài khoảng 1km ở xã </w:t>
      </w:r>
      <w:r>
        <w:rPr>
          <w:sz w:val="26"/>
          <w:szCs w:val="26"/>
          <w:shd w:val="clear" w:color="auto" w:fill="FCFDFE"/>
          <w:lang w:val="nl-NL"/>
        </w:rPr>
        <w:t xml:space="preserve">Thạch Liên bị bèo lục bình phủ kín một màu xanh. Cũng </w:t>
      </w:r>
      <w:r>
        <w:rPr>
          <w:b/>
          <w:noProof/>
        </w:rPr>
        <w:lastRenderedPageBreak/>
        <w:drawing>
          <wp:anchor distT="0" distB="0" distL="114300" distR="114300" simplePos="0" relativeHeight="251999744" behindDoc="1" locked="0" layoutInCell="1" allowOverlap="1" wp14:anchorId="50EF038F" wp14:editId="7C6865AE">
            <wp:simplePos x="0" y="0"/>
            <wp:positionH relativeFrom="margin">
              <wp:align>right</wp:align>
            </wp:positionH>
            <wp:positionV relativeFrom="paragraph">
              <wp:posOffset>93297</wp:posOffset>
            </wp:positionV>
            <wp:extent cx="3089275" cy="1812925"/>
            <wp:effectExtent l="0" t="0" r="0" b="0"/>
            <wp:wrapTight wrapText="bothSides">
              <wp:wrapPolygon edited="0">
                <wp:start x="0" y="0"/>
                <wp:lineTo x="0" y="21335"/>
                <wp:lineTo x="21445" y="21335"/>
                <wp:lineTo x="21445"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7" cstate="print">
                      <a:extLst>
                        <a:ext uri="{BEBA8EAE-BF5A-486C-A8C5-ECC9F3942E4B}">
                          <a14:imgProps xmlns:a14="http://schemas.microsoft.com/office/drawing/2010/main">
                            <a14:imgLayer r:embed="rId88">
                              <a14:imgEffect>
                                <a14:sharpenSoften amount="25000"/>
                              </a14:imgEffect>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89275" cy="181292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szCs w:val="26"/>
          <w:shd w:val="clear" w:color="auto" w:fill="FCFDFE"/>
          <w:lang w:val="nl-NL"/>
        </w:rPr>
        <w:t>vì mặt sông bị bèo bao phủ mà nhiều người dân xã Thạch Liên không dám dùng nước sạch của Nhà máy nước sạch Bắc Thạch Hà lấy nước thô từ sông này để sản xuất nước sinh hoạt</w:t>
      </w:r>
      <w:r>
        <w:rPr>
          <w:b/>
          <w:noProof/>
        </w:rPr>
        <mc:AlternateContent>
          <mc:Choice Requires="wps">
            <w:drawing>
              <wp:anchor distT="0" distB="0" distL="114300" distR="114300" simplePos="0" relativeHeight="252000768" behindDoc="1" locked="0" layoutInCell="1" allowOverlap="1" wp14:anchorId="4C11B128" wp14:editId="5DC62991">
                <wp:simplePos x="0" y="0"/>
                <wp:positionH relativeFrom="margin">
                  <wp:posOffset>2670893</wp:posOffset>
                </wp:positionH>
                <wp:positionV relativeFrom="paragraph">
                  <wp:posOffset>1865906</wp:posOffset>
                </wp:positionV>
                <wp:extent cx="3138805" cy="614045"/>
                <wp:effectExtent l="0" t="0" r="0" b="0"/>
                <wp:wrapTight wrapText="bothSides">
                  <wp:wrapPolygon edited="0">
                    <wp:start x="393" y="0"/>
                    <wp:lineTo x="393" y="20774"/>
                    <wp:lineTo x="21106" y="20774"/>
                    <wp:lineTo x="21106" y="0"/>
                    <wp:lineTo x="393" y="0"/>
                  </wp:wrapPolygon>
                </wp:wrapTight>
                <wp:docPr id="956825989" name="Text Box 84"/>
                <wp:cNvGraphicFramePr/>
                <a:graphic xmlns:a="http://schemas.openxmlformats.org/drawingml/2006/main">
                  <a:graphicData uri="http://schemas.microsoft.com/office/word/2010/wordprocessingShape">
                    <wps:wsp>
                      <wps:cNvSpPr txBox="1"/>
                      <wps:spPr>
                        <a:xfrm>
                          <a:off x="0" y="0"/>
                          <a:ext cx="3138805" cy="614045"/>
                        </a:xfrm>
                        <a:prstGeom prst="rect">
                          <a:avLst/>
                        </a:prstGeom>
                        <a:noFill/>
                        <a:ln w="6350">
                          <a:noFill/>
                        </a:ln>
                      </wps:spPr>
                      <wps:txbx>
                        <w:txbxContent>
                          <w:p w14:paraId="0E871A25" w14:textId="77777777" w:rsidR="00085789" w:rsidRDefault="00000000">
                            <w:pPr>
                              <w:pStyle w:val="-bac4"/>
                            </w:pPr>
                            <w:bookmarkStart w:id="745" w:name="_Toc205915750"/>
                            <w:bookmarkStart w:id="746" w:name="_Toc213597445"/>
                            <w:bookmarkStart w:id="747" w:name="_Toc213600802"/>
                            <w:r>
                              <w:rPr>
                                <w:lang w:val="nl-NL"/>
                              </w:rPr>
                              <w:t>Hình 3.49. Hình ảnh sông Nghèn về phía Cầu Già</w:t>
                            </w:r>
                            <w:bookmarkEnd w:id="745"/>
                            <w:bookmarkEnd w:id="746"/>
                            <w:bookmarkEnd w:id="74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632C15" id="Text Box 84" o:spid="_x0000_s1034" type="#_x0000_t202" style="position:absolute;left:0;text-align:left;margin-left:210.3pt;margin-top:146.9pt;width:247.15pt;height:48.35pt;z-index:-251315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" filled="f" stroked="f" strokeweight=".5pt">
                <v:textbox>
                  <w:txbxContent>
                    <w:p w14:paraId="742E28E9" w14:textId="77777777" w:rsidR="000E0CEF" w:rsidRDefault="000E0CEF">
                      <w:pPr>
                        <w:pStyle w:val="-bac4"/>
                      </w:pPr>
                      <w:bookmarkStart w:id="783" w:name="_Toc205915750"/>
                      <w:bookmarkStart w:id="784" w:name="_Toc213597445"/>
                      <w:bookmarkStart w:id="785" w:name="_Toc213600802"/>
                      <w:r>
                        <w:rPr>
                          <w:lang w:val="nl-NL"/>
                        </w:rPr>
                        <w:t>Hình 3.49. Hình ảnh sông Nghèn về phía Cầu Già</w:t>
                      </w:r>
                      <w:bookmarkEnd w:id="783"/>
                      <w:bookmarkEnd w:id="784"/>
                      <w:bookmarkEnd w:id="785"/>
                    </w:p>
                  </w:txbxContent>
                </v:textbox>
                <w10:wrap type="tight" anchorx="margin"/>
              </v:shape>
            </w:pict>
          </mc:Fallback>
        </mc:AlternateContent>
      </w:r>
      <w:r>
        <w:rPr>
          <w:sz w:val="26"/>
          <w:szCs w:val="26"/>
          <w:shd w:val="clear" w:color="auto" w:fill="FCFDFE"/>
          <w:lang w:val="nl-NL"/>
        </w:rPr>
        <w:t>.</w:t>
      </w:r>
    </w:p>
    <w:p w14:paraId="08ACAEB5" w14:textId="77777777" w:rsidR="00085789" w:rsidRDefault="00000000">
      <w:pPr>
        <w:widowControl w:val="0"/>
        <w:spacing w:before="120" w:line="240" w:lineRule="auto"/>
        <w:ind w:firstLine="709"/>
        <w:jc w:val="both"/>
        <w:rPr>
          <w:sz w:val="26"/>
          <w:szCs w:val="26"/>
          <w:lang w:val="nl-NL"/>
        </w:rPr>
      </w:pPr>
      <w:r>
        <w:rPr>
          <w:sz w:val="26"/>
          <w:szCs w:val="26"/>
          <w:lang w:val="nl-NL"/>
        </w:rPr>
        <w:t>Ngoài ra, tại một số lưu vực như dòng chính sông Rào Cái (đặc biệt là đoạn có sông Cụt chảy vào) và sông Cày, sông Quyền là các dòng chảy hiện đang chịu nhiều sức ép bởi các nguồn thải từ hoạt động thải của đô thị, nuôi tôm; sông Mỹ Dương chịu sức ép bởi các nguồn thải từ NTTS, chăn nuôi. Các lưu vực cửa sông giáp biển như Cửa Hội, Cửa Sót, Cửa Nhượng và Cửa Khẩu còn chịu tác động mạnh bởi thủy triều, xâm nhập mặn làm giảm khả năng sử dụng nguồn nước mặt từ các khu vực này phục vụ lợi ích cho các hoạt động KT-XH.</w:t>
      </w:r>
    </w:p>
    <w:p w14:paraId="63B71990" w14:textId="77777777" w:rsidR="00085789" w:rsidRDefault="00000000">
      <w:pPr>
        <w:widowControl w:val="0"/>
        <w:spacing w:before="120" w:line="240" w:lineRule="auto"/>
        <w:ind w:firstLine="709"/>
        <w:jc w:val="both"/>
        <w:rPr>
          <w:spacing w:val="-2"/>
          <w:sz w:val="26"/>
          <w:szCs w:val="26"/>
          <w:lang w:val="nl-NL"/>
        </w:rPr>
      </w:pPr>
      <w:r>
        <w:rPr>
          <w:b/>
          <w:spacing w:val="-2"/>
          <w:sz w:val="26"/>
          <w:szCs w:val="26"/>
          <w:lang w:val="nl-NL"/>
        </w:rPr>
        <w:t>(2) Đối với hồ/đập:</w:t>
      </w:r>
    </w:p>
    <w:p w14:paraId="025C91EB" w14:textId="77777777" w:rsidR="00085789" w:rsidRDefault="00000000">
      <w:pPr>
        <w:widowControl w:val="0"/>
        <w:spacing w:before="120" w:line="240" w:lineRule="auto"/>
        <w:ind w:firstLine="709"/>
        <w:jc w:val="both"/>
        <w:rPr>
          <w:spacing w:val="-4"/>
          <w:sz w:val="26"/>
          <w:szCs w:val="26"/>
          <w:lang w:val="nl-NL"/>
        </w:rPr>
      </w:pPr>
      <w:r>
        <w:rPr>
          <w:noProof/>
        </w:rPr>
        <mc:AlternateContent>
          <mc:Choice Requires="wps">
            <w:drawing>
              <wp:anchor distT="0" distB="0" distL="114300" distR="114300" simplePos="0" relativeHeight="252001792" behindDoc="1" locked="0" layoutInCell="1" allowOverlap="1" wp14:anchorId="163577F2" wp14:editId="1C473158">
                <wp:simplePos x="0" y="0"/>
                <wp:positionH relativeFrom="margin">
                  <wp:posOffset>2560320</wp:posOffset>
                </wp:positionH>
                <wp:positionV relativeFrom="paragraph">
                  <wp:posOffset>3190240</wp:posOffset>
                </wp:positionV>
                <wp:extent cx="3173095" cy="559558"/>
                <wp:effectExtent l="0" t="0" r="0" b="0"/>
                <wp:wrapTight wrapText="bothSides">
                  <wp:wrapPolygon edited="0">
                    <wp:start x="389" y="0"/>
                    <wp:lineTo x="389" y="20595"/>
                    <wp:lineTo x="21137" y="20595"/>
                    <wp:lineTo x="21137" y="0"/>
                    <wp:lineTo x="389" y="0"/>
                  </wp:wrapPolygon>
                </wp:wrapTight>
                <wp:docPr id="463609936" name="Text Box 85"/>
                <wp:cNvGraphicFramePr/>
                <a:graphic xmlns:a="http://schemas.openxmlformats.org/drawingml/2006/main">
                  <a:graphicData uri="http://schemas.microsoft.com/office/word/2010/wordprocessingShape">
                    <wps:wsp>
                      <wps:cNvSpPr txBox="1"/>
                      <wps:spPr>
                        <a:xfrm>
                          <a:off x="0" y="0"/>
                          <a:ext cx="3173095" cy="559558"/>
                        </a:xfrm>
                        <a:prstGeom prst="rect">
                          <a:avLst/>
                        </a:prstGeom>
                        <a:noFill/>
                        <a:ln w="6350">
                          <a:noFill/>
                        </a:ln>
                      </wps:spPr>
                      <wps:txbx>
                        <w:txbxContent>
                          <w:p w14:paraId="3235D9F3" w14:textId="77777777" w:rsidR="00085789" w:rsidRDefault="00000000">
                            <w:pPr>
                              <w:jc w:val="center"/>
                              <w:rPr>
                                <w:b/>
                                <w:bCs/>
                              </w:rPr>
                            </w:pPr>
                            <w:r>
                              <w:rPr>
                                <w:b/>
                                <w:bCs/>
                                <w:color w:val="000000" w:themeColor="text1"/>
                                <w:sz w:val="26"/>
                                <w:lang w:val="nl-NL"/>
                              </w:rPr>
                              <w:t>Hình 3.50. Hình ảnh cá chết trôi dạt vào bờ gây mùi hôi, thối tại hồ Khe Lang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0DB1A9" id="Text Box 85" o:spid="_x0000_s1035" type="#_x0000_t202" style="position:absolute;left:0;text-align:left;margin-left:201.6pt;margin-top:251.2pt;width:249.85pt;height:44.05pt;z-index:-251314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" filled="f" stroked="f" strokeweight=".5pt">
                <v:textbox>
                  <w:txbxContent>
                    <w:p w14:paraId="393401E4" w14:textId="77777777" w:rsidR="000E0CEF" w:rsidRDefault="000E0CEF">
                      <w:pPr>
                        <w:jc w:val="center"/>
                        <w:rPr>
                          <w:b/>
                          <w:bCs/>
                        </w:rPr>
                      </w:pPr>
                      <w:r>
                        <w:rPr>
                          <w:b/>
                          <w:bCs/>
                          <w:color w:val="000000" w:themeColor="text1"/>
                          <w:sz w:val="26"/>
                          <w:lang w:val="nl-NL"/>
                        </w:rPr>
                        <w:t>Hình 3.50. Hình ảnh cá chết trôi dạt vào bờ gây mùi hôi, thối tại hồ Khe Lang</w:t>
                      </w:r>
                    </w:p>
                  </w:txbxContent>
                </v:textbox>
                <w10:wrap type="tight" anchorx="margin"/>
              </v:shape>
            </w:pict>
          </mc:Fallback>
        </mc:AlternateContent>
      </w:r>
      <w:r>
        <w:rPr>
          <w:noProof/>
        </w:rPr>
        <w:drawing>
          <wp:anchor distT="0" distB="0" distL="114300" distR="114300" simplePos="0" relativeHeight="251968000" behindDoc="1" locked="0" layoutInCell="1" allowOverlap="1" wp14:anchorId="723CB9CF" wp14:editId="1EB126EC">
            <wp:simplePos x="0" y="0"/>
            <wp:positionH relativeFrom="margin">
              <wp:align>right</wp:align>
            </wp:positionH>
            <wp:positionV relativeFrom="paragraph">
              <wp:posOffset>1163102</wp:posOffset>
            </wp:positionV>
            <wp:extent cx="3152775" cy="2046605"/>
            <wp:effectExtent l="0" t="0" r="9525" b="0"/>
            <wp:wrapTight wrapText="bothSides">
              <wp:wrapPolygon edited="0">
                <wp:start x="0" y="0"/>
                <wp:lineTo x="0" y="21312"/>
                <wp:lineTo x="21535" y="21312"/>
                <wp:lineTo x="21535"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152775" cy="2046605"/>
                    </a:xfrm>
                    <a:prstGeom prst="rect">
                      <a:avLst/>
                    </a:prstGeom>
                    <a:noFill/>
                    <a:ln>
                      <a:noFill/>
                    </a:ln>
                  </pic:spPr>
                </pic:pic>
              </a:graphicData>
            </a:graphic>
            <wp14:sizeRelH relativeFrom="page">
              <wp14:pctWidth>0</wp14:pctWidth>
            </wp14:sizeRelH>
            <wp14:sizeRelV relativeFrom="page">
              <wp14:pctHeight>0</wp14:pctHeight>
            </wp14:sizeRelV>
          </wp:anchor>
        </w:drawing>
      </w:r>
      <w:r>
        <w:rPr>
          <w:spacing w:val="-4"/>
          <w:sz w:val="26"/>
          <w:szCs w:val="26"/>
          <w:lang w:val="nl-NL"/>
        </w:rPr>
        <w:t>- Hồ Khe Lang: Hồ Khe Lang là hồ chứa chịu nhiều sức ép từ hoạt động chăn nuôi của xã Trường Lưu và xã Đức Thịnh. Năm 2022, hồ Khe Lang xuất hiện tình trạng cá chết, nguồn nước đổi màu (xuất hiện từ ngày 06-13/7). Trước tình trạng ô nhiễm môi trường tại nguồn nước hồ Khe Lang, UBND tỉnh Hà Tĩnh đã chỉ đạo các sở, ngành và địa phương  thực hiện kiểm tra công tác bảo vệ môi trường, tài nguyên nước trong lưu vực hồ Khe Lang. Kết quả phân tích mẫu nước tại hai vị trí các dòng chảy về khu vực hồ Khe Lang đều có hàm lượng các chất dinh dưỡng vượt rất cao (Amoni từ 9,33 đến 50 lần và Photphat từ 9 đến 28,5 lần), hàm lượng thông số các chất hữu cơ COD gia tăng vượt mức giới hạn cho phép 1,1 lần và BOD</w:t>
      </w:r>
      <w:r>
        <w:rPr>
          <w:spacing w:val="-4"/>
          <w:sz w:val="26"/>
          <w:szCs w:val="26"/>
          <w:vertAlign w:val="subscript"/>
          <w:lang w:val="nl-NL"/>
        </w:rPr>
        <w:t>5</w:t>
      </w:r>
      <w:r>
        <w:rPr>
          <w:spacing w:val="-4"/>
          <w:sz w:val="26"/>
          <w:szCs w:val="26"/>
          <w:lang w:val="nl-NL"/>
        </w:rPr>
        <w:t xml:space="preserve"> vượt đến </w:t>
      </w:r>
      <w:r>
        <w:rPr>
          <w:spacing w:val="-2"/>
          <w:sz w:val="26"/>
          <w:szCs w:val="26"/>
          <w:lang w:val="nl-NL"/>
        </w:rPr>
        <w:t xml:space="preserve">2,2 lần khiến nhu cầu sử </w:t>
      </w:r>
      <w:r>
        <w:rPr>
          <w:spacing w:val="-4"/>
          <w:sz w:val="26"/>
          <w:szCs w:val="26"/>
          <w:lang w:val="nl-NL"/>
        </w:rPr>
        <w:t xml:space="preserve">dụng oxy để các loài sinh vật phân hủy các hợp chất hữu cơ, vô cơ lớn. Đặc biệt, hiện tượng </w:t>
      </w:r>
      <w:r>
        <w:rPr>
          <w:sz w:val="26"/>
          <w:szCs w:val="26"/>
          <w:lang w:val="nl-NL"/>
        </w:rPr>
        <w:t>thời tiết nắng nóng kèm mưa trái mùa trong tháng 6 và 7/2022 đã làm nhiệt độ nước tăng cao đột ngột khiến tốc độ phân hủy càng nhanh hơn. Điều này làm ảnh hưởng đến môi trường nước (thiếu hụt một lượng lớn hàm lượng oxy hòa tan trong nước) và sức đề kháng của các loài động vật thủy sinh, từ đó dễ gây hiện tượng cá ngạt oxy và gây chết. Sau khi xác định được nguyên nhân, Sở Tài nguyên và Môi trường (trước đây) đã tham mưu UBND tỉnh xử lý, vì vậy tình trạng trên không còn diễn ra.</w:t>
      </w:r>
    </w:p>
    <w:p w14:paraId="3456875D" w14:textId="77777777" w:rsidR="00085789" w:rsidRDefault="00000000">
      <w:pPr>
        <w:widowControl w:val="0"/>
        <w:spacing w:before="120" w:line="240" w:lineRule="auto"/>
        <w:ind w:firstLine="709"/>
        <w:jc w:val="both"/>
        <w:rPr>
          <w:spacing w:val="-2"/>
          <w:sz w:val="26"/>
          <w:szCs w:val="26"/>
          <w:lang w:val="nl-NL"/>
        </w:rPr>
      </w:pPr>
      <w:r>
        <w:rPr>
          <w:spacing w:val="-2"/>
          <w:sz w:val="26"/>
          <w:szCs w:val="26"/>
          <w:lang w:val="nl-NL"/>
        </w:rPr>
        <w:t>Ngoài ra, một số hồ điều hòa như Hồ Bồng Sơn, hồ Bình Sơn,... tập trung tại các khu vực đô thị có mật độ dân cư cao, chịu nhiều tác động bởi các nguồn thải (nước thải sinh hoạt, sản xuất, kinh doanh, dịch vụ,...) và chế độ thời tiết nên một số thời điểm trong năm có hiện tượng cá chết, tuy nhiên hiện tượng này phát sinh không nhiều.</w:t>
      </w:r>
    </w:p>
    <w:p w14:paraId="7693CDF4" w14:textId="77777777" w:rsidR="00085789" w:rsidRDefault="00085789">
      <w:pPr>
        <w:widowControl w:val="0"/>
        <w:spacing w:before="120" w:line="240" w:lineRule="auto"/>
        <w:ind w:firstLine="709"/>
        <w:jc w:val="both"/>
        <w:rPr>
          <w:spacing w:val="-2"/>
          <w:sz w:val="26"/>
          <w:szCs w:val="26"/>
          <w:lang w:val="nl-NL"/>
        </w:rPr>
      </w:pPr>
    </w:p>
    <w:p w14:paraId="1F511250" w14:textId="77777777" w:rsidR="00085789" w:rsidRDefault="00000000">
      <w:pPr>
        <w:pStyle w:val="bac2"/>
        <w:spacing w:before="120" w:after="0" w:line="240" w:lineRule="auto"/>
        <w:rPr>
          <w:smallCaps/>
          <w:lang w:val="nl-NL"/>
        </w:rPr>
      </w:pPr>
      <w:bookmarkStart w:id="748" w:name="_Toc214311235"/>
      <w:bookmarkEnd w:id="700"/>
      <w:r>
        <w:rPr>
          <w:lang w:val="nl-NL"/>
        </w:rPr>
        <w:lastRenderedPageBreak/>
        <w:t>3.2. Nước dưới đất</w:t>
      </w:r>
      <w:bookmarkEnd w:id="748"/>
    </w:p>
    <w:p w14:paraId="04384688" w14:textId="77777777" w:rsidR="00085789" w:rsidRDefault="00000000">
      <w:pPr>
        <w:pStyle w:val="bac2"/>
        <w:spacing w:before="120" w:after="0" w:line="240" w:lineRule="auto"/>
        <w:rPr>
          <w:bCs/>
          <w:smallCaps/>
          <w:lang w:val="nl-NL"/>
        </w:rPr>
      </w:pPr>
      <w:bookmarkStart w:id="749" w:name="_Toc214311236"/>
      <w:r>
        <w:rPr>
          <w:lang w:val="nl-NL"/>
        </w:rPr>
        <w:t>3.2.1. Tài nguyên nước dưới đất</w:t>
      </w:r>
      <w:bookmarkEnd w:id="749"/>
    </w:p>
    <w:p w14:paraId="7DF67D1C" w14:textId="77777777" w:rsidR="00085789" w:rsidRDefault="00000000">
      <w:pPr>
        <w:pStyle w:val="-bac3"/>
        <w:spacing w:before="120" w:after="0" w:line="240" w:lineRule="auto"/>
        <w:rPr>
          <w:smallCaps/>
          <w:lang w:val="nl-NL"/>
        </w:rPr>
      </w:pPr>
      <w:bookmarkStart w:id="750" w:name="_Toc214311237"/>
      <w:r>
        <w:rPr>
          <w:lang w:val="nl-NL"/>
        </w:rPr>
        <w:t>3.2.1.1. Hiện trạng tài nguyên nước dưới đất</w:t>
      </w:r>
      <w:bookmarkEnd w:id="750"/>
    </w:p>
    <w:p w14:paraId="742A93BB" w14:textId="77777777" w:rsidR="00085789" w:rsidRDefault="00000000">
      <w:pPr>
        <w:widowControl w:val="0"/>
        <w:spacing w:before="120" w:line="240" w:lineRule="auto"/>
        <w:ind w:firstLine="709"/>
        <w:jc w:val="both"/>
        <w:rPr>
          <w:sz w:val="26"/>
          <w:szCs w:val="26"/>
          <w:lang w:val="nl-NL"/>
        </w:rPr>
      </w:pPr>
      <w:r>
        <w:rPr>
          <w:spacing w:val="-4"/>
          <w:sz w:val="26"/>
          <w:szCs w:val="26"/>
          <w:lang w:val="nl-NL"/>
        </w:rPr>
        <w:t xml:space="preserve">Theo các báo cáo nghiên cứu trước đây phân chia được 16 tầng chứa nước khác nhau, gồm 4 tầng chứa nước lỗ hổng, 11 tầng chứa nước khe nứt, khe nứt - karst, một đới chứa nước trong các thành tạo magma xâm nhập. Trong đó có 3 tầng chứa nước được đánh giá là giàu nước và có ý nghĩa trong việc khai thác với quy mô lớn, đó là các tầng chứa nước khe nứt trong các đá trầm tích hệ Carbon - Permi (c-p) hệ tầng Bắc Sơn, hệ Carbon dưới hệ tầng La Khê (c1) và hệ Devon (d). Ngoài ra còn có các tầng chứa nước khác có mức độ chứa nước trung bình đủ đáp ứng cho nhu cầu khai thác và sử dụng của người dân. </w:t>
      </w:r>
      <w:r>
        <w:rPr>
          <w:sz w:val="26"/>
          <w:szCs w:val="26"/>
          <w:lang w:val="nl-NL"/>
        </w:rPr>
        <w:t>Trên phạm vi toàn tỉnh có mặt các tầng chứa nước chính</w:t>
      </w:r>
      <w:r>
        <w:rPr>
          <w:spacing w:val="1"/>
          <w:sz w:val="26"/>
          <w:szCs w:val="26"/>
          <w:lang w:val="nl-NL"/>
        </w:rPr>
        <w:t xml:space="preserve"> </w:t>
      </w:r>
      <w:r>
        <w:rPr>
          <w:sz w:val="26"/>
          <w:szCs w:val="26"/>
          <w:lang w:val="nl-NL"/>
        </w:rPr>
        <w:t>gồm</w:t>
      </w:r>
      <w:r>
        <w:rPr>
          <w:spacing w:val="-14"/>
          <w:sz w:val="26"/>
          <w:szCs w:val="26"/>
          <w:lang w:val="nl-NL"/>
        </w:rPr>
        <w:t xml:space="preserve"> </w:t>
      </w:r>
      <w:r>
        <w:rPr>
          <w:sz w:val="26"/>
          <w:szCs w:val="26"/>
          <w:lang w:val="nl-NL"/>
        </w:rPr>
        <w:t>qh,</w:t>
      </w:r>
      <w:r>
        <w:rPr>
          <w:spacing w:val="-11"/>
          <w:sz w:val="26"/>
          <w:szCs w:val="26"/>
          <w:lang w:val="nl-NL"/>
        </w:rPr>
        <w:t xml:space="preserve"> </w:t>
      </w:r>
      <w:r>
        <w:rPr>
          <w:sz w:val="26"/>
          <w:szCs w:val="26"/>
          <w:lang w:val="nl-NL"/>
        </w:rPr>
        <w:t>qp,</w:t>
      </w:r>
      <w:r>
        <w:rPr>
          <w:spacing w:val="-12"/>
          <w:sz w:val="26"/>
          <w:szCs w:val="26"/>
          <w:lang w:val="nl-NL"/>
        </w:rPr>
        <w:t xml:space="preserve"> </w:t>
      </w:r>
      <w:r>
        <w:rPr>
          <w:sz w:val="26"/>
          <w:szCs w:val="26"/>
          <w:lang w:val="nl-NL"/>
        </w:rPr>
        <w:t>t2</w:t>
      </w:r>
      <w:r>
        <w:rPr>
          <w:spacing w:val="-11"/>
          <w:sz w:val="26"/>
          <w:szCs w:val="26"/>
          <w:lang w:val="nl-NL"/>
        </w:rPr>
        <w:t xml:space="preserve"> </w:t>
      </w:r>
      <w:r>
        <w:rPr>
          <w:sz w:val="26"/>
          <w:szCs w:val="26"/>
          <w:lang w:val="nl-NL"/>
        </w:rPr>
        <w:t>và</w:t>
      </w:r>
      <w:r>
        <w:rPr>
          <w:spacing w:val="-11"/>
          <w:sz w:val="26"/>
          <w:szCs w:val="26"/>
          <w:lang w:val="nl-NL"/>
        </w:rPr>
        <w:t xml:space="preserve"> </w:t>
      </w:r>
      <w:r>
        <w:rPr>
          <w:sz w:val="26"/>
          <w:szCs w:val="26"/>
          <w:lang w:val="nl-NL"/>
        </w:rPr>
        <w:t>o3-s</w:t>
      </w:r>
      <w:r>
        <w:rPr>
          <w:spacing w:val="-11"/>
          <w:sz w:val="26"/>
          <w:szCs w:val="26"/>
          <w:lang w:val="nl-NL"/>
        </w:rPr>
        <w:t xml:space="preserve"> </w:t>
      </w:r>
      <w:r>
        <w:rPr>
          <w:sz w:val="26"/>
          <w:szCs w:val="26"/>
          <w:lang w:val="nl-NL"/>
        </w:rPr>
        <w:t>tổng</w:t>
      </w:r>
      <w:r>
        <w:rPr>
          <w:spacing w:val="-11"/>
          <w:sz w:val="26"/>
          <w:szCs w:val="26"/>
          <w:lang w:val="nl-NL"/>
        </w:rPr>
        <w:t xml:space="preserve"> </w:t>
      </w:r>
      <w:r>
        <w:rPr>
          <w:sz w:val="26"/>
          <w:szCs w:val="26"/>
          <w:lang w:val="nl-NL"/>
        </w:rPr>
        <w:t>trữ</w:t>
      </w:r>
      <w:r>
        <w:rPr>
          <w:spacing w:val="-10"/>
          <w:sz w:val="26"/>
          <w:szCs w:val="26"/>
          <w:lang w:val="nl-NL"/>
        </w:rPr>
        <w:t xml:space="preserve"> </w:t>
      </w:r>
      <w:r>
        <w:rPr>
          <w:sz w:val="26"/>
          <w:szCs w:val="26"/>
          <w:lang w:val="nl-NL"/>
        </w:rPr>
        <w:t>lượng</w:t>
      </w:r>
      <w:r>
        <w:rPr>
          <w:spacing w:val="-11"/>
          <w:sz w:val="26"/>
          <w:szCs w:val="26"/>
          <w:lang w:val="nl-NL"/>
        </w:rPr>
        <w:t xml:space="preserve"> </w:t>
      </w:r>
      <w:r>
        <w:rPr>
          <w:sz w:val="26"/>
          <w:szCs w:val="26"/>
          <w:lang w:val="nl-NL"/>
        </w:rPr>
        <w:t>66.923.220</w:t>
      </w:r>
      <w:r>
        <w:rPr>
          <w:spacing w:val="-11"/>
          <w:sz w:val="26"/>
          <w:szCs w:val="26"/>
          <w:lang w:val="nl-NL"/>
        </w:rPr>
        <w:t xml:space="preserve"> </w:t>
      </w:r>
      <w:r>
        <w:rPr>
          <w:sz w:val="26"/>
          <w:szCs w:val="26"/>
          <w:lang w:val="nl-NL"/>
        </w:rPr>
        <w:t>m</w:t>
      </w:r>
      <w:r>
        <w:rPr>
          <w:sz w:val="26"/>
          <w:szCs w:val="26"/>
          <w:vertAlign w:val="superscript"/>
          <w:lang w:val="nl-NL"/>
        </w:rPr>
        <w:t>3</w:t>
      </w:r>
      <w:r>
        <w:rPr>
          <w:sz w:val="26"/>
          <w:szCs w:val="26"/>
          <w:lang w:val="nl-NL"/>
        </w:rPr>
        <w:t>/ngày</w:t>
      </w:r>
      <w:r>
        <w:rPr>
          <w:spacing w:val="-16"/>
          <w:sz w:val="26"/>
          <w:szCs w:val="26"/>
          <w:lang w:val="nl-NL"/>
        </w:rPr>
        <w:t xml:space="preserve"> </w:t>
      </w:r>
      <w:r>
        <w:rPr>
          <w:sz w:val="26"/>
          <w:szCs w:val="26"/>
          <w:lang w:val="nl-NL"/>
        </w:rPr>
        <w:t>tương</w:t>
      </w:r>
      <w:r>
        <w:rPr>
          <w:spacing w:val="-11"/>
          <w:sz w:val="26"/>
          <w:szCs w:val="26"/>
          <w:lang w:val="nl-NL"/>
        </w:rPr>
        <w:t xml:space="preserve"> </w:t>
      </w:r>
      <w:r>
        <w:rPr>
          <w:sz w:val="26"/>
          <w:szCs w:val="26"/>
          <w:lang w:val="nl-NL"/>
        </w:rPr>
        <w:t>đương</w:t>
      </w:r>
      <w:r>
        <w:rPr>
          <w:spacing w:val="-11"/>
          <w:sz w:val="26"/>
          <w:szCs w:val="26"/>
          <w:lang w:val="nl-NL"/>
        </w:rPr>
        <w:t xml:space="preserve"> </w:t>
      </w:r>
      <w:r>
        <w:rPr>
          <w:sz w:val="26"/>
          <w:szCs w:val="26"/>
          <w:lang w:val="nl-NL"/>
        </w:rPr>
        <w:t>với</w:t>
      </w:r>
      <w:r>
        <w:rPr>
          <w:spacing w:val="-11"/>
          <w:sz w:val="26"/>
          <w:szCs w:val="26"/>
          <w:lang w:val="nl-NL"/>
        </w:rPr>
        <w:t xml:space="preserve"> </w:t>
      </w:r>
      <w:r>
        <w:rPr>
          <w:sz w:val="26"/>
          <w:szCs w:val="26"/>
          <w:lang w:val="nl-NL"/>
        </w:rPr>
        <w:t>khoảng</w:t>
      </w:r>
      <w:r>
        <w:rPr>
          <w:spacing w:val="-11"/>
          <w:sz w:val="26"/>
          <w:szCs w:val="26"/>
          <w:lang w:val="nl-NL"/>
        </w:rPr>
        <w:t xml:space="preserve"> </w:t>
      </w:r>
      <w:r>
        <w:rPr>
          <w:sz w:val="26"/>
          <w:szCs w:val="26"/>
          <w:lang w:val="nl-NL"/>
        </w:rPr>
        <w:t xml:space="preserve">2,53 </w:t>
      </w:r>
      <w:r>
        <w:rPr>
          <w:spacing w:val="-62"/>
          <w:sz w:val="26"/>
          <w:szCs w:val="26"/>
          <w:lang w:val="nl-NL"/>
        </w:rPr>
        <w:t xml:space="preserve"> </w:t>
      </w:r>
      <w:r>
        <w:rPr>
          <w:sz w:val="26"/>
          <w:szCs w:val="26"/>
          <w:lang w:val="nl-NL"/>
        </w:rPr>
        <w:t>tỷ m</w:t>
      </w:r>
      <w:r>
        <w:rPr>
          <w:sz w:val="26"/>
          <w:szCs w:val="26"/>
          <w:vertAlign w:val="superscript"/>
          <w:lang w:val="nl-NL"/>
        </w:rPr>
        <w:t>3</w:t>
      </w:r>
      <w:r>
        <w:rPr>
          <w:sz w:val="26"/>
          <w:szCs w:val="26"/>
          <w:lang w:val="nl-NL"/>
        </w:rPr>
        <w:t>/năm và tổng trữ lượng có thể khai thác được khoảng 0,253 tỷ m</w:t>
      </w:r>
      <w:r>
        <w:rPr>
          <w:sz w:val="26"/>
          <w:szCs w:val="26"/>
          <w:vertAlign w:val="superscript"/>
          <w:lang w:val="nl-NL"/>
        </w:rPr>
        <w:t>3</w:t>
      </w:r>
      <w:r>
        <w:rPr>
          <w:sz w:val="26"/>
          <w:szCs w:val="26"/>
          <w:lang w:val="nl-NL"/>
        </w:rPr>
        <w:t>/năm. Số liệu</w:t>
      </w:r>
      <w:r>
        <w:rPr>
          <w:spacing w:val="1"/>
          <w:sz w:val="26"/>
          <w:szCs w:val="26"/>
          <w:lang w:val="nl-NL"/>
        </w:rPr>
        <w:t xml:space="preserve"> </w:t>
      </w:r>
      <w:r>
        <w:rPr>
          <w:sz w:val="26"/>
          <w:szCs w:val="26"/>
          <w:lang w:val="nl-NL"/>
        </w:rPr>
        <w:t xml:space="preserve">thống kê cũng cho thấy, nguồn nước ngầm có trữ lượng và mức độ nông sâu khác nhau </w:t>
      </w:r>
      <w:r>
        <w:rPr>
          <w:spacing w:val="-62"/>
          <w:sz w:val="26"/>
          <w:szCs w:val="26"/>
          <w:lang w:val="nl-NL"/>
        </w:rPr>
        <w:t xml:space="preserve"> </w:t>
      </w:r>
      <w:r>
        <w:rPr>
          <w:sz w:val="26"/>
          <w:szCs w:val="26"/>
          <w:lang w:val="nl-NL"/>
        </w:rPr>
        <w:t>phụ thuộc vào địa hình và lượng mưa trong năm. Thông thường vùng đồng bằng ven</w:t>
      </w:r>
      <w:r>
        <w:rPr>
          <w:spacing w:val="1"/>
          <w:sz w:val="26"/>
          <w:szCs w:val="26"/>
          <w:lang w:val="nl-NL"/>
        </w:rPr>
        <w:t xml:space="preserve"> </w:t>
      </w:r>
      <w:r>
        <w:rPr>
          <w:sz w:val="26"/>
          <w:szCs w:val="26"/>
          <w:lang w:val="nl-NL"/>
        </w:rPr>
        <w:t>biển</w:t>
      </w:r>
      <w:r>
        <w:rPr>
          <w:spacing w:val="-2"/>
          <w:sz w:val="26"/>
          <w:szCs w:val="26"/>
          <w:lang w:val="nl-NL"/>
        </w:rPr>
        <w:t xml:space="preserve"> </w:t>
      </w:r>
      <w:r>
        <w:rPr>
          <w:sz w:val="26"/>
          <w:szCs w:val="26"/>
          <w:lang w:val="nl-NL"/>
        </w:rPr>
        <w:t>có</w:t>
      </w:r>
      <w:r>
        <w:rPr>
          <w:spacing w:val="1"/>
          <w:sz w:val="26"/>
          <w:szCs w:val="26"/>
          <w:lang w:val="nl-NL"/>
        </w:rPr>
        <w:t xml:space="preserve"> </w:t>
      </w:r>
      <w:r>
        <w:rPr>
          <w:sz w:val="26"/>
          <w:szCs w:val="26"/>
          <w:lang w:val="nl-NL"/>
        </w:rPr>
        <w:t>mực</w:t>
      </w:r>
      <w:r>
        <w:rPr>
          <w:spacing w:val="-1"/>
          <w:sz w:val="26"/>
          <w:szCs w:val="26"/>
          <w:lang w:val="nl-NL"/>
        </w:rPr>
        <w:t xml:space="preserve"> </w:t>
      </w:r>
      <w:r>
        <w:rPr>
          <w:sz w:val="26"/>
          <w:szCs w:val="26"/>
          <w:lang w:val="nl-NL"/>
        </w:rPr>
        <w:t>nước</w:t>
      </w:r>
      <w:r>
        <w:rPr>
          <w:spacing w:val="2"/>
          <w:sz w:val="26"/>
          <w:szCs w:val="26"/>
          <w:lang w:val="nl-NL"/>
        </w:rPr>
        <w:t xml:space="preserve"> </w:t>
      </w:r>
      <w:r>
        <w:rPr>
          <w:sz w:val="26"/>
          <w:szCs w:val="26"/>
          <w:lang w:val="nl-NL"/>
        </w:rPr>
        <w:t>ngầm</w:t>
      </w:r>
      <w:r>
        <w:rPr>
          <w:spacing w:val="-2"/>
          <w:sz w:val="26"/>
          <w:szCs w:val="26"/>
          <w:lang w:val="nl-NL"/>
        </w:rPr>
        <w:t xml:space="preserve"> </w:t>
      </w:r>
      <w:r>
        <w:rPr>
          <w:sz w:val="26"/>
          <w:szCs w:val="26"/>
          <w:lang w:val="nl-NL"/>
        </w:rPr>
        <w:t>nông, miền</w:t>
      </w:r>
      <w:r>
        <w:rPr>
          <w:spacing w:val="-1"/>
          <w:sz w:val="26"/>
          <w:szCs w:val="26"/>
          <w:lang w:val="nl-NL"/>
        </w:rPr>
        <w:t xml:space="preserve"> </w:t>
      </w:r>
      <w:r>
        <w:rPr>
          <w:sz w:val="26"/>
          <w:szCs w:val="26"/>
          <w:lang w:val="nl-NL"/>
        </w:rPr>
        <w:t>trung</w:t>
      </w:r>
      <w:r>
        <w:rPr>
          <w:spacing w:val="-2"/>
          <w:sz w:val="26"/>
          <w:szCs w:val="26"/>
          <w:lang w:val="nl-NL"/>
        </w:rPr>
        <w:t xml:space="preserve"> </w:t>
      </w:r>
      <w:r>
        <w:rPr>
          <w:sz w:val="26"/>
          <w:szCs w:val="26"/>
          <w:lang w:val="nl-NL"/>
        </w:rPr>
        <w:t>du và</w:t>
      </w:r>
      <w:r>
        <w:rPr>
          <w:spacing w:val="1"/>
          <w:sz w:val="26"/>
          <w:szCs w:val="26"/>
          <w:lang w:val="nl-NL"/>
        </w:rPr>
        <w:t xml:space="preserve"> </w:t>
      </w:r>
      <w:r>
        <w:rPr>
          <w:sz w:val="26"/>
          <w:szCs w:val="26"/>
          <w:lang w:val="nl-NL"/>
        </w:rPr>
        <w:t>miền</w:t>
      </w:r>
      <w:r>
        <w:rPr>
          <w:spacing w:val="-1"/>
          <w:sz w:val="26"/>
          <w:szCs w:val="26"/>
          <w:lang w:val="nl-NL"/>
        </w:rPr>
        <w:t xml:space="preserve"> </w:t>
      </w:r>
      <w:r>
        <w:rPr>
          <w:sz w:val="26"/>
          <w:szCs w:val="26"/>
          <w:lang w:val="nl-NL"/>
        </w:rPr>
        <w:t>núi</w:t>
      </w:r>
      <w:r>
        <w:rPr>
          <w:spacing w:val="-2"/>
          <w:sz w:val="26"/>
          <w:szCs w:val="26"/>
          <w:lang w:val="nl-NL"/>
        </w:rPr>
        <w:t xml:space="preserve"> </w:t>
      </w:r>
      <w:r>
        <w:rPr>
          <w:sz w:val="26"/>
          <w:szCs w:val="26"/>
          <w:lang w:val="nl-NL"/>
        </w:rPr>
        <w:t>nước</w:t>
      </w:r>
      <w:r>
        <w:rPr>
          <w:spacing w:val="-1"/>
          <w:sz w:val="26"/>
          <w:szCs w:val="26"/>
          <w:lang w:val="nl-NL"/>
        </w:rPr>
        <w:t xml:space="preserve"> </w:t>
      </w:r>
      <w:r>
        <w:rPr>
          <w:sz w:val="26"/>
          <w:szCs w:val="26"/>
          <w:lang w:val="nl-NL"/>
        </w:rPr>
        <w:t>ngầm</w:t>
      </w:r>
      <w:r>
        <w:rPr>
          <w:spacing w:val="-3"/>
          <w:sz w:val="26"/>
          <w:szCs w:val="26"/>
          <w:lang w:val="nl-NL"/>
        </w:rPr>
        <w:t xml:space="preserve"> </w:t>
      </w:r>
      <w:r>
        <w:rPr>
          <w:sz w:val="26"/>
          <w:szCs w:val="26"/>
          <w:lang w:val="nl-NL"/>
        </w:rPr>
        <w:t>thường</w:t>
      </w:r>
      <w:r>
        <w:rPr>
          <w:spacing w:val="-2"/>
          <w:sz w:val="26"/>
          <w:szCs w:val="26"/>
          <w:lang w:val="nl-NL"/>
        </w:rPr>
        <w:t xml:space="preserve"> </w:t>
      </w:r>
      <w:r>
        <w:rPr>
          <w:sz w:val="26"/>
          <w:szCs w:val="26"/>
          <w:lang w:val="nl-NL"/>
        </w:rPr>
        <w:t xml:space="preserve">sâu. </w:t>
      </w:r>
    </w:p>
    <w:p w14:paraId="207250D1" w14:textId="77777777" w:rsidR="00085789" w:rsidRDefault="00000000">
      <w:pPr>
        <w:widowControl w:val="0"/>
        <w:spacing w:before="120" w:line="240" w:lineRule="auto"/>
        <w:ind w:firstLine="709"/>
        <w:jc w:val="both"/>
        <w:rPr>
          <w:sz w:val="26"/>
          <w:szCs w:val="26"/>
          <w:lang w:val="nl-NL"/>
        </w:rPr>
      </w:pPr>
      <w:r>
        <w:rPr>
          <w:sz w:val="26"/>
          <w:szCs w:val="26"/>
          <w:lang w:val="nl-NL"/>
        </w:rPr>
        <w:t xml:space="preserve">Nước dưới đất trên địa bàn tỉnh Hà Tĩnh chủ yếu phân bố trong các tầng chứa nước như sau: </w:t>
      </w:r>
    </w:p>
    <w:p w14:paraId="5C931A58" w14:textId="77777777" w:rsidR="00085789" w:rsidRDefault="00000000">
      <w:pPr>
        <w:pStyle w:val="hd1"/>
        <w:spacing w:before="120" w:after="0" w:line="240" w:lineRule="auto"/>
        <w:ind w:firstLine="709"/>
        <w:rPr>
          <w:rFonts w:asciiTheme="majorHAnsi" w:hAnsiTheme="majorHAnsi"/>
          <w:b w:val="0"/>
          <w:bCs/>
          <w:i/>
          <w:iCs/>
          <w:smallCaps/>
          <w:color w:val="auto"/>
          <w:sz w:val="26"/>
          <w:lang w:val="nl-NL"/>
        </w:rPr>
      </w:pPr>
      <w:r>
        <w:rPr>
          <w:rFonts w:asciiTheme="majorHAnsi" w:hAnsiTheme="majorHAnsi"/>
          <w:i/>
          <w:iCs/>
          <w:color w:val="auto"/>
          <w:sz w:val="26"/>
          <w:lang w:val="nl-NL"/>
        </w:rPr>
        <w:t>a)</w:t>
      </w:r>
      <w:r>
        <w:rPr>
          <w:rFonts w:asciiTheme="majorHAnsi" w:hAnsiTheme="majorHAnsi"/>
          <w:i/>
          <w:iCs/>
          <w:color w:val="auto"/>
          <w:sz w:val="26"/>
          <w:lang w:val="vi-VN"/>
        </w:rPr>
        <w:t xml:space="preserve"> </w:t>
      </w:r>
      <w:r>
        <w:rPr>
          <w:rFonts w:asciiTheme="majorHAnsi" w:hAnsiTheme="majorHAnsi"/>
          <w:i/>
          <w:iCs/>
          <w:color w:val="auto"/>
          <w:sz w:val="26"/>
          <w:lang w:val="nl-NL"/>
        </w:rPr>
        <w:t>Các tầng chứa nước lỗ hổng:</w:t>
      </w:r>
    </w:p>
    <w:p w14:paraId="1266998F" w14:textId="77777777" w:rsidR="00085789" w:rsidRDefault="00000000">
      <w:pPr>
        <w:spacing w:before="120" w:line="240" w:lineRule="auto"/>
        <w:ind w:firstLine="709"/>
        <w:jc w:val="both"/>
        <w:rPr>
          <w:i/>
          <w:iCs/>
          <w:sz w:val="26"/>
          <w:szCs w:val="26"/>
          <w:lang w:val="nl-NL"/>
        </w:rPr>
      </w:pPr>
      <w:r>
        <w:rPr>
          <w:i/>
          <w:iCs/>
          <w:sz w:val="26"/>
          <w:szCs w:val="26"/>
          <w:lang w:val="nl-NL"/>
        </w:rPr>
        <w:t>(1) Tầng chứa nước lỗ hổng trong các trầm tích Đệ tứ không phân chia (q):</w:t>
      </w:r>
    </w:p>
    <w:p w14:paraId="051DB288" w14:textId="77777777" w:rsidR="00085789" w:rsidRDefault="00000000">
      <w:pPr>
        <w:spacing w:before="120" w:line="240" w:lineRule="auto"/>
        <w:ind w:firstLine="709"/>
        <w:jc w:val="both"/>
        <w:rPr>
          <w:sz w:val="26"/>
          <w:szCs w:val="26"/>
          <w:lang w:val="nl-NL"/>
        </w:rPr>
      </w:pPr>
      <w:r>
        <w:rPr>
          <w:sz w:val="26"/>
          <w:szCs w:val="26"/>
          <w:lang w:val="nl-NL"/>
        </w:rPr>
        <w:t>Tầng chứa nước lỗ hổng trong các trầm tích Đệ tứ không phân chia bao gồm các đất đá có nguồn gốc sông - lũ tích (apQ), s</w:t>
      </w:r>
      <w:r>
        <w:rPr>
          <w:rFonts w:hint="cs"/>
          <w:sz w:val="26"/>
          <w:szCs w:val="26"/>
          <w:lang w:val="nl-NL"/>
        </w:rPr>
        <w:t>ư</w:t>
      </w:r>
      <w:r>
        <w:rPr>
          <w:sz w:val="26"/>
          <w:szCs w:val="26"/>
          <w:lang w:val="nl-NL"/>
        </w:rPr>
        <w:t>ờn tích - lũ tích (dpQ). Tầng chứa nước lộ trên mặt, nằm trực tiếp trên đá gốc, phân bố không liên tục trong thung lũng giữa núi, ven đồi núi, sông suối, chủ yếu ở Kỳ Anh và H</w:t>
      </w:r>
      <w:r>
        <w:rPr>
          <w:rFonts w:hint="cs"/>
          <w:sz w:val="26"/>
          <w:szCs w:val="26"/>
          <w:lang w:val="nl-NL"/>
        </w:rPr>
        <w:t>ươ</w:t>
      </w:r>
      <w:r>
        <w:rPr>
          <w:sz w:val="26"/>
          <w:szCs w:val="26"/>
          <w:lang w:val="nl-NL"/>
        </w:rPr>
        <w:t>ng Khê (theo địa giới hành chính trước đây)... Diện tích của các khoảnh riêng biệt không lớn, khoảnh rộng nhất ở Kỳ Văn khoảng vài chục km</w:t>
      </w:r>
      <w:r>
        <w:rPr>
          <w:sz w:val="26"/>
          <w:szCs w:val="26"/>
          <w:vertAlign w:val="superscript"/>
          <w:lang w:val="nl-NL"/>
        </w:rPr>
        <w:t>2</w:t>
      </w:r>
      <w:r>
        <w:rPr>
          <w:sz w:val="26"/>
          <w:szCs w:val="26"/>
          <w:lang w:val="nl-NL"/>
        </w:rPr>
        <w:t>. Chiều dày lớn nhất của tầng dựa theo tài liệu khảo sát các giếng đào của dân khi lộ trình đạt trên d</w:t>
      </w:r>
      <w:r>
        <w:rPr>
          <w:rFonts w:hint="cs"/>
          <w:sz w:val="26"/>
          <w:szCs w:val="26"/>
          <w:lang w:val="nl-NL"/>
        </w:rPr>
        <w:t>ư</w:t>
      </w:r>
      <w:r>
        <w:rPr>
          <w:sz w:val="26"/>
          <w:szCs w:val="26"/>
          <w:lang w:val="nl-NL"/>
        </w:rPr>
        <w:t>ới chục mét.</w:t>
      </w:r>
    </w:p>
    <w:p w14:paraId="5F56CBFE" w14:textId="77777777" w:rsidR="00085789" w:rsidRDefault="00000000">
      <w:pPr>
        <w:spacing w:before="120" w:line="240" w:lineRule="auto"/>
        <w:ind w:firstLine="709"/>
        <w:jc w:val="both"/>
        <w:rPr>
          <w:i/>
          <w:iCs/>
          <w:sz w:val="26"/>
          <w:szCs w:val="26"/>
          <w:lang w:val="nl-NL"/>
        </w:rPr>
      </w:pPr>
      <w:r>
        <w:rPr>
          <w:i/>
          <w:iCs/>
          <w:sz w:val="26"/>
          <w:szCs w:val="26"/>
          <w:lang w:val="nl-NL"/>
        </w:rPr>
        <w:t>(2) Tầng chứa nước lỗ hổng trong trầm tích Holocen th</w:t>
      </w:r>
      <w:r>
        <w:rPr>
          <w:rFonts w:hint="cs"/>
          <w:i/>
          <w:iCs/>
          <w:sz w:val="26"/>
          <w:szCs w:val="26"/>
          <w:lang w:val="nl-NL"/>
        </w:rPr>
        <w:t>ư</w:t>
      </w:r>
      <w:r>
        <w:rPr>
          <w:i/>
          <w:iCs/>
          <w:sz w:val="26"/>
          <w:szCs w:val="26"/>
          <w:lang w:val="nl-NL"/>
        </w:rPr>
        <w:t>ợng (qh2):</w:t>
      </w:r>
    </w:p>
    <w:p w14:paraId="1FDCBF25" w14:textId="77777777" w:rsidR="00085789" w:rsidRDefault="00000000">
      <w:pPr>
        <w:spacing w:before="120" w:line="240" w:lineRule="auto"/>
        <w:ind w:firstLine="709"/>
        <w:jc w:val="both"/>
        <w:rPr>
          <w:sz w:val="26"/>
          <w:szCs w:val="26"/>
          <w:lang w:val="nl-NL"/>
        </w:rPr>
      </w:pPr>
      <w:r>
        <w:rPr>
          <w:sz w:val="26"/>
          <w:szCs w:val="26"/>
          <w:lang w:val="nl-NL"/>
        </w:rPr>
        <w:t>Tầng chứa nước lỗ hổng trầm tích Holocen th</w:t>
      </w:r>
      <w:r>
        <w:rPr>
          <w:rFonts w:hint="cs"/>
          <w:sz w:val="26"/>
          <w:szCs w:val="26"/>
          <w:lang w:val="nl-NL"/>
        </w:rPr>
        <w:t>ư</w:t>
      </w:r>
      <w:r>
        <w:rPr>
          <w:sz w:val="26"/>
          <w:szCs w:val="26"/>
          <w:lang w:val="nl-NL"/>
        </w:rPr>
        <w:t>ợng bao gồm toàn bộ hệ tầng trầm tích hiện đại (Q23) đ</w:t>
      </w:r>
      <w:r>
        <w:rPr>
          <w:rFonts w:hint="cs"/>
          <w:sz w:val="26"/>
          <w:szCs w:val="26"/>
          <w:lang w:val="nl-NL"/>
        </w:rPr>
        <w:t>ư</w:t>
      </w:r>
      <w:r>
        <w:rPr>
          <w:sz w:val="26"/>
          <w:szCs w:val="26"/>
          <w:lang w:val="nl-NL"/>
        </w:rPr>
        <w:t>ợc tạo thành từ nhiều nguồn gốc: Biển, gió, sông, hồ, đầm lầy và hỗn hợp. Tầng chứa nước phân bố dọc theo bờ biển từ xã Đan Hải đến phường Hoành Sơn và dọc theo các sông suối trong tỉnh nh</w:t>
      </w:r>
      <w:r>
        <w:rPr>
          <w:rFonts w:hint="cs"/>
          <w:sz w:val="26"/>
          <w:szCs w:val="26"/>
          <w:lang w:val="nl-NL"/>
        </w:rPr>
        <w:t>ư</w:t>
      </w:r>
      <w:r>
        <w:rPr>
          <w:sz w:val="26"/>
          <w:szCs w:val="26"/>
          <w:lang w:val="nl-NL"/>
        </w:rPr>
        <w:t xml:space="preserve"> Sông Lam, sông Ngàn Sâu, sông Ngàn Phố, sông Nghèn, sông Rác, sông Kinh, sông Quyền và các nhánh sông của chúng. Diện tích </w:t>
      </w:r>
      <w:r>
        <w:rPr>
          <w:rFonts w:hint="cs"/>
          <w:sz w:val="26"/>
          <w:szCs w:val="26"/>
          <w:lang w:val="nl-NL"/>
        </w:rPr>
        <w:t>ư</w:t>
      </w:r>
      <w:r>
        <w:rPr>
          <w:sz w:val="26"/>
          <w:szCs w:val="26"/>
          <w:lang w:val="nl-NL"/>
        </w:rPr>
        <w:t>ớc l</w:t>
      </w:r>
      <w:r>
        <w:rPr>
          <w:rFonts w:hint="cs"/>
          <w:sz w:val="26"/>
          <w:szCs w:val="26"/>
          <w:lang w:val="nl-NL"/>
        </w:rPr>
        <w:t>ư</w:t>
      </w:r>
      <w:r>
        <w:rPr>
          <w:sz w:val="26"/>
          <w:szCs w:val="26"/>
          <w:lang w:val="nl-NL"/>
        </w:rPr>
        <w:t>ợng khoảng trên 500 km</w:t>
      </w:r>
      <w:r>
        <w:rPr>
          <w:sz w:val="26"/>
          <w:szCs w:val="26"/>
          <w:vertAlign w:val="superscript"/>
          <w:lang w:val="nl-NL"/>
        </w:rPr>
        <w:t>2</w:t>
      </w:r>
      <w:r>
        <w:rPr>
          <w:sz w:val="26"/>
          <w:szCs w:val="26"/>
          <w:lang w:val="nl-NL"/>
        </w:rPr>
        <w:t>. Độ cao tuyệt đối của bề mặt tầng chứa nước dao động từ 1-2 m đến &gt;10 m.</w:t>
      </w:r>
    </w:p>
    <w:p w14:paraId="729DA92F" w14:textId="77777777" w:rsidR="00085789" w:rsidRDefault="00000000">
      <w:pPr>
        <w:spacing w:before="120" w:line="240" w:lineRule="auto"/>
        <w:ind w:firstLine="709"/>
        <w:jc w:val="both"/>
        <w:rPr>
          <w:i/>
          <w:iCs/>
          <w:sz w:val="26"/>
          <w:szCs w:val="26"/>
          <w:lang w:val="nl-NL"/>
        </w:rPr>
      </w:pPr>
      <w:r>
        <w:rPr>
          <w:i/>
          <w:iCs/>
          <w:sz w:val="26"/>
          <w:szCs w:val="26"/>
          <w:lang w:val="nl-NL"/>
        </w:rPr>
        <w:t>(3) Tầng chứa nước lỗ hổng trong trầm tích Holocen hạ (qh1):</w:t>
      </w:r>
    </w:p>
    <w:p w14:paraId="25705980" w14:textId="77777777" w:rsidR="00085789" w:rsidRDefault="00000000">
      <w:pPr>
        <w:spacing w:before="120" w:line="240" w:lineRule="auto"/>
        <w:ind w:firstLine="709"/>
        <w:jc w:val="both"/>
        <w:rPr>
          <w:sz w:val="26"/>
          <w:szCs w:val="26"/>
          <w:lang w:val="nl-NL"/>
        </w:rPr>
      </w:pPr>
      <w:r>
        <w:rPr>
          <w:sz w:val="26"/>
          <w:szCs w:val="26"/>
          <w:lang w:val="nl-NL"/>
        </w:rPr>
        <w:t>Tầng chứa nước lỗ hổng trong trầm tích Holocen hạ bao gồm các trầm tích hạt thô có nguồn gốc sông (aQ11-2), biển đầm lầy (mbQ11-2), sông biển (amQ11-2), biển (mQ11-2). Tầng chứa nước không lộ trên mặt, bị phủ hoàn toàn bởi các thành phần hạt mịn h</w:t>
      </w:r>
      <w:r>
        <w:rPr>
          <w:rFonts w:hint="cs"/>
          <w:sz w:val="26"/>
          <w:szCs w:val="26"/>
          <w:lang w:val="nl-NL"/>
        </w:rPr>
        <w:t>ơ</w:t>
      </w:r>
      <w:r>
        <w:rPr>
          <w:sz w:val="26"/>
          <w:szCs w:val="26"/>
          <w:lang w:val="nl-NL"/>
        </w:rPr>
        <w:t>n nh</w:t>
      </w:r>
      <w:r>
        <w:rPr>
          <w:rFonts w:hint="cs"/>
          <w:sz w:val="26"/>
          <w:szCs w:val="26"/>
          <w:lang w:val="nl-NL"/>
        </w:rPr>
        <w:t>ư</w:t>
      </w:r>
      <w:r>
        <w:rPr>
          <w:sz w:val="26"/>
          <w:szCs w:val="26"/>
          <w:lang w:val="nl-NL"/>
        </w:rPr>
        <w:t xml:space="preserve"> sét, sét pha phía trên và nằm trực tiếp trên tầng sét loang lổ bị laterit hoá rất mạnh của hệ tầng Yên Mỹ. Tầng chứa nước phân bố rộng rãi, bắt gặp ở nhiều n</w:t>
      </w:r>
      <w:r>
        <w:rPr>
          <w:rFonts w:hint="cs"/>
          <w:sz w:val="26"/>
          <w:szCs w:val="26"/>
          <w:lang w:val="nl-NL"/>
        </w:rPr>
        <w:t>ơ</w:t>
      </w:r>
      <w:r>
        <w:rPr>
          <w:sz w:val="26"/>
          <w:szCs w:val="26"/>
          <w:lang w:val="nl-NL"/>
        </w:rPr>
        <w:t>i nh</w:t>
      </w:r>
      <w:r>
        <w:rPr>
          <w:rFonts w:hint="cs"/>
          <w:sz w:val="26"/>
          <w:szCs w:val="26"/>
          <w:lang w:val="nl-NL"/>
        </w:rPr>
        <w:t>ư</w:t>
      </w:r>
      <w:r>
        <w:rPr>
          <w:sz w:val="26"/>
          <w:szCs w:val="26"/>
          <w:lang w:val="nl-NL"/>
        </w:rPr>
        <w:t>ng phát triển không liên tục mà tạo thành những khoảnh, những dải riêng biệt, có diện tích khác nhau. Vùng trung tâm đồng bằng ở khu vực Cẩm Xuyên, Thạch Hà trước đây là n</w:t>
      </w:r>
      <w:r>
        <w:rPr>
          <w:rFonts w:hint="cs"/>
          <w:sz w:val="26"/>
          <w:szCs w:val="26"/>
          <w:lang w:val="nl-NL"/>
        </w:rPr>
        <w:t>ơ</w:t>
      </w:r>
      <w:r>
        <w:rPr>
          <w:sz w:val="26"/>
          <w:szCs w:val="26"/>
          <w:lang w:val="nl-NL"/>
        </w:rPr>
        <w:t>i có khoảnh lớn h</w:t>
      </w:r>
      <w:r>
        <w:rPr>
          <w:rFonts w:hint="cs"/>
          <w:sz w:val="26"/>
          <w:szCs w:val="26"/>
          <w:lang w:val="nl-NL"/>
        </w:rPr>
        <w:t>ơ</w:t>
      </w:r>
      <w:r>
        <w:rPr>
          <w:sz w:val="26"/>
          <w:szCs w:val="26"/>
          <w:lang w:val="nl-NL"/>
        </w:rPr>
        <w:t>n cả và bề dày cũng lớn h</w:t>
      </w:r>
      <w:r>
        <w:rPr>
          <w:rFonts w:hint="cs"/>
          <w:sz w:val="26"/>
          <w:szCs w:val="26"/>
          <w:lang w:val="nl-NL"/>
        </w:rPr>
        <w:t>ơ</w:t>
      </w:r>
      <w:r>
        <w:rPr>
          <w:sz w:val="26"/>
          <w:szCs w:val="26"/>
          <w:lang w:val="nl-NL"/>
        </w:rPr>
        <w:t xml:space="preserve">n. Ở những lỗ khoan có tầng chứa </w:t>
      </w:r>
      <w:r>
        <w:rPr>
          <w:sz w:val="26"/>
          <w:szCs w:val="26"/>
          <w:lang w:val="nl-NL"/>
        </w:rPr>
        <w:lastRenderedPageBreak/>
        <w:t>nước này độ sâu bắt gặp từ 0,5 m đến gần 9,0 m. Chiều dày cũng rất khác nhau và độ dày lớn nhất có thể đạt trên d</w:t>
      </w:r>
      <w:r>
        <w:rPr>
          <w:rFonts w:hint="cs"/>
          <w:sz w:val="26"/>
          <w:szCs w:val="26"/>
          <w:lang w:val="nl-NL"/>
        </w:rPr>
        <w:t>ư</w:t>
      </w:r>
      <w:r>
        <w:rPr>
          <w:sz w:val="26"/>
          <w:szCs w:val="26"/>
          <w:lang w:val="nl-NL"/>
        </w:rPr>
        <w:t>ới 20 m.</w:t>
      </w:r>
    </w:p>
    <w:p w14:paraId="62264CDA" w14:textId="77777777" w:rsidR="00085789" w:rsidRDefault="00000000">
      <w:pPr>
        <w:spacing w:before="120" w:line="240" w:lineRule="auto"/>
        <w:ind w:firstLine="709"/>
        <w:jc w:val="both"/>
        <w:rPr>
          <w:i/>
          <w:iCs/>
          <w:sz w:val="26"/>
          <w:szCs w:val="26"/>
          <w:lang w:val="nl-NL"/>
        </w:rPr>
      </w:pPr>
      <w:r>
        <w:rPr>
          <w:i/>
          <w:iCs/>
          <w:sz w:val="26"/>
          <w:szCs w:val="26"/>
          <w:lang w:val="nl-NL"/>
        </w:rPr>
        <w:t>(4) Tầng chứa nước lỗ hổng trong trầm tích Pleistocen (qp):</w:t>
      </w:r>
    </w:p>
    <w:p w14:paraId="725F40BA" w14:textId="77777777" w:rsidR="00085789" w:rsidRDefault="00000000">
      <w:pPr>
        <w:widowControl w:val="0"/>
        <w:spacing w:before="120" w:line="240" w:lineRule="auto"/>
        <w:ind w:firstLine="709"/>
        <w:jc w:val="both"/>
        <w:rPr>
          <w:sz w:val="26"/>
          <w:szCs w:val="26"/>
          <w:lang w:val="nl-NL"/>
        </w:rPr>
      </w:pPr>
      <w:r>
        <w:rPr>
          <w:sz w:val="26"/>
          <w:szCs w:val="26"/>
          <w:lang w:val="nl-NL"/>
        </w:rPr>
        <w:t>Tầng chứa nước lỗ hổng trong trầm tích Pleistocen bao gồm các tập hợp hạt thô có nguồn gốc sông (aQ12-3) hệ tầng Yên Mỹ, sông biển, sông lũ (amQ11-2, apQ11-2) hệ tầng tại Nghi Xuân trước đây không lộ ra trên mặt, bị phủ bởi các trầm tích trẻ h</w:t>
      </w:r>
      <w:r>
        <w:rPr>
          <w:rFonts w:hint="cs"/>
          <w:sz w:val="26"/>
          <w:szCs w:val="26"/>
          <w:lang w:val="nl-NL"/>
        </w:rPr>
        <w:t>ơ</w:t>
      </w:r>
      <w:r>
        <w:rPr>
          <w:sz w:val="26"/>
          <w:szCs w:val="26"/>
          <w:lang w:val="nl-NL"/>
        </w:rPr>
        <w:t>n, nhiều n</w:t>
      </w:r>
      <w:r>
        <w:rPr>
          <w:rFonts w:hint="cs"/>
          <w:sz w:val="26"/>
          <w:szCs w:val="26"/>
          <w:lang w:val="nl-NL"/>
        </w:rPr>
        <w:t>ơ</w:t>
      </w:r>
      <w:r>
        <w:rPr>
          <w:sz w:val="26"/>
          <w:szCs w:val="26"/>
          <w:lang w:val="nl-NL"/>
        </w:rPr>
        <w:t>i nằm trực tiếp lên nền đá gốc. Nó phân bố khá rộng rãi trong vùng nh</w:t>
      </w:r>
      <w:r>
        <w:rPr>
          <w:rFonts w:hint="cs"/>
          <w:sz w:val="26"/>
          <w:szCs w:val="26"/>
          <w:lang w:val="nl-NL"/>
        </w:rPr>
        <w:t>ư</w:t>
      </w:r>
      <w:r>
        <w:rPr>
          <w:sz w:val="26"/>
          <w:szCs w:val="26"/>
          <w:lang w:val="nl-NL"/>
        </w:rPr>
        <w:t>ng không liên tục mà tạo thành những khu, những dải riêng có diện tích khác nhau. Có thể hình dung tầng qp đ</w:t>
      </w:r>
      <w:r>
        <w:rPr>
          <w:rFonts w:hint="cs"/>
          <w:sz w:val="26"/>
          <w:szCs w:val="26"/>
          <w:lang w:val="nl-NL"/>
        </w:rPr>
        <w:t>ư</w:t>
      </w:r>
      <w:r>
        <w:rPr>
          <w:sz w:val="26"/>
          <w:szCs w:val="26"/>
          <w:lang w:val="nl-NL"/>
        </w:rPr>
        <w:t>ợc tạo thành trong những lòng chảo, những thung lũng rộng ở vùng đồng bằng và dọc theo các sông, suối cổ ở địa bàn Hà Tĩnh.</w:t>
      </w:r>
    </w:p>
    <w:p w14:paraId="4B43113C" w14:textId="77777777" w:rsidR="00085789" w:rsidRDefault="00000000">
      <w:pPr>
        <w:pStyle w:val="hd1"/>
        <w:spacing w:before="120" w:after="0" w:line="240" w:lineRule="auto"/>
        <w:ind w:firstLine="709"/>
        <w:rPr>
          <w:rFonts w:asciiTheme="majorHAnsi" w:hAnsiTheme="majorHAnsi" w:cstheme="majorHAnsi"/>
          <w:b w:val="0"/>
          <w:bCs/>
          <w:i/>
          <w:iCs/>
          <w:smallCaps/>
          <w:color w:val="auto"/>
          <w:sz w:val="26"/>
          <w:lang w:val="nl-NL"/>
        </w:rPr>
      </w:pPr>
      <w:r>
        <w:rPr>
          <w:rFonts w:asciiTheme="majorHAnsi" w:hAnsiTheme="majorHAnsi" w:cstheme="majorHAnsi"/>
          <w:i/>
          <w:iCs/>
          <w:color w:val="auto"/>
          <w:sz w:val="26"/>
          <w:lang w:val="nl-NL"/>
        </w:rPr>
        <w:t>b)</w:t>
      </w:r>
      <w:r>
        <w:rPr>
          <w:rFonts w:asciiTheme="majorHAnsi" w:hAnsiTheme="majorHAnsi" w:cstheme="majorHAnsi"/>
          <w:i/>
          <w:iCs/>
          <w:color w:val="auto"/>
          <w:sz w:val="26"/>
          <w:lang w:val="vi-VN"/>
        </w:rPr>
        <w:t xml:space="preserve"> </w:t>
      </w:r>
      <w:r>
        <w:rPr>
          <w:rFonts w:asciiTheme="majorHAnsi" w:hAnsiTheme="majorHAnsi" w:cstheme="majorHAnsi"/>
          <w:i/>
          <w:iCs/>
          <w:color w:val="auto"/>
          <w:sz w:val="26"/>
          <w:lang w:val="nl-NL"/>
        </w:rPr>
        <w:t>Các tầng chứa nước khe nứt:</w:t>
      </w:r>
    </w:p>
    <w:p w14:paraId="66F919C3" w14:textId="77777777" w:rsidR="00085789" w:rsidRDefault="00000000">
      <w:pPr>
        <w:spacing w:before="120" w:line="240" w:lineRule="auto"/>
        <w:ind w:firstLine="709"/>
        <w:jc w:val="both"/>
        <w:rPr>
          <w:rFonts w:ascii="Times New Roman Italic" w:hAnsi="Times New Roman Italic"/>
          <w:i/>
          <w:spacing w:val="-10"/>
          <w:sz w:val="26"/>
          <w:szCs w:val="26"/>
          <w:lang w:val="nl-NL"/>
        </w:rPr>
      </w:pPr>
      <w:r>
        <w:rPr>
          <w:rFonts w:ascii="Times New Roman Italic" w:hAnsi="Times New Roman Italic"/>
          <w:i/>
          <w:spacing w:val="-10"/>
          <w:sz w:val="26"/>
          <w:szCs w:val="26"/>
          <w:lang w:val="nl-NL"/>
        </w:rPr>
        <w:t>(1) Tầng chứa nước khe nứt trong thành tạo phun trào hệ Đệ tứ không phân chia (Bq):</w:t>
      </w:r>
    </w:p>
    <w:p w14:paraId="7D5E4E6A" w14:textId="77777777" w:rsidR="00085789" w:rsidRDefault="00000000">
      <w:pPr>
        <w:spacing w:before="120" w:line="240" w:lineRule="auto"/>
        <w:ind w:firstLine="709"/>
        <w:jc w:val="both"/>
        <w:rPr>
          <w:sz w:val="26"/>
          <w:szCs w:val="26"/>
          <w:lang w:val="nl-NL"/>
        </w:rPr>
      </w:pPr>
      <w:r>
        <w:rPr>
          <w:sz w:val="26"/>
          <w:szCs w:val="26"/>
          <w:lang w:val="nl-NL"/>
        </w:rPr>
        <w:t>Tầng chứa nước Bq phân bố ở phía Tây tỉnh Hà Tĩnh, diện tích nhỏ, dạng dải hẹp kéo dài dọc theo đứt gẫy có h</w:t>
      </w:r>
      <w:r>
        <w:rPr>
          <w:rFonts w:hint="cs"/>
          <w:sz w:val="26"/>
          <w:szCs w:val="26"/>
          <w:lang w:val="nl-NL"/>
        </w:rPr>
        <w:t>ư</w:t>
      </w:r>
      <w:r>
        <w:rPr>
          <w:sz w:val="26"/>
          <w:szCs w:val="26"/>
          <w:lang w:val="nl-NL"/>
        </w:rPr>
        <w:t>ớng Đông Bắc - Tây Nam.</w:t>
      </w:r>
    </w:p>
    <w:p w14:paraId="25F32D06" w14:textId="77777777" w:rsidR="00085789" w:rsidRDefault="00000000">
      <w:pPr>
        <w:spacing w:before="120" w:line="240" w:lineRule="auto"/>
        <w:ind w:firstLine="709"/>
        <w:jc w:val="both"/>
        <w:rPr>
          <w:i/>
          <w:iCs/>
          <w:sz w:val="26"/>
          <w:szCs w:val="26"/>
          <w:lang w:val="nl-NL"/>
        </w:rPr>
      </w:pPr>
      <w:r>
        <w:rPr>
          <w:i/>
          <w:iCs/>
          <w:sz w:val="26"/>
          <w:szCs w:val="26"/>
          <w:lang w:val="nl-NL"/>
        </w:rPr>
        <w:t>(2) Tầng chứa nước khe nứt trong trầm tích lục nguyên Neogen (n):</w:t>
      </w:r>
    </w:p>
    <w:p w14:paraId="7D130409" w14:textId="77777777" w:rsidR="00085789" w:rsidRDefault="00000000">
      <w:pPr>
        <w:spacing w:before="120" w:line="240" w:lineRule="auto"/>
        <w:ind w:firstLine="709"/>
        <w:jc w:val="both"/>
        <w:rPr>
          <w:spacing w:val="-4"/>
          <w:sz w:val="26"/>
          <w:szCs w:val="26"/>
          <w:lang w:val="nl-NL"/>
        </w:rPr>
      </w:pPr>
      <w:r>
        <w:rPr>
          <w:spacing w:val="-4"/>
          <w:sz w:val="26"/>
          <w:szCs w:val="26"/>
          <w:lang w:val="nl-NL"/>
        </w:rPr>
        <w:t>Tầng chứa nước khe nứt trong trầm tích Neogen trên địa bàn Hà Tĩnh phần lộ trên mặt chỉ gặp một diện rất nhỏ ở vùng chợ Trúc (xã Hà Linh), còn vùng ven biển phát hiện đ</w:t>
      </w:r>
      <w:r>
        <w:rPr>
          <w:rFonts w:hint="cs"/>
          <w:spacing w:val="-4"/>
          <w:sz w:val="26"/>
          <w:szCs w:val="26"/>
          <w:lang w:val="nl-NL"/>
        </w:rPr>
        <w:t>ư</w:t>
      </w:r>
      <w:r>
        <w:rPr>
          <w:spacing w:val="-4"/>
          <w:sz w:val="26"/>
          <w:szCs w:val="26"/>
          <w:lang w:val="nl-NL"/>
        </w:rPr>
        <w:t>ợc trong các lỗ khoan ở vùng Đức Thọ, Can Lộc, Thạch Hà, Cẩm Xuyên trước đây.</w:t>
      </w:r>
    </w:p>
    <w:p w14:paraId="5D8ECAB3" w14:textId="77777777" w:rsidR="00085789" w:rsidRDefault="00000000">
      <w:pPr>
        <w:spacing w:before="120" w:line="240" w:lineRule="auto"/>
        <w:ind w:firstLine="709"/>
        <w:jc w:val="both"/>
        <w:rPr>
          <w:i/>
          <w:spacing w:val="-8"/>
          <w:sz w:val="26"/>
          <w:szCs w:val="26"/>
          <w:lang w:val="nl-NL"/>
        </w:rPr>
      </w:pPr>
      <w:r>
        <w:rPr>
          <w:i/>
          <w:spacing w:val="-8"/>
          <w:sz w:val="26"/>
          <w:szCs w:val="26"/>
          <w:lang w:val="nl-NL"/>
        </w:rPr>
        <w:t>(3) Tầng chứa nước khe nứt trong trầm tích phun trào hệ tầng M</w:t>
      </w:r>
      <w:r>
        <w:rPr>
          <w:rFonts w:hint="cs"/>
          <w:i/>
          <w:spacing w:val="-8"/>
          <w:sz w:val="26"/>
          <w:szCs w:val="26"/>
          <w:lang w:val="nl-NL"/>
        </w:rPr>
        <w:t>ư</w:t>
      </w:r>
      <w:r>
        <w:rPr>
          <w:i/>
          <w:spacing w:val="-8"/>
          <w:sz w:val="26"/>
          <w:szCs w:val="26"/>
          <w:lang w:val="nl-NL"/>
        </w:rPr>
        <w:t>ờng Hinh (j):</w:t>
      </w:r>
    </w:p>
    <w:p w14:paraId="4A031190" w14:textId="77777777" w:rsidR="00085789" w:rsidRDefault="00000000">
      <w:pPr>
        <w:widowControl w:val="0"/>
        <w:spacing w:before="120" w:line="240" w:lineRule="auto"/>
        <w:ind w:firstLine="709"/>
        <w:jc w:val="both"/>
        <w:rPr>
          <w:sz w:val="26"/>
          <w:szCs w:val="26"/>
          <w:lang w:val="nl-NL"/>
        </w:rPr>
      </w:pPr>
      <w:r>
        <w:rPr>
          <w:sz w:val="26"/>
          <w:szCs w:val="26"/>
          <w:lang w:val="nl-NL"/>
        </w:rPr>
        <w:t>Tầng chứa nước j trên địa bàn Hà Tĩnh có diện phân bố hẹp rải rác ở ven biển nh</w:t>
      </w:r>
      <w:r>
        <w:rPr>
          <w:rFonts w:hint="cs"/>
          <w:sz w:val="26"/>
          <w:szCs w:val="26"/>
          <w:lang w:val="nl-NL"/>
        </w:rPr>
        <w:t>ư</w:t>
      </w:r>
      <w:r>
        <w:rPr>
          <w:sz w:val="26"/>
          <w:szCs w:val="26"/>
          <w:lang w:val="nl-NL"/>
        </w:rPr>
        <w:t xml:space="preserve"> Núi Ông, Núi Bàn Độ, Núi Cao Vọng - Mũi Ròn (cảng Vũng Áng), hòn S</w:t>
      </w:r>
      <w:r>
        <w:rPr>
          <w:rFonts w:hint="cs"/>
          <w:sz w:val="26"/>
          <w:szCs w:val="26"/>
          <w:lang w:val="nl-NL"/>
        </w:rPr>
        <w:t>ơ</w:t>
      </w:r>
      <w:r>
        <w:rPr>
          <w:sz w:val="26"/>
          <w:szCs w:val="26"/>
          <w:lang w:val="nl-NL"/>
        </w:rPr>
        <w:t>n D</w:t>
      </w:r>
      <w:r>
        <w:rPr>
          <w:rFonts w:hint="cs"/>
          <w:sz w:val="26"/>
          <w:szCs w:val="26"/>
          <w:lang w:val="nl-NL"/>
        </w:rPr>
        <w:t>ươ</w:t>
      </w:r>
      <w:r>
        <w:rPr>
          <w:sz w:val="26"/>
          <w:szCs w:val="26"/>
          <w:lang w:val="nl-NL"/>
        </w:rPr>
        <w:t>ng. Bề dày của hệ tầng M</w:t>
      </w:r>
      <w:r>
        <w:rPr>
          <w:rFonts w:hint="cs"/>
          <w:sz w:val="26"/>
          <w:szCs w:val="26"/>
          <w:lang w:val="nl-NL"/>
        </w:rPr>
        <w:t>ư</w:t>
      </w:r>
      <w:r>
        <w:rPr>
          <w:sz w:val="26"/>
          <w:szCs w:val="26"/>
          <w:lang w:val="nl-NL"/>
        </w:rPr>
        <w:t>ờng Hinh (Jmh) &gt;500m.</w:t>
      </w:r>
    </w:p>
    <w:p w14:paraId="72C5A7A9" w14:textId="77777777" w:rsidR="00085789" w:rsidRDefault="00000000">
      <w:pPr>
        <w:spacing w:before="120" w:line="240" w:lineRule="auto"/>
        <w:ind w:firstLine="709"/>
        <w:jc w:val="both"/>
        <w:rPr>
          <w:i/>
          <w:spacing w:val="-4"/>
          <w:sz w:val="26"/>
          <w:szCs w:val="26"/>
          <w:lang w:val="nl-NL"/>
        </w:rPr>
      </w:pPr>
      <w:r>
        <w:rPr>
          <w:i/>
          <w:spacing w:val="-4"/>
          <w:sz w:val="26"/>
          <w:szCs w:val="26"/>
          <w:lang w:val="nl-NL"/>
        </w:rPr>
        <w:t>(4) Tầng chứa nước khe nứt trong trầm tích lục nguyên hệ tầng Đồng Đỏ (t3):</w:t>
      </w:r>
    </w:p>
    <w:p w14:paraId="23BE033F" w14:textId="77777777" w:rsidR="00085789" w:rsidRDefault="00000000">
      <w:pPr>
        <w:spacing w:before="120" w:line="240" w:lineRule="auto"/>
        <w:ind w:firstLine="709"/>
        <w:jc w:val="both"/>
        <w:rPr>
          <w:sz w:val="26"/>
          <w:szCs w:val="26"/>
          <w:lang w:val="nl-NL"/>
        </w:rPr>
      </w:pPr>
      <w:r>
        <w:rPr>
          <w:sz w:val="26"/>
          <w:szCs w:val="26"/>
          <w:lang w:val="nl-NL"/>
        </w:rPr>
        <w:t>Tầng chứa nước t3 phân bố ở dãy Hoành Sơn, đông bắc sông Ngàn Sâu, thuộc địa phận H</w:t>
      </w:r>
      <w:r>
        <w:rPr>
          <w:rFonts w:hint="cs"/>
          <w:sz w:val="26"/>
          <w:szCs w:val="26"/>
          <w:lang w:val="nl-NL"/>
        </w:rPr>
        <w:t>ươ</w:t>
      </w:r>
      <w:r>
        <w:rPr>
          <w:sz w:val="26"/>
          <w:szCs w:val="26"/>
          <w:lang w:val="nl-NL"/>
        </w:rPr>
        <w:t>ng Khê trước đây với diện tích khoảng 40km</w:t>
      </w:r>
      <w:r>
        <w:rPr>
          <w:sz w:val="26"/>
          <w:szCs w:val="26"/>
          <w:vertAlign w:val="superscript"/>
          <w:lang w:val="nl-NL"/>
        </w:rPr>
        <w:t>2</w:t>
      </w:r>
      <w:r>
        <w:rPr>
          <w:sz w:val="26"/>
          <w:szCs w:val="26"/>
          <w:lang w:val="nl-NL"/>
        </w:rPr>
        <w:t>. Chiều dày của hệ tầng Đồng Đỏ (T3n-rđđ) là 300m.</w:t>
      </w:r>
    </w:p>
    <w:p w14:paraId="4B8F3D4F" w14:textId="77777777" w:rsidR="00085789" w:rsidRDefault="00000000">
      <w:pPr>
        <w:spacing w:before="120" w:line="240" w:lineRule="auto"/>
        <w:ind w:firstLine="709"/>
        <w:jc w:val="both"/>
        <w:rPr>
          <w:i/>
          <w:sz w:val="26"/>
          <w:szCs w:val="26"/>
          <w:lang w:val="nl-NL"/>
        </w:rPr>
      </w:pPr>
      <w:r>
        <w:rPr>
          <w:i/>
          <w:spacing w:val="-2"/>
          <w:sz w:val="26"/>
          <w:szCs w:val="26"/>
          <w:lang w:val="nl-NL"/>
        </w:rPr>
        <w:t>(5) Tầng chứa nước khe nứt trong trầm tích lục nguyên hệ tầng Đồng Trầu,</w:t>
      </w:r>
      <w:r>
        <w:rPr>
          <w:i/>
          <w:sz w:val="26"/>
          <w:szCs w:val="26"/>
          <w:lang w:val="nl-NL"/>
        </w:rPr>
        <w:t xml:space="preserve"> phân hệ tầng trên (t22):</w:t>
      </w:r>
    </w:p>
    <w:p w14:paraId="512FED18" w14:textId="77777777" w:rsidR="00085789" w:rsidRDefault="00000000">
      <w:pPr>
        <w:spacing w:before="120" w:line="240" w:lineRule="auto"/>
        <w:ind w:firstLine="709"/>
        <w:jc w:val="both"/>
        <w:rPr>
          <w:spacing w:val="-2"/>
          <w:sz w:val="26"/>
          <w:szCs w:val="26"/>
          <w:lang w:val="nl-NL"/>
        </w:rPr>
      </w:pPr>
      <w:r>
        <w:rPr>
          <w:spacing w:val="-2"/>
          <w:sz w:val="26"/>
          <w:szCs w:val="26"/>
          <w:lang w:val="nl-NL"/>
        </w:rPr>
        <w:tab/>
        <w:t>Tầng chứa nước t22 phân bố dạng dải kéo dài ở địa phận H</w:t>
      </w:r>
      <w:r>
        <w:rPr>
          <w:rFonts w:hint="cs"/>
          <w:spacing w:val="-2"/>
          <w:sz w:val="26"/>
          <w:szCs w:val="26"/>
          <w:lang w:val="nl-NL"/>
        </w:rPr>
        <w:t>ươ</w:t>
      </w:r>
      <w:r>
        <w:rPr>
          <w:spacing w:val="-2"/>
          <w:sz w:val="26"/>
          <w:szCs w:val="26"/>
          <w:lang w:val="nl-NL"/>
        </w:rPr>
        <w:t>ng S</w:t>
      </w:r>
      <w:r>
        <w:rPr>
          <w:rFonts w:hint="cs"/>
          <w:spacing w:val="-2"/>
          <w:sz w:val="26"/>
          <w:szCs w:val="26"/>
          <w:lang w:val="nl-NL"/>
        </w:rPr>
        <w:t>ơ</w:t>
      </w:r>
      <w:r>
        <w:rPr>
          <w:spacing w:val="-2"/>
          <w:sz w:val="26"/>
          <w:szCs w:val="26"/>
          <w:lang w:val="nl-NL"/>
        </w:rPr>
        <w:t>n, H</w:t>
      </w:r>
      <w:r>
        <w:rPr>
          <w:rFonts w:hint="cs"/>
          <w:spacing w:val="-2"/>
          <w:sz w:val="26"/>
          <w:szCs w:val="26"/>
          <w:lang w:val="nl-NL"/>
        </w:rPr>
        <w:t>ươ</w:t>
      </w:r>
      <w:r>
        <w:rPr>
          <w:spacing w:val="-2"/>
          <w:sz w:val="26"/>
          <w:szCs w:val="26"/>
          <w:lang w:val="nl-NL"/>
        </w:rPr>
        <w:t>ng Khê trước đây, ở dải Hoành Sơn thuộc địa bàn các huyện Can Lộc, Thạch Hà, Cẩm Xuyên, Kỳ Anh trước đây. Ngoài ra nó còn bị phủ d</w:t>
      </w:r>
      <w:r>
        <w:rPr>
          <w:rFonts w:hint="cs"/>
          <w:spacing w:val="-2"/>
          <w:sz w:val="26"/>
          <w:szCs w:val="26"/>
          <w:lang w:val="nl-NL"/>
        </w:rPr>
        <w:t>ư</w:t>
      </w:r>
      <w:r>
        <w:rPr>
          <w:spacing w:val="-2"/>
          <w:sz w:val="26"/>
          <w:szCs w:val="26"/>
          <w:lang w:val="nl-NL"/>
        </w:rPr>
        <w:t>ới trầm tích hệ Đệ tứ ở đồng bằng ven biển. Bề dày trầm tích hệ tầng Đồng Trầu, phân hệ tầng trên (T2ađt2) là 700 - 800 m.</w:t>
      </w:r>
    </w:p>
    <w:p w14:paraId="36A7930D" w14:textId="77777777" w:rsidR="00085789" w:rsidRDefault="00000000">
      <w:pPr>
        <w:spacing w:before="120" w:line="240" w:lineRule="auto"/>
        <w:ind w:firstLine="709"/>
        <w:jc w:val="both"/>
        <w:rPr>
          <w:i/>
          <w:iCs/>
          <w:sz w:val="26"/>
          <w:szCs w:val="26"/>
          <w:lang w:val="nl-NL"/>
        </w:rPr>
      </w:pPr>
      <w:r>
        <w:rPr>
          <w:i/>
          <w:iCs/>
          <w:sz w:val="26"/>
          <w:szCs w:val="26"/>
          <w:lang w:val="nl-NL"/>
        </w:rPr>
        <w:t>(6) Tầng chứa nước khe nứt trong trầm tích lục nguyên hệ tầng Đồng Trầu, phân hệ tầng d</w:t>
      </w:r>
      <w:r>
        <w:rPr>
          <w:rFonts w:hint="cs"/>
          <w:i/>
          <w:iCs/>
          <w:sz w:val="26"/>
          <w:szCs w:val="26"/>
          <w:lang w:val="nl-NL"/>
        </w:rPr>
        <w:t>ư</w:t>
      </w:r>
      <w:r>
        <w:rPr>
          <w:i/>
          <w:iCs/>
          <w:sz w:val="26"/>
          <w:szCs w:val="26"/>
          <w:lang w:val="nl-NL"/>
        </w:rPr>
        <w:t>ới (t21):</w:t>
      </w:r>
    </w:p>
    <w:p w14:paraId="55C131B0" w14:textId="77777777" w:rsidR="00085789" w:rsidRDefault="00000000">
      <w:pPr>
        <w:spacing w:before="120" w:line="240" w:lineRule="auto"/>
        <w:ind w:firstLine="709"/>
        <w:jc w:val="both"/>
        <w:rPr>
          <w:sz w:val="26"/>
          <w:szCs w:val="26"/>
          <w:lang w:val="nl-NL"/>
        </w:rPr>
      </w:pPr>
      <w:r>
        <w:rPr>
          <w:sz w:val="26"/>
          <w:szCs w:val="26"/>
          <w:lang w:val="nl-NL"/>
        </w:rPr>
        <w:t xml:space="preserve">Tầng chứa nước khe nứt t21 bao gồm phân hệ tầng </w:t>
      </w:r>
      <w:r>
        <w:rPr>
          <w:rFonts w:hint="cs"/>
          <w:sz w:val="26"/>
          <w:szCs w:val="26"/>
          <w:lang w:val="nl-NL"/>
        </w:rPr>
        <w:t>dư</w:t>
      </w:r>
      <w:r>
        <w:rPr>
          <w:sz w:val="26"/>
          <w:szCs w:val="26"/>
          <w:lang w:val="nl-NL"/>
        </w:rPr>
        <w:t>ới của hệ tầng Đồng Trầu (T2ađt1). Phân bố ở vùng núi Thiên Nhẫn, U Bò, núi Cúc Thảo, rú Động Chùa,.... Ngoài ra còn bị phủ d</w:t>
      </w:r>
      <w:r>
        <w:rPr>
          <w:rFonts w:hint="cs"/>
          <w:sz w:val="26"/>
          <w:szCs w:val="26"/>
          <w:lang w:val="nl-NL"/>
        </w:rPr>
        <w:t>ư</w:t>
      </w:r>
      <w:r>
        <w:rPr>
          <w:sz w:val="26"/>
          <w:szCs w:val="26"/>
          <w:lang w:val="nl-NL"/>
        </w:rPr>
        <w:t>ới trầm tích hệ Đệ tứ ở vùng đồng bằng ven biển và các thung lũng giữa núi, có bề dày 900 - 1000 m. Thành phần thạch học: Cuội kết tuf, cát kết tuf, riolit, dacit, đá phiến tuf.</w:t>
      </w:r>
    </w:p>
    <w:p w14:paraId="6F9C1037" w14:textId="77777777" w:rsidR="00085789" w:rsidRDefault="00000000">
      <w:pPr>
        <w:spacing w:before="120" w:line="240" w:lineRule="auto"/>
        <w:ind w:firstLine="709"/>
        <w:jc w:val="both"/>
        <w:rPr>
          <w:i/>
          <w:sz w:val="26"/>
          <w:szCs w:val="26"/>
          <w:lang w:val="nl-NL"/>
        </w:rPr>
      </w:pPr>
      <w:r>
        <w:rPr>
          <w:i/>
          <w:spacing w:val="-4"/>
          <w:sz w:val="26"/>
          <w:szCs w:val="26"/>
          <w:lang w:val="nl-NL"/>
        </w:rPr>
        <w:t>(7) Tầng chứa nước khe nứt trong trầm tích lục nguyên - carbonat Hệ Carbon</w:t>
      </w:r>
      <w:r>
        <w:rPr>
          <w:i/>
          <w:sz w:val="26"/>
          <w:szCs w:val="26"/>
          <w:lang w:val="nl-NL"/>
        </w:rPr>
        <w:t xml:space="preserve"> - Permi, hệ tầng Bắc S</w:t>
      </w:r>
      <w:r>
        <w:rPr>
          <w:rFonts w:hint="cs"/>
          <w:i/>
          <w:sz w:val="26"/>
          <w:szCs w:val="26"/>
          <w:lang w:val="nl-NL"/>
        </w:rPr>
        <w:t>ơ</w:t>
      </w:r>
      <w:r>
        <w:rPr>
          <w:i/>
          <w:sz w:val="26"/>
          <w:szCs w:val="26"/>
          <w:lang w:val="nl-NL"/>
        </w:rPr>
        <w:t>n (c-p):</w:t>
      </w:r>
    </w:p>
    <w:p w14:paraId="512701AB" w14:textId="77777777" w:rsidR="00085789" w:rsidRDefault="00000000">
      <w:pPr>
        <w:spacing w:before="120" w:line="240" w:lineRule="auto"/>
        <w:ind w:firstLine="709"/>
        <w:jc w:val="both"/>
        <w:rPr>
          <w:spacing w:val="-2"/>
          <w:sz w:val="26"/>
          <w:szCs w:val="26"/>
          <w:lang w:val="nl-NL"/>
        </w:rPr>
      </w:pPr>
      <w:r>
        <w:rPr>
          <w:spacing w:val="-2"/>
          <w:sz w:val="26"/>
          <w:szCs w:val="26"/>
          <w:lang w:val="nl-NL"/>
        </w:rPr>
        <w:lastRenderedPageBreak/>
        <w:tab/>
        <w:t>Tầng chứa nước khe nứt c-p lộ ra rải rác với một số diện tích nhỏ dọc theo thung lũng Ngàn Sâu từ xã H</w:t>
      </w:r>
      <w:r>
        <w:rPr>
          <w:rFonts w:hint="cs"/>
          <w:spacing w:val="-2"/>
          <w:sz w:val="26"/>
          <w:szCs w:val="26"/>
          <w:lang w:val="nl-NL"/>
        </w:rPr>
        <w:t>ươ</w:t>
      </w:r>
      <w:r>
        <w:rPr>
          <w:spacing w:val="-2"/>
          <w:sz w:val="26"/>
          <w:szCs w:val="26"/>
          <w:lang w:val="nl-NL"/>
        </w:rPr>
        <w:t>ng Khê đến Tân Ấp, khoảng 5 km</w:t>
      </w:r>
      <w:r>
        <w:rPr>
          <w:spacing w:val="-2"/>
          <w:sz w:val="26"/>
          <w:szCs w:val="26"/>
          <w:vertAlign w:val="superscript"/>
          <w:lang w:val="nl-NL"/>
        </w:rPr>
        <w:t>2</w:t>
      </w:r>
      <w:r>
        <w:rPr>
          <w:spacing w:val="-2"/>
          <w:sz w:val="26"/>
          <w:szCs w:val="26"/>
          <w:lang w:val="nl-NL"/>
        </w:rPr>
        <w:t>, phần còn lại ở đây bị phủ bởi các thành tạo Đệ tứ có chiều dày nhỏ (khoảng trên d</w:t>
      </w:r>
      <w:r>
        <w:rPr>
          <w:rFonts w:hint="cs"/>
          <w:spacing w:val="-2"/>
          <w:sz w:val="26"/>
          <w:szCs w:val="26"/>
          <w:lang w:val="nl-NL"/>
        </w:rPr>
        <w:t>ư</w:t>
      </w:r>
      <w:r>
        <w:rPr>
          <w:spacing w:val="-2"/>
          <w:sz w:val="26"/>
          <w:szCs w:val="26"/>
          <w:lang w:val="nl-NL"/>
        </w:rPr>
        <w:t>ới 10m), nằm kẹp giữa đứt gãy Rào Nậy và H</w:t>
      </w:r>
      <w:r>
        <w:rPr>
          <w:rFonts w:hint="cs"/>
          <w:spacing w:val="-2"/>
          <w:sz w:val="26"/>
          <w:szCs w:val="26"/>
          <w:lang w:val="nl-NL"/>
        </w:rPr>
        <w:t>ươ</w:t>
      </w:r>
      <w:r>
        <w:rPr>
          <w:spacing w:val="-2"/>
          <w:sz w:val="26"/>
          <w:szCs w:val="26"/>
          <w:lang w:val="nl-NL"/>
        </w:rPr>
        <w:t>ng Khê với diện tích khoảng 125 km</w:t>
      </w:r>
      <w:r>
        <w:rPr>
          <w:spacing w:val="-2"/>
          <w:sz w:val="26"/>
          <w:szCs w:val="26"/>
          <w:vertAlign w:val="superscript"/>
          <w:lang w:val="nl-NL"/>
        </w:rPr>
        <w:t>2</w:t>
      </w:r>
      <w:r>
        <w:rPr>
          <w:spacing w:val="-2"/>
          <w:sz w:val="26"/>
          <w:szCs w:val="26"/>
          <w:lang w:val="nl-NL"/>
        </w:rPr>
        <w:t>. Phần chìm d</w:t>
      </w:r>
      <w:r>
        <w:rPr>
          <w:rFonts w:hint="cs"/>
          <w:spacing w:val="-2"/>
          <w:sz w:val="26"/>
          <w:szCs w:val="26"/>
          <w:lang w:val="nl-NL"/>
        </w:rPr>
        <w:t>ư</w:t>
      </w:r>
      <w:r>
        <w:rPr>
          <w:spacing w:val="-2"/>
          <w:sz w:val="26"/>
          <w:szCs w:val="26"/>
          <w:lang w:val="nl-NL"/>
        </w:rPr>
        <w:t>ới sâu của tầng c-p gặp ở vùng mỏ Sắt Thạch Khê. Bề dày của hệ tầng C-Pbs &gt; 200 m.</w:t>
      </w:r>
    </w:p>
    <w:p w14:paraId="6077E858" w14:textId="77777777" w:rsidR="00085789" w:rsidRDefault="00000000">
      <w:pPr>
        <w:spacing w:before="120" w:line="240" w:lineRule="auto"/>
        <w:ind w:firstLine="709"/>
        <w:jc w:val="both"/>
        <w:rPr>
          <w:i/>
          <w:iCs/>
          <w:sz w:val="26"/>
          <w:szCs w:val="26"/>
          <w:lang w:val="nl-NL"/>
        </w:rPr>
      </w:pPr>
      <w:r>
        <w:rPr>
          <w:i/>
          <w:iCs/>
          <w:sz w:val="26"/>
          <w:szCs w:val="26"/>
          <w:lang w:val="nl-NL"/>
        </w:rPr>
        <w:t>(8) Tầng chứa nước trong trầm tích Carbon hạ, hệ tầng La Khê (c1):</w:t>
      </w:r>
    </w:p>
    <w:p w14:paraId="73194F08" w14:textId="77777777" w:rsidR="00085789" w:rsidRDefault="00000000">
      <w:pPr>
        <w:spacing w:before="120" w:line="240" w:lineRule="auto"/>
        <w:ind w:firstLine="709"/>
        <w:jc w:val="both"/>
        <w:rPr>
          <w:sz w:val="26"/>
          <w:szCs w:val="26"/>
          <w:lang w:val="nl-NL"/>
        </w:rPr>
      </w:pPr>
      <w:r>
        <w:rPr>
          <w:sz w:val="26"/>
          <w:szCs w:val="26"/>
          <w:lang w:val="nl-NL"/>
        </w:rPr>
        <w:t>Tầng chứa nước c1 phân bố ở thung lũng sông Ngàn Sâu chạy từ Vũ Quang tới La Khê, giữa 2 đứt gãy Rào Nậy và Hương Khê với diện tích khoảng 70 km</w:t>
      </w:r>
      <w:r>
        <w:rPr>
          <w:sz w:val="26"/>
          <w:szCs w:val="26"/>
          <w:vertAlign w:val="superscript"/>
          <w:lang w:val="nl-NL"/>
        </w:rPr>
        <w:t>2</w:t>
      </w:r>
      <w:r>
        <w:rPr>
          <w:sz w:val="26"/>
          <w:szCs w:val="26"/>
          <w:lang w:val="nl-NL"/>
        </w:rPr>
        <w:t>.</w:t>
      </w:r>
    </w:p>
    <w:p w14:paraId="2CF9E8A8" w14:textId="77777777" w:rsidR="00085789" w:rsidRDefault="00000000">
      <w:pPr>
        <w:spacing w:before="120" w:line="240" w:lineRule="auto"/>
        <w:ind w:firstLine="709"/>
        <w:jc w:val="both"/>
        <w:rPr>
          <w:i/>
          <w:iCs/>
          <w:sz w:val="26"/>
          <w:szCs w:val="26"/>
          <w:lang w:val="nl-NL"/>
        </w:rPr>
      </w:pPr>
      <w:r>
        <w:rPr>
          <w:i/>
          <w:iCs/>
          <w:sz w:val="26"/>
          <w:szCs w:val="26"/>
          <w:lang w:val="nl-NL"/>
        </w:rPr>
        <w:t>(9) Tầng chứa nước khe nứt trong trầm tích Devon (d):</w:t>
      </w:r>
    </w:p>
    <w:p w14:paraId="0A5F4D86" w14:textId="77777777" w:rsidR="00085789" w:rsidRDefault="00000000">
      <w:pPr>
        <w:spacing w:before="120" w:line="240" w:lineRule="auto"/>
        <w:ind w:firstLine="709"/>
        <w:jc w:val="both"/>
        <w:rPr>
          <w:sz w:val="26"/>
          <w:szCs w:val="26"/>
          <w:lang w:val="nl-NL"/>
        </w:rPr>
      </w:pPr>
      <w:r>
        <w:rPr>
          <w:sz w:val="26"/>
          <w:szCs w:val="26"/>
          <w:lang w:val="nl-NL"/>
        </w:rPr>
        <w:t>Tầng chứa nước khe nứt d bao gồm các hệ tầng Đông Thọ (D3frđt), hệ tầng Mục Bài (D2gmb), hệ tầng Bản Giàng (D2ebg), hệ tầng Rào Chan (D1rc).</w:t>
      </w:r>
    </w:p>
    <w:p w14:paraId="052DD504" w14:textId="77777777" w:rsidR="00085789" w:rsidRDefault="00000000">
      <w:pPr>
        <w:spacing w:before="120" w:line="240" w:lineRule="auto"/>
        <w:ind w:firstLine="709"/>
        <w:jc w:val="both"/>
        <w:rPr>
          <w:sz w:val="26"/>
          <w:szCs w:val="26"/>
          <w:lang w:val="nl-NL"/>
        </w:rPr>
      </w:pPr>
      <w:r>
        <w:rPr>
          <w:sz w:val="26"/>
          <w:szCs w:val="26"/>
          <w:lang w:val="nl-NL"/>
        </w:rPr>
        <w:t>Phân bố rộng rãi ở Đông Nam tờ bản đồ Hương Khê và vùng Vũ Quang, Hương Sơn trước đây với diện tích khoảng 420 km</w:t>
      </w:r>
      <w:r>
        <w:rPr>
          <w:sz w:val="26"/>
          <w:szCs w:val="26"/>
          <w:vertAlign w:val="superscript"/>
          <w:lang w:val="nl-NL"/>
        </w:rPr>
        <w:t>2</w:t>
      </w:r>
      <w:r>
        <w:rPr>
          <w:sz w:val="26"/>
          <w:szCs w:val="26"/>
          <w:lang w:val="nl-NL"/>
        </w:rPr>
        <w:t>. Ngoài ra còn phát hiện được ở vùng mỏ Sắt Thạch Khê dưới lớp phủ hệ Đệ tứ và Neogen ở độ sâu 100m ở phía Bắc, Tây Bắc và Tây vùng mỏ. Bề dày chung của hệ tầng Devon &gt; 5000 m.</w:t>
      </w:r>
    </w:p>
    <w:p w14:paraId="4A51AAEE" w14:textId="77777777" w:rsidR="00085789" w:rsidRDefault="00000000">
      <w:pPr>
        <w:spacing w:before="120" w:line="240" w:lineRule="auto"/>
        <w:ind w:firstLine="709"/>
        <w:jc w:val="both"/>
        <w:rPr>
          <w:i/>
          <w:sz w:val="26"/>
          <w:szCs w:val="26"/>
          <w:lang w:val="nl-NL"/>
        </w:rPr>
      </w:pPr>
      <w:r>
        <w:rPr>
          <w:i/>
          <w:spacing w:val="-4"/>
          <w:sz w:val="26"/>
          <w:szCs w:val="26"/>
          <w:lang w:val="nl-NL"/>
        </w:rPr>
        <w:t>(10) Tầng chứa nước khe nứt trong trầm tích lục nguyên Silur - Devon hệ tầng</w:t>
      </w:r>
      <w:r>
        <w:rPr>
          <w:i/>
          <w:sz w:val="26"/>
          <w:szCs w:val="26"/>
          <w:lang w:val="nl-NL"/>
        </w:rPr>
        <w:t xml:space="preserve"> Huổi - nhị (s2- d1):</w:t>
      </w:r>
    </w:p>
    <w:p w14:paraId="3A175A4E" w14:textId="77777777" w:rsidR="00085789" w:rsidRDefault="00000000">
      <w:pPr>
        <w:widowControl w:val="0"/>
        <w:spacing w:before="120" w:line="240" w:lineRule="auto"/>
        <w:ind w:firstLine="709"/>
        <w:jc w:val="both"/>
        <w:rPr>
          <w:spacing w:val="-8"/>
          <w:sz w:val="26"/>
          <w:szCs w:val="26"/>
          <w:lang w:val="nl-NL"/>
        </w:rPr>
      </w:pPr>
      <w:r>
        <w:rPr>
          <w:spacing w:val="-8"/>
          <w:sz w:val="26"/>
          <w:szCs w:val="26"/>
          <w:lang w:val="nl-NL"/>
        </w:rPr>
        <w:t>Tầng chứa nước s2-d1 phân bố thành các dải hẹp kéo dài ở vùng Trường Sơn và Hoành Sơn với diện tích khoảng 390 km</w:t>
      </w:r>
      <w:r>
        <w:rPr>
          <w:spacing w:val="-8"/>
          <w:sz w:val="26"/>
          <w:szCs w:val="26"/>
          <w:vertAlign w:val="superscript"/>
          <w:lang w:val="nl-NL"/>
        </w:rPr>
        <w:t>2</w:t>
      </w:r>
      <w:r>
        <w:rPr>
          <w:spacing w:val="-8"/>
          <w:sz w:val="26"/>
          <w:szCs w:val="26"/>
          <w:lang w:val="nl-NL"/>
        </w:rPr>
        <w:t>. Bề dày hệ tầng Huổi nhị (S2-D1hn) 900 - 1.200 m.</w:t>
      </w:r>
    </w:p>
    <w:p w14:paraId="2CF0471E" w14:textId="77777777" w:rsidR="00085789" w:rsidRDefault="00000000">
      <w:pPr>
        <w:spacing w:before="120" w:line="240" w:lineRule="auto"/>
        <w:ind w:firstLine="709"/>
        <w:jc w:val="both"/>
        <w:rPr>
          <w:i/>
          <w:iCs/>
          <w:sz w:val="26"/>
          <w:szCs w:val="26"/>
          <w:lang w:val="nl-NL"/>
        </w:rPr>
      </w:pPr>
      <w:r>
        <w:rPr>
          <w:i/>
          <w:iCs/>
          <w:sz w:val="26"/>
          <w:szCs w:val="26"/>
          <w:lang w:val="nl-NL"/>
        </w:rPr>
        <w:t>(11) Tầng chứa nước khe nứt trong các trầm tích lục nguyên Ordovic- Silur hệ tầng sông Cả (o3-s1):</w:t>
      </w:r>
    </w:p>
    <w:p w14:paraId="18E50924" w14:textId="77777777" w:rsidR="00085789" w:rsidRDefault="00000000">
      <w:pPr>
        <w:spacing w:before="120" w:line="240" w:lineRule="auto"/>
        <w:ind w:firstLine="709"/>
        <w:jc w:val="both"/>
        <w:rPr>
          <w:sz w:val="26"/>
          <w:szCs w:val="26"/>
          <w:lang w:val="nl-NL"/>
        </w:rPr>
      </w:pPr>
      <w:r>
        <w:rPr>
          <w:sz w:val="26"/>
          <w:szCs w:val="26"/>
          <w:lang w:val="nl-NL"/>
        </w:rPr>
        <w:t>Tầng chứa nước o3-s1 phân bố rộng rãi ở hai dãy Trường Sơn, Hoành Sơn, ở núi Thiên Nhẫn, Núi Ông,…. Ngoài ra còn gặp ở dưới lớp phủ dưới các thành tạo trẻ hơn ở vùng đồng bằng, ven biển. Bề dày của hệ tầng Sông Cả (O3-S1sc): 2.500- 3.300 m. Đây là tầng chứa nước có diện phân bố rộng ở cả dãy Trường Sơn và Hoành Sơn, đất đá có tuổi cổ nhất trong vùng, trải qua rất nhiều biến động địa chất nên chắc chắn điều kiện địa chất thuỷ văn cũng rất phức tạp.</w:t>
      </w:r>
    </w:p>
    <w:p w14:paraId="259C693F" w14:textId="77777777" w:rsidR="00085789" w:rsidRDefault="00000000">
      <w:pPr>
        <w:spacing w:before="120" w:line="240" w:lineRule="auto"/>
        <w:ind w:firstLine="709"/>
        <w:jc w:val="both"/>
        <w:rPr>
          <w:i/>
          <w:sz w:val="26"/>
          <w:szCs w:val="26"/>
          <w:lang w:val="nl-NL"/>
        </w:rPr>
      </w:pPr>
      <w:r>
        <w:rPr>
          <w:i/>
          <w:spacing w:val="-4"/>
          <w:sz w:val="26"/>
          <w:szCs w:val="26"/>
          <w:lang w:val="nl-NL"/>
        </w:rPr>
        <w:t>(12) Các đới chứa nước khe nứt trong các thành tạo có nguồn gốc magma(g)</w:t>
      </w:r>
      <w:r>
        <w:rPr>
          <w:i/>
          <w:sz w:val="26"/>
          <w:szCs w:val="26"/>
          <w:lang w:val="nl-NL"/>
        </w:rPr>
        <w:t xml:space="preserve"> - Tuổi Trias - Jura - Creta (</w:t>
      </w:r>
      <w:r>
        <w:rPr>
          <w:i/>
          <w:sz w:val="26"/>
          <w:szCs w:val="26"/>
        </w:rPr>
        <w:sym w:font="Symbol" w:char="F067"/>
      </w:r>
      <w:r>
        <w:rPr>
          <w:i/>
          <w:sz w:val="26"/>
          <w:szCs w:val="26"/>
        </w:rPr>
        <w:sym w:font="Symbol" w:char="F074"/>
      </w:r>
      <w:r>
        <w:rPr>
          <w:i/>
          <w:sz w:val="26"/>
          <w:szCs w:val="26"/>
          <w:lang w:val="nl-NL"/>
        </w:rPr>
        <w:t xml:space="preserve">J-K, </w:t>
      </w:r>
      <w:r>
        <w:rPr>
          <w:i/>
          <w:sz w:val="26"/>
          <w:szCs w:val="26"/>
        </w:rPr>
        <w:sym w:font="Symbol" w:char="F067"/>
      </w:r>
      <w:r>
        <w:rPr>
          <w:i/>
          <w:sz w:val="26"/>
          <w:szCs w:val="26"/>
          <w:lang w:val="nl-NL"/>
        </w:rPr>
        <w:t xml:space="preserve">at3, Ðat3, </w:t>
      </w:r>
      <w:r>
        <w:rPr>
          <w:i/>
          <w:sz w:val="26"/>
          <w:szCs w:val="26"/>
        </w:rPr>
        <w:sym w:font="Symbol" w:char="F067"/>
      </w:r>
      <w:r>
        <w:rPr>
          <w:i/>
          <w:sz w:val="26"/>
          <w:szCs w:val="26"/>
        </w:rPr>
        <w:sym w:font="Symbol" w:char="F074"/>
      </w:r>
      <w:r>
        <w:rPr>
          <w:i/>
          <w:sz w:val="26"/>
          <w:szCs w:val="26"/>
          <w:lang w:val="nl-NL"/>
        </w:rPr>
        <w:t xml:space="preserve">t2-3): </w:t>
      </w:r>
    </w:p>
    <w:p w14:paraId="7C7E4E14" w14:textId="77777777" w:rsidR="00085789" w:rsidRDefault="00000000">
      <w:pPr>
        <w:spacing w:before="120" w:line="240" w:lineRule="auto"/>
        <w:ind w:firstLine="709"/>
        <w:jc w:val="both"/>
        <w:rPr>
          <w:sz w:val="26"/>
          <w:szCs w:val="26"/>
          <w:lang w:val="nl-NL"/>
        </w:rPr>
      </w:pPr>
      <w:r>
        <w:rPr>
          <w:sz w:val="26"/>
          <w:szCs w:val="26"/>
          <w:lang w:val="nl-NL"/>
        </w:rPr>
        <w:t>Các đới chứa nước có nguồn gốc magma (g) bao gồm phức hệ Bản Muồng (</w:t>
      </w:r>
      <w:r>
        <w:rPr>
          <w:sz w:val="26"/>
          <w:szCs w:val="26"/>
        </w:rPr>
        <w:sym w:font="Symbol" w:char="F067"/>
      </w:r>
      <w:r>
        <w:rPr>
          <w:sz w:val="26"/>
          <w:szCs w:val="26"/>
        </w:rPr>
        <w:sym w:font="Symbol" w:char="F074"/>
      </w:r>
      <w:r>
        <w:rPr>
          <w:sz w:val="26"/>
          <w:szCs w:val="26"/>
          <w:lang w:val="nl-NL"/>
        </w:rPr>
        <w:t>J-Kbm), phức hệ PhiaBioc (</w:t>
      </w:r>
      <w:r>
        <w:rPr>
          <w:sz w:val="26"/>
          <w:szCs w:val="26"/>
        </w:rPr>
        <w:sym w:font="Symbol" w:char="F067"/>
      </w:r>
      <w:r>
        <w:rPr>
          <w:sz w:val="26"/>
          <w:szCs w:val="26"/>
          <w:lang w:val="nl-NL"/>
        </w:rPr>
        <w:t>aT3npb), phức hệ Núi Chúa (</w:t>
      </w:r>
      <w:r>
        <w:rPr>
          <w:sz w:val="26"/>
          <w:szCs w:val="26"/>
        </w:rPr>
        <w:sym w:font="Symbol" w:char="F067"/>
      </w:r>
      <w:r>
        <w:rPr>
          <w:sz w:val="26"/>
          <w:szCs w:val="26"/>
          <w:lang w:val="nl-NL"/>
        </w:rPr>
        <w:t>aT3nnc), phức hệ sông Mã (</w:t>
      </w:r>
      <w:r>
        <w:rPr>
          <w:sz w:val="26"/>
          <w:szCs w:val="26"/>
        </w:rPr>
        <w:sym w:font="Symbol" w:char="F067"/>
      </w:r>
      <w:r>
        <w:rPr>
          <w:sz w:val="26"/>
          <w:szCs w:val="26"/>
          <w:lang w:val="nl-NL"/>
        </w:rPr>
        <w:t>T2-3sm).</w:t>
      </w:r>
    </w:p>
    <w:p w14:paraId="14865E50" w14:textId="77777777" w:rsidR="00085789" w:rsidRDefault="00000000">
      <w:pPr>
        <w:spacing w:before="120" w:line="240" w:lineRule="auto"/>
        <w:ind w:firstLine="709"/>
        <w:jc w:val="both"/>
        <w:rPr>
          <w:sz w:val="26"/>
          <w:szCs w:val="26"/>
          <w:lang w:val="nl-NL"/>
        </w:rPr>
      </w:pPr>
      <w:r>
        <w:rPr>
          <w:sz w:val="26"/>
          <w:szCs w:val="26"/>
          <w:lang w:val="nl-NL"/>
        </w:rPr>
        <w:t>Đối tượng mô tả phân bố ở nhiều nơi trên địa bàn Hương Sơn, Đức Thọ, Kỳ Anh, Cẩm Xuyên, ở núi Hồng Lĩnh, Nam Giới và một diện tích nhỏ ở Hương Khê (theo địa giới hành chính trước đây), với tổng diện tích khoảng 440 km</w:t>
      </w:r>
      <w:r>
        <w:rPr>
          <w:sz w:val="26"/>
          <w:szCs w:val="26"/>
          <w:vertAlign w:val="superscript"/>
          <w:lang w:val="nl-NL"/>
        </w:rPr>
        <w:t>2</w:t>
      </w:r>
      <w:r>
        <w:rPr>
          <w:sz w:val="26"/>
          <w:szCs w:val="26"/>
          <w:lang w:val="nl-NL"/>
        </w:rPr>
        <w:t xml:space="preserve">. Vùng đồng bằng ven biển gặp trong các lỗ khoan, dưới lớp phủ Đệ tứ ở Cẩm Xuyên, Thạch Hà trước đây. Thành phần đất đá gồm granit amphibol, granit 2 mica, granit muscovit, granit biotit, granit diorit, peridotit gabro, gabro diabas, gabro pegmatit. </w:t>
      </w:r>
    </w:p>
    <w:p w14:paraId="01DCDF16" w14:textId="77777777" w:rsidR="00085789" w:rsidRDefault="00000000">
      <w:pPr>
        <w:spacing w:before="120" w:line="240" w:lineRule="auto"/>
        <w:ind w:firstLine="709"/>
        <w:jc w:val="both"/>
        <w:rPr>
          <w:i/>
          <w:iCs/>
          <w:sz w:val="26"/>
          <w:szCs w:val="26"/>
          <w:lang w:val="nl-NL"/>
        </w:rPr>
      </w:pPr>
      <w:r>
        <w:rPr>
          <w:i/>
          <w:iCs/>
          <w:sz w:val="26"/>
          <w:szCs w:val="26"/>
          <w:lang w:val="nl-NL"/>
        </w:rPr>
        <w:t>(13) Tuổi Carbon (c1):</w:t>
      </w:r>
    </w:p>
    <w:p w14:paraId="1166EF11" w14:textId="77777777" w:rsidR="00085789" w:rsidRDefault="00000000">
      <w:pPr>
        <w:widowControl w:val="0"/>
        <w:spacing w:before="120" w:line="240" w:lineRule="auto"/>
        <w:ind w:firstLine="709"/>
        <w:jc w:val="both"/>
        <w:rPr>
          <w:sz w:val="26"/>
          <w:szCs w:val="26"/>
          <w:lang w:val="fr-FR"/>
        </w:rPr>
      </w:pPr>
      <w:r>
        <w:rPr>
          <w:sz w:val="26"/>
          <w:szCs w:val="26"/>
          <w:lang w:val="nl-NL"/>
        </w:rPr>
        <w:t>Đới chứa nước mô tả nằm ở phía tây của tỉnh Hà Tĩnh, gần đường phân thuỷ của dãy Trường Sơn với diện tích khoảng 700 km</w:t>
      </w:r>
      <w:r>
        <w:rPr>
          <w:sz w:val="26"/>
          <w:szCs w:val="26"/>
          <w:vertAlign w:val="superscript"/>
          <w:lang w:val="nl-NL"/>
        </w:rPr>
        <w:t>2</w:t>
      </w:r>
      <w:r>
        <w:rPr>
          <w:sz w:val="26"/>
          <w:szCs w:val="26"/>
          <w:lang w:val="nl-NL"/>
        </w:rPr>
        <w:t xml:space="preserve">. </w:t>
      </w:r>
      <w:r>
        <w:rPr>
          <w:sz w:val="26"/>
          <w:szCs w:val="26"/>
          <w:lang w:val="fr-FR"/>
        </w:rPr>
        <w:t>Thành phần đất đá của đới chứa nước là aplit, pegmatit, granit diorit, granit biotit, granit 2 mica.</w:t>
      </w:r>
    </w:p>
    <w:p w14:paraId="34EE08C4" w14:textId="77777777" w:rsidR="00085789" w:rsidRDefault="00000000">
      <w:pPr>
        <w:pStyle w:val="-bac3"/>
        <w:spacing w:before="120" w:after="0" w:line="240" w:lineRule="auto"/>
        <w:rPr>
          <w:smallCaps/>
          <w:lang w:val="nl-NL"/>
        </w:rPr>
      </w:pPr>
      <w:bookmarkStart w:id="751" w:name="_Toc214311238"/>
      <w:r>
        <w:rPr>
          <w:lang w:val="nl-NL"/>
        </w:rPr>
        <w:lastRenderedPageBreak/>
        <w:t>3.2.1.2. Tình hình khai thác, sử dụng nước dưới đất</w:t>
      </w:r>
      <w:bookmarkEnd w:id="751"/>
    </w:p>
    <w:p w14:paraId="2AD30A6A" w14:textId="7577990B" w:rsidR="00085789" w:rsidRDefault="00000000">
      <w:pPr>
        <w:widowControl w:val="0"/>
        <w:spacing w:before="120" w:line="240" w:lineRule="auto"/>
        <w:ind w:firstLine="709"/>
        <w:jc w:val="both"/>
        <w:rPr>
          <w:sz w:val="26"/>
          <w:szCs w:val="26"/>
          <w:lang w:val="nl-NL"/>
        </w:rPr>
      </w:pPr>
      <w:r>
        <w:rPr>
          <w:sz w:val="26"/>
          <w:szCs w:val="26"/>
          <w:lang w:val="nl-NL"/>
        </w:rPr>
        <w:t>Hiện nay, nhiều khu vực trên địa bàn tỉnh đã được cung cấp nguồn nước sạch để sử dụng, do đó khối lượng khai thác và sử dụng nước dưới đất từ năm 2021 đến nay thấp hơn rất nhiều so với giai đoạn trước đây. Toàn tỉnh hiện có 25 công trình cấp nước sạch nông thôn tập trung với công suất thiết kế 25.480 m</w:t>
      </w:r>
      <w:r>
        <w:rPr>
          <w:sz w:val="26"/>
          <w:szCs w:val="26"/>
          <w:vertAlign w:val="superscript"/>
          <w:lang w:val="nl-NL"/>
        </w:rPr>
        <w:t>3</w:t>
      </w:r>
      <w:r>
        <w:rPr>
          <w:sz w:val="26"/>
          <w:szCs w:val="26"/>
          <w:lang w:val="nl-NL"/>
        </w:rPr>
        <w:t>/ngày đêm, công suất khai thác thực tế 19.669 m</w:t>
      </w:r>
      <w:r>
        <w:rPr>
          <w:sz w:val="26"/>
          <w:szCs w:val="26"/>
          <w:vertAlign w:val="superscript"/>
          <w:lang w:val="nl-NL"/>
        </w:rPr>
        <w:t>3</w:t>
      </w:r>
      <w:r>
        <w:rPr>
          <w:sz w:val="26"/>
          <w:szCs w:val="26"/>
          <w:lang w:val="nl-NL"/>
        </w:rPr>
        <w:t>/ngày đêm (đạt 77,19 % thiết kế) và có 14 hệ thống đấu nối với công trình cấp nước sạch đô thị, cấp nước cho 309.560 người dân (77.390 hộ) sử dụng; ngoài ra có hơn 210.000 công trình cấp nước nhỏ lẻ (giếng khoan, giếng đào…). Đến nay, tỷ lệ người dân nông thôn được sử dụng nước sạch đạt quy chuẩn là 72 %. Như vậy, tính trung bình mỗi hộ dân khai thác khoảng 1,5 m</w:t>
      </w:r>
      <w:r>
        <w:rPr>
          <w:sz w:val="26"/>
          <w:szCs w:val="26"/>
          <w:vertAlign w:val="superscript"/>
          <w:lang w:val="nl-NL"/>
        </w:rPr>
        <w:t>3</w:t>
      </w:r>
      <w:r>
        <w:rPr>
          <w:sz w:val="26"/>
          <w:szCs w:val="26"/>
          <w:lang w:val="nl-NL"/>
        </w:rPr>
        <w:t>/hộ/ngày đêm vào mùa Đông và khoảng 2 m</w:t>
      </w:r>
      <w:r>
        <w:rPr>
          <w:sz w:val="26"/>
          <w:szCs w:val="26"/>
          <w:vertAlign w:val="superscript"/>
          <w:lang w:val="nl-NL"/>
        </w:rPr>
        <w:t>3</w:t>
      </w:r>
      <w:r>
        <w:rPr>
          <w:sz w:val="26"/>
          <w:szCs w:val="26"/>
          <w:lang w:val="nl-NL"/>
        </w:rPr>
        <w:t>/hộ/ngày đêm vào mùa Hè thì tổng khối lượng khai thác nước dưới đất trên địa bàn toàn tỉnh đạt khoảng 315.000 m</w:t>
      </w:r>
      <w:r>
        <w:rPr>
          <w:sz w:val="26"/>
          <w:szCs w:val="26"/>
          <w:vertAlign w:val="superscript"/>
          <w:lang w:val="nl-NL"/>
        </w:rPr>
        <w:t>3</w:t>
      </w:r>
      <w:r>
        <w:rPr>
          <w:sz w:val="26"/>
          <w:szCs w:val="26"/>
          <w:lang w:val="nl-NL"/>
        </w:rPr>
        <w:t>/ngày đêm vào mùa Đông và 420.000 m</w:t>
      </w:r>
      <w:r>
        <w:rPr>
          <w:sz w:val="26"/>
          <w:szCs w:val="26"/>
          <w:vertAlign w:val="superscript"/>
          <w:lang w:val="nl-NL"/>
        </w:rPr>
        <w:t>3</w:t>
      </w:r>
      <w:r>
        <w:rPr>
          <w:sz w:val="26"/>
          <w:szCs w:val="26"/>
          <w:lang w:val="nl-NL"/>
        </w:rPr>
        <w:t>/ngày đêm vào mùa Hè. Các hoạt động sản xuất, kinh doanh, dịch vụ tập trung tại nhiều vùng phát triển kinh tế trên địa bàn tỉnh tập trung nhiều khu vực đồng bằng của tỉnh hiện đã được cấp nước sạch từ các nhà máy cấp nước, do đó nhiều cơ sở đã chủ động được nguồn nước sạch để sản xuất.</w:t>
      </w:r>
    </w:p>
    <w:p w14:paraId="7D435BB9" w14:textId="77777777" w:rsidR="00085789" w:rsidRDefault="00000000">
      <w:pPr>
        <w:pStyle w:val="bac2"/>
        <w:spacing w:before="120" w:after="0" w:line="240" w:lineRule="auto"/>
        <w:rPr>
          <w:bCs/>
          <w:smallCaps/>
          <w:lang w:val="nl-NL"/>
        </w:rPr>
      </w:pPr>
      <w:bookmarkStart w:id="752" w:name="_Toc214311239"/>
      <w:r>
        <w:rPr>
          <w:lang w:val="nl-NL"/>
        </w:rPr>
        <w:t>3.2.2. Diễn biến ô nhiễm</w:t>
      </w:r>
      <w:bookmarkEnd w:id="752"/>
    </w:p>
    <w:p w14:paraId="1C22B288" w14:textId="77777777" w:rsidR="00085789" w:rsidRDefault="00000000">
      <w:pPr>
        <w:pStyle w:val="-bac3"/>
        <w:spacing w:before="120" w:after="0" w:line="240" w:lineRule="auto"/>
        <w:rPr>
          <w:rFonts w:ascii="Times New Roman Bold Italic" w:hAnsi="Times New Roman Bold Italic"/>
          <w:bCs/>
          <w:smallCaps/>
          <w:spacing w:val="-6"/>
          <w:lang w:val="vi-VN"/>
        </w:rPr>
      </w:pPr>
      <w:bookmarkStart w:id="753" w:name="_Toc214311240"/>
      <w:r>
        <w:rPr>
          <w:rFonts w:ascii="Times New Roman Bold Italic" w:hAnsi="Times New Roman Bold Italic"/>
          <w:spacing w:val="-6"/>
          <w:lang w:val="vi-VN"/>
        </w:rPr>
        <w:t>3.</w:t>
      </w:r>
      <w:r>
        <w:rPr>
          <w:rFonts w:ascii="Times New Roman Bold Italic" w:hAnsi="Times New Roman Bold Italic"/>
          <w:spacing w:val="-6"/>
          <w:lang w:val="nl-NL"/>
        </w:rPr>
        <w:t>2</w:t>
      </w:r>
      <w:r>
        <w:rPr>
          <w:rFonts w:ascii="Times New Roman Bold Italic" w:hAnsi="Times New Roman Bold Italic"/>
          <w:spacing w:val="-6"/>
          <w:lang w:val="vi-VN"/>
        </w:rPr>
        <w:t>.2.1. Khái quát diễn biến chất lượng nước dưới đất theo các thông số đặc trưng</w:t>
      </w:r>
      <w:bookmarkEnd w:id="753"/>
    </w:p>
    <w:p w14:paraId="7A27DBA7" w14:textId="77777777" w:rsidR="00085789" w:rsidRDefault="00000000">
      <w:pPr>
        <w:widowControl w:val="0"/>
        <w:spacing w:before="120" w:line="240" w:lineRule="auto"/>
        <w:ind w:firstLine="709"/>
        <w:jc w:val="both"/>
        <w:rPr>
          <w:spacing w:val="-2"/>
          <w:sz w:val="26"/>
          <w:szCs w:val="26"/>
          <w:lang w:val="nl-NL"/>
        </w:rPr>
      </w:pPr>
      <w:r>
        <w:rPr>
          <w:spacing w:val="-2"/>
          <w:sz w:val="26"/>
          <w:szCs w:val="26"/>
          <w:shd w:val="clear" w:color="auto" w:fill="FFFFFF"/>
          <w:lang w:val="nl-NL"/>
        </w:rPr>
        <w:t xml:space="preserve">Tổng hợp diễn biến ô nhiễm nguồn nước dưới đất trên địa bàn tỉnh cụ thể như sau: </w:t>
      </w:r>
      <w:r>
        <w:rPr>
          <w:spacing w:val="-2"/>
          <w:sz w:val="26"/>
          <w:szCs w:val="26"/>
          <w:lang w:val="nl-NL"/>
        </w:rPr>
        <w:t xml:space="preserve">Trên cơ sở so sánh kết quả quan trắc chất lượng nước mặt định kỳ hàng năm với QCVN 09-MT:2015/BTNMT (năm 2021-2022) và QCVN 09:2023/BTNMT (2023-Quý II/2025), đã lựa chọn các vị trí đặc trưng đại diện cho vùng, khu vực chịu nhiều ảnh hưởng bởi các hoạt động NTTS, chăn nuôi, hoạt động công nghiệp và mức độ đô thị hóa cao. </w:t>
      </w:r>
      <w:r>
        <w:rPr>
          <w:noProof/>
          <w:spacing w:val="-2"/>
          <w:sz w:val="26"/>
          <w:szCs w:val="26"/>
          <w:lang w:val="nl-NL"/>
        </w:rPr>
        <w:t>Thông tin các nguồn nước dưới đất các vùng đại diện đánh giá cụ thể như sau:</w:t>
      </w:r>
    </w:p>
    <w:p w14:paraId="6622841C" w14:textId="77777777" w:rsidR="00085789" w:rsidRDefault="00000000">
      <w:pPr>
        <w:pStyle w:val="-bac4"/>
        <w:spacing w:before="120" w:after="0" w:line="240" w:lineRule="auto"/>
        <w:rPr>
          <w:lang w:val="nl-NL"/>
        </w:rPr>
      </w:pPr>
      <w:bookmarkStart w:id="754" w:name="_Toc205915757"/>
      <w:bookmarkStart w:id="755" w:name="_Toc213597452"/>
      <w:bookmarkStart w:id="756" w:name="_Toc213600803"/>
      <w:r>
        <w:rPr>
          <w:lang w:val="nl-NL"/>
        </w:rPr>
        <w:t>Bảng 3.4. Thông tin các nguồn nước dưới đất chịu sức ép từ hoạt động phát triển KT-XH trên địa bàn tỉnh Hà Tĩnh</w:t>
      </w:r>
      <w:bookmarkEnd w:id="754"/>
      <w:bookmarkEnd w:id="755"/>
      <w:bookmarkEnd w:id="756"/>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3817"/>
        <w:gridCol w:w="2517"/>
        <w:gridCol w:w="2122"/>
        <w:gridCol w:w="8"/>
      </w:tblGrid>
      <w:tr w:rsidR="00085789" w14:paraId="5498365D" w14:textId="77777777">
        <w:trPr>
          <w:gridAfter w:val="1"/>
          <w:wAfter w:w="8" w:type="dxa"/>
          <w:trHeight w:val="315"/>
          <w:tblHeader/>
          <w:jc w:val="center"/>
        </w:trPr>
        <w:tc>
          <w:tcPr>
            <w:tcW w:w="618" w:type="dxa"/>
            <w:vAlign w:val="center"/>
          </w:tcPr>
          <w:p w14:paraId="55331C7C" w14:textId="77777777" w:rsidR="00085789" w:rsidRDefault="00000000">
            <w:pPr>
              <w:widowControl w:val="0"/>
              <w:spacing w:line="320" w:lineRule="exact"/>
              <w:ind w:left="-45" w:right="-57"/>
              <w:jc w:val="center"/>
              <w:rPr>
                <w:b/>
                <w:sz w:val="24"/>
                <w:szCs w:val="24"/>
              </w:rPr>
            </w:pPr>
            <w:r>
              <w:rPr>
                <w:b/>
                <w:sz w:val="24"/>
                <w:szCs w:val="24"/>
              </w:rPr>
              <w:t>STT</w:t>
            </w:r>
          </w:p>
        </w:tc>
        <w:tc>
          <w:tcPr>
            <w:tcW w:w="3821" w:type="dxa"/>
            <w:vAlign w:val="center"/>
          </w:tcPr>
          <w:p w14:paraId="24D8939F" w14:textId="77777777" w:rsidR="00085789" w:rsidRDefault="00000000">
            <w:pPr>
              <w:widowControl w:val="0"/>
              <w:spacing w:line="320" w:lineRule="exact"/>
              <w:jc w:val="center"/>
              <w:rPr>
                <w:bCs/>
                <w:spacing w:val="-4"/>
                <w:sz w:val="24"/>
                <w:szCs w:val="24"/>
              </w:rPr>
            </w:pPr>
            <w:r>
              <w:rPr>
                <w:b/>
                <w:bCs/>
                <w:spacing w:val="-4"/>
                <w:sz w:val="24"/>
                <w:szCs w:val="24"/>
              </w:rPr>
              <w:t>Tên điểm quan trắc mạng lưới</w:t>
            </w:r>
          </w:p>
        </w:tc>
        <w:tc>
          <w:tcPr>
            <w:tcW w:w="2519" w:type="dxa"/>
            <w:vAlign w:val="center"/>
          </w:tcPr>
          <w:p w14:paraId="23A3F4AF" w14:textId="77777777" w:rsidR="00085789" w:rsidRDefault="00000000">
            <w:pPr>
              <w:widowControl w:val="0"/>
              <w:spacing w:line="320" w:lineRule="exact"/>
              <w:jc w:val="center"/>
              <w:rPr>
                <w:bCs/>
                <w:spacing w:val="-6"/>
                <w:sz w:val="24"/>
                <w:szCs w:val="24"/>
              </w:rPr>
            </w:pPr>
            <w:r>
              <w:rPr>
                <w:b/>
                <w:bCs/>
                <w:spacing w:val="-4"/>
                <w:sz w:val="24"/>
                <w:szCs w:val="24"/>
              </w:rPr>
              <w:t>Tên địa danh phân tích trong báo cáo</w:t>
            </w:r>
          </w:p>
        </w:tc>
        <w:tc>
          <w:tcPr>
            <w:tcW w:w="2123" w:type="dxa"/>
            <w:vAlign w:val="center"/>
          </w:tcPr>
          <w:p w14:paraId="63EEA0B5" w14:textId="77777777" w:rsidR="00085789" w:rsidRDefault="00000000">
            <w:pPr>
              <w:widowControl w:val="0"/>
              <w:spacing w:line="320" w:lineRule="exact"/>
              <w:ind w:left="-119" w:right="-105"/>
              <w:jc w:val="center"/>
              <w:rPr>
                <w:b/>
                <w:sz w:val="24"/>
                <w:szCs w:val="24"/>
              </w:rPr>
            </w:pPr>
            <w:r>
              <w:rPr>
                <w:b/>
                <w:sz w:val="24"/>
                <w:szCs w:val="24"/>
              </w:rPr>
              <w:t>Tên địa danh hành chính mới</w:t>
            </w:r>
            <w:r>
              <w:rPr>
                <w:rStyle w:val="FootnoteReference"/>
                <w:b/>
                <w:sz w:val="24"/>
                <w:szCs w:val="24"/>
              </w:rPr>
              <w:footnoteReference w:id="38"/>
            </w:r>
          </w:p>
        </w:tc>
      </w:tr>
      <w:tr w:rsidR="00085789" w14:paraId="7BE4C981" w14:textId="77777777">
        <w:trPr>
          <w:trHeight w:val="315"/>
          <w:jc w:val="center"/>
        </w:trPr>
        <w:tc>
          <w:tcPr>
            <w:tcW w:w="618" w:type="dxa"/>
            <w:vAlign w:val="center"/>
          </w:tcPr>
          <w:p w14:paraId="6E6A7C3A" w14:textId="77777777" w:rsidR="00085789" w:rsidRDefault="00000000">
            <w:pPr>
              <w:widowControl w:val="0"/>
              <w:spacing w:line="320" w:lineRule="exact"/>
              <w:jc w:val="center"/>
              <w:rPr>
                <w:b/>
                <w:sz w:val="24"/>
                <w:szCs w:val="24"/>
              </w:rPr>
            </w:pPr>
            <w:r>
              <w:rPr>
                <w:b/>
                <w:sz w:val="24"/>
                <w:szCs w:val="24"/>
              </w:rPr>
              <w:t>I</w:t>
            </w:r>
          </w:p>
        </w:tc>
        <w:tc>
          <w:tcPr>
            <w:tcW w:w="8471" w:type="dxa"/>
            <w:gridSpan w:val="4"/>
            <w:vAlign w:val="center"/>
          </w:tcPr>
          <w:p w14:paraId="062CB33C" w14:textId="77777777" w:rsidR="00085789" w:rsidRDefault="00000000">
            <w:pPr>
              <w:widowControl w:val="0"/>
              <w:spacing w:line="320" w:lineRule="exact"/>
              <w:ind w:left="-119" w:right="-105"/>
              <w:jc w:val="center"/>
              <w:rPr>
                <w:b/>
                <w:sz w:val="24"/>
                <w:szCs w:val="24"/>
              </w:rPr>
            </w:pPr>
            <w:r>
              <w:rPr>
                <w:b/>
                <w:spacing w:val="-4"/>
                <w:sz w:val="24"/>
                <w:szCs w:val="24"/>
              </w:rPr>
              <w:t>Thông tin vị trí quan trắc nước dưới đất vùng ven biển</w:t>
            </w:r>
          </w:p>
        </w:tc>
      </w:tr>
      <w:tr w:rsidR="00085789" w14:paraId="18E2124B" w14:textId="77777777">
        <w:trPr>
          <w:gridAfter w:val="1"/>
          <w:wAfter w:w="8" w:type="dxa"/>
          <w:trHeight w:val="315"/>
          <w:jc w:val="center"/>
        </w:trPr>
        <w:tc>
          <w:tcPr>
            <w:tcW w:w="618" w:type="dxa"/>
            <w:vAlign w:val="center"/>
          </w:tcPr>
          <w:p w14:paraId="1313495C" w14:textId="77777777" w:rsidR="00085789" w:rsidRDefault="00000000">
            <w:pPr>
              <w:widowControl w:val="0"/>
              <w:spacing w:line="320" w:lineRule="exact"/>
              <w:jc w:val="center"/>
              <w:rPr>
                <w:bCs/>
                <w:sz w:val="24"/>
                <w:szCs w:val="24"/>
              </w:rPr>
            </w:pPr>
            <w:r>
              <w:rPr>
                <w:bCs/>
                <w:sz w:val="24"/>
                <w:szCs w:val="24"/>
              </w:rPr>
              <w:t>1</w:t>
            </w:r>
          </w:p>
        </w:tc>
        <w:tc>
          <w:tcPr>
            <w:tcW w:w="3821" w:type="dxa"/>
            <w:vAlign w:val="center"/>
          </w:tcPr>
          <w:p w14:paraId="65F20CAF" w14:textId="77777777" w:rsidR="00085789" w:rsidRDefault="00000000">
            <w:pPr>
              <w:widowControl w:val="0"/>
              <w:spacing w:line="320" w:lineRule="exact"/>
              <w:jc w:val="both"/>
              <w:rPr>
                <w:sz w:val="24"/>
                <w:szCs w:val="24"/>
              </w:rPr>
            </w:pPr>
            <w:r>
              <w:rPr>
                <w:sz w:val="24"/>
                <w:szCs w:val="24"/>
              </w:rPr>
              <w:t>Hộ dân Nguyễn Đình Từ, xóm Đại Tiến, xã Thạch Trị</w:t>
            </w:r>
          </w:p>
        </w:tc>
        <w:tc>
          <w:tcPr>
            <w:tcW w:w="2519" w:type="dxa"/>
            <w:vAlign w:val="center"/>
          </w:tcPr>
          <w:p w14:paraId="11DD939B" w14:textId="77777777" w:rsidR="00085789" w:rsidRDefault="00000000">
            <w:pPr>
              <w:widowControl w:val="0"/>
              <w:spacing w:line="320" w:lineRule="exact"/>
              <w:jc w:val="both"/>
              <w:rPr>
                <w:sz w:val="24"/>
                <w:szCs w:val="24"/>
              </w:rPr>
            </w:pPr>
            <w:r>
              <w:rPr>
                <w:sz w:val="24"/>
                <w:szCs w:val="24"/>
              </w:rPr>
              <w:t>Xóm Đại Tiến, xã Thạch Trị</w:t>
            </w:r>
          </w:p>
        </w:tc>
        <w:tc>
          <w:tcPr>
            <w:tcW w:w="2123" w:type="dxa"/>
            <w:vAlign w:val="center"/>
          </w:tcPr>
          <w:p w14:paraId="7C7468B6" w14:textId="77777777" w:rsidR="00085789" w:rsidRDefault="00000000">
            <w:pPr>
              <w:widowControl w:val="0"/>
              <w:spacing w:line="320" w:lineRule="exact"/>
              <w:jc w:val="both"/>
              <w:rPr>
                <w:bCs/>
                <w:sz w:val="24"/>
                <w:szCs w:val="24"/>
              </w:rPr>
            </w:pPr>
            <w:r>
              <w:rPr>
                <w:bCs/>
                <w:sz w:val="24"/>
                <w:szCs w:val="24"/>
              </w:rPr>
              <w:t>Nay là xã Đồng Tiến</w:t>
            </w:r>
          </w:p>
        </w:tc>
      </w:tr>
      <w:tr w:rsidR="00085789" w14:paraId="740F48F5" w14:textId="77777777">
        <w:trPr>
          <w:gridAfter w:val="1"/>
          <w:wAfter w:w="8" w:type="dxa"/>
          <w:trHeight w:val="315"/>
          <w:jc w:val="center"/>
        </w:trPr>
        <w:tc>
          <w:tcPr>
            <w:tcW w:w="618" w:type="dxa"/>
            <w:vAlign w:val="center"/>
          </w:tcPr>
          <w:p w14:paraId="33E48A9C" w14:textId="77777777" w:rsidR="00085789" w:rsidRDefault="00000000">
            <w:pPr>
              <w:widowControl w:val="0"/>
              <w:spacing w:line="320" w:lineRule="exact"/>
              <w:jc w:val="center"/>
              <w:rPr>
                <w:bCs/>
                <w:sz w:val="24"/>
                <w:szCs w:val="24"/>
              </w:rPr>
            </w:pPr>
            <w:r>
              <w:rPr>
                <w:bCs/>
                <w:sz w:val="24"/>
                <w:szCs w:val="24"/>
              </w:rPr>
              <w:t>2</w:t>
            </w:r>
          </w:p>
        </w:tc>
        <w:tc>
          <w:tcPr>
            <w:tcW w:w="3821" w:type="dxa"/>
            <w:vAlign w:val="center"/>
          </w:tcPr>
          <w:p w14:paraId="61A64176" w14:textId="77777777" w:rsidR="00085789" w:rsidRDefault="00000000">
            <w:pPr>
              <w:widowControl w:val="0"/>
              <w:spacing w:line="320" w:lineRule="exact"/>
              <w:jc w:val="both"/>
              <w:rPr>
                <w:bCs/>
                <w:spacing w:val="-6"/>
                <w:sz w:val="24"/>
                <w:szCs w:val="24"/>
              </w:rPr>
            </w:pPr>
            <w:r>
              <w:rPr>
                <w:sz w:val="24"/>
                <w:szCs w:val="24"/>
              </w:rPr>
              <w:t xml:space="preserve">Hộ dân Nguyễn Thị Quyên, thôn Trường Xuân, xã Đỉnh Bàn (khu TĐC mỏ sắt Thạch Khê) </w:t>
            </w:r>
          </w:p>
        </w:tc>
        <w:tc>
          <w:tcPr>
            <w:tcW w:w="2519" w:type="dxa"/>
            <w:vAlign w:val="center"/>
          </w:tcPr>
          <w:p w14:paraId="422A2DF3" w14:textId="77777777" w:rsidR="00085789" w:rsidRDefault="00000000">
            <w:pPr>
              <w:widowControl w:val="0"/>
              <w:spacing w:line="320" w:lineRule="exact"/>
              <w:jc w:val="both"/>
              <w:rPr>
                <w:bCs/>
                <w:spacing w:val="-4"/>
                <w:sz w:val="24"/>
                <w:szCs w:val="24"/>
              </w:rPr>
            </w:pPr>
            <w:r>
              <w:rPr>
                <w:sz w:val="24"/>
                <w:szCs w:val="24"/>
              </w:rPr>
              <w:t>Thôn Trường Xuân, xã Đỉnh Bàn</w:t>
            </w:r>
          </w:p>
        </w:tc>
        <w:tc>
          <w:tcPr>
            <w:tcW w:w="2123" w:type="dxa"/>
            <w:vAlign w:val="center"/>
          </w:tcPr>
          <w:p w14:paraId="67319433" w14:textId="77777777" w:rsidR="00085789" w:rsidRDefault="00000000">
            <w:pPr>
              <w:widowControl w:val="0"/>
              <w:spacing w:line="320" w:lineRule="exact"/>
              <w:jc w:val="both"/>
              <w:rPr>
                <w:bCs/>
                <w:sz w:val="24"/>
                <w:szCs w:val="24"/>
              </w:rPr>
            </w:pPr>
            <w:r>
              <w:rPr>
                <w:bCs/>
                <w:sz w:val="24"/>
                <w:szCs w:val="24"/>
              </w:rPr>
              <w:t>Nay là xã Thạch Khê</w:t>
            </w:r>
          </w:p>
        </w:tc>
      </w:tr>
      <w:tr w:rsidR="00085789" w14:paraId="67E2CDF1" w14:textId="77777777">
        <w:trPr>
          <w:gridAfter w:val="1"/>
          <w:wAfter w:w="8" w:type="dxa"/>
          <w:trHeight w:val="315"/>
          <w:jc w:val="center"/>
        </w:trPr>
        <w:tc>
          <w:tcPr>
            <w:tcW w:w="618" w:type="dxa"/>
            <w:vAlign w:val="center"/>
          </w:tcPr>
          <w:p w14:paraId="096ED671" w14:textId="77777777" w:rsidR="00085789" w:rsidRDefault="00000000">
            <w:pPr>
              <w:widowControl w:val="0"/>
              <w:spacing w:line="320" w:lineRule="exact"/>
              <w:jc w:val="center"/>
              <w:rPr>
                <w:bCs/>
                <w:sz w:val="24"/>
                <w:szCs w:val="24"/>
              </w:rPr>
            </w:pPr>
            <w:r>
              <w:rPr>
                <w:bCs/>
                <w:sz w:val="24"/>
                <w:szCs w:val="24"/>
              </w:rPr>
              <w:t>3</w:t>
            </w:r>
          </w:p>
        </w:tc>
        <w:tc>
          <w:tcPr>
            <w:tcW w:w="3821" w:type="dxa"/>
            <w:vAlign w:val="center"/>
          </w:tcPr>
          <w:p w14:paraId="7C257534" w14:textId="77777777" w:rsidR="00085789" w:rsidRDefault="00000000">
            <w:pPr>
              <w:widowControl w:val="0"/>
              <w:spacing w:line="320" w:lineRule="exact"/>
              <w:jc w:val="both"/>
              <w:rPr>
                <w:bCs/>
                <w:spacing w:val="-6"/>
                <w:sz w:val="24"/>
                <w:szCs w:val="24"/>
              </w:rPr>
            </w:pPr>
            <w:r>
              <w:rPr>
                <w:sz w:val="24"/>
                <w:szCs w:val="24"/>
              </w:rPr>
              <w:t>Hộ dân Hoàng Thị Ánh, xóm Hội Thủy, xã Xuân Hội</w:t>
            </w:r>
          </w:p>
        </w:tc>
        <w:tc>
          <w:tcPr>
            <w:tcW w:w="2519" w:type="dxa"/>
            <w:vAlign w:val="center"/>
          </w:tcPr>
          <w:p w14:paraId="440E4905" w14:textId="77777777" w:rsidR="00085789" w:rsidRDefault="00000000">
            <w:pPr>
              <w:widowControl w:val="0"/>
              <w:spacing w:line="320" w:lineRule="exact"/>
              <w:jc w:val="both"/>
              <w:rPr>
                <w:bCs/>
                <w:spacing w:val="-4"/>
                <w:sz w:val="24"/>
                <w:szCs w:val="24"/>
              </w:rPr>
            </w:pPr>
            <w:r>
              <w:rPr>
                <w:sz w:val="24"/>
                <w:szCs w:val="24"/>
              </w:rPr>
              <w:t>Xóm Hội Thủy, xã Xuân Hội</w:t>
            </w:r>
          </w:p>
        </w:tc>
        <w:tc>
          <w:tcPr>
            <w:tcW w:w="2123" w:type="dxa"/>
            <w:vAlign w:val="center"/>
          </w:tcPr>
          <w:p w14:paraId="73142BD7" w14:textId="77777777" w:rsidR="00085789" w:rsidRDefault="00000000">
            <w:pPr>
              <w:widowControl w:val="0"/>
              <w:spacing w:line="320" w:lineRule="exact"/>
              <w:jc w:val="both"/>
              <w:rPr>
                <w:bCs/>
                <w:sz w:val="24"/>
                <w:szCs w:val="24"/>
              </w:rPr>
            </w:pPr>
            <w:r>
              <w:rPr>
                <w:bCs/>
                <w:sz w:val="24"/>
                <w:szCs w:val="24"/>
              </w:rPr>
              <w:t>Nay là xã Đan Hải</w:t>
            </w:r>
          </w:p>
        </w:tc>
      </w:tr>
      <w:tr w:rsidR="00085789" w14:paraId="3DF2C8E0" w14:textId="77777777">
        <w:trPr>
          <w:gridAfter w:val="1"/>
          <w:wAfter w:w="8" w:type="dxa"/>
          <w:trHeight w:val="315"/>
          <w:jc w:val="center"/>
        </w:trPr>
        <w:tc>
          <w:tcPr>
            <w:tcW w:w="618" w:type="dxa"/>
            <w:vAlign w:val="center"/>
          </w:tcPr>
          <w:p w14:paraId="030373B1" w14:textId="77777777" w:rsidR="00085789" w:rsidRDefault="00000000">
            <w:pPr>
              <w:widowControl w:val="0"/>
              <w:spacing w:line="320" w:lineRule="exact"/>
              <w:jc w:val="center"/>
              <w:rPr>
                <w:bCs/>
                <w:sz w:val="24"/>
                <w:szCs w:val="24"/>
              </w:rPr>
            </w:pPr>
            <w:r>
              <w:rPr>
                <w:bCs/>
                <w:sz w:val="24"/>
                <w:szCs w:val="24"/>
              </w:rPr>
              <w:t>4</w:t>
            </w:r>
          </w:p>
        </w:tc>
        <w:tc>
          <w:tcPr>
            <w:tcW w:w="3821" w:type="dxa"/>
            <w:vAlign w:val="center"/>
          </w:tcPr>
          <w:p w14:paraId="3679F84F" w14:textId="77777777" w:rsidR="00085789" w:rsidRDefault="00000000">
            <w:pPr>
              <w:widowControl w:val="0"/>
              <w:spacing w:line="320" w:lineRule="exact"/>
              <w:jc w:val="both"/>
              <w:rPr>
                <w:bCs/>
                <w:spacing w:val="-6"/>
                <w:sz w:val="24"/>
                <w:szCs w:val="24"/>
              </w:rPr>
            </w:pPr>
            <w:r>
              <w:rPr>
                <w:sz w:val="24"/>
                <w:szCs w:val="24"/>
              </w:rPr>
              <w:t>Hộ dân Đinh Văn Thắng, thôn Song Long, xã Cương Gián</w:t>
            </w:r>
          </w:p>
        </w:tc>
        <w:tc>
          <w:tcPr>
            <w:tcW w:w="2519" w:type="dxa"/>
            <w:vAlign w:val="center"/>
          </w:tcPr>
          <w:p w14:paraId="0037D296" w14:textId="77777777" w:rsidR="00085789" w:rsidRDefault="00000000">
            <w:pPr>
              <w:widowControl w:val="0"/>
              <w:spacing w:line="320" w:lineRule="exact"/>
              <w:jc w:val="both"/>
              <w:rPr>
                <w:bCs/>
                <w:spacing w:val="-4"/>
                <w:sz w:val="24"/>
                <w:szCs w:val="24"/>
              </w:rPr>
            </w:pPr>
            <w:r>
              <w:rPr>
                <w:sz w:val="24"/>
                <w:szCs w:val="24"/>
              </w:rPr>
              <w:t>Thôn Song Long, xã Cương Gián</w:t>
            </w:r>
          </w:p>
        </w:tc>
        <w:tc>
          <w:tcPr>
            <w:tcW w:w="2123" w:type="dxa"/>
            <w:vAlign w:val="center"/>
          </w:tcPr>
          <w:p w14:paraId="78966D7A" w14:textId="77777777" w:rsidR="00085789" w:rsidRDefault="00000000">
            <w:pPr>
              <w:widowControl w:val="0"/>
              <w:spacing w:line="320" w:lineRule="exact"/>
              <w:jc w:val="both"/>
              <w:rPr>
                <w:bCs/>
                <w:sz w:val="24"/>
                <w:szCs w:val="24"/>
              </w:rPr>
            </w:pPr>
            <w:r>
              <w:rPr>
                <w:bCs/>
                <w:sz w:val="24"/>
                <w:szCs w:val="24"/>
              </w:rPr>
              <w:t>Nay là xã Cổ Đạm</w:t>
            </w:r>
          </w:p>
        </w:tc>
      </w:tr>
      <w:tr w:rsidR="00085789" w14:paraId="512190A2" w14:textId="77777777">
        <w:trPr>
          <w:gridAfter w:val="1"/>
          <w:wAfter w:w="8" w:type="dxa"/>
          <w:trHeight w:val="315"/>
          <w:jc w:val="center"/>
        </w:trPr>
        <w:tc>
          <w:tcPr>
            <w:tcW w:w="618" w:type="dxa"/>
            <w:vAlign w:val="center"/>
          </w:tcPr>
          <w:p w14:paraId="2610FC4A" w14:textId="77777777" w:rsidR="00085789" w:rsidRDefault="00000000">
            <w:pPr>
              <w:widowControl w:val="0"/>
              <w:spacing w:line="320" w:lineRule="exact"/>
              <w:jc w:val="center"/>
              <w:rPr>
                <w:bCs/>
                <w:sz w:val="24"/>
                <w:szCs w:val="24"/>
              </w:rPr>
            </w:pPr>
            <w:r>
              <w:rPr>
                <w:bCs/>
                <w:sz w:val="24"/>
                <w:szCs w:val="24"/>
              </w:rPr>
              <w:t>5</w:t>
            </w:r>
          </w:p>
        </w:tc>
        <w:tc>
          <w:tcPr>
            <w:tcW w:w="3821" w:type="dxa"/>
            <w:vAlign w:val="center"/>
          </w:tcPr>
          <w:p w14:paraId="74AB5E39" w14:textId="77777777" w:rsidR="00085789" w:rsidRDefault="00000000">
            <w:pPr>
              <w:widowControl w:val="0"/>
              <w:spacing w:line="320" w:lineRule="exact"/>
              <w:jc w:val="both"/>
              <w:rPr>
                <w:bCs/>
                <w:spacing w:val="-4"/>
                <w:sz w:val="24"/>
                <w:szCs w:val="24"/>
              </w:rPr>
            </w:pPr>
            <w:r>
              <w:rPr>
                <w:spacing w:val="-4"/>
                <w:sz w:val="24"/>
                <w:szCs w:val="24"/>
              </w:rPr>
              <w:t xml:space="preserve">Hộ dân Trần Văn Tình, thôn Trường An, xã Xuân Phổ (Vùng NTTS) </w:t>
            </w:r>
          </w:p>
        </w:tc>
        <w:tc>
          <w:tcPr>
            <w:tcW w:w="2519" w:type="dxa"/>
            <w:vAlign w:val="center"/>
          </w:tcPr>
          <w:p w14:paraId="6D4AAB83" w14:textId="77777777" w:rsidR="00085789" w:rsidRDefault="00000000">
            <w:pPr>
              <w:widowControl w:val="0"/>
              <w:spacing w:line="320" w:lineRule="exact"/>
              <w:jc w:val="both"/>
              <w:rPr>
                <w:bCs/>
                <w:spacing w:val="-4"/>
                <w:sz w:val="24"/>
                <w:szCs w:val="24"/>
              </w:rPr>
            </w:pPr>
            <w:r>
              <w:rPr>
                <w:sz w:val="24"/>
                <w:szCs w:val="24"/>
              </w:rPr>
              <w:t>Thôn Trường An, xã Xuân Phổ</w:t>
            </w:r>
          </w:p>
        </w:tc>
        <w:tc>
          <w:tcPr>
            <w:tcW w:w="2123" w:type="dxa"/>
            <w:vAlign w:val="center"/>
          </w:tcPr>
          <w:p w14:paraId="64A2B5B3" w14:textId="77777777" w:rsidR="00085789" w:rsidRDefault="00000000">
            <w:pPr>
              <w:widowControl w:val="0"/>
              <w:spacing w:line="320" w:lineRule="exact"/>
              <w:jc w:val="both"/>
              <w:rPr>
                <w:bCs/>
                <w:sz w:val="24"/>
                <w:szCs w:val="24"/>
              </w:rPr>
            </w:pPr>
            <w:r>
              <w:rPr>
                <w:bCs/>
                <w:sz w:val="24"/>
                <w:szCs w:val="24"/>
              </w:rPr>
              <w:t>Nay là xã Đan Hải</w:t>
            </w:r>
          </w:p>
        </w:tc>
      </w:tr>
      <w:tr w:rsidR="00085789" w14:paraId="4A3AF831" w14:textId="77777777">
        <w:trPr>
          <w:gridAfter w:val="1"/>
          <w:wAfter w:w="8" w:type="dxa"/>
          <w:trHeight w:val="315"/>
          <w:jc w:val="center"/>
        </w:trPr>
        <w:tc>
          <w:tcPr>
            <w:tcW w:w="618" w:type="dxa"/>
            <w:vAlign w:val="center"/>
          </w:tcPr>
          <w:p w14:paraId="0FB67351" w14:textId="77777777" w:rsidR="00085789" w:rsidRDefault="00000000">
            <w:pPr>
              <w:widowControl w:val="0"/>
              <w:spacing w:line="320" w:lineRule="exact"/>
              <w:jc w:val="center"/>
              <w:rPr>
                <w:bCs/>
                <w:sz w:val="24"/>
                <w:szCs w:val="24"/>
              </w:rPr>
            </w:pPr>
            <w:r>
              <w:rPr>
                <w:bCs/>
                <w:sz w:val="24"/>
                <w:szCs w:val="24"/>
              </w:rPr>
              <w:t>6</w:t>
            </w:r>
          </w:p>
        </w:tc>
        <w:tc>
          <w:tcPr>
            <w:tcW w:w="3821" w:type="dxa"/>
            <w:vAlign w:val="center"/>
          </w:tcPr>
          <w:p w14:paraId="6572A372" w14:textId="77777777" w:rsidR="00085789" w:rsidRDefault="00000000">
            <w:pPr>
              <w:widowControl w:val="0"/>
              <w:spacing w:line="320" w:lineRule="exact"/>
              <w:jc w:val="both"/>
              <w:rPr>
                <w:bCs/>
                <w:spacing w:val="-14"/>
                <w:sz w:val="24"/>
                <w:szCs w:val="24"/>
              </w:rPr>
            </w:pPr>
            <w:r>
              <w:rPr>
                <w:spacing w:val="-14"/>
                <w:sz w:val="24"/>
                <w:szCs w:val="24"/>
              </w:rPr>
              <w:t xml:space="preserve">Hộ dân Nguyễn Văn Tăng, thôn Thanh Vãn, xã Xuân Thành </w:t>
            </w:r>
          </w:p>
        </w:tc>
        <w:tc>
          <w:tcPr>
            <w:tcW w:w="2519" w:type="dxa"/>
            <w:vAlign w:val="center"/>
          </w:tcPr>
          <w:p w14:paraId="79F52F04" w14:textId="77777777" w:rsidR="00085789" w:rsidRDefault="00000000">
            <w:pPr>
              <w:widowControl w:val="0"/>
              <w:spacing w:line="320" w:lineRule="exact"/>
              <w:jc w:val="both"/>
              <w:rPr>
                <w:bCs/>
                <w:spacing w:val="-4"/>
                <w:sz w:val="24"/>
                <w:szCs w:val="24"/>
              </w:rPr>
            </w:pPr>
            <w:r>
              <w:rPr>
                <w:sz w:val="24"/>
                <w:szCs w:val="24"/>
              </w:rPr>
              <w:t>Thôn Thanh Văn, xã Xuân Thành</w:t>
            </w:r>
          </w:p>
        </w:tc>
        <w:tc>
          <w:tcPr>
            <w:tcW w:w="2123" w:type="dxa"/>
            <w:vAlign w:val="center"/>
          </w:tcPr>
          <w:p w14:paraId="4E19AE27" w14:textId="77777777" w:rsidR="00085789" w:rsidRDefault="00000000">
            <w:pPr>
              <w:widowControl w:val="0"/>
              <w:spacing w:line="320" w:lineRule="exact"/>
              <w:jc w:val="both"/>
              <w:rPr>
                <w:bCs/>
                <w:sz w:val="24"/>
                <w:szCs w:val="24"/>
              </w:rPr>
            </w:pPr>
            <w:r>
              <w:rPr>
                <w:bCs/>
                <w:sz w:val="24"/>
                <w:szCs w:val="24"/>
              </w:rPr>
              <w:t>Nay là xã Tiên Điền</w:t>
            </w:r>
          </w:p>
        </w:tc>
      </w:tr>
      <w:tr w:rsidR="00085789" w14:paraId="21EAAAA6" w14:textId="77777777">
        <w:trPr>
          <w:gridAfter w:val="1"/>
          <w:wAfter w:w="8" w:type="dxa"/>
          <w:trHeight w:val="315"/>
          <w:jc w:val="center"/>
        </w:trPr>
        <w:tc>
          <w:tcPr>
            <w:tcW w:w="618" w:type="dxa"/>
            <w:vAlign w:val="center"/>
          </w:tcPr>
          <w:p w14:paraId="53504A77" w14:textId="77777777" w:rsidR="00085789" w:rsidRDefault="00000000">
            <w:pPr>
              <w:widowControl w:val="0"/>
              <w:spacing w:line="320" w:lineRule="exact"/>
              <w:jc w:val="center"/>
              <w:rPr>
                <w:bCs/>
                <w:sz w:val="24"/>
                <w:szCs w:val="24"/>
              </w:rPr>
            </w:pPr>
            <w:r>
              <w:rPr>
                <w:bCs/>
                <w:sz w:val="24"/>
                <w:szCs w:val="24"/>
              </w:rPr>
              <w:lastRenderedPageBreak/>
              <w:t>7</w:t>
            </w:r>
          </w:p>
        </w:tc>
        <w:tc>
          <w:tcPr>
            <w:tcW w:w="3821" w:type="dxa"/>
            <w:vAlign w:val="center"/>
          </w:tcPr>
          <w:p w14:paraId="4A4588D4" w14:textId="77777777" w:rsidR="00085789" w:rsidRDefault="00000000">
            <w:pPr>
              <w:widowControl w:val="0"/>
              <w:spacing w:line="320" w:lineRule="exact"/>
              <w:jc w:val="both"/>
              <w:rPr>
                <w:bCs/>
                <w:spacing w:val="-6"/>
                <w:sz w:val="24"/>
                <w:szCs w:val="24"/>
              </w:rPr>
            </w:pPr>
            <w:r>
              <w:rPr>
                <w:sz w:val="24"/>
                <w:szCs w:val="24"/>
              </w:rPr>
              <w:t>UBND xã Thạch Kim</w:t>
            </w:r>
          </w:p>
        </w:tc>
        <w:tc>
          <w:tcPr>
            <w:tcW w:w="2519" w:type="dxa"/>
            <w:vAlign w:val="center"/>
          </w:tcPr>
          <w:p w14:paraId="689EFF6F" w14:textId="77777777" w:rsidR="00085789" w:rsidRDefault="00000000">
            <w:pPr>
              <w:widowControl w:val="0"/>
              <w:spacing w:line="320" w:lineRule="exact"/>
              <w:jc w:val="both"/>
              <w:rPr>
                <w:bCs/>
                <w:spacing w:val="-4"/>
                <w:sz w:val="24"/>
                <w:szCs w:val="24"/>
              </w:rPr>
            </w:pPr>
            <w:r>
              <w:rPr>
                <w:sz w:val="24"/>
                <w:szCs w:val="24"/>
              </w:rPr>
              <w:t>Thôn Liên Tân, xã Thạch Kim</w:t>
            </w:r>
          </w:p>
        </w:tc>
        <w:tc>
          <w:tcPr>
            <w:tcW w:w="2123" w:type="dxa"/>
            <w:vAlign w:val="center"/>
          </w:tcPr>
          <w:p w14:paraId="36BA3E09" w14:textId="77777777" w:rsidR="00085789" w:rsidRDefault="00000000">
            <w:pPr>
              <w:widowControl w:val="0"/>
              <w:spacing w:line="320" w:lineRule="exact"/>
              <w:jc w:val="both"/>
              <w:rPr>
                <w:bCs/>
                <w:sz w:val="24"/>
                <w:szCs w:val="24"/>
              </w:rPr>
            </w:pPr>
            <w:r>
              <w:rPr>
                <w:bCs/>
                <w:sz w:val="24"/>
                <w:szCs w:val="24"/>
              </w:rPr>
              <w:t>Nay là xã Lộc Hà</w:t>
            </w:r>
          </w:p>
        </w:tc>
      </w:tr>
      <w:tr w:rsidR="00085789" w14:paraId="7B8972FB" w14:textId="77777777">
        <w:trPr>
          <w:gridAfter w:val="1"/>
          <w:wAfter w:w="8" w:type="dxa"/>
          <w:trHeight w:val="315"/>
          <w:jc w:val="center"/>
        </w:trPr>
        <w:tc>
          <w:tcPr>
            <w:tcW w:w="618" w:type="dxa"/>
            <w:vAlign w:val="center"/>
          </w:tcPr>
          <w:p w14:paraId="42A171CE" w14:textId="77777777" w:rsidR="00085789" w:rsidRDefault="00000000">
            <w:pPr>
              <w:widowControl w:val="0"/>
              <w:spacing w:line="320" w:lineRule="exact"/>
              <w:jc w:val="center"/>
              <w:rPr>
                <w:bCs/>
                <w:sz w:val="24"/>
                <w:szCs w:val="24"/>
              </w:rPr>
            </w:pPr>
            <w:r>
              <w:rPr>
                <w:bCs/>
                <w:sz w:val="24"/>
                <w:szCs w:val="24"/>
              </w:rPr>
              <w:t>8</w:t>
            </w:r>
          </w:p>
        </w:tc>
        <w:tc>
          <w:tcPr>
            <w:tcW w:w="3821" w:type="dxa"/>
            <w:vAlign w:val="center"/>
          </w:tcPr>
          <w:p w14:paraId="4697BAF6" w14:textId="77777777" w:rsidR="00085789" w:rsidRDefault="00000000">
            <w:pPr>
              <w:widowControl w:val="0"/>
              <w:spacing w:line="320" w:lineRule="exact"/>
              <w:jc w:val="both"/>
              <w:rPr>
                <w:bCs/>
                <w:spacing w:val="-6"/>
                <w:sz w:val="24"/>
                <w:szCs w:val="24"/>
              </w:rPr>
            </w:pPr>
            <w:r>
              <w:rPr>
                <w:sz w:val="24"/>
                <w:szCs w:val="24"/>
              </w:rPr>
              <w:t>Hộ dân Trần Văn Xuân, thôn Xuân Nam, xã Cẩm Nhượng</w:t>
            </w:r>
          </w:p>
        </w:tc>
        <w:tc>
          <w:tcPr>
            <w:tcW w:w="2519" w:type="dxa"/>
            <w:vAlign w:val="center"/>
          </w:tcPr>
          <w:p w14:paraId="45EC4203" w14:textId="77777777" w:rsidR="00085789" w:rsidRDefault="00000000">
            <w:pPr>
              <w:widowControl w:val="0"/>
              <w:spacing w:line="320" w:lineRule="exact"/>
              <w:jc w:val="both"/>
              <w:rPr>
                <w:bCs/>
                <w:spacing w:val="-4"/>
                <w:sz w:val="24"/>
                <w:szCs w:val="24"/>
              </w:rPr>
            </w:pPr>
            <w:r>
              <w:rPr>
                <w:sz w:val="24"/>
                <w:szCs w:val="24"/>
              </w:rPr>
              <w:t>Thôn Xuân Nam, xã Cẩm Nhượng</w:t>
            </w:r>
          </w:p>
        </w:tc>
        <w:tc>
          <w:tcPr>
            <w:tcW w:w="2123" w:type="dxa"/>
            <w:vAlign w:val="center"/>
          </w:tcPr>
          <w:p w14:paraId="13AD5458" w14:textId="77777777" w:rsidR="00085789" w:rsidRDefault="00000000">
            <w:pPr>
              <w:widowControl w:val="0"/>
              <w:spacing w:line="320" w:lineRule="exact"/>
              <w:jc w:val="both"/>
              <w:rPr>
                <w:bCs/>
                <w:sz w:val="24"/>
                <w:szCs w:val="24"/>
              </w:rPr>
            </w:pPr>
            <w:r>
              <w:rPr>
                <w:bCs/>
                <w:sz w:val="24"/>
                <w:szCs w:val="24"/>
              </w:rPr>
              <w:t>Nay là xã Thiên Cầm</w:t>
            </w:r>
          </w:p>
        </w:tc>
      </w:tr>
      <w:tr w:rsidR="00085789" w14:paraId="7288B122" w14:textId="77777777">
        <w:trPr>
          <w:gridAfter w:val="1"/>
          <w:wAfter w:w="8" w:type="dxa"/>
          <w:trHeight w:val="315"/>
          <w:jc w:val="center"/>
        </w:trPr>
        <w:tc>
          <w:tcPr>
            <w:tcW w:w="618" w:type="dxa"/>
            <w:vAlign w:val="center"/>
          </w:tcPr>
          <w:p w14:paraId="630CFE2B" w14:textId="77777777" w:rsidR="00085789" w:rsidRDefault="00000000">
            <w:pPr>
              <w:widowControl w:val="0"/>
              <w:spacing w:line="320" w:lineRule="exact"/>
              <w:jc w:val="center"/>
              <w:rPr>
                <w:bCs/>
                <w:sz w:val="24"/>
                <w:szCs w:val="24"/>
              </w:rPr>
            </w:pPr>
            <w:r>
              <w:rPr>
                <w:bCs/>
                <w:sz w:val="24"/>
                <w:szCs w:val="24"/>
              </w:rPr>
              <w:t>9</w:t>
            </w:r>
          </w:p>
        </w:tc>
        <w:tc>
          <w:tcPr>
            <w:tcW w:w="3821" w:type="dxa"/>
            <w:vAlign w:val="center"/>
          </w:tcPr>
          <w:p w14:paraId="047FA28C" w14:textId="77777777" w:rsidR="00085789" w:rsidRDefault="00000000">
            <w:pPr>
              <w:widowControl w:val="0"/>
              <w:spacing w:line="320" w:lineRule="exact"/>
              <w:jc w:val="both"/>
              <w:rPr>
                <w:bCs/>
                <w:spacing w:val="-6"/>
                <w:sz w:val="24"/>
                <w:szCs w:val="24"/>
              </w:rPr>
            </w:pPr>
            <w:r>
              <w:rPr>
                <w:sz w:val="24"/>
                <w:szCs w:val="24"/>
              </w:rPr>
              <w:t>Hộ dân Trần Minh Đức, thôn Bắc Hòa, xã Yên Hòa</w:t>
            </w:r>
          </w:p>
        </w:tc>
        <w:tc>
          <w:tcPr>
            <w:tcW w:w="2519" w:type="dxa"/>
            <w:vAlign w:val="center"/>
          </w:tcPr>
          <w:p w14:paraId="2F8B900E" w14:textId="77777777" w:rsidR="00085789" w:rsidRDefault="00000000">
            <w:pPr>
              <w:widowControl w:val="0"/>
              <w:spacing w:line="320" w:lineRule="exact"/>
              <w:jc w:val="both"/>
              <w:rPr>
                <w:bCs/>
                <w:spacing w:val="-4"/>
                <w:sz w:val="24"/>
                <w:szCs w:val="24"/>
              </w:rPr>
            </w:pPr>
            <w:r>
              <w:rPr>
                <w:sz w:val="24"/>
                <w:szCs w:val="24"/>
              </w:rPr>
              <w:t>Thôn Bắc Hòa, xã Yên Hòa</w:t>
            </w:r>
          </w:p>
        </w:tc>
        <w:tc>
          <w:tcPr>
            <w:tcW w:w="2123" w:type="dxa"/>
            <w:vAlign w:val="center"/>
          </w:tcPr>
          <w:p w14:paraId="18222F99" w14:textId="77777777" w:rsidR="00085789" w:rsidRDefault="00000000">
            <w:pPr>
              <w:widowControl w:val="0"/>
              <w:spacing w:line="320" w:lineRule="exact"/>
              <w:jc w:val="both"/>
              <w:rPr>
                <w:bCs/>
                <w:sz w:val="24"/>
                <w:szCs w:val="24"/>
              </w:rPr>
            </w:pPr>
            <w:r>
              <w:rPr>
                <w:bCs/>
                <w:sz w:val="24"/>
                <w:szCs w:val="24"/>
              </w:rPr>
              <w:t>Nay là xã Yên Hòa</w:t>
            </w:r>
          </w:p>
        </w:tc>
      </w:tr>
      <w:tr w:rsidR="00085789" w14:paraId="78C8D7FF" w14:textId="77777777">
        <w:trPr>
          <w:gridAfter w:val="1"/>
          <w:wAfter w:w="8" w:type="dxa"/>
          <w:trHeight w:val="315"/>
          <w:jc w:val="center"/>
        </w:trPr>
        <w:tc>
          <w:tcPr>
            <w:tcW w:w="618" w:type="dxa"/>
            <w:vAlign w:val="center"/>
          </w:tcPr>
          <w:p w14:paraId="01005A2B" w14:textId="77777777" w:rsidR="00085789" w:rsidRDefault="00000000">
            <w:pPr>
              <w:widowControl w:val="0"/>
              <w:spacing w:line="320" w:lineRule="exact"/>
              <w:jc w:val="center"/>
              <w:rPr>
                <w:bCs/>
                <w:sz w:val="24"/>
                <w:szCs w:val="24"/>
              </w:rPr>
            </w:pPr>
            <w:r>
              <w:rPr>
                <w:bCs/>
                <w:sz w:val="24"/>
                <w:szCs w:val="24"/>
              </w:rPr>
              <w:t>10</w:t>
            </w:r>
          </w:p>
        </w:tc>
        <w:tc>
          <w:tcPr>
            <w:tcW w:w="3821" w:type="dxa"/>
            <w:vAlign w:val="center"/>
          </w:tcPr>
          <w:p w14:paraId="058FDDFE" w14:textId="77777777" w:rsidR="00085789" w:rsidRDefault="00000000">
            <w:pPr>
              <w:widowControl w:val="0"/>
              <w:spacing w:line="320" w:lineRule="exact"/>
              <w:jc w:val="both"/>
              <w:rPr>
                <w:bCs/>
                <w:spacing w:val="-6"/>
                <w:sz w:val="24"/>
                <w:szCs w:val="24"/>
              </w:rPr>
            </w:pPr>
            <w:r>
              <w:rPr>
                <w:sz w:val="24"/>
                <w:szCs w:val="24"/>
              </w:rPr>
              <w:t>Hộ dân Trần Đình Quân, xóm Tam Hải, phường Kỳ Ninh</w:t>
            </w:r>
          </w:p>
        </w:tc>
        <w:tc>
          <w:tcPr>
            <w:tcW w:w="2519" w:type="dxa"/>
            <w:vAlign w:val="center"/>
          </w:tcPr>
          <w:p w14:paraId="7B441FDB" w14:textId="77777777" w:rsidR="00085789" w:rsidRDefault="00000000">
            <w:pPr>
              <w:widowControl w:val="0"/>
              <w:spacing w:line="320" w:lineRule="exact"/>
              <w:jc w:val="both"/>
              <w:rPr>
                <w:bCs/>
                <w:spacing w:val="-4"/>
                <w:sz w:val="24"/>
                <w:szCs w:val="24"/>
              </w:rPr>
            </w:pPr>
            <w:r>
              <w:rPr>
                <w:sz w:val="24"/>
                <w:szCs w:val="24"/>
              </w:rPr>
              <w:t>Xóm Tam Hải, P. Kỳ Ninh</w:t>
            </w:r>
          </w:p>
        </w:tc>
        <w:tc>
          <w:tcPr>
            <w:tcW w:w="2123" w:type="dxa"/>
            <w:vAlign w:val="center"/>
          </w:tcPr>
          <w:p w14:paraId="7F86FDF0" w14:textId="77777777" w:rsidR="00085789" w:rsidRDefault="00000000">
            <w:pPr>
              <w:widowControl w:val="0"/>
              <w:spacing w:line="320" w:lineRule="exact"/>
              <w:jc w:val="both"/>
              <w:rPr>
                <w:bCs/>
                <w:sz w:val="24"/>
                <w:szCs w:val="24"/>
              </w:rPr>
            </w:pPr>
            <w:r>
              <w:rPr>
                <w:bCs/>
                <w:sz w:val="24"/>
                <w:szCs w:val="24"/>
              </w:rPr>
              <w:t>Nay là phường Hải Ninh</w:t>
            </w:r>
          </w:p>
        </w:tc>
      </w:tr>
      <w:tr w:rsidR="00085789" w14:paraId="794503A1" w14:textId="77777777">
        <w:trPr>
          <w:gridAfter w:val="1"/>
          <w:wAfter w:w="8" w:type="dxa"/>
          <w:trHeight w:val="315"/>
          <w:jc w:val="center"/>
        </w:trPr>
        <w:tc>
          <w:tcPr>
            <w:tcW w:w="618" w:type="dxa"/>
            <w:vAlign w:val="center"/>
          </w:tcPr>
          <w:p w14:paraId="4C133C8F" w14:textId="77777777" w:rsidR="00085789" w:rsidRDefault="00000000">
            <w:pPr>
              <w:widowControl w:val="0"/>
              <w:spacing w:line="320" w:lineRule="exact"/>
              <w:jc w:val="center"/>
              <w:rPr>
                <w:bCs/>
                <w:sz w:val="24"/>
                <w:szCs w:val="24"/>
              </w:rPr>
            </w:pPr>
            <w:r>
              <w:rPr>
                <w:bCs/>
                <w:sz w:val="24"/>
                <w:szCs w:val="24"/>
              </w:rPr>
              <w:t>11</w:t>
            </w:r>
          </w:p>
        </w:tc>
        <w:tc>
          <w:tcPr>
            <w:tcW w:w="3821" w:type="dxa"/>
            <w:vAlign w:val="center"/>
          </w:tcPr>
          <w:p w14:paraId="19071B95" w14:textId="77777777" w:rsidR="00085789" w:rsidRDefault="00000000">
            <w:pPr>
              <w:widowControl w:val="0"/>
              <w:spacing w:line="320" w:lineRule="exact"/>
              <w:jc w:val="both"/>
              <w:rPr>
                <w:bCs/>
                <w:spacing w:val="-6"/>
                <w:sz w:val="24"/>
                <w:szCs w:val="24"/>
              </w:rPr>
            </w:pPr>
            <w:r>
              <w:rPr>
                <w:sz w:val="24"/>
                <w:szCs w:val="24"/>
              </w:rPr>
              <w:t>Hộ dân Ngô Văn Chổ, xóm Minh Đức, xã Kỳ Nam</w:t>
            </w:r>
          </w:p>
        </w:tc>
        <w:tc>
          <w:tcPr>
            <w:tcW w:w="2519" w:type="dxa"/>
            <w:vAlign w:val="center"/>
          </w:tcPr>
          <w:p w14:paraId="40B9F09B" w14:textId="77777777" w:rsidR="00085789" w:rsidRDefault="00000000">
            <w:pPr>
              <w:widowControl w:val="0"/>
              <w:spacing w:line="320" w:lineRule="exact"/>
              <w:jc w:val="both"/>
              <w:rPr>
                <w:bCs/>
                <w:spacing w:val="-4"/>
                <w:sz w:val="24"/>
                <w:szCs w:val="24"/>
              </w:rPr>
            </w:pPr>
            <w:r>
              <w:rPr>
                <w:sz w:val="24"/>
                <w:szCs w:val="24"/>
              </w:rPr>
              <w:t>Xóm Minh Đức, xã Kỳ Nam</w:t>
            </w:r>
          </w:p>
        </w:tc>
        <w:tc>
          <w:tcPr>
            <w:tcW w:w="2123" w:type="dxa"/>
            <w:vAlign w:val="center"/>
          </w:tcPr>
          <w:p w14:paraId="38503D1B" w14:textId="77777777" w:rsidR="00085789" w:rsidRDefault="00000000">
            <w:pPr>
              <w:widowControl w:val="0"/>
              <w:spacing w:line="320" w:lineRule="exact"/>
              <w:jc w:val="both"/>
              <w:rPr>
                <w:bCs/>
                <w:sz w:val="24"/>
                <w:szCs w:val="24"/>
              </w:rPr>
            </w:pPr>
            <w:r>
              <w:rPr>
                <w:bCs/>
                <w:sz w:val="24"/>
                <w:szCs w:val="24"/>
              </w:rPr>
              <w:t>Nay là phường Hoành Sơn</w:t>
            </w:r>
          </w:p>
        </w:tc>
      </w:tr>
      <w:tr w:rsidR="00085789" w14:paraId="647451A3" w14:textId="77777777">
        <w:trPr>
          <w:gridAfter w:val="1"/>
          <w:wAfter w:w="8" w:type="dxa"/>
          <w:trHeight w:val="315"/>
          <w:jc w:val="center"/>
        </w:trPr>
        <w:tc>
          <w:tcPr>
            <w:tcW w:w="618" w:type="dxa"/>
            <w:vAlign w:val="center"/>
          </w:tcPr>
          <w:p w14:paraId="67A93AFC" w14:textId="77777777" w:rsidR="00085789" w:rsidRDefault="00000000">
            <w:pPr>
              <w:widowControl w:val="0"/>
              <w:spacing w:line="320" w:lineRule="exact"/>
              <w:jc w:val="center"/>
              <w:rPr>
                <w:bCs/>
                <w:sz w:val="24"/>
                <w:szCs w:val="24"/>
              </w:rPr>
            </w:pPr>
            <w:r>
              <w:rPr>
                <w:bCs/>
                <w:sz w:val="24"/>
                <w:szCs w:val="24"/>
              </w:rPr>
              <w:t>12</w:t>
            </w:r>
          </w:p>
        </w:tc>
        <w:tc>
          <w:tcPr>
            <w:tcW w:w="3821" w:type="dxa"/>
            <w:vAlign w:val="center"/>
          </w:tcPr>
          <w:p w14:paraId="6248CD5B" w14:textId="77777777" w:rsidR="00085789" w:rsidRDefault="00000000">
            <w:pPr>
              <w:widowControl w:val="0"/>
              <w:spacing w:line="320" w:lineRule="exact"/>
              <w:jc w:val="both"/>
              <w:rPr>
                <w:bCs/>
                <w:spacing w:val="-6"/>
                <w:sz w:val="24"/>
                <w:szCs w:val="24"/>
              </w:rPr>
            </w:pPr>
            <w:r>
              <w:rPr>
                <w:spacing w:val="-6"/>
                <w:sz w:val="24"/>
                <w:szCs w:val="24"/>
              </w:rPr>
              <w:t>Hộ dân Chu Văn Kiền, làng Hải Phong, xã Kỳ Lợi (Khu vực hậu cảng)</w:t>
            </w:r>
          </w:p>
        </w:tc>
        <w:tc>
          <w:tcPr>
            <w:tcW w:w="2519" w:type="dxa"/>
            <w:vAlign w:val="center"/>
          </w:tcPr>
          <w:p w14:paraId="1DFB06E9" w14:textId="77777777" w:rsidR="00085789" w:rsidRDefault="00000000">
            <w:pPr>
              <w:widowControl w:val="0"/>
              <w:spacing w:line="320" w:lineRule="exact"/>
              <w:jc w:val="both"/>
              <w:rPr>
                <w:bCs/>
                <w:spacing w:val="-4"/>
                <w:sz w:val="24"/>
                <w:szCs w:val="24"/>
              </w:rPr>
            </w:pPr>
            <w:r>
              <w:rPr>
                <w:sz w:val="24"/>
                <w:szCs w:val="24"/>
              </w:rPr>
              <w:t>Làng Hải Phong, xã Kỳ Lợi</w:t>
            </w:r>
          </w:p>
        </w:tc>
        <w:tc>
          <w:tcPr>
            <w:tcW w:w="2123" w:type="dxa"/>
            <w:vAlign w:val="center"/>
          </w:tcPr>
          <w:p w14:paraId="4244CCDF" w14:textId="77777777" w:rsidR="00085789" w:rsidRDefault="00000000">
            <w:pPr>
              <w:widowControl w:val="0"/>
              <w:spacing w:line="320" w:lineRule="exact"/>
              <w:jc w:val="both"/>
              <w:rPr>
                <w:bCs/>
                <w:sz w:val="24"/>
                <w:szCs w:val="24"/>
              </w:rPr>
            </w:pPr>
            <w:r>
              <w:rPr>
                <w:bCs/>
                <w:sz w:val="24"/>
                <w:szCs w:val="24"/>
              </w:rPr>
              <w:t>Nay là phường Vũng Áng</w:t>
            </w:r>
          </w:p>
        </w:tc>
      </w:tr>
      <w:tr w:rsidR="00085789" w14:paraId="194EA8D2" w14:textId="77777777">
        <w:trPr>
          <w:gridAfter w:val="1"/>
          <w:wAfter w:w="8" w:type="dxa"/>
          <w:trHeight w:val="315"/>
          <w:jc w:val="center"/>
        </w:trPr>
        <w:tc>
          <w:tcPr>
            <w:tcW w:w="618" w:type="dxa"/>
            <w:vAlign w:val="center"/>
          </w:tcPr>
          <w:p w14:paraId="5D6CD71E" w14:textId="77777777" w:rsidR="00085789" w:rsidRDefault="00000000">
            <w:pPr>
              <w:widowControl w:val="0"/>
              <w:spacing w:line="320" w:lineRule="exact"/>
              <w:jc w:val="center"/>
              <w:rPr>
                <w:bCs/>
                <w:sz w:val="24"/>
                <w:szCs w:val="24"/>
              </w:rPr>
            </w:pPr>
            <w:r>
              <w:rPr>
                <w:bCs/>
                <w:sz w:val="24"/>
                <w:szCs w:val="24"/>
              </w:rPr>
              <w:t>13</w:t>
            </w:r>
          </w:p>
        </w:tc>
        <w:tc>
          <w:tcPr>
            <w:tcW w:w="3821" w:type="dxa"/>
            <w:vAlign w:val="center"/>
          </w:tcPr>
          <w:p w14:paraId="3385923C" w14:textId="77777777" w:rsidR="00085789" w:rsidRDefault="00000000">
            <w:pPr>
              <w:widowControl w:val="0"/>
              <w:spacing w:line="320" w:lineRule="exact"/>
              <w:jc w:val="both"/>
              <w:rPr>
                <w:bCs/>
                <w:spacing w:val="-6"/>
                <w:sz w:val="24"/>
                <w:szCs w:val="24"/>
              </w:rPr>
            </w:pPr>
            <w:r>
              <w:rPr>
                <w:sz w:val="24"/>
                <w:szCs w:val="24"/>
              </w:rPr>
              <w:t>Hộ dân Nguyễn Văn Phú, làng Hải Thanh, xã Kỳ Lợi</w:t>
            </w:r>
          </w:p>
        </w:tc>
        <w:tc>
          <w:tcPr>
            <w:tcW w:w="2519" w:type="dxa"/>
            <w:vAlign w:val="center"/>
          </w:tcPr>
          <w:p w14:paraId="2647D6B3" w14:textId="77777777" w:rsidR="00085789" w:rsidRDefault="00000000">
            <w:pPr>
              <w:widowControl w:val="0"/>
              <w:spacing w:line="320" w:lineRule="exact"/>
              <w:jc w:val="both"/>
              <w:rPr>
                <w:bCs/>
                <w:spacing w:val="-4"/>
                <w:sz w:val="24"/>
                <w:szCs w:val="24"/>
              </w:rPr>
            </w:pPr>
            <w:r>
              <w:rPr>
                <w:sz w:val="24"/>
                <w:szCs w:val="24"/>
              </w:rPr>
              <w:t>Làng Hải Thanh, xã Kỳ Lợi</w:t>
            </w:r>
          </w:p>
        </w:tc>
        <w:tc>
          <w:tcPr>
            <w:tcW w:w="2123" w:type="dxa"/>
            <w:vAlign w:val="center"/>
          </w:tcPr>
          <w:p w14:paraId="2D044EC5" w14:textId="77777777" w:rsidR="00085789" w:rsidRDefault="00000000">
            <w:pPr>
              <w:widowControl w:val="0"/>
              <w:spacing w:line="320" w:lineRule="exact"/>
              <w:jc w:val="both"/>
              <w:rPr>
                <w:bCs/>
                <w:sz w:val="24"/>
                <w:szCs w:val="24"/>
              </w:rPr>
            </w:pPr>
            <w:r>
              <w:rPr>
                <w:bCs/>
                <w:sz w:val="24"/>
                <w:szCs w:val="24"/>
              </w:rPr>
              <w:t>Nay là phường Vũng Áng</w:t>
            </w:r>
          </w:p>
        </w:tc>
      </w:tr>
      <w:tr w:rsidR="00085789" w14:paraId="384CC7E5" w14:textId="77777777">
        <w:trPr>
          <w:gridAfter w:val="1"/>
          <w:wAfter w:w="8" w:type="dxa"/>
          <w:trHeight w:val="315"/>
          <w:jc w:val="center"/>
        </w:trPr>
        <w:tc>
          <w:tcPr>
            <w:tcW w:w="618" w:type="dxa"/>
            <w:vAlign w:val="center"/>
          </w:tcPr>
          <w:p w14:paraId="79AF3E2D" w14:textId="77777777" w:rsidR="00085789" w:rsidRDefault="00000000">
            <w:pPr>
              <w:widowControl w:val="0"/>
              <w:spacing w:line="320" w:lineRule="exact"/>
              <w:jc w:val="center"/>
              <w:rPr>
                <w:bCs/>
                <w:sz w:val="24"/>
                <w:szCs w:val="24"/>
              </w:rPr>
            </w:pPr>
            <w:r>
              <w:rPr>
                <w:bCs/>
                <w:sz w:val="24"/>
                <w:szCs w:val="24"/>
              </w:rPr>
              <w:t>14</w:t>
            </w:r>
          </w:p>
        </w:tc>
        <w:tc>
          <w:tcPr>
            <w:tcW w:w="3821" w:type="dxa"/>
            <w:vAlign w:val="center"/>
          </w:tcPr>
          <w:p w14:paraId="52F145E6" w14:textId="77777777" w:rsidR="00085789" w:rsidRDefault="00000000">
            <w:pPr>
              <w:widowControl w:val="0"/>
              <w:spacing w:line="320" w:lineRule="exact"/>
              <w:jc w:val="both"/>
              <w:rPr>
                <w:bCs/>
                <w:spacing w:val="-6"/>
                <w:sz w:val="24"/>
                <w:szCs w:val="24"/>
              </w:rPr>
            </w:pPr>
            <w:r>
              <w:rPr>
                <w:sz w:val="24"/>
                <w:szCs w:val="24"/>
              </w:rPr>
              <w:t>Trạm y tế xã Kỳ Hà</w:t>
            </w:r>
          </w:p>
        </w:tc>
        <w:tc>
          <w:tcPr>
            <w:tcW w:w="2519" w:type="dxa"/>
            <w:vAlign w:val="center"/>
          </w:tcPr>
          <w:p w14:paraId="0D1364A5" w14:textId="77777777" w:rsidR="00085789" w:rsidRDefault="00000000">
            <w:pPr>
              <w:widowControl w:val="0"/>
              <w:spacing w:line="320" w:lineRule="exact"/>
              <w:jc w:val="both"/>
              <w:rPr>
                <w:bCs/>
                <w:spacing w:val="-4"/>
                <w:sz w:val="24"/>
                <w:szCs w:val="24"/>
              </w:rPr>
            </w:pPr>
            <w:r>
              <w:rPr>
                <w:sz w:val="24"/>
                <w:szCs w:val="24"/>
              </w:rPr>
              <w:t>Thôn Hải Hà, xã Kỳ Hà</w:t>
            </w:r>
          </w:p>
        </w:tc>
        <w:tc>
          <w:tcPr>
            <w:tcW w:w="2123" w:type="dxa"/>
            <w:vAlign w:val="center"/>
          </w:tcPr>
          <w:p w14:paraId="3C08CA7C" w14:textId="77777777" w:rsidR="00085789" w:rsidRDefault="00000000">
            <w:pPr>
              <w:widowControl w:val="0"/>
              <w:spacing w:line="320" w:lineRule="exact"/>
              <w:jc w:val="both"/>
              <w:rPr>
                <w:bCs/>
                <w:sz w:val="24"/>
                <w:szCs w:val="24"/>
              </w:rPr>
            </w:pPr>
            <w:r>
              <w:rPr>
                <w:bCs/>
                <w:sz w:val="24"/>
                <w:szCs w:val="24"/>
              </w:rPr>
              <w:t>Nay là phường Hải Ninh</w:t>
            </w:r>
          </w:p>
        </w:tc>
      </w:tr>
      <w:tr w:rsidR="00085789" w14:paraId="01811847" w14:textId="77777777">
        <w:trPr>
          <w:gridAfter w:val="1"/>
          <w:wAfter w:w="8" w:type="dxa"/>
          <w:trHeight w:val="315"/>
          <w:jc w:val="center"/>
        </w:trPr>
        <w:tc>
          <w:tcPr>
            <w:tcW w:w="618" w:type="dxa"/>
            <w:vAlign w:val="center"/>
          </w:tcPr>
          <w:p w14:paraId="749D75A7" w14:textId="77777777" w:rsidR="00085789" w:rsidRDefault="00000000">
            <w:pPr>
              <w:widowControl w:val="0"/>
              <w:spacing w:line="320" w:lineRule="exact"/>
              <w:jc w:val="center"/>
              <w:rPr>
                <w:bCs/>
                <w:sz w:val="24"/>
                <w:szCs w:val="24"/>
              </w:rPr>
            </w:pPr>
            <w:r>
              <w:rPr>
                <w:bCs/>
                <w:sz w:val="24"/>
                <w:szCs w:val="24"/>
              </w:rPr>
              <w:t>15</w:t>
            </w:r>
          </w:p>
        </w:tc>
        <w:tc>
          <w:tcPr>
            <w:tcW w:w="3821" w:type="dxa"/>
            <w:vAlign w:val="center"/>
          </w:tcPr>
          <w:p w14:paraId="57B78339" w14:textId="77777777" w:rsidR="00085789" w:rsidRDefault="00000000">
            <w:pPr>
              <w:widowControl w:val="0"/>
              <w:spacing w:line="320" w:lineRule="exact"/>
              <w:jc w:val="both"/>
              <w:rPr>
                <w:bCs/>
                <w:spacing w:val="-6"/>
                <w:sz w:val="24"/>
                <w:szCs w:val="24"/>
              </w:rPr>
            </w:pPr>
            <w:r>
              <w:rPr>
                <w:sz w:val="24"/>
                <w:szCs w:val="24"/>
              </w:rPr>
              <w:t>Trạm y tế xã Kỳ Xuân</w:t>
            </w:r>
          </w:p>
        </w:tc>
        <w:tc>
          <w:tcPr>
            <w:tcW w:w="2519" w:type="dxa"/>
            <w:vAlign w:val="center"/>
          </w:tcPr>
          <w:p w14:paraId="36320FC7" w14:textId="77777777" w:rsidR="00085789" w:rsidRDefault="00000000">
            <w:pPr>
              <w:widowControl w:val="0"/>
              <w:spacing w:line="320" w:lineRule="exact"/>
              <w:jc w:val="both"/>
              <w:rPr>
                <w:bCs/>
                <w:spacing w:val="-4"/>
                <w:sz w:val="24"/>
                <w:szCs w:val="24"/>
              </w:rPr>
            </w:pPr>
            <w:r>
              <w:rPr>
                <w:sz w:val="24"/>
                <w:szCs w:val="24"/>
              </w:rPr>
              <w:t>Thôn Quang Trung, xã Kỳ Xuân</w:t>
            </w:r>
          </w:p>
        </w:tc>
        <w:tc>
          <w:tcPr>
            <w:tcW w:w="2123" w:type="dxa"/>
            <w:vAlign w:val="center"/>
          </w:tcPr>
          <w:p w14:paraId="3994189D" w14:textId="77777777" w:rsidR="00085789" w:rsidRDefault="00000000">
            <w:pPr>
              <w:widowControl w:val="0"/>
              <w:spacing w:line="320" w:lineRule="exact"/>
              <w:jc w:val="both"/>
              <w:rPr>
                <w:bCs/>
                <w:sz w:val="24"/>
                <w:szCs w:val="24"/>
              </w:rPr>
            </w:pPr>
            <w:r>
              <w:rPr>
                <w:bCs/>
                <w:sz w:val="24"/>
                <w:szCs w:val="24"/>
              </w:rPr>
              <w:t>Nay là xã Kỳ Xuân</w:t>
            </w:r>
          </w:p>
        </w:tc>
      </w:tr>
      <w:tr w:rsidR="00085789" w14:paraId="7D47AE65" w14:textId="77777777">
        <w:trPr>
          <w:gridAfter w:val="1"/>
          <w:wAfter w:w="8" w:type="dxa"/>
          <w:trHeight w:val="315"/>
          <w:jc w:val="center"/>
        </w:trPr>
        <w:tc>
          <w:tcPr>
            <w:tcW w:w="618" w:type="dxa"/>
            <w:vAlign w:val="center"/>
          </w:tcPr>
          <w:p w14:paraId="508D1C15" w14:textId="77777777" w:rsidR="00085789" w:rsidRDefault="00000000">
            <w:pPr>
              <w:widowControl w:val="0"/>
              <w:spacing w:line="320" w:lineRule="exact"/>
              <w:jc w:val="center"/>
              <w:rPr>
                <w:bCs/>
                <w:sz w:val="24"/>
                <w:szCs w:val="24"/>
              </w:rPr>
            </w:pPr>
            <w:r>
              <w:rPr>
                <w:bCs/>
                <w:sz w:val="24"/>
                <w:szCs w:val="24"/>
              </w:rPr>
              <w:t>16</w:t>
            </w:r>
          </w:p>
        </w:tc>
        <w:tc>
          <w:tcPr>
            <w:tcW w:w="3821" w:type="dxa"/>
            <w:vAlign w:val="center"/>
          </w:tcPr>
          <w:p w14:paraId="507B25A0" w14:textId="77777777" w:rsidR="00085789" w:rsidRDefault="00000000">
            <w:pPr>
              <w:widowControl w:val="0"/>
              <w:spacing w:line="320" w:lineRule="exact"/>
              <w:jc w:val="both"/>
              <w:rPr>
                <w:bCs/>
                <w:spacing w:val="-6"/>
                <w:sz w:val="24"/>
                <w:szCs w:val="24"/>
              </w:rPr>
            </w:pPr>
            <w:r>
              <w:rPr>
                <w:sz w:val="24"/>
                <w:szCs w:val="24"/>
              </w:rPr>
              <w:t>Hộ dân Nguyễn Xuân Mậu, thôn Trung Tiến, xã Kỳ Khang</w:t>
            </w:r>
          </w:p>
        </w:tc>
        <w:tc>
          <w:tcPr>
            <w:tcW w:w="2519" w:type="dxa"/>
            <w:vAlign w:val="center"/>
          </w:tcPr>
          <w:p w14:paraId="1F5F41D2" w14:textId="77777777" w:rsidR="00085789" w:rsidRDefault="00000000">
            <w:pPr>
              <w:widowControl w:val="0"/>
              <w:spacing w:line="320" w:lineRule="exact"/>
              <w:jc w:val="both"/>
              <w:rPr>
                <w:bCs/>
                <w:spacing w:val="-4"/>
                <w:sz w:val="24"/>
                <w:szCs w:val="24"/>
                <w:lang w:val="sv-SE"/>
              </w:rPr>
            </w:pPr>
            <w:r>
              <w:rPr>
                <w:sz w:val="24"/>
                <w:szCs w:val="24"/>
                <w:lang w:val="sv-SE"/>
              </w:rPr>
              <w:t>Thôn Trung Tiến, xã Kỳ Khang</w:t>
            </w:r>
          </w:p>
        </w:tc>
        <w:tc>
          <w:tcPr>
            <w:tcW w:w="2123" w:type="dxa"/>
            <w:vAlign w:val="center"/>
          </w:tcPr>
          <w:p w14:paraId="246CCED6" w14:textId="77777777" w:rsidR="00085789" w:rsidRDefault="00000000">
            <w:pPr>
              <w:widowControl w:val="0"/>
              <w:spacing w:line="320" w:lineRule="exact"/>
              <w:jc w:val="both"/>
              <w:rPr>
                <w:bCs/>
                <w:sz w:val="24"/>
                <w:szCs w:val="24"/>
                <w:lang w:val="sv-SE"/>
              </w:rPr>
            </w:pPr>
            <w:r>
              <w:rPr>
                <w:bCs/>
                <w:sz w:val="24"/>
                <w:szCs w:val="24"/>
                <w:lang w:val="sv-SE"/>
              </w:rPr>
              <w:t>Nay là xã Kỳ Khang</w:t>
            </w:r>
          </w:p>
        </w:tc>
      </w:tr>
      <w:tr w:rsidR="00085789" w14:paraId="1554F759" w14:textId="77777777">
        <w:trPr>
          <w:trHeight w:val="315"/>
          <w:jc w:val="center"/>
        </w:trPr>
        <w:tc>
          <w:tcPr>
            <w:tcW w:w="618" w:type="dxa"/>
            <w:vAlign w:val="center"/>
          </w:tcPr>
          <w:p w14:paraId="41FA63E9" w14:textId="77777777" w:rsidR="00085789" w:rsidRDefault="00000000">
            <w:pPr>
              <w:widowControl w:val="0"/>
              <w:spacing w:line="320" w:lineRule="exact"/>
              <w:jc w:val="center"/>
              <w:rPr>
                <w:bCs/>
                <w:sz w:val="24"/>
                <w:szCs w:val="24"/>
                <w:lang w:val="sv-SE"/>
              </w:rPr>
            </w:pPr>
            <w:r>
              <w:rPr>
                <w:b/>
                <w:sz w:val="24"/>
                <w:szCs w:val="24"/>
              </w:rPr>
              <w:t>II</w:t>
            </w:r>
          </w:p>
        </w:tc>
        <w:tc>
          <w:tcPr>
            <w:tcW w:w="8471" w:type="dxa"/>
            <w:gridSpan w:val="4"/>
            <w:vAlign w:val="center"/>
          </w:tcPr>
          <w:p w14:paraId="3DD7A801" w14:textId="77777777" w:rsidR="00085789" w:rsidRDefault="00000000">
            <w:pPr>
              <w:widowControl w:val="0"/>
              <w:spacing w:line="320" w:lineRule="exact"/>
              <w:jc w:val="center"/>
              <w:rPr>
                <w:bCs/>
                <w:sz w:val="24"/>
                <w:szCs w:val="24"/>
                <w:lang w:val="sv-SE"/>
              </w:rPr>
            </w:pPr>
            <w:r>
              <w:rPr>
                <w:b/>
                <w:spacing w:val="-4"/>
                <w:sz w:val="24"/>
                <w:szCs w:val="24"/>
                <w:lang w:val="sv-SE"/>
              </w:rPr>
              <w:t>Thông tin vị trí quan trắc nước dưới đất vùng đồng bằng</w:t>
            </w:r>
          </w:p>
        </w:tc>
      </w:tr>
      <w:tr w:rsidR="00085789" w14:paraId="3491EF59" w14:textId="77777777">
        <w:trPr>
          <w:gridAfter w:val="1"/>
          <w:wAfter w:w="8" w:type="dxa"/>
          <w:trHeight w:val="315"/>
          <w:jc w:val="center"/>
        </w:trPr>
        <w:tc>
          <w:tcPr>
            <w:tcW w:w="618" w:type="dxa"/>
            <w:vAlign w:val="center"/>
          </w:tcPr>
          <w:p w14:paraId="77A1C1A8" w14:textId="77777777" w:rsidR="00085789" w:rsidRDefault="00000000">
            <w:pPr>
              <w:widowControl w:val="0"/>
              <w:spacing w:line="320" w:lineRule="exact"/>
              <w:jc w:val="center"/>
              <w:rPr>
                <w:bCs/>
                <w:sz w:val="24"/>
                <w:szCs w:val="24"/>
                <w:lang w:val="sv-SE"/>
              </w:rPr>
            </w:pPr>
            <w:r>
              <w:rPr>
                <w:bCs/>
                <w:sz w:val="24"/>
                <w:szCs w:val="24"/>
                <w:lang w:val="sv-SE"/>
              </w:rPr>
              <w:t>1</w:t>
            </w:r>
          </w:p>
        </w:tc>
        <w:tc>
          <w:tcPr>
            <w:tcW w:w="3821" w:type="dxa"/>
            <w:vAlign w:val="bottom"/>
          </w:tcPr>
          <w:p w14:paraId="138F504E" w14:textId="77777777" w:rsidR="00085789" w:rsidRDefault="00000000">
            <w:pPr>
              <w:widowControl w:val="0"/>
              <w:spacing w:line="320" w:lineRule="exact"/>
              <w:jc w:val="both"/>
              <w:rPr>
                <w:spacing w:val="-4"/>
                <w:sz w:val="24"/>
                <w:szCs w:val="24"/>
                <w:lang w:val="sv-SE"/>
              </w:rPr>
            </w:pPr>
            <w:r>
              <w:rPr>
                <w:spacing w:val="-4"/>
                <w:sz w:val="24"/>
                <w:szCs w:val="24"/>
                <w:lang w:val="sv-SE"/>
              </w:rPr>
              <w:t>Hộ dân Hồ Sỹ Bình, thôn Tiến Giang, phường Đồng Môn</w:t>
            </w:r>
          </w:p>
        </w:tc>
        <w:tc>
          <w:tcPr>
            <w:tcW w:w="2519" w:type="dxa"/>
            <w:vAlign w:val="bottom"/>
          </w:tcPr>
          <w:p w14:paraId="7C0886FD" w14:textId="77777777" w:rsidR="00085789" w:rsidRDefault="00000000">
            <w:pPr>
              <w:widowControl w:val="0"/>
              <w:spacing w:line="320" w:lineRule="exact"/>
              <w:jc w:val="both"/>
              <w:rPr>
                <w:spacing w:val="-6"/>
                <w:sz w:val="24"/>
                <w:szCs w:val="24"/>
                <w:lang w:val="sv-SE"/>
              </w:rPr>
            </w:pPr>
            <w:r>
              <w:rPr>
                <w:spacing w:val="-6"/>
                <w:sz w:val="24"/>
                <w:szCs w:val="24"/>
                <w:lang w:val="sv-SE"/>
              </w:rPr>
              <w:t>Thôn Tiến Giang, P. Đồng Môn</w:t>
            </w:r>
          </w:p>
        </w:tc>
        <w:tc>
          <w:tcPr>
            <w:tcW w:w="2123" w:type="dxa"/>
            <w:vAlign w:val="center"/>
          </w:tcPr>
          <w:p w14:paraId="6E2FA320" w14:textId="77777777" w:rsidR="00085789" w:rsidRDefault="00000000">
            <w:pPr>
              <w:widowControl w:val="0"/>
              <w:spacing w:line="320" w:lineRule="exact"/>
              <w:jc w:val="both"/>
              <w:rPr>
                <w:bCs/>
                <w:sz w:val="24"/>
                <w:szCs w:val="24"/>
                <w:lang w:val="sv-SE"/>
              </w:rPr>
            </w:pPr>
            <w:r>
              <w:rPr>
                <w:bCs/>
                <w:sz w:val="24"/>
                <w:szCs w:val="24"/>
                <w:lang w:val="sv-SE"/>
              </w:rPr>
              <w:t>Nay là phường Trần Phú</w:t>
            </w:r>
          </w:p>
        </w:tc>
      </w:tr>
      <w:tr w:rsidR="00085789" w14:paraId="017926F8" w14:textId="77777777">
        <w:trPr>
          <w:gridAfter w:val="1"/>
          <w:wAfter w:w="8" w:type="dxa"/>
          <w:trHeight w:val="315"/>
          <w:jc w:val="center"/>
        </w:trPr>
        <w:tc>
          <w:tcPr>
            <w:tcW w:w="618" w:type="dxa"/>
            <w:vAlign w:val="center"/>
          </w:tcPr>
          <w:p w14:paraId="5D97F263" w14:textId="77777777" w:rsidR="00085789" w:rsidRDefault="00000000">
            <w:pPr>
              <w:widowControl w:val="0"/>
              <w:spacing w:line="320" w:lineRule="exact"/>
              <w:jc w:val="center"/>
              <w:rPr>
                <w:bCs/>
                <w:sz w:val="24"/>
                <w:szCs w:val="24"/>
                <w:lang w:val="sv-SE"/>
              </w:rPr>
            </w:pPr>
            <w:r>
              <w:rPr>
                <w:bCs/>
                <w:sz w:val="24"/>
                <w:szCs w:val="24"/>
                <w:lang w:val="sv-SE"/>
              </w:rPr>
              <w:t>2</w:t>
            </w:r>
          </w:p>
        </w:tc>
        <w:tc>
          <w:tcPr>
            <w:tcW w:w="3821" w:type="dxa"/>
            <w:vAlign w:val="bottom"/>
          </w:tcPr>
          <w:p w14:paraId="293A9DA0" w14:textId="77777777" w:rsidR="00085789" w:rsidRDefault="00000000">
            <w:pPr>
              <w:widowControl w:val="0"/>
              <w:spacing w:line="320" w:lineRule="exact"/>
              <w:jc w:val="both"/>
              <w:rPr>
                <w:spacing w:val="-4"/>
                <w:sz w:val="24"/>
                <w:szCs w:val="24"/>
                <w:lang w:val="sv-SE"/>
              </w:rPr>
            </w:pPr>
            <w:r>
              <w:rPr>
                <w:spacing w:val="-4"/>
                <w:sz w:val="24"/>
                <w:szCs w:val="24"/>
                <w:lang w:val="sv-SE"/>
              </w:rPr>
              <w:t xml:space="preserve">Trạm y tế xã Phù Việt cũ, thôn Thống Nhất, xã Việt Tiến </w:t>
            </w:r>
          </w:p>
        </w:tc>
        <w:tc>
          <w:tcPr>
            <w:tcW w:w="2519" w:type="dxa"/>
            <w:vAlign w:val="center"/>
          </w:tcPr>
          <w:p w14:paraId="48BDDEE9" w14:textId="77777777" w:rsidR="00085789" w:rsidRDefault="00000000">
            <w:pPr>
              <w:widowControl w:val="0"/>
              <w:spacing w:line="320" w:lineRule="exact"/>
              <w:jc w:val="both"/>
              <w:rPr>
                <w:spacing w:val="-6"/>
                <w:sz w:val="24"/>
                <w:szCs w:val="24"/>
                <w:lang w:val="sv-SE"/>
              </w:rPr>
            </w:pPr>
            <w:r>
              <w:rPr>
                <w:spacing w:val="-6"/>
                <w:sz w:val="24"/>
                <w:szCs w:val="24"/>
                <w:lang w:val="sv-SE"/>
              </w:rPr>
              <w:t>Thôn Thống Nhất, xã Việt Tiến</w:t>
            </w:r>
          </w:p>
        </w:tc>
        <w:tc>
          <w:tcPr>
            <w:tcW w:w="2123" w:type="dxa"/>
            <w:vAlign w:val="center"/>
          </w:tcPr>
          <w:p w14:paraId="371D7E0A" w14:textId="77777777" w:rsidR="00085789" w:rsidRDefault="00000000">
            <w:pPr>
              <w:widowControl w:val="0"/>
              <w:spacing w:line="320" w:lineRule="exact"/>
              <w:jc w:val="both"/>
              <w:rPr>
                <w:bCs/>
                <w:sz w:val="24"/>
                <w:szCs w:val="24"/>
                <w:lang w:val="sv-SE"/>
              </w:rPr>
            </w:pPr>
            <w:r>
              <w:rPr>
                <w:bCs/>
                <w:sz w:val="24"/>
                <w:szCs w:val="24"/>
                <w:lang w:val="sv-SE"/>
              </w:rPr>
              <w:t>Nay là xã Việt Xuyên</w:t>
            </w:r>
          </w:p>
        </w:tc>
      </w:tr>
      <w:tr w:rsidR="00085789" w14:paraId="320224F3" w14:textId="77777777">
        <w:trPr>
          <w:gridAfter w:val="1"/>
          <w:wAfter w:w="8" w:type="dxa"/>
          <w:trHeight w:val="315"/>
          <w:jc w:val="center"/>
        </w:trPr>
        <w:tc>
          <w:tcPr>
            <w:tcW w:w="618" w:type="dxa"/>
            <w:vAlign w:val="center"/>
          </w:tcPr>
          <w:p w14:paraId="1FD8A9B3" w14:textId="77777777" w:rsidR="00085789" w:rsidRDefault="00000000">
            <w:pPr>
              <w:widowControl w:val="0"/>
              <w:spacing w:line="320" w:lineRule="exact"/>
              <w:jc w:val="center"/>
              <w:rPr>
                <w:bCs/>
                <w:sz w:val="24"/>
                <w:szCs w:val="24"/>
                <w:lang w:val="sv-SE"/>
              </w:rPr>
            </w:pPr>
            <w:r>
              <w:rPr>
                <w:bCs/>
                <w:sz w:val="24"/>
                <w:szCs w:val="24"/>
                <w:lang w:val="sv-SE"/>
              </w:rPr>
              <w:t>3</w:t>
            </w:r>
          </w:p>
        </w:tc>
        <w:tc>
          <w:tcPr>
            <w:tcW w:w="3821" w:type="dxa"/>
            <w:vAlign w:val="bottom"/>
          </w:tcPr>
          <w:p w14:paraId="55F2F4F2" w14:textId="77777777" w:rsidR="00085789" w:rsidRDefault="00000000">
            <w:pPr>
              <w:widowControl w:val="0"/>
              <w:spacing w:line="320" w:lineRule="exact"/>
              <w:jc w:val="both"/>
              <w:rPr>
                <w:spacing w:val="-4"/>
                <w:sz w:val="24"/>
                <w:szCs w:val="24"/>
                <w:lang w:val="sv-SE"/>
              </w:rPr>
            </w:pPr>
            <w:r>
              <w:rPr>
                <w:spacing w:val="-4"/>
                <w:sz w:val="24"/>
                <w:szCs w:val="24"/>
                <w:lang w:val="sv-SE"/>
              </w:rPr>
              <w:t>Hộ dân Trần Văn Hùng, thôn Vĩnh Cát, xã Lưu Vĩnh Sơn</w:t>
            </w:r>
          </w:p>
        </w:tc>
        <w:tc>
          <w:tcPr>
            <w:tcW w:w="2519" w:type="dxa"/>
            <w:vAlign w:val="center"/>
          </w:tcPr>
          <w:p w14:paraId="64ABC0BD" w14:textId="77777777" w:rsidR="00085789" w:rsidRDefault="00000000">
            <w:pPr>
              <w:widowControl w:val="0"/>
              <w:spacing w:line="320" w:lineRule="exact"/>
              <w:jc w:val="both"/>
              <w:rPr>
                <w:spacing w:val="-6"/>
                <w:sz w:val="24"/>
                <w:szCs w:val="24"/>
                <w:lang w:val="sv-SE"/>
              </w:rPr>
            </w:pPr>
            <w:r>
              <w:rPr>
                <w:spacing w:val="-6"/>
                <w:sz w:val="24"/>
                <w:szCs w:val="24"/>
                <w:lang w:val="sv-SE"/>
              </w:rPr>
              <w:t>Thôn Vĩnh Cát, xã Lưu Vĩnh Sơn</w:t>
            </w:r>
          </w:p>
        </w:tc>
        <w:tc>
          <w:tcPr>
            <w:tcW w:w="2123" w:type="dxa"/>
            <w:vAlign w:val="center"/>
          </w:tcPr>
          <w:p w14:paraId="2C0E0C7F" w14:textId="77777777" w:rsidR="00085789" w:rsidRDefault="00000000">
            <w:pPr>
              <w:widowControl w:val="0"/>
              <w:spacing w:line="320" w:lineRule="exact"/>
              <w:jc w:val="both"/>
              <w:rPr>
                <w:bCs/>
                <w:sz w:val="24"/>
                <w:szCs w:val="24"/>
                <w:lang w:val="sv-SE"/>
              </w:rPr>
            </w:pPr>
            <w:r>
              <w:rPr>
                <w:bCs/>
                <w:sz w:val="24"/>
                <w:szCs w:val="24"/>
                <w:lang w:val="sv-SE"/>
              </w:rPr>
              <w:t>Nay là xã Toàn Lưu</w:t>
            </w:r>
          </w:p>
        </w:tc>
      </w:tr>
      <w:tr w:rsidR="00085789" w14:paraId="7373AE33" w14:textId="77777777">
        <w:trPr>
          <w:gridAfter w:val="1"/>
          <w:wAfter w:w="8" w:type="dxa"/>
          <w:trHeight w:val="315"/>
          <w:jc w:val="center"/>
        </w:trPr>
        <w:tc>
          <w:tcPr>
            <w:tcW w:w="618" w:type="dxa"/>
            <w:vAlign w:val="center"/>
          </w:tcPr>
          <w:p w14:paraId="17505CB1" w14:textId="77777777" w:rsidR="00085789" w:rsidRDefault="00000000">
            <w:pPr>
              <w:widowControl w:val="0"/>
              <w:spacing w:line="320" w:lineRule="exact"/>
              <w:jc w:val="center"/>
              <w:rPr>
                <w:bCs/>
                <w:sz w:val="24"/>
                <w:szCs w:val="24"/>
                <w:lang w:val="sv-SE"/>
              </w:rPr>
            </w:pPr>
            <w:r>
              <w:rPr>
                <w:bCs/>
                <w:sz w:val="24"/>
                <w:szCs w:val="24"/>
                <w:lang w:val="sv-SE"/>
              </w:rPr>
              <w:t>4</w:t>
            </w:r>
          </w:p>
        </w:tc>
        <w:tc>
          <w:tcPr>
            <w:tcW w:w="3821" w:type="dxa"/>
            <w:vAlign w:val="bottom"/>
          </w:tcPr>
          <w:p w14:paraId="0100A0B0" w14:textId="77777777" w:rsidR="00085789" w:rsidRDefault="00000000">
            <w:pPr>
              <w:widowControl w:val="0"/>
              <w:spacing w:line="320" w:lineRule="exact"/>
              <w:jc w:val="both"/>
              <w:rPr>
                <w:spacing w:val="-6"/>
                <w:sz w:val="24"/>
                <w:szCs w:val="24"/>
                <w:lang w:val="sv-SE"/>
              </w:rPr>
            </w:pPr>
            <w:r>
              <w:rPr>
                <w:spacing w:val="-6"/>
                <w:sz w:val="24"/>
                <w:szCs w:val="24"/>
                <w:lang w:val="sv-SE"/>
              </w:rPr>
              <w:t>Hộ dân Võ Nhân Long, thôn Trung Hải, xã Thiên Lộc (CCN Hạ Vàng)</w:t>
            </w:r>
          </w:p>
        </w:tc>
        <w:tc>
          <w:tcPr>
            <w:tcW w:w="2519" w:type="dxa"/>
            <w:vAlign w:val="center"/>
          </w:tcPr>
          <w:p w14:paraId="10211DC3" w14:textId="77777777" w:rsidR="00085789" w:rsidRDefault="00000000">
            <w:pPr>
              <w:widowControl w:val="0"/>
              <w:spacing w:line="320" w:lineRule="exact"/>
              <w:jc w:val="both"/>
              <w:rPr>
                <w:spacing w:val="-6"/>
                <w:sz w:val="24"/>
                <w:szCs w:val="24"/>
                <w:lang w:val="sv-SE"/>
              </w:rPr>
            </w:pPr>
            <w:r>
              <w:rPr>
                <w:spacing w:val="-6"/>
                <w:sz w:val="24"/>
                <w:szCs w:val="24"/>
                <w:lang w:val="sv-SE"/>
              </w:rPr>
              <w:t>Thôn Trung Hải, xã Thiên Lộc</w:t>
            </w:r>
          </w:p>
        </w:tc>
        <w:tc>
          <w:tcPr>
            <w:tcW w:w="2123" w:type="dxa"/>
            <w:vAlign w:val="center"/>
          </w:tcPr>
          <w:p w14:paraId="617F808E" w14:textId="77777777" w:rsidR="00085789" w:rsidRDefault="00000000">
            <w:pPr>
              <w:widowControl w:val="0"/>
              <w:spacing w:line="320" w:lineRule="exact"/>
              <w:jc w:val="both"/>
              <w:rPr>
                <w:bCs/>
                <w:sz w:val="24"/>
                <w:szCs w:val="24"/>
              </w:rPr>
            </w:pPr>
            <w:r>
              <w:rPr>
                <w:bCs/>
                <w:sz w:val="24"/>
                <w:szCs w:val="24"/>
              </w:rPr>
              <w:t>Nay là xã Can Lộc</w:t>
            </w:r>
          </w:p>
        </w:tc>
      </w:tr>
      <w:tr w:rsidR="00085789" w14:paraId="4A6E372F" w14:textId="77777777">
        <w:trPr>
          <w:gridAfter w:val="1"/>
          <w:wAfter w:w="8" w:type="dxa"/>
          <w:trHeight w:val="315"/>
          <w:jc w:val="center"/>
        </w:trPr>
        <w:tc>
          <w:tcPr>
            <w:tcW w:w="618" w:type="dxa"/>
            <w:vAlign w:val="center"/>
          </w:tcPr>
          <w:p w14:paraId="37EEBE2F" w14:textId="77777777" w:rsidR="00085789" w:rsidRDefault="00000000">
            <w:pPr>
              <w:widowControl w:val="0"/>
              <w:spacing w:line="320" w:lineRule="exact"/>
              <w:jc w:val="center"/>
              <w:rPr>
                <w:bCs/>
                <w:sz w:val="24"/>
                <w:szCs w:val="24"/>
                <w:lang w:val="sv-SE"/>
              </w:rPr>
            </w:pPr>
            <w:r>
              <w:rPr>
                <w:bCs/>
                <w:sz w:val="24"/>
                <w:szCs w:val="24"/>
                <w:lang w:val="sv-SE"/>
              </w:rPr>
              <w:t>5</w:t>
            </w:r>
          </w:p>
        </w:tc>
        <w:tc>
          <w:tcPr>
            <w:tcW w:w="3821" w:type="dxa"/>
            <w:vAlign w:val="bottom"/>
          </w:tcPr>
          <w:p w14:paraId="5D02DB07" w14:textId="77777777" w:rsidR="00085789" w:rsidRDefault="00000000">
            <w:pPr>
              <w:widowControl w:val="0"/>
              <w:spacing w:line="320" w:lineRule="exact"/>
              <w:jc w:val="both"/>
              <w:rPr>
                <w:spacing w:val="-4"/>
                <w:sz w:val="24"/>
                <w:szCs w:val="24"/>
                <w:lang w:val="sv-SE"/>
              </w:rPr>
            </w:pPr>
            <w:r>
              <w:rPr>
                <w:spacing w:val="-4"/>
                <w:sz w:val="24"/>
                <w:szCs w:val="24"/>
                <w:lang w:val="sv-SE"/>
              </w:rPr>
              <w:t xml:space="preserve">Hộ dân Trần Thế Từ, khối phố Thượng Liên, thị trấn Đồng Lộc </w:t>
            </w:r>
          </w:p>
        </w:tc>
        <w:tc>
          <w:tcPr>
            <w:tcW w:w="2519" w:type="dxa"/>
            <w:vAlign w:val="center"/>
          </w:tcPr>
          <w:p w14:paraId="51998019" w14:textId="77777777" w:rsidR="00085789" w:rsidRDefault="00000000">
            <w:pPr>
              <w:widowControl w:val="0"/>
              <w:spacing w:line="320" w:lineRule="exact"/>
              <w:jc w:val="both"/>
              <w:rPr>
                <w:spacing w:val="-6"/>
                <w:sz w:val="24"/>
                <w:szCs w:val="24"/>
                <w:lang w:val="sv-SE"/>
              </w:rPr>
            </w:pPr>
            <w:r>
              <w:rPr>
                <w:spacing w:val="-6"/>
                <w:sz w:val="24"/>
                <w:szCs w:val="24"/>
                <w:lang w:val="sv-SE"/>
              </w:rPr>
              <w:t>TDP Thượng Liên, TT. Đồng Lộc</w:t>
            </w:r>
          </w:p>
        </w:tc>
        <w:tc>
          <w:tcPr>
            <w:tcW w:w="2123" w:type="dxa"/>
            <w:vAlign w:val="center"/>
          </w:tcPr>
          <w:p w14:paraId="08D40FC9" w14:textId="77777777" w:rsidR="00085789" w:rsidRDefault="00000000">
            <w:pPr>
              <w:widowControl w:val="0"/>
              <w:spacing w:line="320" w:lineRule="exact"/>
              <w:jc w:val="both"/>
              <w:rPr>
                <w:bCs/>
                <w:sz w:val="24"/>
                <w:szCs w:val="24"/>
                <w:lang w:val="sv-SE"/>
              </w:rPr>
            </w:pPr>
            <w:r>
              <w:rPr>
                <w:bCs/>
                <w:sz w:val="24"/>
                <w:szCs w:val="24"/>
                <w:lang w:val="sv-SE"/>
              </w:rPr>
              <w:t>Nay là xã Đồng Lộc</w:t>
            </w:r>
          </w:p>
        </w:tc>
      </w:tr>
      <w:tr w:rsidR="00085789" w14:paraId="393970AA" w14:textId="77777777">
        <w:trPr>
          <w:gridAfter w:val="1"/>
          <w:wAfter w:w="8" w:type="dxa"/>
          <w:trHeight w:val="315"/>
          <w:jc w:val="center"/>
        </w:trPr>
        <w:tc>
          <w:tcPr>
            <w:tcW w:w="618" w:type="dxa"/>
            <w:vAlign w:val="center"/>
          </w:tcPr>
          <w:p w14:paraId="0147E384" w14:textId="77777777" w:rsidR="00085789" w:rsidRDefault="00000000">
            <w:pPr>
              <w:widowControl w:val="0"/>
              <w:spacing w:line="320" w:lineRule="exact"/>
              <w:jc w:val="center"/>
              <w:rPr>
                <w:bCs/>
                <w:sz w:val="24"/>
                <w:szCs w:val="24"/>
                <w:lang w:val="sv-SE"/>
              </w:rPr>
            </w:pPr>
            <w:r>
              <w:rPr>
                <w:bCs/>
                <w:sz w:val="24"/>
                <w:szCs w:val="24"/>
                <w:lang w:val="sv-SE"/>
              </w:rPr>
              <w:t>6</w:t>
            </w:r>
          </w:p>
        </w:tc>
        <w:tc>
          <w:tcPr>
            <w:tcW w:w="3821" w:type="dxa"/>
            <w:vAlign w:val="bottom"/>
          </w:tcPr>
          <w:p w14:paraId="3DEFDF79" w14:textId="77777777" w:rsidR="00085789" w:rsidRDefault="00000000">
            <w:pPr>
              <w:widowControl w:val="0"/>
              <w:spacing w:line="320" w:lineRule="exact"/>
              <w:jc w:val="both"/>
              <w:rPr>
                <w:spacing w:val="-4"/>
                <w:sz w:val="24"/>
                <w:szCs w:val="24"/>
                <w:lang w:val="sv-SE"/>
              </w:rPr>
            </w:pPr>
            <w:r>
              <w:rPr>
                <w:spacing w:val="-4"/>
                <w:sz w:val="24"/>
                <w:szCs w:val="24"/>
                <w:lang w:val="sv-SE"/>
              </w:rPr>
              <w:t>Hộ ông Phan Văn Lan, thôn Hồng Sơn, xã Phú Lộc</w:t>
            </w:r>
          </w:p>
        </w:tc>
        <w:tc>
          <w:tcPr>
            <w:tcW w:w="2519" w:type="dxa"/>
            <w:vAlign w:val="center"/>
          </w:tcPr>
          <w:p w14:paraId="365CF85B" w14:textId="77777777" w:rsidR="00085789" w:rsidRDefault="00000000">
            <w:pPr>
              <w:widowControl w:val="0"/>
              <w:spacing w:line="320" w:lineRule="exact"/>
              <w:jc w:val="both"/>
              <w:rPr>
                <w:spacing w:val="-6"/>
                <w:sz w:val="24"/>
                <w:szCs w:val="24"/>
                <w:lang w:val="sv-SE"/>
              </w:rPr>
            </w:pPr>
            <w:r>
              <w:rPr>
                <w:spacing w:val="-6"/>
                <w:sz w:val="24"/>
                <w:szCs w:val="24"/>
                <w:lang w:val="sv-SE"/>
              </w:rPr>
              <w:t>Thôn Hồng Sơn, xã Phú Lộc</w:t>
            </w:r>
          </w:p>
        </w:tc>
        <w:tc>
          <w:tcPr>
            <w:tcW w:w="2123" w:type="dxa"/>
            <w:vAlign w:val="center"/>
          </w:tcPr>
          <w:p w14:paraId="27B0805E" w14:textId="77777777" w:rsidR="00085789" w:rsidRDefault="00000000">
            <w:pPr>
              <w:widowControl w:val="0"/>
              <w:spacing w:line="320" w:lineRule="exact"/>
              <w:jc w:val="both"/>
              <w:rPr>
                <w:bCs/>
                <w:sz w:val="24"/>
                <w:szCs w:val="24"/>
                <w:lang w:val="sv-SE"/>
              </w:rPr>
            </w:pPr>
            <w:r>
              <w:rPr>
                <w:bCs/>
                <w:sz w:val="24"/>
                <w:szCs w:val="24"/>
                <w:lang w:val="sv-SE"/>
              </w:rPr>
              <w:t>Nay là xã Trường Lưu</w:t>
            </w:r>
          </w:p>
        </w:tc>
      </w:tr>
      <w:tr w:rsidR="00085789" w14:paraId="48E19C2B" w14:textId="77777777">
        <w:trPr>
          <w:gridAfter w:val="1"/>
          <w:wAfter w:w="8" w:type="dxa"/>
          <w:trHeight w:val="315"/>
          <w:jc w:val="center"/>
        </w:trPr>
        <w:tc>
          <w:tcPr>
            <w:tcW w:w="618" w:type="dxa"/>
            <w:vAlign w:val="center"/>
          </w:tcPr>
          <w:p w14:paraId="6BA3ED6A" w14:textId="77777777" w:rsidR="00085789" w:rsidRDefault="00000000">
            <w:pPr>
              <w:widowControl w:val="0"/>
              <w:spacing w:line="320" w:lineRule="exact"/>
              <w:jc w:val="center"/>
              <w:rPr>
                <w:bCs/>
                <w:sz w:val="24"/>
                <w:szCs w:val="24"/>
                <w:lang w:val="sv-SE"/>
              </w:rPr>
            </w:pPr>
            <w:r>
              <w:rPr>
                <w:bCs/>
                <w:sz w:val="24"/>
                <w:szCs w:val="24"/>
                <w:lang w:val="sv-SE"/>
              </w:rPr>
              <w:t>7</w:t>
            </w:r>
          </w:p>
        </w:tc>
        <w:tc>
          <w:tcPr>
            <w:tcW w:w="3821" w:type="dxa"/>
            <w:vAlign w:val="bottom"/>
          </w:tcPr>
          <w:p w14:paraId="0AD7FC8A" w14:textId="77777777" w:rsidR="00085789" w:rsidRDefault="00000000">
            <w:pPr>
              <w:widowControl w:val="0"/>
              <w:spacing w:line="320" w:lineRule="exact"/>
              <w:jc w:val="both"/>
              <w:rPr>
                <w:spacing w:val="-10"/>
                <w:sz w:val="24"/>
                <w:szCs w:val="24"/>
                <w:lang w:val="sv-SE"/>
              </w:rPr>
            </w:pPr>
            <w:r>
              <w:rPr>
                <w:spacing w:val="-10"/>
                <w:sz w:val="24"/>
                <w:szCs w:val="24"/>
                <w:lang w:val="sv-SE"/>
              </w:rPr>
              <w:t xml:space="preserve">Hộ dân Lê Hồng Sơn, TDP Tiên Sơn, P. Trung Lương (làng nghề Trung Lương)   </w:t>
            </w:r>
          </w:p>
        </w:tc>
        <w:tc>
          <w:tcPr>
            <w:tcW w:w="2519" w:type="dxa"/>
            <w:vAlign w:val="center"/>
          </w:tcPr>
          <w:p w14:paraId="1AFFE585" w14:textId="77777777" w:rsidR="00085789" w:rsidRDefault="00000000">
            <w:pPr>
              <w:widowControl w:val="0"/>
              <w:spacing w:line="320" w:lineRule="exact"/>
              <w:jc w:val="both"/>
              <w:rPr>
                <w:spacing w:val="-6"/>
                <w:sz w:val="24"/>
                <w:szCs w:val="24"/>
                <w:lang w:val="sv-SE"/>
              </w:rPr>
            </w:pPr>
            <w:r>
              <w:rPr>
                <w:spacing w:val="-6"/>
                <w:sz w:val="24"/>
                <w:szCs w:val="24"/>
                <w:lang w:val="sv-SE"/>
              </w:rPr>
              <w:t>TDP Tiên Sơn, P. Trung Lương</w:t>
            </w:r>
          </w:p>
        </w:tc>
        <w:tc>
          <w:tcPr>
            <w:tcW w:w="2123" w:type="dxa"/>
            <w:vAlign w:val="center"/>
          </w:tcPr>
          <w:p w14:paraId="6614D94F" w14:textId="77777777" w:rsidR="00085789" w:rsidRDefault="00000000">
            <w:pPr>
              <w:widowControl w:val="0"/>
              <w:spacing w:line="320" w:lineRule="exact"/>
              <w:jc w:val="both"/>
              <w:rPr>
                <w:bCs/>
                <w:sz w:val="24"/>
                <w:szCs w:val="24"/>
                <w:lang w:val="sv-SE"/>
              </w:rPr>
            </w:pPr>
            <w:r>
              <w:rPr>
                <w:bCs/>
                <w:sz w:val="24"/>
                <w:szCs w:val="24"/>
                <w:lang w:val="sv-SE"/>
              </w:rPr>
              <w:t>Nay là phường Bắc Hồng Lĩnh</w:t>
            </w:r>
          </w:p>
        </w:tc>
      </w:tr>
      <w:tr w:rsidR="00085789" w14:paraId="2AAA9B40" w14:textId="77777777">
        <w:trPr>
          <w:gridAfter w:val="1"/>
          <w:wAfter w:w="8" w:type="dxa"/>
          <w:trHeight w:val="315"/>
          <w:jc w:val="center"/>
        </w:trPr>
        <w:tc>
          <w:tcPr>
            <w:tcW w:w="618" w:type="dxa"/>
            <w:vAlign w:val="center"/>
          </w:tcPr>
          <w:p w14:paraId="1230E9C0" w14:textId="77777777" w:rsidR="00085789" w:rsidRDefault="00000000">
            <w:pPr>
              <w:widowControl w:val="0"/>
              <w:spacing w:line="320" w:lineRule="exact"/>
              <w:jc w:val="center"/>
              <w:rPr>
                <w:bCs/>
                <w:sz w:val="24"/>
                <w:szCs w:val="24"/>
                <w:lang w:val="sv-SE"/>
              </w:rPr>
            </w:pPr>
            <w:r>
              <w:rPr>
                <w:bCs/>
                <w:sz w:val="24"/>
                <w:szCs w:val="24"/>
                <w:lang w:val="sv-SE"/>
              </w:rPr>
              <w:t>8</w:t>
            </w:r>
          </w:p>
        </w:tc>
        <w:tc>
          <w:tcPr>
            <w:tcW w:w="3821" w:type="dxa"/>
            <w:vAlign w:val="bottom"/>
          </w:tcPr>
          <w:p w14:paraId="79843334" w14:textId="77777777" w:rsidR="00085789" w:rsidRDefault="00000000">
            <w:pPr>
              <w:widowControl w:val="0"/>
              <w:spacing w:line="320" w:lineRule="exact"/>
              <w:jc w:val="both"/>
              <w:rPr>
                <w:spacing w:val="-10"/>
                <w:sz w:val="24"/>
                <w:szCs w:val="24"/>
                <w:lang w:val="sv-SE"/>
              </w:rPr>
            </w:pPr>
            <w:r>
              <w:rPr>
                <w:spacing w:val="-10"/>
                <w:sz w:val="24"/>
                <w:szCs w:val="24"/>
                <w:lang w:val="sv-SE"/>
              </w:rPr>
              <w:t>Hộ dân Đinh Thị Ngọc Diệp, số 18A, Đ. Phan Kinh, khối 4, P. Nam Hồng</w:t>
            </w:r>
          </w:p>
        </w:tc>
        <w:tc>
          <w:tcPr>
            <w:tcW w:w="2519" w:type="dxa"/>
            <w:vAlign w:val="center"/>
          </w:tcPr>
          <w:p w14:paraId="5FAD4488" w14:textId="77777777" w:rsidR="00085789" w:rsidRDefault="00000000">
            <w:pPr>
              <w:widowControl w:val="0"/>
              <w:spacing w:line="320" w:lineRule="exact"/>
              <w:jc w:val="both"/>
              <w:rPr>
                <w:spacing w:val="-6"/>
                <w:sz w:val="24"/>
                <w:szCs w:val="24"/>
                <w:lang w:val="sv-SE"/>
              </w:rPr>
            </w:pPr>
            <w:r>
              <w:rPr>
                <w:spacing w:val="-6"/>
                <w:sz w:val="24"/>
                <w:szCs w:val="24"/>
              </w:rPr>
              <w:t>TDP 4, P. Nam Hồng</w:t>
            </w:r>
          </w:p>
        </w:tc>
        <w:tc>
          <w:tcPr>
            <w:tcW w:w="2123" w:type="dxa"/>
            <w:vAlign w:val="center"/>
          </w:tcPr>
          <w:p w14:paraId="152AEBF4" w14:textId="77777777" w:rsidR="00085789" w:rsidRDefault="00000000">
            <w:pPr>
              <w:widowControl w:val="0"/>
              <w:spacing w:line="320" w:lineRule="exact"/>
              <w:jc w:val="both"/>
              <w:rPr>
                <w:bCs/>
                <w:sz w:val="24"/>
                <w:szCs w:val="24"/>
              </w:rPr>
            </w:pPr>
            <w:r>
              <w:rPr>
                <w:bCs/>
                <w:sz w:val="24"/>
                <w:szCs w:val="24"/>
              </w:rPr>
              <w:t>Nay là phường Nam Hồng Lĩnh</w:t>
            </w:r>
          </w:p>
        </w:tc>
      </w:tr>
      <w:tr w:rsidR="00085789" w14:paraId="77918EC0" w14:textId="77777777">
        <w:trPr>
          <w:gridAfter w:val="1"/>
          <w:wAfter w:w="8" w:type="dxa"/>
          <w:trHeight w:val="315"/>
          <w:jc w:val="center"/>
        </w:trPr>
        <w:tc>
          <w:tcPr>
            <w:tcW w:w="618" w:type="dxa"/>
            <w:vAlign w:val="center"/>
          </w:tcPr>
          <w:p w14:paraId="6E12B526" w14:textId="77777777" w:rsidR="00085789" w:rsidRDefault="00000000">
            <w:pPr>
              <w:widowControl w:val="0"/>
              <w:spacing w:line="320" w:lineRule="exact"/>
              <w:jc w:val="center"/>
              <w:rPr>
                <w:bCs/>
                <w:sz w:val="24"/>
                <w:szCs w:val="24"/>
                <w:lang w:val="sv-SE"/>
              </w:rPr>
            </w:pPr>
            <w:r>
              <w:rPr>
                <w:bCs/>
                <w:sz w:val="24"/>
                <w:szCs w:val="24"/>
                <w:lang w:val="sv-SE"/>
              </w:rPr>
              <w:t>9</w:t>
            </w:r>
          </w:p>
        </w:tc>
        <w:tc>
          <w:tcPr>
            <w:tcW w:w="3821" w:type="dxa"/>
            <w:vAlign w:val="bottom"/>
          </w:tcPr>
          <w:p w14:paraId="5EBC56E8" w14:textId="77777777" w:rsidR="00085789" w:rsidRDefault="00000000">
            <w:pPr>
              <w:widowControl w:val="0"/>
              <w:spacing w:line="320" w:lineRule="exact"/>
              <w:jc w:val="both"/>
              <w:rPr>
                <w:spacing w:val="-4"/>
                <w:sz w:val="24"/>
                <w:szCs w:val="24"/>
                <w:lang w:val="sv-SE"/>
              </w:rPr>
            </w:pPr>
            <w:r>
              <w:rPr>
                <w:spacing w:val="-4"/>
                <w:sz w:val="24"/>
                <w:szCs w:val="24"/>
                <w:lang w:val="sv-SE"/>
              </w:rPr>
              <w:t xml:space="preserve">Trạm y tế xã Đức Châu cũ, thôn Địa Châu, xã Tùng Châu </w:t>
            </w:r>
          </w:p>
        </w:tc>
        <w:tc>
          <w:tcPr>
            <w:tcW w:w="2519" w:type="dxa"/>
            <w:vAlign w:val="center"/>
          </w:tcPr>
          <w:p w14:paraId="7A5EF5E4" w14:textId="77777777" w:rsidR="00085789" w:rsidRDefault="00000000">
            <w:pPr>
              <w:widowControl w:val="0"/>
              <w:spacing w:line="320" w:lineRule="exact"/>
              <w:jc w:val="both"/>
              <w:rPr>
                <w:spacing w:val="-6"/>
                <w:sz w:val="24"/>
                <w:szCs w:val="24"/>
                <w:lang w:val="sv-SE"/>
              </w:rPr>
            </w:pPr>
            <w:r>
              <w:rPr>
                <w:spacing w:val="-6"/>
                <w:sz w:val="24"/>
                <w:szCs w:val="24"/>
                <w:lang w:val="sv-SE"/>
              </w:rPr>
              <w:t>Thôn Địa Châu, xã Tùng Châu</w:t>
            </w:r>
          </w:p>
        </w:tc>
        <w:tc>
          <w:tcPr>
            <w:tcW w:w="2123" w:type="dxa"/>
            <w:vAlign w:val="center"/>
          </w:tcPr>
          <w:p w14:paraId="280C3672" w14:textId="77777777" w:rsidR="00085789" w:rsidRDefault="00000000">
            <w:pPr>
              <w:widowControl w:val="0"/>
              <w:spacing w:line="320" w:lineRule="exact"/>
              <w:jc w:val="both"/>
              <w:rPr>
                <w:bCs/>
                <w:sz w:val="24"/>
                <w:szCs w:val="24"/>
                <w:lang w:val="sv-SE"/>
              </w:rPr>
            </w:pPr>
            <w:r>
              <w:rPr>
                <w:bCs/>
                <w:sz w:val="24"/>
                <w:szCs w:val="24"/>
                <w:lang w:val="sv-SE"/>
              </w:rPr>
              <w:t>Nay là xã Đức Minh</w:t>
            </w:r>
          </w:p>
        </w:tc>
      </w:tr>
      <w:tr w:rsidR="00085789" w14:paraId="24A11075" w14:textId="77777777">
        <w:trPr>
          <w:gridAfter w:val="1"/>
          <w:wAfter w:w="8" w:type="dxa"/>
          <w:trHeight w:val="315"/>
          <w:jc w:val="center"/>
        </w:trPr>
        <w:tc>
          <w:tcPr>
            <w:tcW w:w="618" w:type="dxa"/>
            <w:vAlign w:val="center"/>
          </w:tcPr>
          <w:p w14:paraId="261E45B3" w14:textId="77777777" w:rsidR="00085789" w:rsidRDefault="00000000">
            <w:pPr>
              <w:widowControl w:val="0"/>
              <w:spacing w:line="320" w:lineRule="exact"/>
              <w:jc w:val="center"/>
              <w:rPr>
                <w:bCs/>
                <w:sz w:val="24"/>
                <w:szCs w:val="24"/>
                <w:lang w:val="sv-SE"/>
              </w:rPr>
            </w:pPr>
            <w:r>
              <w:rPr>
                <w:bCs/>
                <w:sz w:val="24"/>
                <w:szCs w:val="24"/>
                <w:lang w:val="sv-SE"/>
              </w:rPr>
              <w:t>10</w:t>
            </w:r>
          </w:p>
        </w:tc>
        <w:tc>
          <w:tcPr>
            <w:tcW w:w="3821" w:type="dxa"/>
            <w:vAlign w:val="bottom"/>
          </w:tcPr>
          <w:p w14:paraId="7264B7DF" w14:textId="77777777" w:rsidR="00085789" w:rsidRDefault="00000000">
            <w:pPr>
              <w:widowControl w:val="0"/>
              <w:spacing w:line="320" w:lineRule="exact"/>
              <w:jc w:val="both"/>
              <w:rPr>
                <w:spacing w:val="-4"/>
                <w:sz w:val="24"/>
                <w:szCs w:val="24"/>
                <w:lang w:val="sv-SE"/>
              </w:rPr>
            </w:pPr>
            <w:r>
              <w:rPr>
                <w:spacing w:val="-4"/>
                <w:sz w:val="24"/>
                <w:szCs w:val="24"/>
                <w:lang w:val="sv-SE"/>
              </w:rPr>
              <w:t xml:space="preserve">Hộ dân Lê Nghiêm, thôn Đông Xá, xã Hòa Lạc </w:t>
            </w:r>
          </w:p>
        </w:tc>
        <w:tc>
          <w:tcPr>
            <w:tcW w:w="2519" w:type="dxa"/>
            <w:vAlign w:val="center"/>
          </w:tcPr>
          <w:p w14:paraId="1CEEC9AB" w14:textId="77777777" w:rsidR="00085789" w:rsidRDefault="00000000">
            <w:pPr>
              <w:widowControl w:val="0"/>
              <w:spacing w:line="320" w:lineRule="exact"/>
              <w:jc w:val="both"/>
              <w:rPr>
                <w:spacing w:val="-6"/>
                <w:sz w:val="24"/>
                <w:szCs w:val="24"/>
                <w:lang w:val="sv-SE"/>
              </w:rPr>
            </w:pPr>
            <w:r>
              <w:rPr>
                <w:spacing w:val="-6"/>
                <w:sz w:val="24"/>
                <w:szCs w:val="24"/>
                <w:lang w:val="sv-SE"/>
              </w:rPr>
              <w:t>Thôn Đông Xá, xã Tùng Châu</w:t>
            </w:r>
          </w:p>
        </w:tc>
        <w:tc>
          <w:tcPr>
            <w:tcW w:w="2123" w:type="dxa"/>
            <w:vAlign w:val="center"/>
          </w:tcPr>
          <w:p w14:paraId="0FBB6F14" w14:textId="77777777" w:rsidR="00085789" w:rsidRDefault="00000000">
            <w:pPr>
              <w:widowControl w:val="0"/>
              <w:spacing w:line="320" w:lineRule="exact"/>
              <w:jc w:val="both"/>
              <w:rPr>
                <w:bCs/>
                <w:sz w:val="24"/>
                <w:szCs w:val="24"/>
                <w:lang w:val="sv-SE"/>
              </w:rPr>
            </w:pPr>
            <w:r>
              <w:rPr>
                <w:bCs/>
                <w:sz w:val="24"/>
                <w:szCs w:val="24"/>
                <w:lang w:val="sv-SE"/>
              </w:rPr>
              <w:t>Nay là xã Đức Minh</w:t>
            </w:r>
          </w:p>
        </w:tc>
      </w:tr>
      <w:tr w:rsidR="00085789" w14:paraId="1CE92D87" w14:textId="77777777">
        <w:trPr>
          <w:gridAfter w:val="1"/>
          <w:wAfter w:w="8" w:type="dxa"/>
          <w:trHeight w:val="315"/>
          <w:jc w:val="center"/>
        </w:trPr>
        <w:tc>
          <w:tcPr>
            <w:tcW w:w="618" w:type="dxa"/>
            <w:vAlign w:val="center"/>
          </w:tcPr>
          <w:p w14:paraId="52012933" w14:textId="77777777" w:rsidR="00085789" w:rsidRDefault="00000000">
            <w:pPr>
              <w:widowControl w:val="0"/>
              <w:spacing w:line="320" w:lineRule="exact"/>
              <w:jc w:val="center"/>
              <w:rPr>
                <w:bCs/>
                <w:sz w:val="24"/>
                <w:szCs w:val="24"/>
                <w:lang w:val="sv-SE"/>
              </w:rPr>
            </w:pPr>
            <w:r>
              <w:rPr>
                <w:bCs/>
                <w:sz w:val="24"/>
                <w:szCs w:val="24"/>
                <w:lang w:val="sv-SE"/>
              </w:rPr>
              <w:t>11</w:t>
            </w:r>
          </w:p>
        </w:tc>
        <w:tc>
          <w:tcPr>
            <w:tcW w:w="3821" w:type="dxa"/>
            <w:vAlign w:val="bottom"/>
          </w:tcPr>
          <w:p w14:paraId="11967B6C" w14:textId="77777777" w:rsidR="00085789" w:rsidRDefault="00000000">
            <w:pPr>
              <w:widowControl w:val="0"/>
              <w:spacing w:line="320" w:lineRule="exact"/>
              <w:jc w:val="both"/>
              <w:rPr>
                <w:spacing w:val="-4"/>
                <w:sz w:val="24"/>
                <w:szCs w:val="24"/>
                <w:lang w:val="sv-SE"/>
              </w:rPr>
            </w:pPr>
            <w:r>
              <w:rPr>
                <w:spacing w:val="-4"/>
                <w:sz w:val="24"/>
                <w:szCs w:val="24"/>
                <w:lang w:val="sv-SE"/>
              </w:rPr>
              <w:t xml:space="preserve">Hộ dân Trần Văn Bình, thôn Mỹ Lộc, </w:t>
            </w:r>
            <w:r>
              <w:rPr>
                <w:spacing w:val="-4"/>
                <w:sz w:val="24"/>
                <w:szCs w:val="24"/>
                <w:lang w:val="sv-SE"/>
              </w:rPr>
              <w:lastRenderedPageBreak/>
              <w:t>xã Xuân Viên (Khu CN Gia Lách)</w:t>
            </w:r>
          </w:p>
        </w:tc>
        <w:tc>
          <w:tcPr>
            <w:tcW w:w="2519" w:type="dxa"/>
            <w:vAlign w:val="center"/>
          </w:tcPr>
          <w:p w14:paraId="5509954E" w14:textId="77777777" w:rsidR="00085789" w:rsidRDefault="00000000">
            <w:pPr>
              <w:widowControl w:val="0"/>
              <w:spacing w:line="320" w:lineRule="exact"/>
              <w:jc w:val="both"/>
              <w:rPr>
                <w:spacing w:val="-6"/>
                <w:sz w:val="24"/>
                <w:szCs w:val="24"/>
                <w:lang w:val="sv-SE"/>
              </w:rPr>
            </w:pPr>
            <w:r>
              <w:rPr>
                <w:spacing w:val="-6"/>
                <w:sz w:val="24"/>
                <w:szCs w:val="24"/>
                <w:lang w:val="sv-SE"/>
              </w:rPr>
              <w:lastRenderedPageBreak/>
              <w:t xml:space="preserve">Thôn Mỹ Lộc, xã Xuân </w:t>
            </w:r>
            <w:r>
              <w:rPr>
                <w:spacing w:val="-6"/>
                <w:sz w:val="24"/>
                <w:szCs w:val="24"/>
                <w:lang w:val="sv-SE"/>
              </w:rPr>
              <w:lastRenderedPageBreak/>
              <w:t>Viên</w:t>
            </w:r>
          </w:p>
        </w:tc>
        <w:tc>
          <w:tcPr>
            <w:tcW w:w="2123" w:type="dxa"/>
            <w:vAlign w:val="center"/>
          </w:tcPr>
          <w:p w14:paraId="6BB1BE94" w14:textId="77777777" w:rsidR="00085789" w:rsidRDefault="00000000">
            <w:pPr>
              <w:widowControl w:val="0"/>
              <w:spacing w:line="320" w:lineRule="exact"/>
              <w:jc w:val="both"/>
              <w:rPr>
                <w:bCs/>
                <w:sz w:val="24"/>
                <w:szCs w:val="24"/>
                <w:lang w:val="sv-SE"/>
              </w:rPr>
            </w:pPr>
            <w:r>
              <w:rPr>
                <w:bCs/>
                <w:sz w:val="24"/>
                <w:szCs w:val="24"/>
                <w:lang w:val="sv-SE"/>
              </w:rPr>
              <w:lastRenderedPageBreak/>
              <w:t xml:space="preserve">Nay là xã Nghi </w:t>
            </w:r>
            <w:r>
              <w:rPr>
                <w:bCs/>
                <w:sz w:val="24"/>
                <w:szCs w:val="24"/>
                <w:lang w:val="sv-SE"/>
              </w:rPr>
              <w:lastRenderedPageBreak/>
              <w:t>Xuân</w:t>
            </w:r>
          </w:p>
        </w:tc>
      </w:tr>
      <w:tr w:rsidR="00085789" w14:paraId="62418F03" w14:textId="77777777">
        <w:trPr>
          <w:gridAfter w:val="1"/>
          <w:wAfter w:w="8" w:type="dxa"/>
          <w:trHeight w:val="315"/>
          <w:jc w:val="center"/>
        </w:trPr>
        <w:tc>
          <w:tcPr>
            <w:tcW w:w="618" w:type="dxa"/>
            <w:vAlign w:val="center"/>
          </w:tcPr>
          <w:p w14:paraId="38844DF7" w14:textId="77777777" w:rsidR="00085789" w:rsidRDefault="00000000">
            <w:pPr>
              <w:widowControl w:val="0"/>
              <w:spacing w:line="320" w:lineRule="exact"/>
              <w:jc w:val="center"/>
              <w:rPr>
                <w:bCs/>
                <w:sz w:val="24"/>
                <w:szCs w:val="24"/>
                <w:lang w:val="sv-SE"/>
              </w:rPr>
            </w:pPr>
            <w:r>
              <w:rPr>
                <w:bCs/>
                <w:sz w:val="24"/>
                <w:szCs w:val="24"/>
                <w:lang w:val="sv-SE"/>
              </w:rPr>
              <w:lastRenderedPageBreak/>
              <w:t>12</w:t>
            </w:r>
          </w:p>
        </w:tc>
        <w:tc>
          <w:tcPr>
            <w:tcW w:w="3821" w:type="dxa"/>
            <w:vAlign w:val="bottom"/>
          </w:tcPr>
          <w:p w14:paraId="46AFBFDE" w14:textId="77777777" w:rsidR="00085789" w:rsidRDefault="00000000">
            <w:pPr>
              <w:widowControl w:val="0"/>
              <w:spacing w:line="320" w:lineRule="exact"/>
              <w:jc w:val="both"/>
              <w:rPr>
                <w:spacing w:val="-10"/>
                <w:sz w:val="24"/>
                <w:szCs w:val="24"/>
                <w:lang w:val="sv-SE"/>
              </w:rPr>
            </w:pPr>
            <w:r>
              <w:rPr>
                <w:spacing w:val="-10"/>
                <w:sz w:val="24"/>
                <w:szCs w:val="24"/>
                <w:lang w:val="sv-SE"/>
              </w:rPr>
              <w:t>Hộ dân Nguyễn Danh Lợi, thôn Tân Quý, xã Hộ Độ (Vùng NTTS)</w:t>
            </w:r>
          </w:p>
        </w:tc>
        <w:tc>
          <w:tcPr>
            <w:tcW w:w="2519" w:type="dxa"/>
            <w:vAlign w:val="center"/>
          </w:tcPr>
          <w:p w14:paraId="5F6077E5" w14:textId="77777777" w:rsidR="00085789" w:rsidRDefault="00000000">
            <w:pPr>
              <w:widowControl w:val="0"/>
              <w:spacing w:line="320" w:lineRule="exact"/>
              <w:jc w:val="both"/>
              <w:rPr>
                <w:spacing w:val="-10"/>
                <w:sz w:val="24"/>
                <w:szCs w:val="24"/>
                <w:lang w:val="sv-SE"/>
              </w:rPr>
            </w:pPr>
            <w:r>
              <w:rPr>
                <w:spacing w:val="-10"/>
                <w:sz w:val="24"/>
                <w:szCs w:val="24"/>
                <w:lang w:val="sv-SE"/>
              </w:rPr>
              <w:t>Thôn Tân Quý, xã Hộ Độ</w:t>
            </w:r>
          </w:p>
        </w:tc>
        <w:tc>
          <w:tcPr>
            <w:tcW w:w="2123" w:type="dxa"/>
            <w:vAlign w:val="center"/>
          </w:tcPr>
          <w:p w14:paraId="12E47AA4" w14:textId="77777777" w:rsidR="00085789" w:rsidRDefault="00000000">
            <w:pPr>
              <w:widowControl w:val="0"/>
              <w:spacing w:line="320" w:lineRule="exact"/>
              <w:jc w:val="both"/>
              <w:rPr>
                <w:bCs/>
                <w:sz w:val="24"/>
                <w:szCs w:val="24"/>
                <w:lang w:val="sv-SE"/>
              </w:rPr>
            </w:pPr>
            <w:r>
              <w:rPr>
                <w:bCs/>
                <w:sz w:val="24"/>
                <w:szCs w:val="24"/>
                <w:lang w:val="sv-SE"/>
              </w:rPr>
              <w:t>Nay là phường Trần Phú</w:t>
            </w:r>
          </w:p>
        </w:tc>
      </w:tr>
      <w:tr w:rsidR="00085789" w14:paraId="3079E981" w14:textId="77777777">
        <w:trPr>
          <w:gridAfter w:val="1"/>
          <w:wAfter w:w="8" w:type="dxa"/>
          <w:trHeight w:val="315"/>
          <w:jc w:val="center"/>
        </w:trPr>
        <w:tc>
          <w:tcPr>
            <w:tcW w:w="618" w:type="dxa"/>
            <w:vAlign w:val="center"/>
          </w:tcPr>
          <w:p w14:paraId="08185117" w14:textId="77777777" w:rsidR="00085789" w:rsidRDefault="00000000">
            <w:pPr>
              <w:widowControl w:val="0"/>
              <w:spacing w:line="320" w:lineRule="exact"/>
              <w:jc w:val="center"/>
              <w:rPr>
                <w:bCs/>
                <w:sz w:val="24"/>
                <w:szCs w:val="24"/>
                <w:lang w:val="sv-SE"/>
              </w:rPr>
            </w:pPr>
            <w:r>
              <w:rPr>
                <w:bCs/>
                <w:sz w:val="24"/>
                <w:szCs w:val="24"/>
                <w:lang w:val="sv-SE"/>
              </w:rPr>
              <w:t>13</w:t>
            </w:r>
          </w:p>
        </w:tc>
        <w:tc>
          <w:tcPr>
            <w:tcW w:w="3821" w:type="dxa"/>
            <w:vAlign w:val="bottom"/>
          </w:tcPr>
          <w:p w14:paraId="27EBA185" w14:textId="77777777" w:rsidR="00085789" w:rsidRDefault="00000000">
            <w:pPr>
              <w:widowControl w:val="0"/>
              <w:spacing w:line="320" w:lineRule="exact"/>
              <w:jc w:val="both"/>
              <w:rPr>
                <w:spacing w:val="-4"/>
                <w:sz w:val="24"/>
                <w:szCs w:val="24"/>
                <w:lang w:val="sv-SE"/>
              </w:rPr>
            </w:pPr>
            <w:r>
              <w:rPr>
                <w:spacing w:val="-4"/>
                <w:sz w:val="24"/>
                <w:szCs w:val="24"/>
                <w:lang w:val="sv-SE"/>
              </w:rPr>
              <w:t>Hộ dân Dương Văn Đường, thôn Thượng Phú, xã Hồng Lộc (Bãi rác xã Hồng Lộc)</w:t>
            </w:r>
          </w:p>
        </w:tc>
        <w:tc>
          <w:tcPr>
            <w:tcW w:w="2519" w:type="dxa"/>
            <w:vAlign w:val="center"/>
          </w:tcPr>
          <w:p w14:paraId="15A02DB5" w14:textId="77777777" w:rsidR="00085789" w:rsidRDefault="00000000">
            <w:pPr>
              <w:widowControl w:val="0"/>
              <w:spacing w:line="320" w:lineRule="exact"/>
              <w:jc w:val="both"/>
              <w:rPr>
                <w:spacing w:val="-6"/>
                <w:sz w:val="24"/>
                <w:szCs w:val="24"/>
                <w:lang w:val="sv-SE"/>
              </w:rPr>
            </w:pPr>
            <w:r>
              <w:rPr>
                <w:spacing w:val="-6"/>
                <w:sz w:val="24"/>
                <w:szCs w:val="24"/>
                <w:lang w:val="sv-SE"/>
              </w:rPr>
              <w:t>Thôn Thượng Phú, xã Hồng Lộc</w:t>
            </w:r>
          </w:p>
        </w:tc>
        <w:tc>
          <w:tcPr>
            <w:tcW w:w="2123" w:type="dxa"/>
            <w:vAlign w:val="center"/>
          </w:tcPr>
          <w:p w14:paraId="3D0629AF" w14:textId="77777777" w:rsidR="00085789" w:rsidRDefault="00000000">
            <w:pPr>
              <w:widowControl w:val="0"/>
              <w:spacing w:line="320" w:lineRule="exact"/>
              <w:jc w:val="both"/>
              <w:rPr>
                <w:bCs/>
                <w:sz w:val="24"/>
                <w:szCs w:val="24"/>
                <w:lang w:val="sv-SE"/>
              </w:rPr>
            </w:pPr>
            <w:r>
              <w:rPr>
                <w:bCs/>
                <w:sz w:val="24"/>
                <w:szCs w:val="24"/>
                <w:lang w:val="sv-SE"/>
              </w:rPr>
              <w:t>Nay là xã Hồng Lộc</w:t>
            </w:r>
          </w:p>
        </w:tc>
      </w:tr>
      <w:tr w:rsidR="00085789" w14:paraId="4B42C4C1" w14:textId="77777777">
        <w:trPr>
          <w:gridAfter w:val="1"/>
          <w:wAfter w:w="8" w:type="dxa"/>
          <w:trHeight w:val="315"/>
          <w:jc w:val="center"/>
        </w:trPr>
        <w:tc>
          <w:tcPr>
            <w:tcW w:w="618" w:type="dxa"/>
            <w:vAlign w:val="center"/>
          </w:tcPr>
          <w:p w14:paraId="4FFFC5EA" w14:textId="77777777" w:rsidR="00085789" w:rsidRDefault="00000000">
            <w:pPr>
              <w:widowControl w:val="0"/>
              <w:spacing w:line="320" w:lineRule="exact"/>
              <w:jc w:val="center"/>
              <w:rPr>
                <w:bCs/>
                <w:sz w:val="24"/>
                <w:szCs w:val="24"/>
                <w:lang w:val="sv-SE"/>
              </w:rPr>
            </w:pPr>
            <w:r>
              <w:rPr>
                <w:bCs/>
                <w:sz w:val="24"/>
                <w:szCs w:val="24"/>
                <w:lang w:val="sv-SE"/>
              </w:rPr>
              <w:t>14</w:t>
            </w:r>
          </w:p>
        </w:tc>
        <w:tc>
          <w:tcPr>
            <w:tcW w:w="3821" w:type="dxa"/>
            <w:vAlign w:val="bottom"/>
          </w:tcPr>
          <w:p w14:paraId="225889DC" w14:textId="77777777" w:rsidR="00085789" w:rsidRDefault="00000000">
            <w:pPr>
              <w:widowControl w:val="0"/>
              <w:spacing w:line="320" w:lineRule="exact"/>
              <w:jc w:val="both"/>
              <w:rPr>
                <w:spacing w:val="-10"/>
                <w:sz w:val="24"/>
                <w:szCs w:val="24"/>
                <w:lang w:val="sv-SE"/>
              </w:rPr>
            </w:pPr>
            <w:r>
              <w:rPr>
                <w:spacing w:val="-10"/>
                <w:sz w:val="24"/>
                <w:szCs w:val="24"/>
                <w:lang w:val="sv-SE"/>
              </w:rPr>
              <w:t>Hộ dân Trần Hoàng Huệ, thôn 8, xã Cẩm Vịnh (Cụm CCN Bắc Cẩm Xuyên)</w:t>
            </w:r>
          </w:p>
        </w:tc>
        <w:tc>
          <w:tcPr>
            <w:tcW w:w="2519" w:type="dxa"/>
            <w:vAlign w:val="center"/>
          </w:tcPr>
          <w:p w14:paraId="39AD8D52" w14:textId="77777777" w:rsidR="00085789" w:rsidRDefault="00000000">
            <w:pPr>
              <w:widowControl w:val="0"/>
              <w:spacing w:line="320" w:lineRule="exact"/>
              <w:jc w:val="both"/>
              <w:rPr>
                <w:spacing w:val="-6"/>
                <w:sz w:val="24"/>
                <w:szCs w:val="24"/>
                <w:lang w:val="sv-SE"/>
              </w:rPr>
            </w:pPr>
            <w:r>
              <w:rPr>
                <w:spacing w:val="-6"/>
                <w:sz w:val="24"/>
                <w:szCs w:val="24"/>
              </w:rPr>
              <w:t>Thôn 8, xã Cẩm Vịnh</w:t>
            </w:r>
          </w:p>
        </w:tc>
        <w:tc>
          <w:tcPr>
            <w:tcW w:w="2123" w:type="dxa"/>
            <w:vAlign w:val="center"/>
          </w:tcPr>
          <w:p w14:paraId="521358CE" w14:textId="77777777" w:rsidR="00085789" w:rsidRDefault="00000000">
            <w:pPr>
              <w:widowControl w:val="0"/>
              <w:spacing w:line="320" w:lineRule="exact"/>
              <w:jc w:val="both"/>
              <w:rPr>
                <w:bCs/>
                <w:sz w:val="24"/>
                <w:szCs w:val="24"/>
                <w:lang w:val="sv-SE"/>
              </w:rPr>
            </w:pPr>
            <w:r>
              <w:rPr>
                <w:bCs/>
                <w:sz w:val="24"/>
                <w:szCs w:val="24"/>
                <w:lang w:val="sv-SE"/>
              </w:rPr>
              <w:t>Nay là xã Cẩm Bình</w:t>
            </w:r>
          </w:p>
        </w:tc>
      </w:tr>
      <w:tr w:rsidR="00085789" w14:paraId="517C9C17" w14:textId="77777777">
        <w:trPr>
          <w:gridAfter w:val="1"/>
          <w:wAfter w:w="8" w:type="dxa"/>
          <w:trHeight w:val="315"/>
          <w:jc w:val="center"/>
        </w:trPr>
        <w:tc>
          <w:tcPr>
            <w:tcW w:w="618" w:type="dxa"/>
            <w:vAlign w:val="center"/>
          </w:tcPr>
          <w:p w14:paraId="5B830BDC" w14:textId="77777777" w:rsidR="00085789" w:rsidRDefault="00000000">
            <w:pPr>
              <w:widowControl w:val="0"/>
              <w:spacing w:line="320" w:lineRule="exact"/>
              <w:jc w:val="center"/>
              <w:rPr>
                <w:bCs/>
                <w:sz w:val="24"/>
                <w:szCs w:val="24"/>
                <w:lang w:val="sv-SE"/>
              </w:rPr>
            </w:pPr>
            <w:r>
              <w:rPr>
                <w:bCs/>
                <w:sz w:val="24"/>
                <w:szCs w:val="24"/>
                <w:lang w:val="sv-SE"/>
              </w:rPr>
              <w:t>15</w:t>
            </w:r>
          </w:p>
        </w:tc>
        <w:tc>
          <w:tcPr>
            <w:tcW w:w="3821" w:type="dxa"/>
            <w:vAlign w:val="bottom"/>
          </w:tcPr>
          <w:p w14:paraId="4D6AD867" w14:textId="77777777" w:rsidR="00085789" w:rsidRDefault="00000000">
            <w:pPr>
              <w:widowControl w:val="0"/>
              <w:spacing w:line="320" w:lineRule="exact"/>
              <w:jc w:val="both"/>
              <w:rPr>
                <w:spacing w:val="-4"/>
                <w:sz w:val="24"/>
                <w:szCs w:val="24"/>
                <w:lang w:val="sv-SE"/>
              </w:rPr>
            </w:pPr>
            <w:r>
              <w:rPr>
                <w:spacing w:val="-4"/>
                <w:sz w:val="24"/>
                <w:szCs w:val="24"/>
                <w:lang w:val="sv-SE"/>
              </w:rPr>
              <w:t>Hộ dân Nguyễn Thị Búp, thôn Lạc Thọ xã Cẩm Lạc</w:t>
            </w:r>
          </w:p>
        </w:tc>
        <w:tc>
          <w:tcPr>
            <w:tcW w:w="2519" w:type="dxa"/>
            <w:vAlign w:val="center"/>
          </w:tcPr>
          <w:p w14:paraId="16FCCD53" w14:textId="77777777" w:rsidR="00085789" w:rsidRDefault="00000000">
            <w:pPr>
              <w:widowControl w:val="0"/>
              <w:spacing w:line="320" w:lineRule="exact"/>
              <w:jc w:val="both"/>
              <w:rPr>
                <w:spacing w:val="-6"/>
                <w:sz w:val="24"/>
                <w:szCs w:val="24"/>
                <w:lang w:val="sv-SE"/>
              </w:rPr>
            </w:pPr>
            <w:r>
              <w:rPr>
                <w:spacing w:val="-6"/>
                <w:sz w:val="24"/>
                <w:szCs w:val="24"/>
                <w:lang w:val="sv-SE"/>
              </w:rPr>
              <w:t>Thôn Lạc Thọ, xã Cẩm Lạc</w:t>
            </w:r>
          </w:p>
        </w:tc>
        <w:tc>
          <w:tcPr>
            <w:tcW w:w="2123" w:type="dxa"/>
            <w:vAlign w:val="center"/>
          </w:tcPr>
          <w:p w14:paraId="7B5D9DD3" w14:textId="77777777" w:rsidR="00085789" w:rsidRDefault="00000000">
            <w:pPr>
              <w:widowControl w:val="0"/>
              <w:spacing w:line="320" w:lineRule="exact"/>
              <w:jc w:val="both"/>
              <w:rPr>
                <w:bCs/>
                <w:sz w:val="24"/>
                <w:szCs w:val="24"/>
                <w:lang w:val="sv-SE"/>
              </w:rPr>
            </w:pPr>
            <w:r>
              <w:rPr>
                <w:bCs/>
                <w:sz w:val="24"/>
                <w:szCs w:val="24"/>
                <w:lang w:val="sv-SE"/>
              </w:rPr>
              <w:t>Nay là xã Cẩm Lạc</w:t>
            </w:r>
          </w:p>
        </w:tc>
      </w:tr>
      <w:tr w:rsidR="00085789" w14:paraId="316CD52E" w14:textId="77777777">
        <w:trPr>
          <w:gridAfter w:val="1"/>
          <w:wAfter w:w="8" w:type="dxa"/>
          <w:trHeight w:val="315"/>
          <w:jc w:val="center"/>
        </w:trPr>
        <w:tc>
          <w:tcPr>
            <w:tcW w:w="618" w:type="dxa"/>
            <w:vAlign w:val="center"/>
          </w:tcPr>
          <w:p w14:paraId="347D02AF" w14:textId="77777777" w:rsidR="00085789" w:rsidRDefault="00000000">
            <w:pPr>
              <w:widowControl w:val="0"/>
              <w:spacing w:line="320" w:lineRule="exact"/>
              <w:jc w:val="center"/>
              <w:rPr>
                <w:bCs/>
                <w:sz w:val="24"/>
                <w:szCs w:val="24"/>
                <w:lang w:val="sv-SE"/>
              </w:rPr>
            </w:pPr>
            <w:r>
              <w:rPr>
                <w:bCs/>
                <w:sz w:val="24"/>
                <w:szCs w:val="24"/>
                <w:lang w:val="sv-SE"/>
              </w:rPr>
              <w:t>16</w:t>
            </w:r>
          </w:p>
        </w:tc>
        <w:tc>
          <w:tcPr>
            <w:tcW w:w="3821" w:type="dxa"/>
            <w:vAlign w:val="bottom"/>
          </w:tcPr>
          <w:p w14:paraId="3ADCD5BB" w14:textId="77777777" w:rsidR="00085789" w:rsidRDefault="00000000">
            <w:pPr>
              <w:widowControl w:val="0"/>
              <w:spacing w:line="320" w:lineRule="exact"/>
              <w:jc w:val="both"/>
              <w:rPr>
                <w:spacing w:val="-4"/>
                <w:sz w:val="24"/>
                <w:szCs w:val="24"/>
                <w:lang w:val="sv-SE"/>
              </w:rPr>
            </w:pPr>
            <w:r>
              <w:rPr>
                <w:spacing w:val="-4"/>
                <w:sz w:val="24"/>
                <w:szCs w:val="24"/>
                <w:lang w:val="sv-SE"/>
              </w:rPr>
              <w:t>Hộ dân Hoàng Xuân Quế, phường Kỳ Phương (Khu TĐC Kỳ Phương)</w:t>
            </w:r>
          </w:p>
        </w:tc>
        <w:tc>
          <w:tcPr>
            <w:tcW w:w="2519" w:type="dxa"/>
            <w:vAlign w:val="center"/>
          </w:tcPr>
          <w:p w14:paraId="45003ED3" w14:textId="77777777" w:rsidR="00085789" w:rsidRDefault="00000000">
            <w:pPr>
              <w:widowControl w:val="0"/>
              <w:spacing w:line="320" w:lineRule="exact"/>
              <w:jc w:val="both"/>
              <w:rPr>
                <w:spacing w:val="-6"/>
                <w:sz w:val="24"/>
                <w:szCs w:val="24"/>
                <w:lang w:val="sv-SE"/>
              </w:rPr>
            </w:pPr>
            <w:r>
              <w:rPr>
                <w:spacing w:val="-6"/>
                <w:sz w:val="24"/>
                <w:szCs w:val="24"/>
                <w:lang w:val="sv-SE"/>
              </w:rPr>
              <w:t>TDP Nhân Thắng, P. Kỳ Phương</w:t>
            </w:r>
          </w:p>
        </w:tc>
        <w:tc>
          <w:tcPr>
            <w:tcW w:w="2123" w:type="dxa"/>
            <w:vAlign w:val="center"/>
          </w:tcPr>
          <w:p w14:paraId="357700F7" w14:textId="77777777" w:rsidR="00085789" w:rsidRDefault="00000000">
            <w:pPr>
              <w:widowControl w:val="0"/>
              <w:spacing w:line="320" w:lineRule="exact"/>
              <w:jc w:val="both"/>
              <w:rPr>
                <w:bCs/>
                <w:sz w:val="24"/>
                <w:szCs w:val="24"/>
                <w:lang w:val="sv-SE"/>
              </w:rPr>
            </w:pPr>
            <w:r>
              <w:rPr>
                <w:bCs/>
                <w:sz w:val="24"/>
                <w:szCs w:val="24"/>
                <w:lang w:val="sv-SE"/>
              </w:rPr>
              <w:t>Nay là phường Hoành Sơn</w:t>
            </w:r>
          </w:p>
        </w:tc>
      </w:tr>
      <w:tr w:rsidR="00085789" w14:paraId="105B07A7" w14:textId="77777777">
        <w:trPr>
          <w:gridAfter w:val="1"/>
          <w:wAfter w:w="8" w:type="dxa"/>
          <w:trHeight w:val="315"/>
          <w:jc w:val="center"/>
        </w:trPr>
        <w:tc>
          <w:tcPr>
            <w:tcW w:w="618" w:type="dxa"/>
            <w:vAlign w:val="center"/>
          </w:tcPr>
          <w:p w14:paraId="373B0A32" w14:textId="77777777" w:rsidR="00085789" w:rsidRDefault="00000000">
            <w:pPr>
              <w:widowControl w:val="0"/>
              <w:spacing w:line="320" w:lineRule="exact"/>
              <w:jc w:val="center"/>
              <w:rPr>
                <w:bCs/>
                <w:sz w:val="24"/>
                <w:szCs w:val="24"/>
                <w:lang w:val="sv-SE"/>
              </w:rPr>
            </w:pPr>
            <w:r>
              <w:rPr>
                <w:bCs/>
                <w:sz w:val="24"/>
                <w:szCs w:val="24"/>
                <w:lang w:val="sv-SE"/>
              </w:rPr>
              <w:t>17</w:t>
            </w:r>
          </w:p>
        </w:tc>
        <w:tc>
          <w:tcPr>
            <w:tcW w:w="3821" w:type="dxa"/>
            <w:vAlign w:val="bottom"/>
          </w:tcPr>
          <w:p w14:paraId="6F02FAC0" w14:textId="77777777" w:rsidR="00085789" w:rsidRDefault="00000000">
            <w:pPr>
              <w:widowControl w:val="0"/>
              <w:spacing w:line="320" w:lineRule="exact"/>
              <w:jc w:val="both"/>
              <w:rPr>
                <w:spacing w:val="-12"/>
                <w:sz w:val="24"/>
                <w:szCs w:val="24"/>
                <w:lang w:val="sv-SE"/>
              </w:rPr>
            </w:pPr>
            <w:r>
              <w:rPr>
                <w:spacing w:val="-12"/>
                <w:sz w:val="24"/>
                <w:szCs w:val="24"/>
                <w:lang w:val="sv-SE"/>
              </w:rPr>
              <w:t>Hộ dân Trần Thị Hương, TDP Tân Long, phường Kỳ Long (Khu TĐC Kỳ Long)</w:t>
            </w:r>
          </w:p>
        </w:tc>
        <w:tc>
          <w:tcPr>
            <w:tcW w:w="2519" w:type="dxa"/>
            <w:vAlign w:val="center"/>
          </w:tcPr>
          <w:p w14:paraId="605A88BD" w14:textId="77777777" w:rsidR="00085789" w:rsidRDefault="00000000">
            <w:pPr>
              <w:widowControl w:val="0"/>
              <w:spacing w:line="320" w:lineRule="exact"/>
              <w:jc w:val="both"/>
              <w:rPr>
                <w:spacing w:val="-6"/>
                <w:sz w:val="24"/>
                <w:szCs w:val="24"/>
              </w:rPr>
            </w:pPr>
            <w:r>
              <w:rPr>
                <w:spacing w:val="-6"/>
                <w:sz w:val="24"/>
                <w:szCs w:val="24"/>
              </w:rPr>
              <w:t>TDP Tân Long, P. Kỳ Long</w:t>
            </w:r>
          </w:p>
        </w:tc>
        <w:tc>
          <w:tcPr>
            <w:tcW w:w="2123" w:type="dxa"/>
            <w:vAlign w:val="center"/>
          </w:tcPr>
          <w:p w14:paraId="0C3CB792" w14:textId="77777777" w:rsidR="00085789" w:rsidRDefault="00000000">
            <w:pPr>
              <w:widowControl w:val="0"/>
              <w:spacing w:line="320" w:lineRule="exact"/>
              <w:jc w:val="both"/>
              <w:rPr>
                <w:bCs/>
                <w:sz w:val="24"/>
                <w:szCs w:val="24"/>
              </w:rPr>
            </w:pPr>
            <w:r>
              <w:rPr>
                <w:bCs/>
                <w:sz w:val="24"/>
                <w:szCs w:val="24"/>
              </w:rPr>
              <w:t>Nay là phường Vũng Áng</w:t>
            </w:r>
          </w:p>
        </w:tc>
      </w:tr>
      <w:tr w:rsidR="00085789" w14:paraId="3ED4D12F" w14:textId="77777777">
        <w:trPr>
          <w:gridAfter w:val="1"/>
          <w:wAfter w:w="8" w:type="dxa"/>
          <w:trHeight w:val="315"/>
          <w:jc w:val="center"/>
        </w:trPr>
        <w:tc>
          <w:tcPr>
            <w:tcW w:w="618" w:type="dxa"/>
            <w:vAlign w:val="center"/>
          </w:tcPr>
          <w:p w14:paraId="0F413A35" w14:textId="77777777" w:rsidR="00085789" w:rsidRDefault="00000000">
            <w:pPr>
              <w:widowControl w:val="0"/>
              <w:spacing w:line="320" w:lineRule="exact"/>
              <w:jc w:val="center"/>
              <w:rPr>
                <w:bCs/>
                <w:sz w:val="24"/>
                <w:szCs w:val="24"/>
                <w:lang w:val="sv-SE"/>
              </w:rPr>
            </w:pPr>
            <w:r>
              <w:rPr>
                <w:bCs/>
                <w:sz w:val="24"/>
                <w:szCs w:val="24"/>
                <w:lang w:val="sv-SE"/>
              </w:rPr>
              <w:t>18</w:t>
            </w:r>
          </w:p>
        </w:tc>
        <w:tc>
          <w:tcPr>
            <w:tcW w:w="3821" w:type="dxa"/>
            <w:vAlign w:val="center"/>
          </w:tcPr>
          <w:p w14:paraId="5462C0FE" w14:textId="77777777" w:rsidR="00085789" w:rsidRDefault="00000000">
            <w:pPr>
              <w:widowControl w:val="0"/>
              <w:spacing w:line="320" w:lineRule="exact"/>
              <w:rPr>
                <w:spacing w:val="-4"/>
                <w:sz w:val="24"/>
                <w:szCs w:val="24"/>
                <w:lang w:val="sv-SE"/>
              </w:rPr>
            </w:pPr>
            <w:r>
              <w:rPr>
                <w:spacing w:val="-4"/>
                <w:sz w:val="24"/>
                <w:szCs w:val="24"/>
                <w:lang w:val="sv-SE"/>
              </w:rPr>
              <w:t>Trạm y tế phường Kỳ Trinh</w:t>
            </w:r>
          </w:p>
        </w:tc>
        <w:tc>
          <w:tcPr>
            <w:tcW w:w="2519" w:type="dxa"/>
            <w:vAlign w:val="center"/>
          </w:tcPr>
          <w:p w14:paraId="6B92C3E3" w14:textId="77777777" w:rsidR="00085789" w:rsidRDefault="00000000">
            <w:pPr>
              <w:widowControl w:val="0"/>
              <w:spacing w:line="320" w:lineRule="exact"/>
              <w:jc w:val="both"/>
              <w:rPr>
                <w:spacing w:val="-6"/>
                <w:sz w:val="24"/>
                <w:szCs w:val="24"/>
                <w:lang w:val="sv-SE"/>
              </w:rPr>
            </w:pPr>
            <w:r>
              <w:rPr>
                <w:spacing w:val="-6"/>
                <w:sz w:val="24"/>
                <w:szCs w:val="24"/>
                <w:lang w:val="sv-SE"/>
              </w:rPr>
              <w:t>TDP Quyền Thượng, P Kỳ Trinh</w:t>
            </w:r>
          </w:p>
        </w:tc>
        <w:tc>
          <w:tcPr>
            <w:tcW w:w="2123" w:type="dxa"/>
            <w:vAlign w:val="center"/>
          </w:tcPr>
          <w:p w14:paraId="7871BFB7" w14:textId="77777777" w:rsidR="00085789" w:rsidRDefault="00000000">
            <w:pPr>
              <w:widowControl w:val="0"/>
              <w:spacing w:line="320" w:lineRule="exact"/>
              <w:jc w:val="both"/>
              <w:rPr>
                <w:bCs/>
                <w:sz w:val="24"/>
                <w:szCs w:val="24"/>
                <w:lang w:val="sv-SE"/>
              </w:rPr>
            </w:pPr>
            <w:r>
              <w:rPr>
                <w:bCs/>
                <w:sz w:val="24"/>
                <w:szCs w:val="24"/>
                <w:lang w:val="sv-SE"/>
              </w:rPr>
              <w:t>Nay là phường Sông Trí</w:t>
            </w:r>
          </w:p>
        </w:tc>
      </w:tr>
      <w:tr w:rsidR="00085789" w14:paraId="1774CF84" w14:textId="77777777">
        <w:trPr>
          <w:gridAfter w:val="1"/>
          <w:wAfter w:w="8" w:type="dxa"/>
          <w:trHeight w:val="315"/>
          <w:jc w:val="center"/>
        </w:trPr>
        <w:tc>
          <w:tcPr>
            <w:tcW w:w="618" w:type="dxa"/>
            <w:vAlign w:val="center"/>
          </w:tcPr>
          <w:p w14:paraId="0569BBBD" w14:textId="77777777" w:rsidR="00085789" w:rsidRDefault="00000000">
            <w:pPr>
              <w:widowControl w:val="0"/>
              <w:spacing w:line="320" w:lineRule="exact"/>
              <w:jc w:val="center"/>
              <w:rPr>
                <w:bCs/>
                <w:sz w:val="24"/>
                <w:szCs w:val="24"/>
                <w:lang w:val="sv-SE"/>
              </w:rPr>
            </w:pPr>
            <w:r>
              <w:rPr>
                <w:bCs/>
                <w:sz w:val="24"/>
                <w:szCs w:val="24"/>
                <w:lang w:val="sv-SE"/>
              </w:rPr>
              <w:t>19</w:t>
            </w:r>
          </w:p>
        </w:tc>
        <w:tc>
          <w:tcPr>
            <w:tcW w:w="3821" w:type="dxa"/>
            <w:vAlign w:val="bottom"/>
          </w:tcPr>
          <w:p w14:paraId="4453F5F6" w14:textId="77777777" w:rsidR="00085789" w:rsidRDefault="00000000">
            <w:pPr>
              <w:widowControl w:val="0"/>
              <w:spacing w:line="320" w:lineRule="exact"/>
              <w:jc w:val="both"/>
              <w:rPr>
                <w:spacing w:val="-10"/>
                <w:sz w:val="24"/>
                <w:szCs w:val="24"/>
                <w:lang w:val="sv-SE"/>
              </w:rPr>
            </w:pPr>
            <w:r>
              <w:rPr>
                <w:spacing w:val="-10"/>
                <w:sz w:val="24"/>
                <w:szCs w:val="24"/>
                <w:lang w:val="sv-SE"/>
              </w:rPr>
              <w:t>Hộ dân Lê Văn Dũng, tổ dân phố Độ Gỗ, Kỳ Thịnh (gần đập tràn hồ Tàu Voi)</w:t>
            </w:r>
          </w:p>
        </w:tc>
        <w:tc>
          <w:tcPr>
            <w:tcW w:w="2519" w:type="dxa"/>
            <w:vAlign w:val="center"/>
          </w:tcPr>
          <w:p w14:paraId="640FAFF6" w14:textId="77777777" w:rsidR="00085789" w:rsidRDefault="00000000">
            <w:pPr>
              <w:widowControl w:val="0"/>
              <w:spacing w:line="320" w:lineRule="exact"/>
              <w:jc w:val="both"/>
              <w:rPr>
                <w:spacing w:val="-6"/>
                <w:sz w:val="24"/>
                <w:szCs w:val="24"/>
                <w:lang w:val="sv-SE"/>
              </w:rPr>
            </w:pPr>
            <w:r>
              <w:rPr>
                <w:spacing w:val="-6"/>
                <w:sz w:val="24"/>
                <w:szCs w:val="24"/>
                <w:lang w:val="sv-SE"/>
              </w:rPr>
              <w:t>TDP Độ Gỗ, P. Kỳ Thịnh</w:t>
            </w:r>
          </w:p>
        </w:tc>
        <w:tc>
          <w:tcPr>
            <w:tcW w:w="2123" w:type="dxa"/>
            <w:vAlign w:val="center"/>
          </w:tcPr>
          <w:p w14:paraId="48DE6927" w14:textId="77777777" w:rsidR="00085789" w:rsidRDefault="00000000">
            <w:pPr>
              <w:widowControl w:val="0"/>
              <w:spacing w:line="320" w:lineRule="exact"/>
              <w:jc w:val="both"/>
              <w:rPr>
                <w:bCs/>
                <w:sz w:val="24"/>
                <w:szCs w:val="24"/>
                <w:lang w:val="sv-SE"/>
              </w:rPr>
            </w:pPr>
            <w:r>
              <w:rPr>
                <w:bCs/>
                <w:sz w:val="24"/>
                <w:szCs w:val="24"/>
                <w:lang w:val="sv-SE"/>
              </w:rPr>
              <w:t>Nay là phường Vũng Áng</w:t>
            </w:r>
          </w:p>
        </w:tc>
      </w:tr>
      <w:tr w:rsidR="00085789" w14:paraId="2E1CC11B" w14:textId="77777777">
        <w:trPr>
          <w:gridAfter w:val="1"/>
          <w:wAfter w:w="8" w:type="dxa"/>
          <w:trHeight w:val="315"/>
          <w:jc w:val="center"/>
        </w:trPr>
        <w:tc>
          <w:tcPr>
            <w:tcW w:w="618" w:type="dxa"/>
            <w:vAlign w:val="center"/>
          </w:tcPr>
          <w:p w14:paraId="7749C654" w14:textId="77777777" w:rsidR="00085789" w:rsidRDefault="00000000">
            <w:pPr>
              <w:widowControl w:val="0"/>
              <w:spacing w:line="320" w:lineRule="exact"/>
              <w:jc w:val="center"/>
              <w:rPr>
                <w:bCs/>
                <w:sz w:val="24"/>
                <w:szCs w:val="24"/>
                <w:lang w:val="sv-SE"/>
              </w:rPr>
            </w:pPr>
            <w:r>
              <w:rPr>
                <w:bCs/>
                <w:sz w:val="24"/>
                <w:szCs w:val="24"/>
                <w:lang w:val="sv-SE"/>
              </w:rPr>
              <w:t>20</w:t>
            </w:r>
          </w:p>
        </w:tc>
        <w:tc>
          <w:tcPr>
            <w:tcW w:w="3821" w:type="dxa"/>
            <w:vAlign w:val="bottom"/>
          </w:tcPr>
          <w:p w14:paraId="644A7A60" w14:textId="77777777" w:rsidR="00085789" w:rsidRDefault="00000000">
            <w:pPr>
              <w:widowControl w:val="0"/>
              <w:spacing w:line="320" w:lineRule="exact"/>
              <w:jc w:val="both"/>
              <w:rPr>
                <w:spacing w:val="-4"/>
                <w:sz w:val="24"/>
                <w:szCs w:val="24"/>
                <w:lang w:val="sv-SE"/>
              </w:rPr>
            </w:pPr>
            <w:r>
              <w:rPr>
                <w:spacing w:val="-4"/>
                <w:sz w:val="24"/>
                <w:szCs w:val="24"/>
                <w:lang w:val="sv-SE"/>
              </w:rPr>
              <w:t>Hộ dân Lê Quang Vinh, tổ dân phố Long Sơn, phường Kỳ Long</w:t>
            </w:r>
          </w:p>
        </w:tc>
        <w:tc>
          <w:tcPr>
            <w:tcW w:w="2519" w:type="dxa"/>
            <w:vAlign w:val="center"/>
          </w:tcPr>
          <w:p w14:paraId="1845AA71" w14:textId="77777777" w:rsidR="00085789" w:rsidRDefault="00000000">
            <w:pPr>
              <w:widowControl w:val="0"/>
              <w:spacing w:line="320" w:lineRule="exact"/>
              <w:jc w:val="both"/>
              <w:rPr>
                <w:spacing w:val="-6"/>
                <w:sz w:val="24"/>
                <w:szCs w:val="24"/>
              </w:rPr>
            </w:pPr>
            <w:r>
              <w:rPr>
                <w:spacing w:val="-6"/>
                <w:sz w:val="24"/>
                <w:szCs w:val="24"/>
              </w:rPr>
              <w:t>TDP Long Sơn, P. Kỳ Long</w:t>
            </w:r>
          </w:p>
        </w:tc>
        <w:tc>
          <w:tcPr>
            <w:tcW w:w="2123" w:type="dxa"/>
            <w:vAlign w:val="center"/>
          </w:tcPr>
          <w:p w14:paraId="43A8644D" w14:textId="77777777" w:rsidR="00085789" w:rsidRDefault="00000000">
            <w:pPr>
              <w:widowControl w:val="0"/>
              <w:spacing w:line="320" w:lineRule="exact"/>
              <w:jc w:val="both"/>
              <w:rPr>
                <w:bCs/>
                <w:sz w:val="24"/>
                <w:szCs w:val="24"/>
              </w:rPr>
            </w:pPr>
            <w:r>
              <w:rPr>
                <w:bCs/>
                <w:sz w:val="24"/>
                <w:szCs w:val="24"/>
              </w:rPr>
              <w:t>Nay là phường Vũng Áng</w:t>
            </w:r>
          </w:p>
        </w:tc>
      </w:tr>
      <w:tr w:rsidR="00085789" w14:paraId="75D748F6" w14:textId="77777777">
        <w:trPr>
          <w:gridAfter w:val="1"/>
          <w:wAfter w:w="8" w:type="dxa"/>
          <w:trHeight w:val="315"/>
          <w:jc w:val="center"/>
        </w:trPr>
        <w:tc>
          <w:tcPr>
            <w:tcW w:w="618" w:type="dxa"/>
            <w:vAlign w:val="center"/>
          </w:tcPr>
          <w:p w14:paraId="2028E833" w14:textId="77777777" w:rsidR="00085789" w:rsidRDefault="00000000">
            <w:pPr>
              <w:widowControl w:val="0"/>
              <w:spacing w:line="320" w:lineRule="exact"/>
              <w:jc w:val="center"/>
              <w:rPr>
                <w:bCs/>
                <w:sz w:val="24"/>
                <w:szCs w:val="24"/>
                <w:lang w:val="sv-SE"/>
              </w:rPr>
            </w:pPr>
            <w:r>
              <w:rPr>
                <w:bCs/>
                <w:sz w:val="24"/>
                <w:szCs w:val="24"/>
                <w:lang w:val="sv-SE"/>
              </w:rPr>
              <w:t>21</w:t>
            </w:r>
          </w:p>
        </w:tc>
        <w:tc>
          <w:tcPr>
            <w:tcW w:w="3821" w:type="dxa"/>
            <w:vAlign w:val="bottom"/>
          </w:tcPr>
          <w:p w14:paraId="5C60B9A1" w14:textId="77777777" w:rsidR="00085789" w:rsidRDefault="00000000">
            <w:pPr>
              <w:widowControl w:val="0"/>
              <w:spacing w:line="320" w:lineRule="exact"/>
              <w:jc w:val="both"/>
              <w:rPr>
                <w:spacing w:val="-4"/>
                <w:sz w:val="24"/>
                <w:szCs w:val="24"/>
                <w:lang w:val="sv-SE"/>
              </w:rPr>
            </w:pPr>
            <w:r>
              <w:rPr>
                <w:spacing w:val="-4"/>
                <w:sz w:val="24"/>
                <w:szCs w:val="24"/>
                <w:lang w:val="sv-SE"/>
              </w:rPr>
              <w:t>Nhà máy thủy sản Nam Hà Tĩnh, khu CN Vũng Áng I, phường Kỳ Thịnh</w:t>
            </w:r>
          </w:p>
        </w:tc>
        <w:tc>
          <w:tcPr>
            <w:tcW w:w="2519" w:type="dxa"/>
            <w:vAlign w:val="center"/>
          </w:tcPr>
          <w:p w14:paraId="05BE2BCF" w14:textId="77777777" w:rsidR="00085789" w:rsidRDefault="00000000">
            <w:pPr>
              <w:widowControl w:val="0"/>
              <w:spacing w:line="320" w:lineRule="exact"/>
              <w:jc w:val="both"/>
              <w:rPr>
                <w:spacing w:val="-6"/>
                <w:sz w:val="24"/>
                <w:szCs w:val="24"/>
                <w:lang w:val="sv-SE"/>
              </w:rPr>
            </w:pPr>
            <w:r>
              <w:rPr>
                <w:spacing w:val="-6"/>
                <w:sz w:val="24"/>
                <w:szCs w:val="24"/>
                <w:lang w:val="sv-SE"/>
              </w:rPr>
              <w:t>KCN Vũng Áng 1, P. Kỳ Thịnh</w:t>
            </w:r>
          </w:p>
        </w:tc>
        <w:tc>
          <w:tcPr>
            <w:tcW w:w="2123" w:type="dxa"/>
            <w:vAlign w:val="center"/>
          </w:tcPr>
          <w:p w14:paraId="6BA36143" w14:textId="77777777" w:rsidR="00085789" w:rsidRDefault="00000000">
            <w:pPr>
              <w:widowControl w:val="0"/>
              <w:spacing w:line="320" w:lineRule="exact"/>
              <w:jc w:val="both"/>
              <w:rPr>
                <w:bCs/>
                <w:sz w:val="24"/>
                <w:szCs w:val="24"/>
                <w:lang w:val="sv-SE"/>
              </w:rPr>
            </w:pPr>
            <w:r>
              <w:rPr>
                <w:bCs/>
                <w:sz w:val="24"/>
                <w:szCs w:val="24"/>
                <w:lang w:val="sv-SE"/>
              </w:rPr>
              <w:t>Nay là phường Vũng Áng</w:t>
            </w:r>
          </w:p>
        </w:tc>
      </w:tr>
      <w:tr w:rsidR="00085789" w14:paraId="69D23AD9" w14:textId="77777777">
        <w:trPr>
          <w:gridAfter w:val="1"/>
          <w:wAfter w:w="8" w:type="dxa"/>
          <w:trHeight w:val="315"/>
          <w:jc w:val="center"/>
        </w:trPr>
        <w:tc>
          <w:tcPr>
            <w:tcW w:w="618" w:type="dxa"/>
            <w:vAlign w:val="center"/>
          </w:tcPr>
          <w:p w14:paraId="5F170EDC" w14:textId="77777777" w:rsidR="00085789" w:rsidRDefault="00000000">
            <w:pPr>
              <w:widowControl w:val="0"/>
              <w:spacing w:line="320" w:lineRule="exact"/>
              <w:jc w:val="center"/>
              <w:rPr>
                <w:bCs/>
                <w:sz w:val="24"/>
                <w:szCs w:val="24"/>
                <w:lang w:val="sv-SE"/>
              </w:rPr>
            </w:pPr>
            <w:r>
              <w:rPr>
                <w:bCs/>
                <w:sz w:val="24"/>
                <w:szCs w:val="24"/>
                <w:lang w:val="sv-SE"/>
              </w:rPr>
              <w:t>22</w:t>
            </w:r>
          </w:p>
        </w:tc>
        <w:tc>
          <w:tcPr>
            <w:tcW w:w="3821" w:type="dxa"/>
            <w:vAlign w:val="bottom"/>
          </w:tcPr>
          <w:p w14:paraId="12A1F3C1" w14:textId="77777777" w:rsidR="00085789" w:rsidRDefault="00000000">
            <w:pPr>
              <w:widowControl w:val="0"/>
              <w:spacing w:line="320" w:lineRule="exact"/>
              <w:jc w:val="both"/>
              <w:rPr>
                <w:spacing w:val="-4"/>
                <w:sz w:val="24"/>
                <w:szCs w:val="24"/>
                <w:lang w:val="sv-SE"/>
              </w:rPr>
            </w:pPr>
            <w:r>
              <w:rPr>
                <w:spacing w:val="-4"/>
                <w:sz w:val="24"/>
                <w:szCs w:val="24"/>
                <w:lang w:val="sv-SE"/>
              </w:rPr>
              <w:t>Hộ dân Nguyễn Tiến Đào, thôn Thắng Lợi, phường Kỳ Phương</w:t>
            </w:r>
          </w:p>
        </w:tc>
        <w:tc>
          <w:tcPr>
            <w:tcW w:w="2519" w:type="dxa"/>
            <w:vAlign w:val="center"/>
          </w:tcPr>
          <w:p w14:paraId="6A10E0D1" w14:textId="77777777" w:rsidR="00085789" w:rsidRDefault="00000000">
            <w:pPr>
              <w:widowControl w:val="0"/>
              <w:spacing w:line="320" w:lineRule="exact"/>
              <w:jc w:val="both"/>
              <w:rPr>
                <w:spacing w:val="-6"/>
                <w:sz w:val="24"/>
                <w:szCs w:val="24"/>
                <w:lang w:val="sv-SE"/>
              </w:rPr>
            </w:pPr>
            <w:r>
              <w:rPr>
                <w:spacing w:val="-6"/>
                <w:sz w:val="24"/>
                <w:szCs w:val="24"/>
                <w:lang w:val="sv-SE"/>
              </w:rPr>
              <w:t>TDP Thắng lợi, P. Kỳ Phương</w:t>
            </w:r>
          </w:p>
        </w:tc>
        <w:tc>
          <w:tcPr>
            <w:tcW w:w="2123" w:type="dxa"/>
            <w:vAlign w:val="center"/>
          </w:tcPr>
          <w:p w14:paraId="248DAA7D" w14:textId="77777777" w:rsidR="00085789" w:rsidRDefault="00000000">
            <w:pPr>
              <w:widowControl w:val="0"/>
              <w:spacing w:line="320" w:lineRule="exact"/>
              <w:jc w:val="both"/>
              <w:rPr>
                <w:bCs/>
                <w:sz w:val="24"/>
                <w:szCs w:val="24"/>
                <w:lang w:val="sv-SE"/>
              </w:rPr>
            </w:pPr>
            <w:r>
              <w:rPr>
                <w:bCs/>
                <w:sz w:val="24"/>
                <w:szCs w:val="24"/>
                <w:lang w:val="sv-SE"/>
              </w:rPr>
              <w:t>Nay là phường Hoành Sơn</w:t>
            </w:r>
          </w:p>
        </w:tc>
      </w:tr>
      <w:tr w:rsidR="00085789" w14:paraId="2B44ADB7" w14:textId="77777777">
        <w:trPr>
          <w:gridAfter w:val="1"/>
          <w:wAfter w:w="8" w:type="dxa"/>
          <w:trHeight w:val="315"/>
          <w:jc w:val="center"/>
        </w:trPr>
        <w:tc>
          <w:tcPr>
            <w:tcW w:w="618" w:type="dxa"/>
            <w:vAlign w:val="center"/>
          </w:tcPr>
          <w:p w14:paraId="412894F0" w14:textId="77777777" w:rsidR="00085789" w:rsidRDefault="00000000">
            <w:pPr>
              <w:widowControl w:val="0"/>
              <w:spacing w:line="320" w:lineRule="exact"/>
              <w:jc w:val="center"/>
              <w:rPr>
                <w:bCs/>
                <w:sz w:val="24"/>
                <w:szCs w:val="24"/>
                <w:lang w:val="sv-SE"/>
              </w:rPr>
            </w:pPr>
            <w:r>
              <w:rPr>
                <w:bCs/>
                <w:sz w:val="24"/>
                <w:szCs w:val="24"/>
                <w:lang w:val="sv-SE"/>
              </w:rPr>
              <w:t>23</w:t>
            </w:r>
          </w:p>
        </w:tc>
        <w:tc>
          <w:tcPr>
            <w:tcW w:w="3821" w:type="dxa"/>
            <w:vAlign w:val="bottom"/>
          </w:tcPr>
          <w:p w14:paraId="4CE68990" w14:textId="77777777" w:rsidR="00085789" w:rsidRDefault="00000000">
            <w:pPr>
              <w:widowControl w:val="0"/>
              <w:spacing w:line="320" w:lineRule="exact"/>
              <w:jc w:val="both"/>
              <w:rPr>
                <w:spacing w:val="-6"/>
                <w:sz w:val="24"/>
                <w:szCs w:val="24"/>
                <w:lang w:val="sv-SE"/>
              </w:rPr>
            </w:pPr>
            <w:r>
              <w:rPr>
                <w:spacing w:val="-6"/>
                <w:sz w:val="24"/>
                <w:szCs w:val="24"/>
                <w:lang w:val="sv-SE"/>
              </w:rPr>
              <w:t>Hộ dân Nguyễn Huy Quế, phường Kỳ Trinh (vùng nuôi trồng thủy sản)</w:t>
            </w:r>
          </w:p>
        </w:tc>
        <w:tc>
          <w:tcPr>
            <w:tcW w:w="2519" w:type="dxa"/>
            <w:vAlign w:val="center"/>
          </w:tcPr>
          <w:p w14:paraId="43383300" w14:textId="77777777" w:rsidR="00085789" w:rsidRDefault="00000000">
            <w:pPr>
              <w:widowControl w:val="0"/>
              <w:spacing w:line="320" w:lineRule="exact"/>
              <w:jc w:val="both"/>
              <w:rPr>
                <w:spacing w:val="-6"/>
                <w:sz w:val="24"/>
                <w:szCs w:val="24"/>
                <w:lang w:val="sv-SE"/>
              </w:rPr>
            </w:pPr>
            <w:r>
              <w:rPr>
                <w:spacing w:val="-6"/>
                <w:sz w:val="24"/>
                <w:szCs w:val="24"/>
                <w:lang w:val="sv-SE"/>
              </w:rPr>
              <w:t>TDP Quyền Hành, P Kỳ Trinh</w:t>
            </w:r>
          </w:p>
        </w:tc>
        <w:tc>
          <w:tcPr>
            <w:tcW w:w="2123" w:type="dxa"/>
            <w:vAlign w:val="center"/>
          </w:tcPr>
          <w:p w14:paraId="5E097119" w14:textId="77777777" w:rsidR="00085789" w:rsidRDefault="00000000">
            <w:pPr>
              <w:widowControl w:val="0"/>
              <w:spacing w:line="320" w:lineRule="exact"/>
              <w:jc w:val="both"/>
              <w:rPr>
                <w:bCs/>
                <w:sz w:val="24"/>
                <w:szCs w:val="24"/>
                <w:lang w:val="sv-SE"/>
              </w:rPr>
            </w:pPr>
            <w:r>
              <w:rPr>
                <w:bCs/>
                <w:sz w:val="24"/>
                <w:szCs w:val="24"/>
                <w:lang w:val="sv-SE"/>
              </w:rPr>
              <w:t>Nay là phường Sông Trí</w:t>
            </w:r>
          </w:p>
        </w:tc>
      </w:tr>
      <w:tr w:rsidR="00085789" w14:paraId="78A96E4B" w14:textId="77777777">
        <w:trPr>
          <w:trHeight w:val="315"/>
          <w:jc w:val="center"/>
        </w:trPr>
        <w:tc>
          <w:tcPr>
            <w:tcW w:w="618" w:type="dxa"/>
            <w:vAlign w:val="center"/>
          </w:tcPr>
          <w:p w14:paraId="04C912F6" w14:textId="77777777" w:rsidR="00085789" w:rsidRDefault="00000000">
            <w:pPr>
              <w:widowControl w:val="0"/>
              <w:spacing w:line="320" w:lineRule="exact"/>
              <w:jc w:val="center"/>
              <w:rPr>
                <w:bCs/>
                <w:sz w:val="24"/>
                <w:szCs w:val="24"/>
                <w:lang w:val="sv-SE"/>
              </w:rPr>
            </w:pPr>
            <w:r>
              <w:rPr>
                <w:b/>
                <w:sz w:val="24"/>
                <w:szCs w:val="24"/>
              </w:rPr>
              <w:t>III</w:t>
            </w:r>
          </w:p>
        </w:tc>
        <w:tc>
          <w:tcPr>
            <w:tcW w:w="8471" w:type="dxa"/>
            <w:gridSpan w:val="4"/>
            <w:vAlign w:val="center"/>
          </w:tcPr>
          <w:p w14:paraId="30E913CD" w14:textId="77777777" w:rsidR="00085789" w:rsidRDefault="00000000">
            <w:pPr>
              <w:widowControl w:val="0"/>
              <w:spacing w:line="320" w:lineRule="exact"/>
              <w:jc w:val="center"/>
              <w:rPr>
                <w:bCs/>
                <w:sz w:val="24"/>
                <w:szCs w:val="24"/>
                <w:lang w:val="sv-SE"/>
              </w:rPr>
            </w:pPr>
            <w:r>
              <w:rPr>
                <w:b/>
                <w:spacing w:val="-4"/>
                <w:sz w:val="24"/>
                <w:szCs w:val="24"/>
                <w:lang w:val="sv-SE"/>
              </w:rPr>
              <w:t>Thông tin vị trí quan trắc nước dưới đất vùng miền núi</w:t>
            </w:r>
          </w:p>
        </w:tc>
      </w:tr>
      <w:tr w:rsidR="00085789" w14:paraId="3C51A8D7" w14:textId="77777777">
        <w:trPr>
          <w:gridAfter w:val="1"/>
          <w:wAfter w:w="8" w:type="dxa"/>
          <w:trHeight w:val="315"/>
          <w:jc w:val="center"/>
        </w:trPr>
        <w:tc>
          <w:tcPr>
            <w:tcW w:w="618" w:type="dxa"/>
            <w:vAlign w:val="center"/>
          </w:tcPr>
          <w:p w14:paraId="16F936C0" w14:textId="77777777" w:rsidR="00085789" w:rsidRDefault="00000000">
            <w:pPr>
              <w:widowControl w:val="0"/>
              <w:spacing w:line="320" w:lineRule="exact"/>
              <w:jc w:val="center"/>
              <w:rPr>
                <w:bCs/>
                <w:sz w:val="24"/>
                <w:szCs w:val="24"/>
                <w:lang w:val="sv-SE"/>
              </w:rPr>
            </w:pPr>
            <w:r>
              <w:rPr>
                <w:bCs/>
                <w:sz w:val="24"/>
                <w:szCs w:val="24"/>
                <w:lang w:val="sv-SE"/>
              </w:rPr>
              <w:t>1</w:t>
            </w:r>
          </w:p>
        </w:tc>
        <w:tc>
          <w:tcPr>
            <w:tcW w:w="3821" w:type="dxa"/>
            <w:vAlign w:val="bottom"/>
          </w:tcPr>
          <w:p w14:paraId="71B60ED5" w14:textId="77777777" w:rsidR="00085789" w:rsidRDefault="00000000">
            <w:pPr>
              <w:widowControl w:val="0"/>
              <w:spacing w:line="320" w:lineRule="exact"/>
              <w:jc w:val="both"/>
              <w:rPr>
                <w:sz w:val="24"/>
                <w:szCs w:val="24"/>
                <w:lang w:val="sv-SE"/>
              </w:rPr>
            </w:pPr>
            <w:r>
              <w:rPr>
                <w:sz w:val="22"/>
                <w:szCs w:val="22"/>
                <w:lang w:val="sv-SE"/>
              </w:rPr>
              <w:t xml:space="preserve">Hộ dân Phạm Duy Tiền, khu TĐC Hói Trùng, xã Quang Thọ </w:t>
            </w:r>
          </w:p>
        </w:tc>
        <w:tc>
          <w:tcPr>
            <w:tcW w:w="2519" w:type="dxa"/>
            <w:vAlign w:val="center"/>
          </w:tcPr>
          <w:p w14:paraId="7063EC39" w14:textId="77777777" w:rsidR="00085789" w:rsidRDefault="00000000">
            <w:pPr>
              <w:widowControl w:val="0"/>
              <w:spacing w:line="320" w:lineRule="exact"/>
              <w:jc w:val="both"/>
              <w:rPr>
                <w:sz w:val="24"/>
                <w:szCs w:val="24"/>
                <w:lang w:val="sv-SE"/>
              </w:rPr>
            </w:pPr>
            <w:r>
              <w:rPr>
                <w:sz w:val="22"/>
                <w:szCs w:val="22"/>
              </w:rPr>
              <w:t>Thôn 1, xã Quang Thọ</w:t>
            </w:r>
          </w:p>
        </w:tc>
        <w:tc>
          <w:tcPr>
            <w:tcW w:w="2123" w:type="dxa"/>
            <w:vAlign w:val="center"/>
          </w:tcPr>
          <w:p w14:paraId="446A47CF" w14:textId="77777777" w:rsidR="00085789" w:rsidRDefault="00000000">
            <w:pPr>
              <w:widowControl w:val="0"/>
              <w:spacing w:line="320" w:lineRule="exact"/>
              <w:jc w:val="both"/>
              <w:rPr>
                <w:bCs/>
                <w:sz w:val="24"/>
                <w:szCs w:val="24"/>
                <w:lang w:val="sv-SE"/>
              </w:rPr>
            </w:pPr>
            <w:r>
              <w:rPr>
                <w:bCs/>
                <w:sz w:val="24"/>
                <w:szCs w:val="24"/>
                <w:lang w:val="sv-SE"/>
              </w:rPr>
              <w:t>Nay là xã Vũ Quang</w:t>
            </w:r>
          </w:p>
        </w:tc>
      </w:tr>
      <w:tr w:rsidR="00085789" w14:paraId="443D89C2" w14:textId="77777777">
        <w:trPr>
          <w:gridAfter w:val="1"/>
          <w:wAfter w:w="8" w:type="dxa"/>
          <w:trHeight w:val="315"/>
          <w:jc w:val="center"/>
        </w:trPr>
        <w:tc>
          <w:tcPr>
            <w:tcW w:w="618" w:type="dxa"/>
            <w:vAlign w:val="center"/>
          </w:tcPr>
          <w:p w14:paraId="23C71560" w14:textId="77777777" w:rsidR="00085789" w:rsidRDefault="00000000">
            <w:pPr>
              <w:widowControl w:val="0"/>
              <w:spacing w:line="320" w:lineRule="exact"/>
              <w:jc w:val="center"/>
              <w:rPr>
                <w:bCs/>
                <w:sz w:val="24"/>
                <w:szCs w:val="24"/>
                <w:lang w:val="sv-SE"/>
              </w:rPr>
            </w:pPr>
            <w:r>
              <w:rPr>
                <w:bCs/>
                <w:sz w:val="24"/>
                <w:szCs w:val="24"/>
                <w:lang w:val="sv-SE"/>
              </w:rPr>
              <w:t>2</w:t>
            </w:r>
          </w:p>
        </w:tc>
        <w:tc>
          <w:tcPr>
            <w:tcW w:w="3821" w:type="dxa"/>
            <w:vAlign w:val="bottom"/>
          </w:tcPr>
          <w:p w14:paraId="278BD27A" w14:textId="77777777" w:rsidR="00085789" w:rsidRDefault="00000000">
            <w:pPr>
              <w:widowControl w:val="0"/>
              <w:spacing w:line="320" w:lineRule="exact"/>
              <w:jc w:val="both"/>
              <w:rPr>
                <w:sz w:val="24"/>
                <w:szCs w:val="24"/>
                <w:lang w:val="sv-SE"/>
              </w:rPr>
            </w:pPr>
            <w:r>
              <w:rPr>
                <w:sz w:val="22"/>
                <w:szCs w:val="22"/>
                <w:lang w:val="sv-SE"/>
              </w:rPr>
              <w:t>Trạm Y tế xã Sơn Kim I</w:t>
            </w:r>
          </w:p>
        </w:tc>
        <w:tc>
          <w:tcPr>
            <w:tcW w:w="2519" w:type="dxa"/>
            <w:vAlign w:val="center"/>
          </w:tcPr>
          <w:p w14:paraId="3A165A8D" w14:textId="77777777" w:rsidR="00085789" w:rsidRDefault="00000000">
            <w:pPr>
              <w:widowControl w:val="0"/>
              <w:spacing w:line="320" w:lineRule="exact"/>
              <w:jc w:val="both"/>
              <w:rPr>
                <w:spacing w:val="-10"/>
                <w:sz w:val="24"/>
                <w:szCs w:val="24"/>
                <w:lang w:val="sv-SE"/>
              </w:rPr>
            </w:pPr>
            <w:r>
              <w:rPr>
                <w:spacing w:val="-10"/>
                <w:sz w:val="22"/>
                <w:szCs w:val="22"/>
                <w:lang w:val="sv-SE"/>
              </w:rPr>
              <w:t>Thôn Khe Sú, xã Sơn Kim 1</w:t>
            </w:r>
          </w:p>
        </w:tc>
        <w:tc>
          <w:tcPr>
            <w:tcW w:w="2123" w:type="dxa"/>
            <w:vAlign w:val="center"/>
          </w:tcPr>
          <w:p w14:paraId="069CB0F6" w14:textId="77777777" w:rsidR="00085789" w:rsidRDefault="00000000">
            <w:pPr>
              <w:widowControl w:val="0"/>
              <w:spacing w:line="320" w:lineRule="exact"/>
              <w:jc w:val="both"/>
              <w:rPr>
                <w:bCs/>
                <w:spacing w:val="-8"/>
                <w:sz w:val="24"/>
                <w:szCs w:val="24"/>
                <w:lang w:val="sv-SE"/>
              </w:rPr>
            </w:pPr>
            <w:r>
              <w:rPr>
                <w:bCs/>
                <w:spacing w:val="-8"/>
                <w:sz w:val="24"/>
                <w:szCs w:val="24"/>
                <w:lang w:val="sv-SE"/>
              </w:rPr>
              <w:t>Nay là xã Sơn Kim 1</w:t>
            </w:r>
          </w:p>
        </w:tc>
      </w:tr>
      <w:tr w:rsidR="00085789" w14:paraId="4746D6B6" w14:textId="77777777">
        <w:trPr>
          <w:gridAfter w:val="1"/>
          <w:wAfter w:w="8" w:type="dxa"/>
          <w:trHeight w:val="315"/>
          <w:jc w:val="center"/>
        </w:trPr>
        <w:tc>
          <w:tcPr>
            <w:tcW w:w="618" w:type="dxa"/>
            <w:vAlign w:val="center"/>
          </w:tcPr>
          <w:p w14:paraId="07DAC0C1" w14:textId="77777777" w:rsidR="00085789" w:rsidRDefault="00000000">
            <w:pPr>
              <w:widowControl w:val="0"/>
              <w:spacing w:line="320" w:lineRule="exact"/>
              <w:jc w:val="center"/>
              <w:rPr>
                <w:bCs/>
                <w:sz w:val="24"/>
                <w:szCs w:val="24"/>
                <w:lang w:val="sv-SE"/>
              </w:rPr>
            </w:pPr>
            <w:r>
              <w:rPr>
                <w:bCs/>
                <w:sz w:val="24"/>
                <w:szCs w:val="24"/>
                <w:lang w:val="sv-SE"/>
              </w:rPr>
              <w:t>3</w:t>
            </w:r>
          </w:p>
        </w:tc>
        <w:tc>
          <w:tcPr>
            <w:tcW w:w="3821" w:type="dxa"/>
            <w:vAlign w:val="bottom"/>
          </w:tcPr>
          <w:p w14:paraId="6E216774" w14:textId="77777777" w:rsidR="00085789" w:rsidRDefault="00000000">
            <w:pPr>
              <w:widowControl w:val="0"/>
              <w:spacing w:line="320" w:lineRule="exact"/>
              <w:jc w:val="both"/>
              <w:rPr>
                <w:sz w:val="24"/>
                <w:szCs w:val="24"/>
                <w:lang w:val="sv-SE"/>
              </w:rPr>
            </w:pPr>
            <w:r>
              <w:rPr>
                <w:sz w:val="22"/>
                <w:szCs w:val="22"/>
                <w:lang w:val="sv-SE"/>
              </w:rPr>
              <w:t>Hộ dân Trần Quốc Hưởng, xóm 10 Kim Cương I, xã Sơn Kim I (KCN Đại Kim)</w:t>
            </w:r>
          </w:p>
        </w:tc>
        <w:tc>
          <w:tcPr>
            <w:tcW w:w="2519" w:type="dxa"/>
            <w:vAlign w:val="center"/>
          </w:tcPr>
          <w:p w14:paraId="128AC7F4" w14:textId="77777777" w:rsidR="00085789" w:rsidRDefault="00000000">
            <w:pPr>
              <w:widowControl w:val="0"/>
              <w:spacing w:line="320" w:lineRule="exact"/>
              <w:jc w:val="both"/>
              <w:rPr>
                <w:sz w:val="24"/>
                <w:szCs w:val="24"/>
                <w:lang w:val="sv-SE"/>
              </w:rPr>
            </w:pPr>
            <w:r>
              <w:rPr>
                <w:sz w:val="22"/>
                <w:szCs w:val="22"/>
                <w:lang w:val="sv-SE"/>
              </w:rPr>
              <w:t>Thôn Kim Cương I, xã Sơn Kim 1</w:t>
            </w:r>
          </w:p>
        </w:tc>
        <w:tc>
          <w:tcPr>
            <w:tcW w:w="2123" w:type="dxa"/>
            <w:vAlign w:val="center"/>
          </w:tcPr>
          <w:p w14:paraId="71258406" w14:textId="77777777" w:rsidR="00085789" w:rsidRDefault="00000000">
            <w:pPr>
              <w:widowControl w:val="0"/>
              <w:spacing w:line="320" w:lineRule="exact"/>
              <w:jc w:val="both"/>
              <w:rPr>
                <w:bCs/>
                <w:spacing w:val="-8"/>
                <w:sz w:val="24"/>
                <w:szCs w:val="24"/>
                <w:lang w:val="sv-SE"/>
              </w:rPr>
            </w:pPr>
            <w:r>
              <w:rPr>
                <w:bCs/>
                <w:spacing w:val="-8"/>
                <w:sz w:val="24"/>
                <w:szCs w:val="24"/>
                <w:lang w:val="sv-SE"/>
              </w:rPr>
              <w:t>Nay là xã Sơn Kim 1</w:t>
            </w:r>
          </w:p>
        </w:tc>
      </w:tr>
      <w:tr w:rsidR="00085789" w14:paraId="649EFA0D" w14:textId="77777777">
        <w:trPr>
          <w:gridAfter w:val="1"/>
          <w:wAfter w:w="8" w:type="dxa"/>
          <w:trHeight w:val="315"/>
          <w:jc w:val="center"/>
        </w:trPr>
        <w:tc>
          <w:tcPr>
            <w:tcW w:w="618" w:type="dxa"/>
            <w:vAlign w:val="center"/>
          </w:tcPr>
          <w:p w14:paraId="03A7D9C4" w14:textId="77777777" w:rsidR="00085789" w:rsidRDefault="00000000">
            <w:pPr>
              <w:widowControl w:val="0"/>
              <w:spacing w:line="320" w:lineRule="exact"/>
              <w:jc w:val="center"/>
              <w:rPr>
                <w:bCs/>
                <w:sz w:val="24"/>
                <w:szCs w:val="24"/>
                <w:lang w:val="sv-SE"/>
              </w:rPr>
            </w:pPr>
            <w:r>
              <w:rPr>
                <w:bCs/>
                <w:sz w:val="24"/>
                <w:szCs w:val="24"/>
                <w:lang w:val="sv-SE"/>
              </w:rPr>
              <w:t>4</w:t>
            </w:r>
          </w:p>
        </w:tc>
        <w:tc>
          <w:tcPr>
            <w:tcW w:w="3821" w:type="dxa"/>
            <w:vAlign w:val="bottom"/>
          </w:tcPr>
          <w:p w14:paraId="5959D8EB" w14:textId="77777777" w:rsidR="00085789" w:rsidRDefault="00000000">
            <w:pPr>
              <w:widowControl w:val="0"/>
              <w:spacing w:line="320" w:lineRule="exact"/>
              <w:jc w:val="both"/>
              <w:rPr>
                <w:sz w:val="24"/>
                <w:szCs w:val="24"/>
                <w:lang w:val="sv-SE"/>
              </w:rPr>
            </w:pPr>
            <w:r>
              <w:rPr>
                <w:spacing w:val="-4"/>
                <w:sz w:val="22"/>
                <w:szCs w:val="22"/>
                <w:lang w:val="sv-SE"/>
              </w:rPr>
              <w:t>Hộ dân Nguyễn Văn Lực, thôn Tân Thủy</w:t>
            </w:r>
            <w:r>
              <w:rPr>
                <w:sz w:val="22"/>
                <w:szCs w:val="22"/>
                <w:lang w:val="sv-SE"/>
              </w:rPr>
              <w:t>, xã Sơn Tây (Khu TĐC Hà Tân)</w:t>
            </w:r>
          </w:p>
        </w:tc>
        <w:tc>
          <w:tcPr>
            <w:tcW w:w="2519" w:type="dxa"/>
            <w:vAlign w:val="center"/>
          </w:tcPr>
          <w:p w14:paraId="66E3895C" w14:textId="77777777" w:rsidR="00085789" w:rsidRDefault="00000000">
            <w:pPr>
              <w:widowControl w:val="0"/>
              <w:spacing w:line="320" w:lineRule="exact"/>
              <w:jc w:val="both"/>
              <w:rPr>
                <w:sz w:val="24"/>
                <w:szCs w:val="24"/>
                <w:lang w:val="sv-SE"/>
              </w:rPr>
            </w:pPr>
            <w:r>
              <w:rPr>
                <w:sz w:val="22"/>
                <w:szCs w:val="22"/>
                <w:lang w:val="sv-SE"/>
              </w:rPr>
              <w:t>Thôn Tân Thủy, xã Sơn Tây</w:t>
            </w:r>
          </w:p>
        </w:tc>
        <w:tc>
          <w:tcPr>
            <w:tcW w:w="2123" w:type="dxa"/>
            <w:vAlign w:val="center"/>
          </w:tcPr>
          <w:p w14:paraId="42196E08" w14:textId="77777777" w:rsidR="00085789" w:rsidRDefault="00000000">
            <w:pPr>
              <w:widowControl w:val="0"/>
              <w:spacing w:line="320" w:lineRule="exact"/>
              <w:jc w:val="both"/>
              <w:rPr>
                <w:bCs/>
                <w:sz w:val="24"/>
                <w:szCs w:val="24"/>
                <w:lang w:val="sv-SE"/>
              </w:rPr>
            </w:pPr>
            <w:r>
              <w:rPr>
                <w:bCs/>
                <w:sz w:val="24"/>
                <w:szCs w:val="24"/>
                <w:lang w:val="sv-SE"/>
              </w:rPr>
              <w:t>Nay là xã Sơn Tây</w:t>
            </w:r>
          </w:p>
        </w:tc>
      </w:tr>
      <w:tr w:rsidR="00085789" w14:paraId="591172AE" w14:textId="77777777">
        <w:trPr>
          <w:gridAfter w:val="1"/>
          <w:wAfter w:w="8" w:type="dxa"/>
          <w:trHeight w:val="315"/>
          <w:jc w:val="center"/>
        </w:trPr>
        <w:tc>
          <w:tcPr>
            <w:tcW w:w="618" w:type="dxa"/>
            <w:vAlign w:val="center"/>
          </w:tcPr>
          <w:p w14:paraId="41EBBA10" w14:textId="77777777" w:rsidR="00085789" w:rsidRDefault="00000000">
            <w:pPr>
              <w:widowControl w:val="0"/>
              <w:spacing w:line="320" w:lineRule="exact"/>
              <w:jc w:val="center"/>
              <w:rPr>
                <w:bCs/>
                <w:sz w:val="24"/>
                <w:szCs w:val="24"/>
                <w:lang w:val="sv-SE"/>
              </w:rPr>
            </w:pPr>
            <w:r>
              <w:rPr>
                <w:bCs/>
                <w:sz w:val="24"/>
                <w:szCs w:val="24"/>
                <w:lang w:val="sv-SE"/>
              </w:rPr>
              <w:t>5</w:t>
            </w:r>
          </w:p>
        </w:tc>
        <w:tc>
          <w:tcPr>
            <w:tcW w:w="3821" w:type="dxa"/>
            <w:vAlign w:val="bottom"/>
          </w:tcPr>
          <w:p w14:paraId="0B4DBC86" w14:textId="77777777" w:rsidR="00085789" w:rsidRDefault="00000000">
            <w:pPr>
              <w:widowControl w:val="0"/>
              <w:spacing w:line="320" w:lineRule="exact"/>
              <w:jc w:val="both"/>
              <w:rPr>
                <w:sz w:val="24"/>
                <w:szCs w:val="24"/>
                <w:lang w:val="sv-SE"/>
              </w:rPr>
            </w:pPr>
            <w:r>
              <w:rPr>
                <w:sz w:val="22"/>
                <w:szCs w:val="22"/>
                <w:lang w:val="sv-SE"/>
              </w:rPr>
              <w:t xml:space="preserve">Trạm Y tế (xã Sơn Thịnh cũ), xã An Hòa Thịnh </w:t>
            </w:r>
          </w:p>
        </w:tc>
        <w:tc>
          <w:tcPr>
            <w:tcW w:w="2519" w:type="dxa"/>
            <w:vAlign w:val="center"/>
          </w:tcPr>
          <w:p w14:paraId="404629CF" w14:textId="77777777" w:rsidR="00085789" w:rsidRDefault="00000000">
            <w:pPr>
              <w:widowControl w:val="0"/>
              <w:spacing w:line="320" w:lineRule="exact"/>
              <w:jc w:val="both"/>
              <w:rPr>
                <w:sz w:val="24"/>
                <w:szCs w:val="24"/>
                <w:lang w:val="sv-SE"/>
              </w:rPr>
            </w:pPr>
            <w:r>
              <w:rPr>
                <w:sz w:val="22"/>
                <w:szCs w:val="22"/>
              </w:rPr>
              <w:t>Xã An Hòa Thịnh</w:t>
            </w:r>
          </w:p>
        </w:tc>
        <w:tc>
          <w:tcPr>
            <w:tcW w:w="2123" w:type="dxa"/>
            <w:vAlign w:val="center"/>
          </w:tcPr>
          <w:p w14:paraId="5EBECED4" w14:textId="77777777" w:rsidR="00085789" w:rsidRDefault="00000000">
            <w:pPr>
              <w:widowControl w:val="0"/>
              <w:spacing w:line="320" w:lineRule="exact"/>
              <w:jc w:val="both"/>
              <w:rPr>
                <w:bCs/>
                <w:sz w:val="24"/>
                <w:szCs w:val="24"/>
                <w:lang w:val="sv-SE"/>
              </w:rPr>
            </w:pPr>
            <w:r>
              <w:rPr>
                <w:bCs/>
                <w:sz w:val="24"/>
                <w:szCs w:val="24"/>
                <w:lang w:val="sv-SE"/>
              </w:rPr>
              <w:t>Nay là xã Sơn Tiến</w:t>
            </w:r>
          </w:p>
        </w:tc>
      </w:tr>
      <w:tr w:rsidR="00085789" w14:paraId="789A639C" w14:textId="77777777">
        <w:trPr>
          <w:gridAfter w:val="1"/>
          <w:wAfter w:w="8" w:type="dxa"/>
          <w:trHeight w:val="315"/>
          <w:jc w:val="center"/>
        </w:trPr>
        <w:tc>
          <w:tcPr>
            <w:tcW w:w="618" w:type="dxa"/>
            <w:vAlign w:val="center"/>
          </w:tcPr>
          <w:p w14:paraId="0D696AFC" w14:textId="77777777" w:rsidR="00085789" w:rsidRDefault="00000000">
            <w:pPr>
              <w:widowControl w:val="0"/>
              <w:spacing w:line="320" w:lineRule="exact"/>
              <w:jc w:val="center"/>
              <w:rPr>
                <w:bCs/>
                <w:sz w:val="24"/>
                <w:szCs w:val="24"/>
                <w:lang w:val="sv-SE"/>
              </w:rPr>
            </w:pPr>
            <w:r>
              <w:rPr>
                <w:bCs/>
                <w:sz w:val="24"/>
                <w:szCs w:val="24"/>
                <w:lang w:val="sv-SE"/>
              </w:rPr>
              <w:t>6</w:t>
            </w:r>
          </w:p>
        </w:tc>
        <w:tc>
          <w:tcPr>
            <w:tcW w:w="3821" w:type="dxa"/>
            <w:vAlign w:val="bottom"/>
          </w:tcPr>
          <w:p w14:paraId="2039FCFF" w14:textId="77777777" w:rsidR="00085789" w:rsidRDefault="00000000">
            <w:pPr>
              <w:widowControl w:val="0"/>
              <w:spacing w:line="320" w:lineRule="exact"/>
              <w:jc w:val="both"/>
              <w:rPr>
                <w:spacing w:val="-4"/>
                <w:sz w:val="24"/>
                <w:szCs w:val="24"/>
                <w:lang w:val="sv-SE"/>
              </w:rPr>
            </w:pPr>
            <w:r>
              <w:rPr>
                <w:spacing w:val="-4"/>
                <w:sz w:val="22"/>
                <w:szCs w:val="22"/>
                <w:lang w:val="sv-SE"/>
              </w:rPr>
              <w:t>Trạm Y tế xã Hương Thủy (Vùng thường xuyên bị ngập lụt)</w:t>
            </w:r>
          </w:p>
        </w:tc>
        <w:tc>
          <w:tcPr>
            <w:tcW w:w="2519" w:type="dxa"/>
            <w:vAlign w:val="center"/>
          </w:tcPr>
          <w:p w14:paraId="6BAB85FF" w14:textId="77777777" w:rsidR="00085789" w:rsidRDefault="00000000">
            <w:pPr>
              <w:widowControl w:val="0"/>
              <w:spacing w:line="320" w:lineRule="exact"/>
              <w:jc w:val="both"/>
              <w:rPr>
                <w:sz w:val="24"/>
                <w:szCs w:val="24"/>
                <w:lang w:val="sv-SE"/>
              </w:rPr>
            </w:pPr>
            <w:r>
              <w:rPr>
                <w:sz w:val="22"/>
                <w:szCs w:val="22"/>
              </w:rPr>
              <w:t>Thôn 9, xã Hương Thủy</w:t>
            </w:r>
          </w:p>
        </w:tc>
        <w:tc>
          <w:tcPr>
            <w:tcW w:w="2123" w:type="dxa"/>
            <w:vAlign w:val="center"/>
          </w:tcPr>
          <w:p w14:paraId="2E406CCB" w14:textId="77777777" w:rsidR="00085789" w:rsidRDefault="00000000">
            <w:pPr>
              <w:widowControl w:val="0"/>
              <w:spacing w:line="320" w:lineRule="exact"/>
              <w:jc w:val="both"/>
              <w:rPr>
                <w:bCs/>
                <w:sz w:val="24"/>
                <w:szCs w:val="24"/>
                <w:lang w:val="sv-SE"/>
              </w:rPr>
            </w:pPr>
            <w:r>
              <w:rPr>
                <w:bCs/>
                <w:sz w:val="24"/>
                <w:szCs w:val="24"/>
                <w:lang w:val="sv-SE"/>
              </w:rPr>
              <w:t>Nay là xã Hương Phố</w:t>
            </w:r>
          </w:p>
        </w:tc>
      </w:tr>
      <w:tr w:rsidR="00085789" w14:paraId="0C542AB4" w14:textId="77777777">
        <w:trPr>
          <w:gridAfter w:val="1"/>
          <w:wAfter w:w="8" w:type="dxa"/>
          <w:trHeight w:val="315"/>
          <w:jc w:val="center"/>
        </w:trPr>
        <w:tc>
          <w:tcPr>
            <w:tcW w:w="618" w:type="dxa"/>
            <w:vAlign w:val="center"/>
          </w:tcPr>
          <w:p w14:paraId="55EC5CE5" w14:textId="77777777" w:rsidR="00085789" w:rsidRDefault="00000000">
            <w:pPr>
              <w:widowControl w:val="0"/>
              <w:spacing w:line="320" w:lineRule="exact"/>
              <w:jc w:val="center"/>
              <w:rPr>
                <w:bCs/>
                <w:sz w:val="24"/>
                <w:szCs w:val="24"/>
                <w:lang w:val="sv-SE"/>
              </w:rPr>
            </w:pPr>
            <w:r>
              <w:rPr>
                <w:bCs/>
                <w:sz w:val="24"/>
                <w:szCs w:val="24"/>
                <w:lang w:val="sv-SE"/>
              </w:rPr>
              <w:t>7</w:t>
            </w:r>
          </w:p>
        </w:tc>
        <w:tc>
          <w:tcPr>
            <w:tcW w:w="3821" w:type="dxa"/>
            <w:vAlign w:val="bottom"/>
          </w:tcPr>
          <w:p w14:paraId="67B49588" w14:textId="77777777" w:rsidR="00085789" w:rsidRDefault="00000000">
            <w:pPr>
              <w:widowControl w:val="0"/>
              <w:spacing w:line="320" w:lineRule="exact"/>
              <w:jc w:val="both"/>
              <w:rPr>
                <w:sz w:val="24"/>
                <w:szCs w:val="24"/>
                <w:lang w:val="sv-SE"/>
              </w:rPr>
            </w:pPr>
            <w:r>
              <w:rPr>
                <w:sz w:val="22"/>
                <w:szCs w:val="22"/>
                <w:lang w:val="sv-SE"/>
              </w:rPr>
              <w:t>Hộ dân Nguyễn Đình Khang, thôn 4, xã Cẩm Quan (Nhà máy rác Cẩm Quan)</w:t>
            </w:r>
          </w:p>
        </w:tc>
        <w:tc>
          <w:tcPr>
            <w:tcW w:w="2519" w:type="dxa"/>
            <w:vAlign w:val="center"/>
          </w:tcPr>
          <w:p w14:paraId="15D9622B" w14:textId="77777777" w:rsidR="00085789" w:rsidRDefault="00000000">
            <w:pPr>
              <w:widowControl w:val="0"/>
              <w:spacing w:line="320" w:lineRule="exact"/>
              <w:jc w:val="both"/>
              <w:rPr>
                <w:sz w:val="24"/>
                <w:szCs w:val="24"/>
                <w:lang w:val="sv-SE"/>
              </w:rPr>
            </w:pPr>
            <w:r>
              <w:rPr>
                <w:sz w:val="22"/>
                <w:szCs w:val="22"/>
              </w:rPr>
              <w:t>Thôn 4, xã Cẩm Quan</w:t>
            </w:r>
          </w:p>
        </w:tc>
        <w:tc>
          <w:tcPr>
            <w:tcW w:w="2123" w:type="dxa"/>
            <w:vAlign w:val="center"/>
          </w:tcPr>
          <w:p w14:paraId="4F97C457" w14:textId="77777777" w:rsidR="00085789" w:rsidRDefault="00000000">
            <w:pPr>
              <w:widowControl w:val="0"/>
              <w:spacing w:line="320" w:lineRule="exact"/>
              <w:jc w:val="both"/>
              <w:rPr>
                <w:bCs/>
                <w:sz w:val="24"/>
                <w:szCs w:val="24"/>
                <w:lang w:val="sv-SE"/>
              </w:rPr>
            </w:pPr>
            <w:r>
              <w:rPr>
                <w:bCs/>
                <w:sz w:val="24"/>
                <w:szCs w:val="24"/>
                <w:lang w:val="sv-SE"/>
              </w:rPr>
              <w:t>Nay là xã Cẩm Xuyên</w:t>
            </w:r>
          </w:p>
        </w:tc>
      </w:tr>
      <w:tr w:rsidR="00085789" w14:paraId="18928C80" w14:textId="77777777">
        <w:trPr>
          <w:gridAfter w:val="1"/>
          <w:wAfter w:w="8" w:type="dxa"/>
          <w:trHeight w:val="315"/>
          <w:jc w:val="center"/>
        </w:trPr>
        <w:tc>
          <w:tcPr>
            <w:tcW w:w="618" w:type="dxa"/>
            <w:vAlign w:val="center"/>
          </w:tcPr>
          <w:p w14:paraId="13F700DA" w14:textId="77777777" w:rsidR="00085789" w:rsidRDefault="00000000">
            <w:pPr>
              <w:widowControl w:val="0"/>
              <w:spacing w:line="320" w:lineRule="exact"/>
              <w:jc w:val="center"/>
              <w:rPr>
                <w:bCs/>
                <w:sz w:val="24"/>
                <w:szCs w:val="24"/>
                <w:lang w:val="sv-SE"/>
              </w:rPr>
            </w:pPr>
            <w:r>
              <w:rPr>
                <w:bCs/>
                <w:sz w:val="24"/>
                <w:szCs w:val="24"/>
                <w:lang w:val="sv-SE"/>
              </w:rPr>
              <w:t>8</w:t>
            </w:r>
          </w:p>
        </w:tc>
        <w:tc>
          <w:tcPr>
            <w:tcW w:w="3821" w:type="dxa"/>
            <w:vAlign w:val="bottom"/>
          </w:tcPr>
          <w:p w14:paraId="05E86D49" w14:textId="77777777" w:rsidR="00085789" w:rsidRDefault="00000000">
            <w:pPr>
              <w:widowControl w:val="0"/>
              <w:spacing w:line="320" w:lineRule="exact"/>
              <w:jc w:val="both"/>
              <w:rPr>
                <w:sz w:val="24"/>
                <w:szCs w:val="24"/>
                <w:lang w:val="sv-SE"/>
              </w:rPr>
            </w:pPr>
            <w:r>
              <w:rPr>
                <w:spacing w:val="-4"/>
                <w:sz w:val="22"/>
                <w:szCs w:val="22"/>
                <w:lang w:val="sv-SE"/>
              </w:rPr>
              <w:t>Hộ dân Võ Tiến Phong, thôn Nam Phong,</w:t>
            </w:r>
            <w:r>
              <w:rPr>
                <w:sz w:val="22"/>
                <w:szCs w:val="22"/>
                <w:lang w:val="sv-SE"/>
              </w:rPr>
              <w:t xml:space="preserve"> xã Kỳ Phong</w:t>
            </w:r>
          </w:p>
        </w:tc>
        <w:tc>
          <w:tcPr>
            <w:tcW w:w="2519" w:type="dxa"/>
            <w:vAlign w:val="center"/>
          </w:tcPr>
          <w:p w14:paraId="40B544F0" w14:textId="77777777" w:rsidR="00085789" w:rsidRDefault="00000000">
            <w:pPr>
              <w:widowControl w:val="0"/>
              <w:spacing w:line="320" w:lineRule="exact"/>
              <w:jc w:val="both"/>
              <w:rPr>
                <w:sz w:val="24"/>
                <w:szCs w:val="24"/>
              </w:rPr>
            </w:pPr>
            <w:r>
              <w:rPr>
                <w:sz w:val="22"/>
                <w:szCs w:val="22"/>
              </w:rPr>
              <w:t>Thôn Nam Phong, xã Kỳ Phong</w:t>
            </w:r>
          </w:p>
        </w:tc>
        <w:tc>
          <w:tcPr>
            <w:tcW w:w="2123" w:type="dxa"/>
            <w:vAlign w:val="center"/>
          </w:tcPr>
          <w:p w14:paraId="0522869B" w14:textId="77777777" w:rsidR="00085789" w:rsidRDefault="00000000">
            <w:pPr>
              <w:widowControl w:val="0"/>
              <w:spacing w:line="320" w:lineRule="exact"/>
              <w:jc w:val="both"/>
              <w:rPr>
                <w:bCs/>
                <w:sz w:val="24"/>
                <w:szCs w:val="24"/>
              </w:rPr>
            </w:pPr>
            <w:r>
              <w:rPr>
                <w:bCs/>
                <w:sz w:val="24"/>
                <w:szCs w:val="24"/>
              </w:rPr>
              <w:t>Nay là xã Kỳ Xuân</w:t>
            </w:r>
          </w:p>
        </w:tc>
      </w:tr>
    </w:tbl>
    <w:p w14:paraId="4924DA13" w14:textId="77777777" w:rsidR="00085789" w:rsidRDefault="00085789">
      <w:pPr>
        <w:spacing w:line="240" w:lineRule="auto"/>
        <w:ind w:firstLine="720"/>
        <w:jc w:val="both"/>
        <w:rPr>
          <w:sz w:val="10"/>
          <w:szCs w:val="10"/>
        </w:rPr>
      </w:pPr>
    </w:p>
    <w:p w14:paraId="25CEE0FF" w14:textId="77777777" w:rsidR="00085789" w:rsidRDefault="00000000">
      <w:pPr>
        <w:widowControl w:val="0"/>
        <w:spacing w:before="120" w:line="240" w:lineRule="auto"/>
        <w:ind w:firstLine="709"/>
        <w:jc w:val="both"/>
        <w:rPr>
          <w:spacing w:val="-2"/>
          <w:sz w:val="26"/>
          <w:szCs w:val="26"/>
          <w:shd w:val="clear" w:color="auto" w:fill="FFFFFF"/>
        </w:rPr>
      </w:pPr>
      <w:r>
        <w:rPr>
          <w:spacing w:val="-2"/>
          <w:sz w:val="26"/>
          <w:szCs w:val="26"/>
          <w:shd w:val="clear" w:color="auto" w:fill="FFFFFF"/>
        </w:rPr>
        <w:lastRenderedPageBreak/>
        <w:t>Qua tổng hợp diễn biến nguồn nước dưới đất trên địa bàn tỉnh từ năm 2021 đến Quý II/2025, cho thấy: Diễn biến ô nhiễm nước dưới đất trên địa bàn tỉnh tại 03 vùng (vùng ven biển, vùng đồng bằng và vùng miền núi) có sự khác biệt. Trong đó: Các thông số đánh giá ô nhiễm (như TDS, độ cứng, Amoni, Clorua, Nitrat,…) tại vùng ven biển và một số khu vực vùng đồng bằng có nhiều hoạt động NTTS, công nghiệp cao hơn so với vùng miền núi; Một số vị trí thường xuyên có chỉ tiêu đánh giá cao còn có yếu tố của tự nhiên (như khu vực đất có chứa Ca</w:t>
      </w:r>
      <w:r>
        <w:rPr>
          <w:spacing w:val="-2"/>
          <w:sz w:val="26"/>
          <w:szCs w:val="26"/>
          <w:shd w:val="clear" w:color="auto" w:fill="FFFFFF"/>
          <w:vertAlign w:val="superscript"/>
        </w:rPr>
        <w:t>2+</w:t>
      </w:r>
      <w:r>
        <w:rPr>
          <w:spacing w:val="-2"/>
          <w:sz w:val="26"/>
          <w:szCs w:val="26"/>
          <w:shd w:val="clear" w:color="auto" w:fill="FFFFFF"/>
        </w:rPr>
        <w:t>, phèn hoặc nhiễm mặn,...), còn lại chất lượng đất trên địa bàn tỉnh trong giai đoạn vừa qua tương đối ổn định.</w:t>
      </w:r>
    </w:p>
    <w:p w14:paraId="0C9A652A" w14:textId="77777777" w:rsidR="00085789" w:rsidRDefault="00000000">
      <w:pPr>
        <w:widowControl w:val="0"/>
        <w:spacing w:before="120" w:line="240" w:lineRule="auto"/>
        <w:ind w:firstLine="709"/>
        <w:jc w:val="both"/>
        <w:rPr>
          <w:sz w:val="26"/>
          <w:szCs w:val="26"/>
        </w:rPr>
      </w:pPr>
      <w:r>
        <w:rPr>
          <w:sz w:val="26"/>
          <w:szCs w:val="26"/>
        </w:rPr>
        <w:t>Diễn biến chất lượng nguồn nước dưới đất trên địa bàn tỉnh qua từng năm (từ năm 2021 đến nay) cụ thể như sau:</w:t>
      </w:r>
    </w:p>
    <w:p w14:paraId="1A27BD86" w14:textId="77777777" w:rsidR="00085789" w:rsidRDefault="00000000">
      <w:pPr>
        <w:pStyle w:val="-bac3"/>
        <w:spacing w:before="120" w:after="0" w:line="240" w:lineRule="auto"/>
        <w:rPr>
          <w:smallCaps/>
          <w:lang w:val="nl-NL"/>
        </w:rPr>
      </w:pPr>
      <w:bookmarkStart w:id="757" w:name="_Toc214311241"/>
      <w:r>
        <w:rPr>
          <w:lang w:val="nl-NL"/>
        </w:rPr>
        <w:t>3.2.2.2. Diễn biến ô nhiễm nước dưới đất các vùng trên địa bàn tỉnh</w:t>
      </w:r>
      <w:bookmarkEnd w:id="757"/>
    </w:p>
    <w:p w14:paraId="019E792D" w14:textId="77777777" w:rsidR="00085789" w:rsidRDefault="00000000">
      <w:pPr>
        <w:pStyle w:val="hd1"/>
        <w:spacing w:before="120" w:after="0" w:line="240" w:lineRule="auto"/>
        <w:ind w:firstLine="709"/>
        <w:rPr>
          <w:rFonts w:ascii="Times New Roman" w:hAnsi="Times New Roman"/>
          <w:i/>
          <w:smallCaps/>
          <w:color w:val="auto"/>
          <w:sz w:val="26"/>
          <w:lang w:val="nl-NL"/>
        </w:rPr>
      </w:pPr>
      <w:r>
        <w:rPr>
          <w:rFonts w:ascii="Times New Roman" w:hAnsi="Times New Roman"/>
          <w:i/>
          <w:color w:val="auto"/>
          <w:sz w:val="26"/>
          <w:lang w:val="nl-NL"/>
        </w:rPr>
        <w:t>3.2.2.2.1. Diễn biến ô nhiễm nước dưới đất vùng ven biển</w:t>
      </w:r>
    </w:p>
    <w:p w14:paraId="379B6F5E" w14:textId="77777777" w:rsidR="00085789" w:rsidRDefault="00000000">
      <w:pPr>
        <w:widowControl w:val="0"/>
        <w:spacing w:before="120" w:line="240" w:lineRule="auto"/>
        <w:ind w:firstLine="709"/>
        <w:jc w:val="both"/>
        <w:rPr>
          <w:spacing w:val="-2"/>
          <w:sz w:val="26"/>
          <w:szCs w:val="26"/>
          <w:shd w:val="clear" w:color="auto" w:fill="FFFFFF"/>
          <w:lang w:val="nl-NL"/>
        </w:rPr>
      </w:pPr>
      <w:r>
        <w:rPr>
          <w:spacing w:val="-2"/>
          <w:sz w:val="26"/>
          <w:szCs w:val="26"/>
          <w:shd w:val="clear" w:color="auto" w:fill="FFFFFF"/>
          <w:lang w:val="nl-NL"/>
        </w:rPr>
        <w:t>Vùng ven biển của Hà Tĩnh trước đây bao gồm các địa phương ven biển thuộc các huyện Nghi Xuân, Thạch Hà, TP. Hà Tĩnh, Cẩm Xuyên, Kỳ Anh và thị xã Kỳ Anh, nay theo đơn vị hành chính mới là 16 xã. Để đánh giá diễn biến ô nhiễm tại các khu vực ven biển, nhất là các vị trí có sự tác động bởi các hoạt động phát triển kinh tế (du lịch, NTTS,...) và sinh hoạt, Báo cáo sử dụng kết quả của 16 điểm quan trắc mạng lưới để phân tích, đánh giá diễn biến ô nhiễm nguồn nước dưới đất vùng này, cụ thể diễn biến ô nhiễm như sau:</w:t>
      </w:r>
    </w:p>
    <w:p w14:paraId="610C2F95" w14:textId="77777777" w:rsidR="00085789" w:rsidRDefault="00000000">
      <w:pPr>
        <w:spacing w:line="240" w:lineRule="auto"/>
        <w:rPr>
          <w:b/>
          <w:noProof/>
          <w:spacing w:val="-4"/>
          <w:sz w:val="26"/>
          <w:szCs w:val="26"/>
          <w:lang w:val="nl-NL"/>
        </w:rPr>
      </w:pPr>
      <w:r>
        <w:rPr>
          <w:b/>
          <w:noProof/>
          <w:spacing w:val="-4"/>
          <w:sz w:val="26"/>
          <w:szCs w:val="26"/>
          <w:lang w:val="nl-NL"/>
        </w:rPr>
        <w:br w:type="page"/>
      </w:r>
    </w:p>
    <w:p w14:paraId="2B8A428B" w14:textId="77777777" w:rsidR="00085789" w:rsidRDefault="00085789">
      <w:pPr>
        <w:widowControl w:val="0"/>
        <w:spacing w:before="120" w:line="320" w:lineRule="exact"/>
        <w:ind w:firstLine="709"/>
        <w:jc w:val="both"/>
        <w:rPr>
          <w:b/>
          <w:noProof/>
          <w:spacing w:val="-4"/>
          <w:sz w:val="26"/>
          <w:szCs w:val="26"/>
          <w:lang w:val="nl-NL"/>
        </w:rPr>
        <w:sectPr w:rsidR="00085789">
          <w:headerReference w:type="default" r:id="rId90"/>
          <w:footerReference w:type="even" r:id="rId91"/>
          <w:footerReference w:type="default" r:id="rId92"/>
          <w:pgSz w:w="11909" w:h="16834" w:code="9"/>
          <w:pgMar w:top="1134" w:right="1134" w:bottom="1134" w:left="1701" w:header="680" w:footer="397" w:gutter="0"/>
          <w:cols w:space="720"/>
          <w:docGrid w:linePitch="381"/>
        </w:sectPr>
      </w:pPr>
    </w:p>
    <w:p w14:paraId="7227990C" w14:textId="77777777" w:rsidR="00085789" w:rsidRDefault="00000000">
      <w:pPr>
        <w:widowControl w:val="0"/>
        <w:spacing w:before="120" w:line="320" w:lineRule="exact"/>
        <w:ind w:firstLine="709"/>
        <w:jc w:val="both"/>
        <w:rPr>
          <w:b/>
          <w:noProof/>
          <w:spacing w:val="-4"/>
          <w:sz w:val="26"/>
          <w:szCs w:val="26"/>
          <w:lang w:val="nl-NL"/>
        </w:rPr>
      </w:pPr>
      <w:r>
        <w:rPr>
          <w:b/>
          <w:noProof/>
          <w:spacing w:val="-4"/>
          <w:sz w:val="26"/>
          <w:szCs w:val="26"/>
          <w:lang w:val="nl-NL"/>
        </w:rPr>
        <w:lastRenderedPageBreak/>
        <w:t xml:space="preserve">(1) Diễn biến độ pH nước dưới đất vùng ven biển </w:t>
      </w:r>
      <w:r>
        <w:rPr>
          <w:b/>
          <w:noProof/>
          <w:spacing w:val="-4"/>
          <w:sz w:val="26"/>
          <w:szCs w:val="26"/>
          <w:lang w:val="pt-BR"/>
        </w:rPr>
        <w:t>từ năm 2021-Quý II/2025</w:t>
      </w:r>
      <w:r>
        <w:rPr>
          <w:b/>
          <w:noProof/>
          <w:spacing w:val="-4"/>
          <w:sz w:val="26"/>
          <w:szCs w:val="26"/>
          <w:lang w:val="nl-NL"/>
        </w:rPr>
        <w:t>:</w:t>
      </w:r>
    </w:p>
    <w:p w14:paraId="7427574B"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0D2EF4CB" wp14:editId="5D71C70B">
            <wp:extent cx="9039225" cy="2968831"/>
            <wp:effectExtent l="0" t="0" r="9525" b="3175"/>
            <wp:docPr id="686527799" name="Chart 1">
              <a:extLst xmlns:a="http://schemas.openxmlformats.org/drawingml/2006/main">
                <a:ext uri="{FF2B5EF4-FFF2-40B4-BE49-F238E27FC236}">
                  <a16:creationId xmlns:a16="http://schemas.microsoft.com/office/drawing/2014/main" id="{6E58EBBA-4AB5-4E1F-AD6C-D45C27756D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244CD4DB" w14:textId="77777777" w:rsidR="00085789" w:rsidRDefault="00000000">
      <w:pPr>
        <w:pStyle w:val="-bac4"/>
        <w:rPr>
          <w:lang w:val="nl-NL"/>
        </w:rPr>
      </w:pPr>
      <w:bookmarkStart w:id="758" w:name="_Toc205915759"/>
      <w:bookmarkStart w:id="759" w:name="_Toc213597454"/>
      <w:bookmarkStart w:id="760" w:name="_Toc213600804"/>
      <w:r>
        <w:rPr>
          <w:lang w:val="nl-NL"/>
        </w:rPr>
        <w:t>Hình 3.51. Diễn biến độ pH trong nước dưới đất vùng ven biển</w:t>
      </w:r>
      <w:bookmarkEnd w:id="758"/>
      <w:bookmarkEnd w:id="759"/>
      <w:bookmarkEnd w:id="760"/>
    </w:p>
    <w:p w14:paraId="328E8BBC" w14:textId="77777777" w:rsidR="00085789" w:rsidRDefault="00000000">
      <w:pPr>
        <w:widowControl w:val="0"/>
        <w:spacing w:before="120" w:line="340" w:lineRule="exact"/>
        <w:ind w:firstLine="709"/>
        <w:jc w:val="both"/>
        <w:rPr>
          <w:noProof/>
          <w:sz w:val="26"/>
          <w:szCs w:val="26"/>
          <w:u w:val="single"/>
          <w:lang w:val="nl-NL"/>
        </w:rPr>
      </w:pPr>
      <w:r>
        <w:rPr>
          <w:i/>
          <w:noProof/>
          <w:sz w:val="26"/>
          <w:szCs w:val="26"/>
          <w:u w:val="single"/>
          <w:lang w:val="nl-NL"/>
        </w:rPr>
        <w:t>Nhận xét:</w:t>
      </w:r>
    </w:p>
    <w:p w14:paraId="21936B4A" w14:textId="77777777" w:rsidR="00085789" w:rsidRDefault="00000000">
      <w:pPr>
        <w:widowControl w:val="0"/>
        <w:spacing w:before="120" w:line="340" w:lineRule="exact"/>
        <w:ind w:firstLine="709"/>
        <w:jc w:val="both"/>
        <w:rPr>
          <w:noProof/>
          <w:sz w:val="26"/>
          <w:szCs w:val="26"/>
          <w:lang w:val="nl-NL"/>
        </w:rPr>
      </w:pPr>
      <w:r>
        <w:rPr>
          <w:noProof/>
          <w:sz w:val="26"/>
          <w:szCs w:val="26"/>
          <w:lang w:val="nl-NL"/>
        </w:rPr>
        <w:t>- Năm 2021-2022: Năm 2021, độ pH nguồn nước dưới đất tại thôn Quang Trung, xã Kỳ Xuân thấp hơn giới hạn cho phép theo QCVN 09-MT:2015/BTNMT 1,09 lần, tại thôn Trung Tiến xã Kỳ Khang thấp hơn 1,25 lần là các vị trí có độ pH dưới ngưỡng nhưng ngưỡng thấp nhỏ; Độ pH nguồn nước dưới đất các vị trí còn lại vùng ven biển đang nằm trong ngưỡng giới hạn cho phép theo quy chuẩn. Năm 2022, độ pH nguồn nước dưới đất ở tất cả các vị trí quan trắc vùng ven biển đều đạt giá trị giới hạn theo QCVN 09-MT:2015/BTNMT.</w:t>
      </w:r>
    </w:p>
    <w:p w14:paraId="2F87AE01" w14:textId="77777777" w:rsidR="00085789" w:rsidRDefault="00000000">
      <w:pPr>
        <w:widowControl w:val="0"/>
        <w:spacing w:before="120" w:line="340" w:lineRule="exact"/>
        <w:ind w:firstLine="709"/>
        <w:jc w:val="both"/>
        <w:rPr>
          <w:noProof/>
          <w:sz w:val="26"/>
          <w:szCs w:val="26"/>
          <w:lang w:val="nl-NL"/>
        </w:rPr>
      </w:pPr>
      <w:r>
        <w:rPr>
          <w:noProof/>
          <w:sz w:val="26"/>
          <w:szCs w:val="26"/>
          <w:lang w:val="nl-NL"/>
        </w:rPr>
        <w:t>- Năm 2023-Quý II/2025: Năm 2023, độ pH nguồn nước dưới đất tại thôn Trung Tiến, xã Kỳ Khang thấp hơn so với QCVN 09:2023/BTNMT 1,05 lần; độ pH nguồn nước dưới đất tại các vị trí còn lại đều nằm trong quy chuẩn cho phép. Từ năm 2024 đến nay, độ pH nguồn nước dưới đất vùng ven biển tại tất cả các vị trí quan trắc đang nằm trong ngưỡng giới hạn cho phép theo quy chuẩn.</w:t>
      </w:r>
    </w:p>
    <w:p w14:paraId="032B3814"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lastRenderedPageBreak/>
        <w:t xml:space="preserve">(2) Diễn biến hàm lượng Coliform nước dưới đất vùng ven biển </w:t>
      </w:r>
      <w:r>
        <w:rPr>
          <w:b/>
          <w:noProof/>
          <w:spacing w:val="-4"/>
          <w:sz w:val="26"/>
          <w:szCs w:val="26"/>
          <w:lang w:val="pt-BR"/>
        </w:rPr>
        <w:t>từ năm 2021-Quý II/2025</w:t>
      </w:r>
      <w:r>
        <w:rPr>
          <w:b/>
          <w:noProof/>
          <w:spacing w:val="-4"/>
          <w:sz w:val="26"/>
          <w:szCs w:val="26"/>
          <w:lang w:val="nl-NL"/>
        </w:rPr>
        <w:t>:</w:t>
      </w:r>
    </w:p>
    <w:p w14:paraId="2C131755"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0EDCCC8" wp14:editId="6DD6020D">
            <wp:extent cx="9058275" cy="2628900"/>
            <wp:effectExtent l="0" t="0" r="9525" b="0"/>
            <wp:docPr id="297281999" name="Chart 1">
              <a:extLst xmlns:a="http://schemas.openxmlformats.org/drawingml/2006/main">
                <a:ext uri="{FF2B5EF4-FFF2-40B4-BE49-F238E27FC236}">
                  <a16:creationId xmlns:a16="http://schemas.microsoft.com/office/drawing/2014/main" id="{0A0E9B7D-DAD8-4285-AAFD-13816F04A7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7372D6F8" w14:textId="77777777" w:rsidR="00085789" w:rsidRDefault="00000000">
      <w:pPr>
        <w:pStyle w:val="-bac4"/>
        <w:rPr>
          <w:lang w:val="nl-NL"/>
        </w:rPr>
      </w:pPr>
      <w:bookmarkStart w:id="761" w:name="_Toc205915760"/>
      <w:bookmarkStart w:id="762" w:name="_Toc213597455"/>
      <w:bookmarkStart w:id="763" w:name="_Toc213600805"/>
      <w:r>
        <w:rPr>
          <w:lang w:val="nl-NL"/>
        </w:rPr>
        <w:t>Hình 3.52. Diễn biến hàm lượng Coliform trong nước dưới đất vùng ven biển</w:t>
      </w:r>
      <w:bookmarkEnd w:id="761"/>
      <w:bookmarkEnd w:id="762"/>
      <w:bookmarkEnd w:id="763"/>
    </w:p>
    <w:p w14:paraId="17ADD6B1"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311FBAD"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Năm 2021, hàm lượng Coliform nguồn nước dưới đất tại thôn Quang Trung, xã Kỳ Xuân và thôn Trung Tiến, xã Kỳ Khang nằm trong giới hạn cho phép theo QCVN 09-MT:2015/BTNMT; hàm lượng Coliform nguồn nước dưới đất các vị trí còn lại vùng ven biển đang vượt ngưỡng giới hạn cho phép theo quy chuẩn từ 1,58-29,08 lần. Năm 2022, hàm lượng Coliform nguồn nước dưới đất ở tất cả các vị trí quan trắc vùng ven biển đều vượt ngưỡng giá trị giới hạn theo QCVN 09-MT:2015/BTNMT từ 1,08-42,17 lần.</w:t>
      </w:r>
    </w:p>
    <w:p w14:paraId="63F0D83D"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2023-Quý II/2025: Năm 2023, hàm lượng Coliform nguồn nước dưới đất tại tất cả các vị trí quan trắc vùng ven biển đều vượt ngưỡng giá trị giới hạn theo QCVN 09:2023/BTNMT từ 4,17-61,5 lần. Năm 2024, hàm lượng Coliform nguồn nước dưới đất tại tất cả các vị trí quan trắc vùng ven biển đều vượt ngưỡng giá trị giới hạn theo QCVN 09:2023/BTNMT từ 4,17-61,5 lần. Quý II/2025: hàm lượng Coliform nguồn nước dưới đất tại thôn Hội Thủy thuộc xã Xuân Hội, thôn Liên Tân thuộc xã Thạch Kim và làng Hải Thanh thuộc xã Kỳ Lợi trước đây đang nằm trong giới hạn cho phép, hàm lượng Coliform nguồn nước dưới đất tại các vị trí còn lại đề vượt ngưỡng giá trị giới hạn từ 1,33-16,33 lần.</w:t>
      </w:r>
    </w:p>
    <w:p w14:paraId="29A48570" w14:textId="77777777" w:rsidR="00085789" w:rsidRDefault="00000000">
      <w:pPr>
        <w:widowControl w:val="0"/>
        <w:spacing w:before="120" w:line="240" w:lineRule="auto"/>
        <w:ind w:firstLine="709"/>
        <w:jc w:val="both"/>
        <w:rPr>
          <w:b/>
          <w:noProof/>
          <w:spacing w:val="-4"/>
          <w:sz w:val="26"/>
          <w:szCs w:val="26"/>
          <w:lang w:val="nl-NL"/>
        </w:rPr>
      </w:pPr>
      <w:r>
        <w:rPr>
          <w:noProof/>
          <w:sz w:val="26"/>
          <w:szCs w:val="26"/>
          <w:lang w:val="nl-NL"/>
        </w:rPr>
        <w:t>=&gt; Nguyên nhân: Nhìn chung, hàm lượng Coliform nguồn nước dưới đất tại các vị trí quan trắc hầu hết đều vượt quy chuẩn cho phép, nhất là tại các khu vực có hoạt động NTTS, chế biến hải sản, chăn nuôi và tập trung đông dân cư.</w:t>
      </w:r>
      <w:r>
        <w:rPr>
          <w:b/>
          <w:noProof/>
          <w:spacing w:val="-4"/>
          <w:sz w:val="26"/>
          <w:szCs w:val="26"/>
          <w:lang w:val="nl-NL"/>
        </w:rPr>
        <w:br w:type="page"/>
      </w:r>
    </w:p>
    <w:p w14:paraId="279FEC09"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lastRenderedPageBreak/>
        <w:t xml:space="preserve">(3) Diễn biến hàm lượng Nitrat nước dưới đất vùng ven biển </w:t>
      </w:r>
      <w:r>
        <w:rPr>
          <w:b/>
          <w:noProof/>
          <w:spacing w:val="-4"/>
          <w:sz w:val="26"/>
          <w:szCs w:val="26"/>
          <w:lang w:val="pt-BR"/>
        </w:rPr>
        <w:t>từ năm 2021-Quý II/2025</w:t>
      </w:r>
      <w:r>
        <w:rPr>
          <w:b/>
          <w:noProof/>
          <w:spacing w:val="-4"/>
          <w:sz w:val="26"/>
          <w:szCs w:val="26"/>
          <w:lang w:val="nl-NL"/>
        </w:rPr>
        <w:t>:</w:t>
      </w:r>
    </w:p>
    <w:p w14:paraId="3D2EE0A6"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46198E0E" wp14:editId="5D6B8720">
            <wp:extent cx="9086850" cy="2352675"/>
            <wp:effectExtent l="0" t="0" r="0" b="9525"/>
            <wp:docPr id="402703679" name="Chart 1">
              <a:extLst xmlns:a="http://schemas.openxmlformats.org/drawingml/2006/main">
                <a:ext uri="{FF2B5EF4-FFF2-40B4-BE49-F238E27FC236}">
                  <a16:creationId xmlns:a16="http://schemas.microsoft.com/office/drawing/2014/main" id="{5155EA2F-91E0-4BB2-B062-7C5A02E5F6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4A6D0FCE" w14:textId="77777777" w:rsidR="00085789" w:rsidRDefault="00000000">
      <w:pPr>
        <w:pStyle w:val="-bac4"/>
        <w:rPr>
          <w:lang w:val="nl-NL"/>
        </w:rPr>
      </w:pPr>
      <w:bookmarkStart w:id="764" w:name="_Toc205915761"/>
      <w:bookmarkStart w:id="765" w:name="_Toc213597456"/>
      <w:bookmarkStart w:id="766" w:name="_Toc213600806"/>
      <w:r>
        <w:rPr>
          <w:lang w:val="nl-NL"/>
        </w:rPr>
        <w:t>Hình 3.53. Diễn biến hàm lượng Nitrat trong nước dưới đất vùng ven biển</w:t>
      </w:r>
      <w:bookmarkEnd w:id="764"/>
      <w:bookmarkEnd w:id="765"/>
      <w:bookmarkEnd w:id="766"/>
    </w:p>
    <w:p w14:paraId="550420F6"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1A715004"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Năm 2021, hàm lượng Nitrat nguồn nước dưới đất tại xóm Hội Thủy, xã Xuân Hội trước đây vượt giá trị giới hạn theo QCVN 09-MT:2015/BTNMT 1,62 lần; hàm lượng Nitrat nguồn nước dưới đất các vị trí còn lại đang nằm trong giới hạn cho phép theo quy chuẩn. Năm 2022, hàm lượng Nitrat nguồn nước dưới đất ở tất cả các vị trí quan trắc vùng ven biển đều đạt giá trị giới hạn theo QCVN 09-MT:2015/BTNMT.</w:t>
      </w:r>
    </w:p>
    <w:p w14:paraId="08176A5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2023-Quý II/2025: Năm 2023, hàm lượng Nitrat nguồn nước dưới đất tại tại xóm Hội Thủy, xã Xuân Hội trước đây vượt giá trị giới hạn theo QCVN 09:2023/BTNMT 1,37 lần; hàm lượng Nitrat nguồn nước dưới đất các vị trí còn lại đang nằm trong giới hạn cho phép theo quy chuẩn. Năm 2024, hàm lượng Nitrat nguồn nước dưới đất tại tại xóm Hội Thủy, xã Xuân Hội trước đây vượt giá trị giới hạn theo QCVN 09:2023/BTNMT 1,49 lần; hàm lượng Nitrat nguồn nước dưới đất các vị trí còn lại đang nằm trong giới hạn cho phép theo quy chuẩn. Quý II/2025: Hàm lượng Nitrat nguồn nước dưới đất ở tất cả các vị trí quan trắc vùng ven biển đều đạt giá trị giới hạn theo QCVN 09:2023/BTNMT.</w:t>
      </w:r>
    </w:p>
    <w:p w14:paraId="055770FD"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=&gt; Nguyên nhân: Nhìn chung, hàm lượng Nitrat nguồn nước dưới đất tại các vị trí quan trắc vượt quy chuẩn cho phép tập tung tại các khu vực có hoạt động NTTS, chế biến, kinh doanh hải sản và tập trung đông dân cư, như: Xóm Hội Thủy, xã Xuân Hội; thôn Xuân Nam, xã Cẩm Nhượng; làng Hải Phong, xã Kỳ Lợi trước đây là các vị trí có hàm lượng Nitrat cao.</w:t>
      </w:r>
    </w:p>
    <w:p w14:paraId="0696442C"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lastRenderedPageBreak/>
        <w:t>(4) Diễn biến hàm lượng Amoni (NH</w:t>
      </w:r>
      <w:r>
        <w:rPr>
          <w:b/>
          <w:noProof/>
          <w:spacing w:val="-4"/>
          <w:sz w:val="26"/>
          <w:szCs w:val="26"/>
          <w:vertAlign w:val="subscript"/>
          <w:lang w:val="nl-NL"/>
        </w:rPr>
        <w:t>4</w:t>
      </w:r>
      <w:r>
        <w:rPr>
          <w:b/>
          <w:noProof/>
          <w:spacing w:val="-4"/>
          <w:sz w:val="26"/>
          <w:szCs w:val="26"/>
          <w:vertAlign w:val="superscript"/>
          <w:lang w:val="nl-NL"/>
        </w:rPr>
        <w:t>+</w:t>
      </w:r>
      <w:r>
        <w:rPr>
          <w:b/>
          <w:noProof/>
          <w:spacing w:val="-4"/>
          <w:sz w:val="26"/>
          <w:szCs w:val="26"/>
          <w:lang w:val="nl-NL"/>
        </w:rPr>
        <w:t xml:space="preserve">-N) nước dưới đất vùng ven biển </w:t>
      </w:r>
      <w:r>
        <w:rPr>
          <w:b/>
          <w:noProof/>
          <w:spacing w:val="-4"/>
          <w:sz w:val="26"/>
          <w:szCs w:val="26"/>
          <w:lang w:val="pt-BR"/>
        </w:rPr>
        <w:t>từ năm 2021-Quý II/2025</w:t>
      </w:r>
      <w:r>
        <w:rPr>
          <w:b/>
          <w:noProof/>
          <w:spacing w:val="-4"/>
          <w:sz w:val="26"/>
          <w:szCs w:val="26"/>
          <w:lang w:val="nl-NL"/>
        </w:rPr>
        <w:t>:</w:t>
      </w:r>
    </w:p>
    <w:p w14:paraId="4DC2108B" w14:textId="77777777" w:rsidR="00085789" w:rsidRDefault="00000000">
      <w:pPr>
        <w:widowControl w:val="0"/>
        <w:spacing w:before="120" w:line="240" w:lineRule="auto"/>
        <w:jc w:val="both"/>
        <w:rPr>
          <w:b/>
          <w:noProof/>
          <w:spacing w:val="-4"/>
          <w:sz w:val="26"/>
          <w:szCs w:val="26"/>
          <w:lang w:val="nl-NL"/>
        </w:rPr>
      </w:pPr>
      <w:r>
        <w:rPr>
          <w:noProof/>
        </w:rPr>
        <w:drawing>
          <wp:anchor distT="0" distB="0" distL="114300" distR="114300" simplePos="0" relativeHeight="251991552" behindDoc="0" locked="0" layoutInCell="1" allowOverlap="1" wp14:anchorId="012BC0E1" wp14:editId="06931A95">
            <wp:simplePos x="0" y="0"/>
            <wp:positionH relativeFrom="column">
              <wp:posOffset>-207</wp:posOffset>
            </wp:positionH>
            <wp:positionV relativeFrom="paragraph">
              <wp:posOffset>75314</wp:posOffset>
            </wp:positionV>
            <wp:extent cx="9048750" cy="2434442"/>
            <wp:effectExtent l="0" t="0" r="0" b="4445"/>
            <wp:wrapTopAndBottom/>
            <wp:docPr id="1911731184" name="Chart 1">
              <a:extLst xmlns:a="http://schemas.openxmlformats.org/drawingml/2006/main">
                <a:ext uri="{FF2B5EF4-FFF2-40B4-BE49-F238E27FC236}">
                  <a16:creationId xmlns:a16="http://schemas.microsoft.com/office/drawing/2014/main" id="{A03B5635-75AB-4D37-88D8-0E351D0594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14:sizeRelH relativeFrom="page">
              <wp14:pctWidth>0</wp14:pctWidth>
            </wp14:sizeRelH>
            <wp14:sizeRelV relativeFrom="page">
              <wp14:pctHeight>0</wp14:pctHeight>
            </wp14:sizeRelV>
          </wp:anchor>
        </w:drawing>
      </w:r>
    </w:p>
    <w:p w14:paraId="2901860E" w14:textId="77777777" w:rsidR="00085789" w:rsidRDefault="00000000">
      <w:pPr>
        <w:pStyle w:val="-bac4"/>
        <w:spacing w:before="120" w:after="0" w:line="240" w:lineRule="auto"/>
        <w:rPr>
          <w:lang w:val="nl-NL"/>
        </w:rPr>
      </w:pPr>
      <w:bookmarkStart w:id="767" w:name="_Toc205915762"/>
      <w:bookmarkStart w:id="768" w:name="_Toc213597457"/>
      <w:bookmarkStart w:id="769" w:name="_Toc213600807"/>
      <w:r>
        <w:rPr>
          <w:lang w:val="nl-NL"/>
        </w:rPr>
        <w:t>Hình 3.54. Diễn biến hàm lượng Amoni trong nước dưới đất vùng ven biển</w:t>
      </w:r>
      <w:bookmarkEnd w:id="767"/>
      <w:bookmarkEnd w:id="768"/>
      <w:bookmarkEnd w:id="769"/>
    </w:p>
    <w:p w14:paraId="3A808D98"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0C4D722"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Amoni nguồn nước dưới đất tại xóm Đại Tiến thuộc xã Thạch Trị, thôn Trường Xuân thuộc xã Đỉnh Bàn, làng Hải Thanh thuộc xã Kỳ Lợi </w:t>
      </w:r>
      <w:r>
        <w:rPr>
          <w:noProof/>
          <w:sz w:val="26"/>
          <w:szCs w:val="26"/>
          <w:lang w:val="nl-NL"/>
        </w:rPr>
        <w:t xml:space="preserve">trước đây </w:t>
      </w:r>
      <w:r>
        <w:rPr>
          <w:noProof/>
          <w:spacing w:val="-2"/>
          <w:sz w:val="26"/>
          <w:szCs w:val="26"/>
          <w:lang w:val="nl-NL"/>
        </w:rPr>
        <w:t>đều vượt giá trị giới hạn theo QCVN 09-MT:2015/BTNMT từ 1,15-6,0 lần; hàm lượng Amoni nguồn nước dưới đất các vị trí còn lại đang nằm trong giới hạn cho phép theo quy chuẩn. Năm 2022, hàm lượng Amoni nguồn nước dưới đất tại xã Kỳ Lợi vượt giá trị giới hạn theo QCVN 09-MT:2015/BTNMT 11,85 lần; hàm lượng Amoni nguồn nước dưới đất các vị trí còn lại đang nằm trong giới hạn cho phép theo quy chuẩn.</w:t>
      </w:r>
    </w:p>
    <w:p w14:paraId="4A7E282A"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Amoni nguồn nước dưới đất tại làng Hải Thanh, xã Kỳ Lợi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6.67 lần; hàm lượng Amoni nguồn nước dưới đất các vị trí còn lại đang nằm trong giới hạn cho phép theo quy chuẩn</w:t>
      </w:r>
      <w:r>
        <w:rPr>
          <w:noProof/>
          <w:sz w:val="26"/>
          <w:szCs w:val="26"/>
          <w:lang w:val="nl-NL"/>
        </w:rPr>
        <w:t xml:space="preserve">. Năm 2024, hàm lượng </w:t>
      </w:r>
      <w:r>
        <w:rPr>
          <w:noProof/>
          <w:spacing w:val="-2"/>
          <w:sz w:val="26"/>
          <w:szCs w:val="26"/>
          <w:lang w:val="nl-NL"/>
        </w:rPr>
        <w:t>Amoni</w:t>
      </w:r>
      <w:r>
        <w:rPr>
          <w:noProof/>
          <w:sz w:val="26"/>
          <w:szCs w:val="26"/>
          <w:lang w:val="nl-NL"/>
        </w:rPr>
        <w:t xml:space="preserve"> nguồn nước dưới đất tại tại xóm Đại Tiến thuộc xã Thạch Trị, thôn Trường An thuộc xã Xuân Phổ và làng Hải Thanh thuộc xã Kỳ Lợi trước đây vượt giá trị giới hạn theo QCVN 09:2023/BTNMT từ 1,15-4,32 lần; hàm lượng </w:t>
      </w:r>
      <w:r>
        <w:rPr>
          <w:noProof/>
          <w:spacing w:val="-2"/>
          <w:sz w:val="26"/>
          <w:szCs w:val="26"/>
          <w:lang w:val="nl-NL"/>
        </w:rPr>
        <w:t>Amoni</w:t>
      </w:r>
      <w:r>
        <w:rPr>
          <w:noProof/>
          <w:sz w:val="26"/>
          <w:szCs w:val="26"/>
          <w:lang w:val="nl-NL"/>
        </w:rPr>
        <w:t xml:space="preserve"> nguồn nước dưới đất các vị trí còn lại đang nằm trong giới hạn cho phép theo quy chuẩn. Quý II/2025: Hàm lượng </w:t>
      </w:r>
      <w:r>
        <w:rPr>
          <w:noProof/>
          <w:spacing w:val="-2"/>
          <w:sz w:val="26"/>
          <w:szCs w:val="26"/>
          <w:lang w:val="nl-NL"/>
        </w:rPr>
        <w:t>Amoni</w:t>
      </w:r>
      <w:r>
        <w:rPr>
          <w:noProof/>
          <w:sz w:val="26"/>
          <w:szCs w:val="26"/>
          <w:lang w:val="nl-NL"/>
        </w:rPr>
        <w:t xml:space="preserve"> nguồn nước dưới đất ở tất cả các vị trí quan trắc vùng ven biển đều đạt giá trị giới hạn theo QCVN 09:2023/BTNMT.</w:t>
      </w:r>
    </w:p>
    <w:p w14:paraId="64D7B3FD" w14:textId="77777777" w:rsidR="00085789" w:rsidRDefault="00000000">
      <w:pPr>
        <w:widowControl w:val="0"/>
        <w:spacing w:line="340" w:lineRule="exact"/>
        <w:ind w:firstLine="709"/>
        <w:jc w:val="both"/>
        <w:rPr>
          <w:noProof/>
          <w:sz w:val="26"/>
          <w:szCs w:val="26"/>
          <w:lang w:val="nl-NL"/>
        </w:rPr>
      </w:pPr>
      <w:r>
        <w:rPr>
          <w:noProof/>
          <w:sz w:val="26"/>
          <w:szCs w:val="26"/>
          <w:lang w:val="nl-NL"/>
        </w:rPr>
        <w:t xml:space="preserve">=&gt; Nguyên nhân: Nhìn chung, hàm lượng </w:t>
      </w:r>
      <w:r>
        <w:rPr>
          <w:noProof/>
          <w:spacing w:val="-2"/>
          <w:sz w:val="26"/>
          <w:szCs w:val="26"/>
          <w:lang w:val="nl-NL"/>
        </w:rPr>
        <w:t>Amoni</w:t>
      </w:r>
      <w:r>
        <w:rPr>
          <w:noProof/>
          <w:sz w:val="26"/>
          <w:szCs w:val="26"/>
          <w:lang w:val="nl-NL"/>
        </w:rPr>
        <w:t xml:space="preserve"> nguồn nước dưới đất tại vùng ven biển về cơ bản đang đáp ứng theo quy chuẩn, </w:t>
      </w:r>
      <w:r>
        <w:rPr>
          <w:noProof/>
          <w:sz w:val="26"/>
          <w:szCs w:val="26"/>
          <w:lang w:val="nl-NL"/>
        </w:rPr>
        <w:lastRenderedPageBreak/>
        <w:t>chỉ tập trung vượt quy chuẩn chính tại khu vực làng Hải Phong, xã Kỳ Lợi trước đây. Đây là khu vực có hoạt động NTTS, đánh bắt và kinh doanh hải sản nên lượng Amoni trong nước cao.</w:t>
      </w:r>
    </w:p>
    <w:p w14:paraId="4220DDDB"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t xml:space="preserve">(5) Diễn biến hàm lượng Tổng chất rắn hòa tan (TDS) nước dưới đất vùng ven biển </w:t>
      </w:r>
      <w:r>
        <w:rPr>
          <w:b/>
          <w:noProof/>
          <w:spacing w:val="-4"/>
          <w:sz w:val="26"/>
          <w:szCs w:val="26"/>
          <w:lang w:val="pt-BR"/>
        </w:rPr>
        <w:t>từ năm 2021-Quý II/2025</w:t>
      </w:r>
      <w:r>
        <w:rPr>
          <w:b/>
          <w:noProof/>
          <w:spacing w:val="-4"/>
          <w:sz w:val="26"/>
          <w:szCs w:val="26"/>
          <w:lang w:val="nl-NL"/>
        </w:rPr>
        <w:t>:</w:t>
      </w:r>
    </w:p>
    <w:p w14:paraId="01EBF873"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546F8B5D" wp14:editId="56424DD3">
            <wp:extent cx="9048115" cy="2530549"/>
            <wp:effectExtent l="0" t="0" r="635" b="3175"/>
            <wp:docPr id="1443621014" name="Chart 1">
              <a:extLst xmlns:a="http://schemas.openxmlformats.org/drawingml/2006/main">
                <a:ext uri="{FF2B5EF4-FFF2-40B4-BE49-F238E27FC236}">
                  <a16:creationId xmlns:a16="http://schemas.microsoft.com/office/drawing/2014/main" id="{D57A0780-665D-4D8F-A28F-F9895EC0BF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54A6F7BE" w14:textId="77777777" w:rsidR="00085789" w:rsidRDefault="00000000">
      <w:pPr>
        <w:pStyle w:val="-bac4"/>
        <w:rPr>
          <w:lang w:val="nl-NL"/>
        </w:rPr>
      </w:pPr>
      <w:bookmarkStart w:id="770" w:name="_Toc205915763"/>
      <w:bookmarkStart w:id="771" w:name="_Toc213597458"/>
      <w:bookmarkStart w:id="772" w:name="_Toc213600808"/>
      <w:r>
        <w:rPr>
          <w:lang w:val="nl-NL"/>
        </w:rPr>
        <w:t>Hình 3.55. Diễn biến hàm lượng TDS trong nước dưới đất vùng ven biển</w:t>
      </w:r>
      <w:bookmarkEnd w:id="770"/>
      <w:bookmarkEnd w:id="771"/>
      <w:bookmarkEnd w:id="772"/>
    </w:p>
    <w:p w14:paraId="247B150F"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0E3B38C"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TDS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1,16 lần; hàm lượng TDS nguồn nước dưới đất các vị trí còn lại đang nằm trong giới hạn cho phép theo quy chuẩn. Năm 2022, hàm lượng TDS nguồn nước dưới đất tại xóm Đại Tiến, xã Thạch Trị </w:t>
      </w:r>
      <w:r>
        <w:rPr>
          <w:noProof/>
          <w:sz w:val="26"/>
          <w:szCs w:val="26"/>
          <w:lang w:val="nl-NL"/>
        </w:rPr>
        <w:t xml:space="preserve">trước đây </w:t>
      </w:r>
      <w:r>
        <w:rPr>
          <w:noProof/>
          <w:spacing w:val="-2"/>
          <w:sz w:val="26"/>
          <w:szCs w:val="26"/>
          <w:lang w:val="nl-NL"/>
        </w:rPr>
        <w:t>vượt giá trị giới hạn theo QCVN 09-MT:2015/BTNMT 1,39 lần; hàm lượng TDS nguồn nước dưới đất các vị trí còn lại đang nằm trong giới hạn cho phép theo quy chuẩn.</w:t>
      </w:r>
    </w:p>
    <w:p w14:paraId="5A6BC631"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TDS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1,33 lần; hàm lượng TDS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TDS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1,46 lần; hàm lượng TDS nguồn nước dưới đất các vị trí còn lại đang nằm trong giới hạn cho phép theo quy chuẩn</w:t>
      </w:r>
      <w:r>
        <w:rPr>
          <w:noProof/>
          <w:sz w:val="26"/>
          <w:szCs w:val="26"/>
          <w:lang w:val="nl-NL"/>
        </w:rPr>
        <w:t>. Quý II/2025: Hàm lượng TDS nguồn nước dưới đất ở tất cả các vị trí quan trắc vùng ven biển đều đạt giá trị giới hạn theo QCVN 09:2023/BTNMT.</w:t>
      </w:r>
    </w:p>
    <w:p w14:paraId="739F38D0" w14:textId="77777777" w:rsidR="00085789" w:rsidRDefault="00000000">
      <w:pPr>
        <w:widowControl w:val="0"/>
        <w:spacing w:line="340" w:lineRule="exact"/>
        <w:ind w:firstLine="709"/>
        <w:jc w:val="both"/>
        <w:rPr>
          <w:noProof/>
          <w:sz w:val="26"/>
          <w:szCs w:val="26"/>
          <w:lang w:val="nl-NL"/>
        </w:rPr>
      </w:pPr>
      <w:r>
        <w:rPr>
          <w:noProof/>
          <w:sz w:val="26"/>
          <w:szCs w:val="26"/>
          <w:lang w:val="nl-NL"/>
        </w:rPr>
        <w:lastRenderedPageBreak/>
        <w:t xml:space="preserve">=&gt; Nguyên nhân: Nhìn chung, hàm lượng </w:t>
      </w:r>
      <w:r>
        <w:rPr>
          <w:noProof/>
          <w:spacing w:val="-2"/>
          <w:sz w:val="26"/>
          <w:szCs w:val="26"/>
          <w:lang w:val="nl-NL"/>
        </w:rPr>
        <w:t>TDS</w:t>
      </w:r>
      <w:r>
        <w:rPr>
          <w:noProof/>
          <w:sz w:val="26"/>
          <w:szCs w:val="26"/>
          <w:lang w:val="nl-NL"/>
        </w:rPr>
        <w:t xml:space="preserve"> nguồn nước dưới đất tại vùng ven biển về cơ bản đang đáp ứng theo quy chuẩn, chỉ tập trung vượt quy chuẩn chính tại khu vực </w:t>
      </w:r>
      <w:r>
        <w:rPr>
          <w:noProof/>
          <w:spacing w:val="-2"/>
          <w:sz w:val="26"/>
          <w:szCs w:val="26"/>
          <w:lang w:val="nl-NL"/>
        </w:rPr>
        <w:t xml:space="preserve">xóm Đại Tiến, xã Thạch Trị </w:t>
      </w:r>
      <w:r>
        <w:rPr>
          <w:noProof/>
          <w:sz w:val="26"/>
          <w:szCs w:val="26"/>
          <w:lang w:val="nl-NL"/>
        </w:rPr>
        <w:t>trước đây. Đây là khu vực có hoạt động NTTS.</w:t>
      </w:r>
    </w:p>
    <w:p w14:paraId="3E537CCC"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t>(6) Diễn biến hàm lượng Độ cứng (CaCO</w:t>
      </w:r>
      <w:r>
        <w:rPr>
          <w:b/>
          <w:noProof/>
          <w:spacing w:val="-4"/>
          <w:sz w:val="26"/>
          <w:szCs w:val="26"/>
          <w:vertAlign w:val="subscript"/>
          <w:lang w:val="nl-NL"/>
        </w:rPr>
        <w:t>3</w:t>
      </w:r>
      <w:r>
        <w:rPr>
          <w:b/>
          <w:noProof/>
          <w:spacing w:val="-4"/>
          <w:sz w:val="26"/>
          <w:szCs w:val="26"/>
          <w:lang w:val="nl-NL"/>
        </w:rPr>
        <w:t xml:space="preserve">) nước dưới đất vùng ven biển </w:t>
      </w:r>
      <w:r>
        <w:rPr>
          <w:b/>
          <w:noProof/>
          <w:spacing w:val="-4"/>
          <w:sz w:val="26"/>
          <w:szCs w:val="26"/>
          <w:lang w:val="pt-BR"/>
        </w:rPr>
        <w:t>từ năm 2021-Quý II/2025</w:t>
      </w:r>
      <w:r>
        <w:rPr>
          <w:b/>
          <w:noProof/>
          <w:spacing w:val="-4"/>
          <w:sz w:val="26"/>
          <w:szCs w:val="26"/>
          <w:lang w:val="nl-NL"/>
        </w:rPr>
        <w:t>:</w:t>
      </w:r>
    </w:p>
    <w:p w14:paraId="23E7740E"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48B08CD7" wp14:editId="3817F13E">
            <wp:extent cx="9048115" cy="2409825"/>
            <wp:effectExtent l="0" t="0" r="635" b="9525"/>
            <wp:docPr id="97807103" name="Chart 1">
              <a:extLst xmlns:a="http://schemas.openxmlformats.org/drawingml/2006/main">
                <a:ext uri="{FF2B5EF4-FFF2-40B4-BE49-F238E27FC236}">
                  <a16:creationId xmlns:a16="http://schemas.microsoft.com/office/drawing/2014/main" id="{A21A5693-9A84-4CD9-945D-4E00C41578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15BFDAE" w14:textId="77777777" w:rsidR="00085789" w:rsidRDefault="00000000">
      <w:pPr>
        <w:pStyle w:val="-bac4"/>
        <w:rPr>
          <w:lang w:val="nl-NL"/>
        </w:rPr>
      </w:pPr>
      <w:bookmarkStart w:id="773" w:name="_Toc205915764"/>
      <w:bookmarkStart w:id="774" w:name="_Toc213597459"/>
      <w:bookmarkStart w:id="775" w:name="_Toc213600809"/>
      <w:r>
        <w:rPr>
          <w:lang w:val="nl-NL"/>
        </w:rPr>
        <w:t>Hình 3.56. Diễn biến độ cứng (hàm lượng CaCO</w:t>
      </w:r>
      <w:r>
        <w:rPr>
          <w:vertAlign w:val="subscript"/>
          <w:lang w:val="nl-NL"/>
        </w:rPr>
        <w:t>3</w:t>
      </w:r>
      <w:r>
        <w:rPr>
          <w:lang w:val="nl-NL"/>
        </w:rPr>
        <w:t>) trong nước dưới đất vùng ven biển</w:t>
      </w:r>
      <w:bookmarkEnd w:id="773"/>
      <w:bookmarkEnd w:id="774"/>
      <w:bookmarkEnd w:id="775"/>
    </w:p>
    <w:p w14:paraId="411F9F5A"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53120CD"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1,52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 Năm 2022, 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và thôn Trường Xuân, xã Đỉnh Bàn </w:t>
      </w:r>
      <w:r>
        <w:rPr>
          <w:noProof/>
          <w:sz w:val="26"/>
          <w:szCs w:val="26"/>
          <w:lang w:val="nl-NL"/>
        </w:rPr>
        <w:t xml:space="preserve">trước đây </w:t>
      </w:r>
      <w:r>
        <w:rPr>
          <w:noProof/>
          <w:spacing w:val="-2"/>
          <w:sz w:val="26"/>
          <w:szCs w:val="26"/>
          <w:lang w:val="nl-NL"/>
        </w:rPr>
        <w:t xml:space="preserve">vượt giá trị giới hạn theo QCVN 09-MT:2015/BTNMT lần lượt 1,68 và 1,16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p>
    <w:p w14:paraId="78C44D5C"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1,57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2,4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Hàm lượng </w:t>
      </w:r>
      <w:r>
        <w:rPr>
          <w:sz w:val="26"/>
          <w:lang w:val="nl-NL"/>
        </w:rPr>
        <w:t>CaCO</w:t>
      </w:r>
      <w:r>
        <w:rPr>
          <w:sz w:val="26"/>
          <w:vertAlign w:val="subscript"/>
          <w:lang w:val="nl-NL"/>
        </w:rPr>
        <w:t>3</w:t>
      </w:r>
      <w:r>
        <w:rPr>
          <w:noProof/>
          <w:sz w:val="26"/>
          <w:szCs w:val="26"/>
          <w:lang w:val="nl-NL"/>
        </w:rPr>
        <w:t xml:space="preserve"> nguồn nước dưới đất ở tất cả các vị trí quan trắc vùng ven biển đều đạt giá trị giới hạn theo QCVN 09:2023/BTNMT.</w:t>
      </w:r>
    </w:p>
    <w:p w14:paraId="1DD8AA0D" w14:textId="77777777" w:rsidR="00085789" w:rsidRDefault="00000000">
      <w:pPr>
        <w:widowControl w:val="0"/>
        <w:spacing w:line="340" w:lineRule="exact"/>
        <w:ind w:firstLine="709"/>
        <w:jc w:val="both"/>
        <w:rPr>
          <w:noProof/>
          <w:sz w:val="26"/>
          <w:szCs w:val="26"/>
          <w:lang w:val="nl-NL"/>
        </w:rPr>
      </w:pPr>
      <w:r>
        <w:rPr>
          <w:noProof/>
          <w:sz w:val="26"/>
          <w:szCs w:val="26"/>
          <w:lang w:val="nl-NL"/>
        </w:rPr>
        <w:lastRenderedPageBreak/>
        <w:t xml:space="preserve">=&gt; Nguyên nhân: Nhìn chung, độ cứng nguồn nước dưới đất tại vùng ven biển về cơ bản đang đáp ứng theo quy chuẩn, chỉ tập trung vượt quy chuẩn chính tại khu vực </w:t>
      </w:r>
      <w:r>
        <w:rPr>
          <w:noProof/>
          <w:spacing w:val="-2"/>
          <w:sz w:val="26"/>
          <w:szCs w:val="26"/>
          <w:lang w:val="nl-NL"/>
        </w:rPr>
        <w:t xml:space="preserve">xóm Đại Tiến, xã Thạch Trị </w:t>
      </w:r>
      <w:r>
        <w:rPr>
          <w:noProof/>
          <w:sz w:val="26"/>
          <w:szCs w:val="26"/>
          <w:lang w:val="nl-NL"/>
        </w:rPr>
        <w:t xml:space="preserve">trước đây, </w:t>
      </w:r>
      <w:r>
        <w:rPr>
          <w:noProof/>
          <w:spacing w:val="-2"/>
          <w:sz w:val="26"/>
          <w:szCs w:val="26"/>
          <w:lang w:val="nl-NL"/>
        </w:rPr>
        <w:t xml:space="preserve">hàm lượng </w:t>
      </w:r>
      <w:r>
        <w:rPr>
          <w:sz w:val="26"/>
          <w:lang w:val="nl-NL"/>
        </w:rPr>
        <w:t>CaCO</w:t>
      </w:r>
      <w:r>
        <w:rPr>
          <w:sz w:val="26"/>
          <w:vertAlign w:val="subscript"/>
          <w:lang w:val="nl-NL"/>
        </w:rPr>
        <w:t xml:space="preserve">3 </w:t>
      </w:r>
      <w:r>
        <w:rPr>
          <w:sz w:val="26"/>
          <w:lang w:val="nl-NL"/>
        </w:rPr>
        <w:t>cao do đất khu vực này chứa nhiều Ca</w:t>
      </w:r>
      <w:r>
        <w:rPr>
          <w:sz w:val="26"/>
          <w:vertAlign w:val="superscript"/>
          <w:lang w:val="nl-NL"/>
        </w:rPr>
        <w:t>2+</w:t>
      </w:r>
      <w:r>
        <w:rPr>
          <w:sz w:val="26"/>
          <w:lang w:val="nl-NL"/>
        </w:rPr>
        <w:t>.</w:t>
      </w:r>
    </w:p>
    <w:p w14:paraId="1C00704B"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t xml:space="preserve">(7) Diễn biến hàm lượng Asenic (As) nước dưới đất vùng ven biển </w:t>
      </w:r>
      <w:r>
        <w:rPr>
          <w:b/>
          <w:noProof/>
          <w:spacing w:val="-4"/>
          <w:sz w:val="26"/>
          <w:szCs w:val="26"/>
          <w:lang w:val="pt-BR"/>
        </w:rPr>
        <w:t>từ năm 2021-Quý II/2025</w:t>
      </w:r>
      <w:r>
        <w:rPr>
          <w:b/>
          <w:noProof/>
          <w:spacing w:val="-4"/>
          <w:sz w:val="26"/>
          <w:szCs w:val="26"/>
          <w:lang w:val="nl-NL"/>
        </w:rPr>
        <w:t>:</w:t>
      </w:r>
    </w:p>
    <w:p w14:paraId="57E0B03B"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098EA8E6" wp14:editId="40F23D12">
            <wp:extent cx="9048750" cy="2838203"/>
            <wp:effectExtent l="0" t="0" r="0" b="635"/>
            <wp:docPr id="1442527686" name="Chart 1">
              <a:extLst xmlns:a="http://schemas.openxmlformats.org/drawingml/2006/main">
                <a:ext uri="{FF2B5EF4-FFF2-40B4-BE49-F238E27FC236}">
                  <a16:creationId xmlns:a16="http://schemas.microsoft.com/office/drawing/2014/main" id="{FA867A3F-A3B3-4F66-9900-DC19DF2FE1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61D5B01B" w14:textId="77777777" w:rsidR="00085789" w:rsidRDefault="00000000">
      <w:pPr>
        <w:pStyle w:val="-bac4"/>
        <w:rPr>
          <w:lang w:val="nl-NL"/>
        </w:rPr>
      </w:pPr>
      <w:bookmarkStart w:id="776" w:name="_Toc205915765"/>
      <w:bookmarkStart w:id="777" w:name="_Toc213597460"/>
      <w:bookmarkStart w:id="778" w:name="_Toc213600810"/>
      <w:r>
        <w:rPr>
          <w:lang w:val="nl-NL"/>
        </w:rPr>
        <w:t xml:space="preserve">Hình 3.57. Diễn biến </w:t>
      </w:r>
      <w:r>
        <w:rPr>
          <w:noProof/>
          <w:spacing w:val="-4"/>
          <w:lang w:val="nl-NL"/>
        </w:rPr>
        <w:t xml:space="preserve">Asenic (As) </w:t>
      </w:r>
      <w:r>
        <w:rPr>
          <w:lang w:val="nl-NL"/>
        </w:rPr>
        <w:t>trong nước dưới đất vùng ven biển</w:t>
      </w:r>
      <w:bookmarkEnd w:id="776"/>
      <w:bookmarkEnd w:id="777"/>
      <w:bookmarkEnd w:id="778"/>
    </w:p>
    <w:p w14:paraId="5DD1F27E"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5A50C12F"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2021-2022: Năm 2021, hàm lượng </w:t>
      </w:r>
      <w:r>
        <w:rPr>
          <w:spacing w:val="-6"/>
          <w:sz w:val="26"/>
          <w:lang w:val="nl-NL"/>
        </w:rPr>
        <w:t>As</w:t>
      </w:r>
      <w:r>
        <w:rPr>
          <w:noProof/>
          <w:spacing w:val="-6"/>
          <w:sz w:val="26"/>
          <w:szCs w:val="26"/>
          <w:lang w:val="nl-NL"/>
        </w:rPr>
        <w:t xml:space="preserve"> nguồn nước dưới đất tại thôn Hải Hà, xã Kỳ Hà </w:t>
      </w:r>
      <w:r>
        <w:rPr>
          <w:noProof/>
          <w:sz w:val="26"/>
          <w:szCs w:val="26"/>
          <w:lang w:val="nl-NL"/>
        </w:rPr>
        <w:t xml:space="preserve">trước đây </w:t>
      </w:r>
      <w:r>
        <w:rPr>
          <w:noProof/>
          <w:spacing w:val="-6"/>
          <w:sz w:val="26"/>
          <w:szCs w:val="26"/>
          <w:lang w:val="nl-NL"/>
        </w:rPr>
        <w:t xml:space="preserve">vượt giá trị giới hạn theo QCVN 09-MT:2015/BTNMT 1,52 lần; hàm lượng </w:t>
      </w:r>
      <w:r>
        <w:rPr>
          <w:spacing w:val="-6"/>
          <w:sz w:val="26"/>
          <w:lang w:val="nl-NL"/>
        </w:rPr>
        <w:t>As</w:t>
      </w:r>
      <w:r>
        <w:rPr>
          <w:noProof/>
          <w:spacing w:val="-6"/>
          <w:sz w:val="26"/>
          <w:szCs w:val="26"/>
          <w:lang w:val="nl-NL"/>
        </w:rPr>
        <w:t xml:space="preserve"> nguồn nước dưới đất các vị trí còn lại đang nằm trong giới hạn cho phép theo quy chuẩn. Năm 2022,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09-MT:2015/BTNMT.</w:t>
      </w:r>
    </w:p>
    <w:p w14:paraId="67101A1D"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2023-Quý II/2025: Năm 2023,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09:2023/BTNMT. Năm 2024,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09:2023/BTNMT. Quý II/2025: hàm lượng </w:t>
      </w:r>
      <w:r>
        <w:rPr>
          <w:spacing w:val="-6"/>
          <w:sz w:val="26"/>
          <w:lang w:val="nl-NL"/>
        </w:rPr>
        <w:t>As</w:t>
      </w:r>
      <w:r>
        <w:rPr>
          <w:noProof/>
          <w:spacing w:val="-6"/>
          <w:sz w:val="26"/>
          <w:szCs w:val="26"/>
          <w:lang w:val="nl-NL"/>
        </w:rPr>
        <w:t xml:space="preserve"> nguồn nước dưới đất ở tất cả các vị trí tại thời điểm quan trắc đều đạt giá trị giới hạn theo QCVN 09:2023/BTNMT.</w:t>
      </w:r>
    </w:p>
    <w:p w14:paraId="6FC6B5E8" w14:textId="77777777" w:rsidR="00085789" w:rsidRDefault="00000000">
      <w:pPr>
        <w:widowControl w:val="0"/>
        <w:spacing w:before="120" w:line="240" w:lineRule="auto"/>
        <w:ind w:firstLine="709"/>
        <w:jc w:val="both"/>
        <w:rPr>
          <w:spacing w:val="-2"/>
          <w:sz w:val="26"/>
          <w:lang w:val="nl-NL"/>
        </w:rPr>
      </w:pPr>
      <w:r>
        <w:rPr>
          <w:noProof/>
          <w:spacing w:val="-2"/>
          <w:sz w:val="26"/>
          <w:szCs w:val="26"/>
          <w:lang w:val="nl-NL"/>
        </w:rPr>
        <w:t xml:space="preserve">=&gt; Nhận xét: Nhìn chung, hàm lượng Asen trong nước dưới đất vùng ven biển đều dưới ngưỡng cho phép nhiều lần, chỉ một đợt quan </w:t>
      </w:r>
      <w:r>
        <w:rPr>
          <w:noProof/>
          <w:spacing w:val="-2"/>
          <w:sz w:val="26"/>
          <w:szCs w:val="26"/>
          <w:lang w:val="nl-NL"/>
        </w:rPr>
        <w:lastRenderedPageBreak/>
        <w:t>trắc năm 2021 tại thôn Hải Hà, xã Kỳ Hà trước đây có vượt có thể do hàm lượng tăng cao nhất thời, hàm lượng Asen tại các thời điểm còn lại đều ở mức thấp</w:t>
      </w:r>
      <w:r>
        <w:rPr>
          <w:spacing w:val="-2"/>
          <w:sz w:val="26"/>
          <w:lang w:val="nl-NL"/>
        </w:rPr>
        <w:t>.</w:t>
      </w:r>
    </w:p>
    <w:p w14:paraId="353D6A49"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t>(8) Diễn biến hàm lượng Cloride (Cl</w:t>
      </w:r>
      <w:r>
        <w:rPr>
          <w:b/>
          <w:noProof/>
          <w:spacing w:val="-4"/>
          <w:sz w:val="26"/>
          <w:szCs w:val="26"/>
          <w:vertAlign w:val="superscript"/>
          <w:lang w:val="nl-NL"/>
        </w:rPr>
        <w:t>-</w:t>
      </w:r>
      <w:r>
        <w:rPr>
          <w:b/>
          <w:noProof/>
          <w:spacing w:val="-4"/>
          <w:sz w:val="26"/>
          <w:szCs w:val="26"/>
          <w:lang w:val="nl-NL"/>
        </w:rPr>
        <w:t xml:space="preserve">) nước dưới đất vùng ven biển </w:t>
      </w:r>
      <w:r>
        <w:rPr>
          <w:b/>
          <w:noProof/>
          <w:spacing w:val="-4"/>
          <w:sz w:val="26"/>
          <w:szCs w:val="26"/>
          <w:lang w:val="pt-BR"/>
        </w:rPr>
        <w:t>từ năm 2021-Quý II/2025</w:t>
      </w:r>
      <w:r>
        <w:rPr>
          <w:b/>
          <w:noProof/>
          <w:spacing w:val="-4"/>
          <w:sz w:val="26"/>
          <w:szCs w:val="26"/>
          <w:lang w:val="nl-NL"/>
        </w:rPr>
        <w:t>:</w:t>
      </w:r>
    </w:p>
    <w:p w14:paraId="102346AB"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281DBA40" wp14:editId="177EF382">
            <wp:extent cx="9086850" cy="1990725"/>
            <wp:effectExtent l="0" t="0" r="0" b="9525"/>
            <wp:docPr id="913847626" name="Chart 1">
              <a:extLst xmlns:a="http://schemas.openxmlformats.org/drawingml/2006/main">
                <a:ext uri="{FF2B5EF4-FFF2-40B4-BE49-F238E27FC236}">
                  <a16:creationId xmlns:a16="http://schemas.microsoft.com/office/drawing/2014/main" id="{CC63A5BB-194E-4BFF-B23D-0913826E9A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345AC0EC" w14:textId="77777777" w:rsidR="00085789" w:rsidRDefault="00000000">
      <w:pPr>
        <w:pStyle w:val="-bac4"/>
        <w:rPr>
          <w:lang w:val="nl-NL"/>
        </w:rPr>
      </w:pPr>
      <w:bookmarkStart w:id="779" w:name="_Toc205915766"/>
      <w:bookmarkStart w:id="780" w:name="_Toc213597461"/>
      <w:bookmarkStart w:id="781" w:name="_Toc213600811"/>
      <w:r>
        <w:rPr>
          <w:lang w:val="nl-NL"/>
        </w:rPr>
        <w:t xml:space="preserve">Hình 3.58. Diễn biến </w:t>
      </w:r>
      <w:r>
        <w:rPr>
          <w:noProof/>
          <w:spacing w:val="-4"/>
          <w:lang w:val="nl-NL"/>
        </w:rPr>
        <w:t>Cloride (Cl</w:t>
      </w:r>
      <w:r>
        <w:rPr>
          <w:noProof/>
          <w:spacing w:val="-4"/>
          <w:vertAlign w:val="superscript"/>
          <w:lang w:val="nl-NL"/>
        </w:rPr>
        <w:t>-</w:t>
      </w:r>
      <w:r>
        <w:rPr>
          <w:noProof/>
          <w:spacing w:val="-4"/>
          <w:lang w:val="nl-NL"/>
        </w:rPr>
        <w:t xml:space="preserve">) </w:t>
      </w:r>
      <w:r>
        <w:rPr>
          <w:lang w:val="nl-NL"/>
        </w:rPr>
        <w:t>trong nước dưới đất vùng ven biển</w:t>
      </w:r>
      <w:bookmarkEnd w:id="779"/>
      <w:bookmarkEnd w:id="780"/>
      <w:bookmarkEnd w:id="781"/>
    </w:p>
    <w:p w14:paraId="18A7FD6C"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FB1C9FC"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3,87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 Năm 2022,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QCVN 09-MT:2015/BTNMT 5,64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p>
    <w:p w14:paraId="629EB9C3"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4,13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xóm Đại Tiến, xã Thạch Trị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5,82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Hàm lượng </w:t>
      </w:r>
      <w:r>
        <w:rPr>
          <w:bCs/>
          <w:noProof/>
          <w:spacing w:val="-4"/>
          <w:sz w:val="26"/>
          <w:szCs w:val="26"/>
          <w:lang w:val="nl-NL"/>
        </w:rPr>
        <w:t>Cl</w:t>
      </w:r>
      <w:r>
        <w:rPr>
          <w:bCs/>
          <w:noProof/>
          <w:spacing w:val="-4"/>
          <w:sz w:val="26"/>
          <w:szCs w:val="26"/>
          <w:vertAlign w:val="superscript"/>
          <w:lang w:val="nl-NL"/>
        </w:rPr>
        <w:t>-</w:t>
      </w:r>
      <w:r>
        <w:rPr>
          <w:noProof/>
          <w:sz w:val="26"/>
          <w:szCs w:val="26"/>
          <w:lang w:val="nl-NL"/>
        </w:rPr>
        <w:t xml:space="preserve"> nguồn nước dưới đất ở tất cả các vị trí quan trắc vùng ven biển đều đạt giá trị giới hạn theo QCVN 09:2023/BTNMT.</w:t>
      </w:r>
    </w:p>
    <w:p w14:paraId="7E49595C"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=&gt; Nguyên nhân: Nhìn chung, độ cứng nguồn nước dưới đất tại vùng ven biển về cơ bản đang đáp ứng theo quy chuẩn, chỉ tập trung vượt quy chuẩn chính tại khu vực </w:t>
      </w:r>
      <w:r>
        <w:rPr>
          <w:noProof/>
          <w:spacing w:val="-2"/>
          <w:sz w:val="26"/>
          <w:szCs w:val="26"/>
          <w:lang w:val="nl-NL"/>
        </w:rPr>
        <w:t>xóm Đại Tiến, xã Thạch Trị</w:t>
      </w:r>
      <w:r>
        <w:rPr>
          <w:noProof/>
          <w:sz w:val="26"/>
          <w:szCs w:val="26"/>
          <w:lang w:val="nl-NL"/>
        </w:rPr>
        <w:t xml:space="preserve"> trước đây,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sz w:val="26"/>
          <w:vertAlign w:val="subscript"/>
          <w:lang w:val="nl-NL"/>
        </w:rPr>
        <w:t xml:space="preserve"> </w:t>
      </w:r>
      <w:r>
        <w:rPr>
          <w:sz w:val="26"/>
          <w:lang w:val="nl-NL"/>
        </w:rPr>
        <w:t>cao do đất khu vực này nhiễm mặn.</w:t>
      </w:r>
    </w:p>
    <w:p w14:paraId="5EF6115C" w14:textId="77777777" w:rsidR="00085789" w:rsidRDefault="00000000">
      <w:pPr>
        <w:pStyle w:val="hd1"/>
        <w:spacing w:before="120" w:after="0" w:line="240" w:lineRule="auto"/>
        <w:ind w:firstLine="709"/>
        <w:rPr>
          <w:rFonts w:ascii="Times New Roman" w:hAnsi="Times New Roman"/>
          <w:i/>
          <w:smallCaps/>
          <w:color w:val="auto"/>
          <w:sz w:val="26"/>
          <w:lang w:val="nl-NL"/>
        </w:rPr>
      </w:pPr>
      <w:r>
        <w:rPr>
          <w:rFonts w:ascii="Times New Roman" w:hAnsi="Times New Roman"/>
          <w:i/>
          <w:color w:val="auto"/>
          <w:sz w:val="26"/>
          <w:lang w:val="nl-NL"/>
        </w:rPr>
        <w:t>3.2.2.2.2. Diễn biến ô nhiễm nước dưới đất vùng đồng bằng</w:t>
      </w:r>
    </w:p>
    <w:p w14:paraId="2104E8D7" w14:textId="77777777" w:rsidR="00085789" w:rsidRDefault="00000000">
      <w:pPr>
        <w:widowControl w:val="0"/>
        <w:spacing w:before="120" w:line="240" w:lineRule="auto"/>
        <w:ind w:firstLine="720"/>
        <w:jc w:val="both"/>
        <w:rPr>
          <w:spacing w:val="-2"/>
          <w:sz w:val="26"/>
          <w:szCs w:val="26"/>
          <w:shd w:val="clear" w:color="auto" w:fill="FFFFFF"/>
          <w:lang w:val="nl-NL"/>
        </w:rPr>
      </w:pPr>
      <w:r>
        <w:rPr>
          <w:spacing w:val="-2"/>
          <w:sz w:val="26"/>
          <w:szCs w:val="26"/>
          <w:shd w:val="clear" w:color="auto" w:fill="FFFFFF"/>
          <w:lang w:val="nl-NL"/>
        </w:rPr>
        <w:lastRenderedPageBreak/>
        <w:t>Vùng đồng bằng của Hà Tĩnh  bao gồm các địa phương khu giữa thuộc huyện Nghi Xuân, thị xã Hồng Lĩnh, huyện Đức Thọ, huyện Can Lộc, Thạch Hà, TP. Hà Tĩnh, Cẩm Xuyên, Kỳ Anh và thị xã Kỳ Anh và một phần nhỏ phía Đông các huyện Hương Sơn, Hương Khê, Vũ Quang (theo địa giới hành chính trước đây). Để đánh giá diễn biến ô nhiễm tại các khu vực đồng bằng, nhất là các vị trí có sự tác động bởi các hoạt động phát triển kinh tế (Công nghiệp, trồng trọt, chăn nuôi,...) và khu vực đô thị. Báo cáo sử dụng kết quả của 23 điểm quan trắc mạng lưới để phân tích, đánh giá diễn biến ô nhiễm nguồn nước dưới đất vùng này, cụ thể diễn biến ô nhiễm như sau:</w:t>
      </w:r>
    </w:p>
    <w:p w14:paraId="54654198"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độ pH nước dưới đất vùng đồng bằng </w:t>
      </w:r>
      <w:r>
        <w:rPr>
          <w:b/>
          <w:noProof/>
          <w:spacing w:val="-4"/>
          <w:sz w:val="26"/>
          <w:szCs w:val="26"/>
          <w:lang w:val="pt-BR"/>
        </w:rPr>
        <w:t>từ năm 2021-Quý II/2025</w:t>
      </w:r>
      <w:r>
        <w:rPr>
          <w:b/>
          <w:noProof/>
          <w:spacing w:val="-4"/>
          <w:sz w:val="26"/>
          <w:szCs w:val="26"/>
          <w:lang w:val="nl-NL"/>
        </w:rPr>
        <w:t>:</w:t>
      </w:r>
    </w:p>
    <w:p w14:paraId="4B92349E"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C5075EC" wp14:editId="35C8EBAD">
            <wp:extent cx="9048750" cy="2305050"/>
            <wp:effectExtent l="0" t="0" r="0" b="0"/>
            <wp:docPr id="505968357" name="Chart 1">
              <a:extLst xmlns:a="http://schemas.openxmlformats.org/drawingml/2006/main">
                <a:ext uri="{FF2B5EF4-FFF2-40B4-BE49-F238E27FC236}">
                  <a16:creationId xmlns:a16="http://schemas.microsoft.com/office/drawing/2014/main" id="{A46C7697-545D-4E78-B212-027CCDFDBC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42F9676B" w14:textId="77777777" w:rsidR="00085789" w:rsidRDefault="00000000">
      <w:pPr>
        <w:pStyle w:val="-bac4"/>
        <w:rPr>
          <w:lang w:val="nl-NL"/>
        </w:rPr>
      </w:pPr>
      <w:bookmarkStart w:id="782" w:name="_Toc205915767"/>
      <w:bookmarkStart w:id="783" w:name="_Toc213597462"/>
      <w:bookmarkStart w:id="784" w:name="_Toc213600812"/>
      <w:r>
        <w:rPr>
          <w:lang w:val="nl-NL"/>
        </w:rPr>
        <w:t>Hình 3.59. Diễn biến độ pH trong nước dưới đất vùng đồng bằng</w:t>
      </w:r>
      <w:bookmarkEnd w:id="782"/>
      <w:bookmarkEnd w:id="783"/>
      <w:bookmarkEnd w:id="784"/>
    </w:p>
    <w:p w14:paraId="75013B6D"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B51B05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Năm 2021, độ pH nguồn nước dưới đất tại tất cả các điểm thuộc các phường: Kỳ Phương, Kỳ Long, Kỳ Trinh, Kỳ Thịnh trước đây thấp hơn giới hạn cho phép theo QCVN 09-MT:2015/BTNMT từ 1,03-1,42 lần; Độ pH nguồn nước dưới đất các vị trí còn lại vùng bằng đang nằm trong ngưỡng giới hạn cho phép theo quy chuẩn. Năm 2022, độ pH nguồn nước dưới đất tại TDP Nhân Thắng và TDP Thắng Lợi thuộc phường Kỳ Phương, TDP Tân Long thuộc phường Kỳ Long, TDP Độ Gỗ và KCN Vũng Áng 1 thuộc phường Kỳ Thịnh trước đây thấp hơn giới hạn cho phép theo QCVN 09-MT:2015/BTNMT từ 1,01-1,14 lần; Độ pH nguồn nước dưới đất các vị trí còn lại vùng đồng bằng đang nằm trong ngưỡng giới hạn cho phép theo quy chuẩn.</w:t>
      </w:r>
    </w:p>
    <w:p w14:paraId="17E7019A"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độ pH nguồn nước dưới đất tại tất cả các điểm thuộc các phường: Kỳ Phương, Kỳ Long, Kỳ Trinh, Kỳ Thịnh trước đây thấp hơn giới hạn cho phép theo QCVN 09:2023/BTNMT từ 1,01-1,13 lần; Độ pH nguồn nước dưới đất các vị trí còn lại vùng đồng bằng đang nằm trong ngưỡng giới hạn cho phép theo quy chuẩn. Năm 2024: Độ pH nguồn nước dưới đất tại TDP </w:t>
      </w:r>
      <w:r>
        <w:rPr>
          <w:noProof/>
          <w:sz w:val="26"/>
          <w:szCs w:val="26"/>
          <w:lang w:val="nl-NL"/>
        </w:rPr>
        <w:lastRenderedPageBreak/>
        <w:t>Nhân Thắng và TDP Thắng Lợi thuộc phường Kỳ Phương, TDP Độ Gỗ thuộc phường Kỳ Thịnh trước đây thấp hơn giới hạn cho phép theo QCVN 09:2023/BTNMT từ 1,04-1,07 lần; Độ pH nguồn nước dưới đất các vị trí còn lại vùng đồng bằng đang nằm trong ngưỡng giới hạn cho phép theo quy chuẩn. Quý II/2025: Độ pH nguồn nước dưới đất tại TDP Long Sơn thuộc phường Kỳ Long trước đây thấp hơn giới hạn cho phép theo QCVN 09:2023/BTNMT 1,03 lần; Độ pH nguồn nước dưới đất các vị trí còn lại vùng đồng bằng đang nằm trong ngưỡng giới hạn cho phép theo quy chuẩn.</w:t>
      </w:r>
    </w:p>
    <w:p w14:paraId="14353E6D"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 xml:space="preserve">(2) Diễn biến hàm lượng Coliform nước dưới đất vùng đồng bằng </w:t>
      </w:r>
      <w:r>
        <w:rPr>
          <w:b/>
          <w:noProof/>
          <w:spacing w:val="-4"/>
          <w:sz w:val="26"/>
          <w:szCs w:val="26"/>
          <w:lang w:val="pt-BR"/>
        </w:rPr>
        <w:t>từ năm 2021-Quý II/2025</w:t>
      </w:r>
      <w:r>
        <w:rPr>
          <w:b/>
          <w:noProof/>
          <w:spacing w:val="-4"/>
          <w:sz w:val="26"/>
          <w:szCs w:val="26"/>
          <w:lang w:val="nl-NL"/>
        </w:rPr>
        <w:t>:</w:t>
      </w:r>
    </w:p>
    <w:p w14:paraId="59A88807"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80618F2" wp14:editId="1CF7F899">
            <wp:extent cx="9010650" cy="2333625"/>
            <wp:effectExtent l="0" t="0" r="0" b="9525"/>
            <wp:docPr id="1514365995" name="Chart 1">
              <a:extLst xmlns:a="http://schemas.openxmlformats.org/drawingml/2006/main">
                <a:ext uri="{FF2B5EF4-FFF2-40B4-BE49-F238E27FC236}">
                  <a16:creationId xmlns:a16="http://schemas.microsoft.com/office/drawing/2014/main" id="{CF9E0C00-4049-46AC-8FCA-DEAFD68195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317769BB" w14:textId="77777777" w:rsidR="00085789" w:rsidRDefault="00000000">
      <w:pPr>
        <w:pStyle w:val="-bac4"/>
        <w:rPr>
          <w:lang w:val="nl-NL"/>
        </w:rPr>
      </w:pPr>
      <w:bookmarkStart w:id="785" w:name="_Toc205915768"/>
      <w:bookmarkStart w:id="786" w:name="_Toc213597463"/>
      <w:bookmarkStart w:id="787" w:name="_Toc213600813"/>
      <w:r>
        <w:rPr>
          <w:lang w:val="nl-NL"/>
        </w:rPr>
        <w:t>Hình 3.60. Diễn biến hàm lượng Coliform trong nước dưới đất vùng đồng bằng</w:t>
      </w:r>
      <w:bookmarkEnd w:id="785"/>
      <w:bookmarkEnd w:id="786"/>
      <w:bookmarkEnd w:id="787"/>
    </w:p>
    <w:p w14:paraId="4D200812"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0E26BE9"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Năm 2021 hàm lượng Coliform nguồn nước dưới đất tại thôn 8, xã Cẩm Vịnh trước đây nằm trong giới hạn cho phép theo QCVN 09-MT:2015/BTNMT; hàm lượng Coliform nguồn nước dưới đất các vị trí còn lại vùng đồng bằng đang vượt ngưỡng giới hạn cho phép theo quy chuẩn từ 1,25-44,08 lần. Năm 2022, hàm lượng Coliform nguồn nước dưới đất tại TDP Độ Gỗ thuộc phường Kỳ Thịnh trước đây nằm trong giới hạn cho phép theo QCVN 09-MT:2015/BTNMT; hàm lượng Coliform nguồn nước dưới đất các vị trí còn lại vùng ven biển đang vượt ngưỡng giới hạn cho phép theo quy chuẩn từ 1,42-63,5 lần.</w:t>
      </w:r>
    </w:p>
    <w:p w14:paraId="6952AD86"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hàm lượng Coliform nguồn nước dưới đất tại tất cả các vị trí quan trắc vùng đồng bằng đều vượt ngưỡng giá trị giới hạn theo QCVN 09:2023/BTNMT từ 1,29-65 lần. Năm 2024, hàm lượng Coliform nguồn nước dưới đất tại tất cả các vị trí quan trắc vùng đồng bằng đều vượt ngưỡng giá trị giới hạn theo QCVN 09:2023/BTNMT từ 1,25-43,42 lần. Quý II/2025: hàm lượng Coliform nguồn nước dưới đất tại phường Đồng Môn, xã Việt Tiến, Lưu Vĩnh Sơn, thị trấn Đồng Lộc, xã Hộ Độ, xã Cẩm Vịnh, </w:t>
      </w:r>
      <w:r>
        <w:rPr>
          <w:noProof/>
          <w:sz w:val="26"/>
          <w:szCs w:val="26"/>
          <w:lang w:val="nl-NL"/>
        </w:rPr>
        <w:lastRenderedPageBreak/>
        <w:t>TDP Nhân thắng và TDP Thắng Lợi thuộc phường Kỳ Phương, TDP Tân Long thuộc phường Kỳ Phương, TDP Quyền Thượng thuộc phường Kỳ Trinh trước đây đang nằm trong giới hạn cho phép, hàm lượng Coliform nguồn nước dưới đất tại các vị trí còn lại đều vượt ngưỡng giá trị giới hạn theo QCVN 09:2023/BTNMT từ 1,33-7,0 lần.</w:t>
      </w:r>
    </w:p>
    <w:p w14:paraId="23D7CC64"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=&gt; Nhìn chung, hàm lượng Coliform nguồn nước dưới đất tại các vị trí quan trắc hầu hết đều vượt quy chuẩn cho phép, nhất là tại các khu vực có hoạt động Công nghiệp, chăn nuôi và tập trung đông dân cư.</w:t>
      </w:r>
    </w:p>
    <w:p w14:paraId="28C8E295"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t xml:space="preserve">(3) Diễn biến hàm lượng Nitrat nước dưới đất vùng đồng bằng </w:t>
      </w:r>
      <w:r>
        <w:rPr>
          <w:b/>
          <w:noProof/>
          <w:spacing w:val="-4"/>
          <w:sz w:val="26"/>
          <w:szCs w:val="26"/>
          <w:lang w:val="pt-BR"/>
        </w:rPr>
        <w:t>từ năm 2021-Quý II/2025</w:t>
      </w:r>
      <w:r>
        <w:rPr>
          <w:b/>
          <w:noProof/>
          <w:spacing w:val="-4"/>
          <w:sz w:val="26"/>
          <w:szCs w:val="26"/>
          <w:lang w:val="nl-NL"/>
        </w:rPr>
        <w:t>:</w:t>
      </w:r>
    </w:p>
    <w:p w14:paraId="3DA94831"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008C2A5" wp14:editId="1B203592">
            <wp:extent cx="9048750" cy="2476500"/>
            <wp:effectExtent l="0" t="0" r="0" b="0"/>
            <wp:docPr id="892529584" name="Chart 1">
              <a:extLst xmlns:a="http://schemas.openxmlformats.org/drawingml/2006/main">
                <a:ext uri="{FF2B5EF4-FFF2-40B4-BE49-F238E27FC236}">
                  <a16:creationId xmlns:a16="http://schemas.microsoft.com/office/drawing/2014/main" id="{0C7C30CE-EBCF-4D8E-AC36-1AB46BC235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22436661" w14:textId="77777777" w:rsidR="00085789" w:rsidRDefault="00000000">
      <w:pPr>
        <w:pStyle w:val="-bac4"/>
        <w:rPr>
          <w:lang w:val="nl-NL"/>
        </w:rPr>
      </w:pPr>
      <w:bookmarkStart w:id="788" w:name="_Toc205915769"/>
      <w:bookmarkStart w:id="789" w:name="_Toc213597464"/>
      <w:bookmarkStart w:id="790" w:name="_Toc213600814"/>
      <w:r>
        <w:rPr>
          <w:lang w:val="nl-NL"/>
        </w:rPr>
        <w:t>Hình 3.61. Diễn biến hàm lượng Nitrat trong nước dưới đất vùng đồng bằng</w:t>
      </w:r>
      <w:bookmarkEnd w:id="788"/>
      <w:bookmarkEnd w:id="789"/>
      <w:bookmarkEnd w:id="790"/>
    </w:p>
    <w:p w14:paraId="0EBB6445"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602540D"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Năm 2021, hàm lượng Nitrat nguồn nước dưới đất tại thôn Mỹ Lộc, xã Xuân Viên nay là xã Nghi Xuân vượt giá trị giới hạn theo QCVN 09-MT:2015/BTNMT 1,13 lần; hàm lượng Nitrat nguồn nước dưới đất các vị trí còn lại đang nằm trong giới hạn cho phép theo quy chuẩn. Năm 2022, hàm lượng Nitrat nguồn nước dưới đất ở tất cả các vị trí quan trắc vùng đồng bằng đều đạt giá trị giới hạn theo QCVN 09-MT:2015/BTNMT.</w:t>
      </w:r>
    </w:p>
    <w:p w14:paraId="625F5E46"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hàm lượng Nitrat nguồn nước dưới đất ở tất cả các vị trí quan trắc vùng đồng bằng đều đạt giá trị giới hạn theo QCVN 09:2023/BTNMT. Năm 2024, hàm lượng Nitrat nguồn nước dưới đất tại thôn Mỹ Lộc, xã Xuân Viên nay là xã Nghi Xuân vượt giá trị giới hạn theo QCVN 09-MT:2015/BTNMT 1,14 lần; hàm lượng Nitrat nguồn nước dưới đất các vị trí còn lại đang nằm trong giới hạn cho phép theo quy chuẩn. Quý II/2025: Hàm lượng Nitrat nguồn nước dưới đất ở tất cả các vị trí quan trắc vùng </w:t>
      </w:r>
      <w:r>
        <w:rPr>
          <w:noProof/>
          <w:sz w:val="26"/>
          <w:szCs w:val="26"/>
          <w:lang w:val="nl-NL"/>
        </w:rPr>
        <w:lastRenderedPageBreak/>
        <w:t>đồng bằng đều đạt giá trị giới hạn theo QCVN 09:2023/BTNMT.</w:t>
      </w:r>
    </w:p>
    <w:p w14:paraId="7FB07E50"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=&gt; Nhìn chung, hàm lượng Nitrat nguồn nước dưới đất tại các vị trí quan trắc vượt quy chuẩn cho phép hoặc có mức cao tập tung tại các khu vực có hoạt động chăn nuôi và tập trung đông dân cư, như: Thôn Mỹ Lộc thuộc xã Xuân Viên và TDP Thắng Lợi thuộc phường Kỳ Phương trước đây là các vị trí có hàm lượng Nitrat cao.</w:t>
      </w:r>
    </w:p>
    <w:p w14:paraId="30EACFEE"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(4) Diễn biến hàm lượng Amoni (NH</w:t>
      </w:r>
      <w:r>
        <w:rPr>
          <w:b/>
          <w:noProof/>
          <w:spacing w:val="-4"/>
          <w:sz w:val="26"/>
          <w:szCs w:val="26"/>
          <w:vertAlign w:val="subscript"/>
          <w:lang w:val="nl-NL"/>
        </w:rPr>
        <w:t>4</w:t>
      </w:r>
      <w:r>
        <w:rPr>
          <w:b/>
          <w:noProof/>
          <w:spacing w:val="-4"/>
          <w:sz w:val="26"/>
          <w:szCs w:val="26"/>
          <w:vertAlign w:val="superscript"/>
          <w:lang w:val="nl-NL"/>
        </w:rPr>
        <w:t>+</w:t>
      </w:r>
      <w:r>
        <w:rPr>
          <w:b/>
          <w:noProof/>
          <w:spacing w:val="-4"/>
          <w:sz w:val="26"/>
          <w:szCs w:val="26"/>
          <w:lang w:val="nl-NL"/>
        </w:rPr>
        <w:t xml:space="preserve">-N) nước dưới đất vùng đồng bằng </w:t>
      </w:r>
      <w:r>
        <w:rPr>
          <w:b/>
          <w:noProof/>
          <w:spacing w:val="-4"/>
          <w:sz w:val="26"/>
          <w:szCs w:val="26"/>
          <w:lang w:val="pt-BR"/>
        </w:rPr>
        <w:t>từ năm 2021-Quý II/2025</w:t>
      </w:r>
      <w:r>
        <w:rPr>
          <w:b/>
          <w:noProof/>
          <w:spacing w:val="-4"/>
          <w:sz w:val="26"/>
          <w:szCs w:val="26"/>
          <w:lang w:val="nl-NL"/>
        </w:rPr>
        <w:t>:</w:t>
      </w:r>
    </w:p>
    <w:p w14:paraId="3B37A385"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3DB3DECE" wp14:editId="38776A97">
            <wp:extent cx="9029700" cy="2181225"/>
            <wp:effectExtent l="0" t="0" r="0" b="9525"/>
            <wp:docPr id="847916006" name="Chart 1">
              <a:extLst xmlns:a="http://schemas.openxmlformats.org/drawingml/2006/main">
                <a:ext uri="{FF2B5EF4-FFF2-40B4-BE49-F238E27FC236}">
                  <a16:creationId xmlns:a16="http://schemas.microsoft.com/office/drawing/2014/main" id="{B63F89AE-6719-4AA7-80A9-6115F43B57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6088F8C9" w14:textId="77777777" w:rsidR="00085789" w:rsidRDefault="00000000">
      <w:pPr>
        <w:pStyle w:val="-bac4"/>
        <w:rPr>
          <w:lang w:val="nl-NL"/>
        </w:rPr>
      </w:pPr>
      <w:bookmarkStart w:id="791" w:name="_Toc205915770"/>
      <w:bookmarkStart w:id="792" w:name="_Toc213597465"/>
      <w:bookmarkStart w:id="793" w:name="_Toc213600815"/>
      <w:r>
        <w:rPr>
          <w:lang w:val="nl-NL"/>
        </w:rPr>
        <w:t>Hình 3.62. Diễn biến hàm lượng Amoni trong nước dưới đất vùng đồng bằng</w:t>
      </w:r>
      <w:bookmarkEnd w:id="791"/>
      <w:bookmarkEnd w:id="792"/>
      <w:bookmarkEnd w:id="793"/>
    </w:p>
    <w:p w14:paraId="01BD1E33"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F3C4293"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Amoni nguồn nước dưới đất tại TDP Tiên Sơn thuộc phường Trung Lương </w:t>
      </w:r>
      <w:r>
        <w:rPr>
          <w:noProof/>
          <w:sz w:val="26"/>
          <w:szCs w:val="26"/>
          <w:lang w:val="nl-NL"/>
        </w:rPr>
        <w:t xml:space="preserve">trước đây </w:t>
      </w:r>
      <w:r>
        <w:rPr>
          <w:noProof/>
          <w:spacing w:val="-2"/>
          <w:sz w:val="26"/>
          <w:szCs w:val="26"/>
          <w:lang w:val="nl-NL"/>
        </w:rPr>
        <w:t xml:space="preserve">vượt giá trị giới hạn theo QCVN 09-MT:2015/BTNMT 8,57 lần; hàm lượng Amoni nguồn nước dưới đất các vị trí còn lại đang nằm trong giới hạn cho phép theo quy chuẩn. Năm 2022, hàm lượng Amoni nguồn nước dưới đất tại thôn Thống Nhất thuộc xã Việt Tiến và TDP Tiên Sơn thuộc phường Trung Lương </w:t>
      </w:r>
      <w:r>
        <w:rPr>
          <w:noProof/>
          <w:sz w:val="26"/>
          <w:szCs w:val="26"/>
          <w:lang w:val="nl-NL"/>
        </w:rPr>
        <w:t xml:space="preserve">trước đây </w:t>
      </w:r>
      <w:r>
        <w:rPr>
          <w:noProof/>
          <w:spacing w:val="-2"/>
          <w:sz w:val="26"/>
          <w:szCs w:val="26"/>
          <w:lang w:val="nl-NL"/>
        </w:rPr>
        <w:t>vượt giá trị giới hạn theo QCVN 09-MT:2015/BTNMT từ 1,14-10,87 lần; hàm lượng Amoni nguồn nước dưới đất các vị trí còn lại đang nằm trong giới hạn cho phép theo quy chuẩn.</w:t>
      </w:r>
    </w:p>
    <w:p w14:paraId="55D2D626"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hàm lượng Amoni nguồn nước dưới đất tại TDP Tiến Giang thuộc phường Đồng Môn, TDP Thống Nhất thuộc phường việt tiến và TDP Tiên Sơn thuộc phường Trung Lương</w:t>
      </w:r>
      <w:r>
        <w:rPr>
          <w:noProof/>
          <w:sz w:val="26"/>
          <w:szCs w:val="26"/>
          <w:lang w:val="nl-NL"/>
        </w:rPr>
        <w:t xml:space="preserve"> trước đây</w:t>
      </w:r>
      <w:r>
        <w:rPr>
          <w:noProof/>
          <w:spacing w:val="-2"/>
          <w:sz w:val="26"/>
          <w:szCs w:val="26"/>
          <w:lang w:val="nl-NL"/>
        </w:rPr>
        <w:t xml:space="preserve"> vượt giá trị giới hạn theo </w:t>
      </w:r>
      <w:r>
        <w:rPr>
          <w:noProof/>
          <w:sz w:val="26"/>
          <w:szCs w:val="26"/>
          <w:lang w:val="nl-NL"/>
        </w:rPr>
        <w:t>QCVN 09:2023/BTNMT</w:t>
      </w:r>
      <w:r>
        <w:rPr>
          <w:noProof/>
          <w:spacing w:val="-2"/>
          <w:sz w:val="26"/>
          <w:szCs w:val="26"/>
          <w:lang w:val="nl-NL"/>
        </w:rPr>
        <w:t xml:space="preserve"> từ 1,15-4,55 lần; hàm lượng Amoni nguồn nước dưới đất các vị trí còn lại đang nằm trong giới hạn cho phép theo quy chuẩn</w:t>
      </w:r>
      <w:r>
        <w:rPr>
          <w:noProof/>
          <w:sz w:val="26"/>
          <w:szCs w:val="26"/>
          <w:lang w:val="nl-NL"/>
        </w:rPr>
        <w:t xml:space="preserve">. Năm 2024, hàm lượng </w:t>
      </w:r>
      <w:r>
        <w:rPr>
          <w:noProof/>
          <w:spacing w:val="-2"/>
          <w:sz w:val="26"/>
          <w:szCs w:val="26"/>
          <w:lang w:val="nl-NL"/>
        </w:rPr>
        <w:t>Amoni</w:t>
      </w:r>
      <w:r>
        <w:rPr>
          <w:noProof/>
          <w:sz w:val="26"/>
          <w:szCs w:val="26"/>
          <w:lang w:val="nl-NL"/>
        </w:rPr>
        <w:t xml:space="preserve"> nguồn nước dưới đất tại tại thôn Thống Nhất thuộc xã Việt Tiến,</w:t>
      </w:r>
      <w:r>
        <w:rPr>
          <w:noProof/>
          <w:spacing w:val="-2"/>
          <w:sz w:val="26"/>
          <w:szCs w:val="26"/>
          <w:lang w:val="nl-NL"/>
        </w:rPr>
        <w:t xml:space="preserve"> TDP Tiên Sơn thuộc phường Trung Lương và KCN Vũng Áng 1 thuộc phường Kỳ Thịnh</w:t>
      </w:r>
      <w:r>
        <w:rPr>
          <w:noProof/>
          <w:sz w:val="26"/>
          <w:szCs w:val="26"/>
          <w:lang w:val="nl-NL"/>
        </w:rPr>
        <w:t xml:space="preserve"> trước đây vượt giá trị giới hạn theo QCVN 09:2023/BTNMT từ 1,37-2,22 lần; hàm </w:t>
      </w:r>
      <w:r>
        <w:rPr>
          <w:noProof/>
          <w:sz w:val="26"/>
          <w:szCs w:val="26"/>
          <w:lang w:val="nl-NL"/>
        </w:rPr>
        <w:lastRenderedPageBreak/>
        <w:t xml:space="preserve">lượng </w:t>
      </w:r>
      <w:r>
        <w:rPr>
          <w:noProof/>
          <w:spacing w:val="-2"/>
          <w:sz w:val="26"/>
          <w:szCs w:val="26"/>
          <w:lang w:val="nl-NL"/>
        </w:rPr>
        <w:t>Amoni</w:t>
      </w:r>
      <w:r>
        <w:rPr>
          <w:noProof/>
          <w:sz w:val="26"/>
          <w:szCs w:val="26"/>
          <w:lang w:val="nl-NL"/>
        </w:rPr>
        <w:t xml:space="preserve"> nguồn nước dưới đất các vị trí còn lại đang nằm trong giới hạn cho phép theo quy chuẩn. Quý II/2025: Hàm lượng </w:t>
      </w:r>
      <w:r>
        <w:rPr>
          <w:noProof/>
          <w:spacing w:val="-2"/>
          <w:sz w:val="26"/>
          <w:szCs w:val="26"/>
          <w:lang w:val="nl-NL"/>
        </w:rPr>
        <w:t>Amoni</w:t>
      </w:r>
      <w:r>
        <w:rPr>
          <w:noProof/>
          <w:sz w:val="26"/>
          <w:szCs w:val="26"/>
          <w:lang w:val="nl-NL"/>
        </w:rPr>
        <w:t xml:space="preserve"> nguồn nước dưới đất ở tất cả các vị trí quan trắc vùng đồng bằng đều đạt giá trị giới hạn theo QCVN 09:2023/BTNMT.</w:t>
      </w:r>
    </w:p>
    <w:p w14:paraId="146E4AFF"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=&gt; Nhìn chung, hàm lượng </w:t>
      </w:r>
      <w:r>
        <w:rPr>
          <w:noProof/>
          <w:spacing w:val="-2"/>
          <w:sz w:val="26"/>
          <w:szCs w:val="26"/>
          <w:lang w:val="nl-NL"/>
        </w:rPr>
        <w:t>Amoni</w:t>
      </w:r>
      <w:r>
        <w:rPr>
          <w:noProof/>
          <w:sz w:val="26"/>
          <w:szCs w:val="26"/>
          <w:lang w:val="nl-NL"/>
        </w:rPr>
        <w:t xml:space="preserve"> nguồn nước dưới đất tại vùng đồng bằng về cơ bản đang đáp ứng theo quy chuẩn, chỉ tập trung vượt quy chuẩn chính tại khu vực </w:t>
      </w:r>
      <w:r>
        <w:rPr>
          <w:noProof/>
          <w:spacing w:val="-2"/>
          <w:sz w:val="26"/>
          <w:szCs w:val="26"/>
          <w:lang w:val="nl-NL"/>
        </w:rPr>
        <w:t>TDP Tiên Sơn thuộc phường Trung Lương</w:t>
      </w:r>
      <w:r>
        <w:rPr>
          <w:noProof/>
          <w:sz w:val="26"/>
          <w:szCs w:val="26"/>
          <w:lang w:val="nl-NL"/>
        </w:rPr>
        <w:t xml:space="preserve"> trước đây. Đây là khu vực có hoạt động công nghiệp và sinh hoạt nên lượng Amoni trong nước cao.</w:t>
      </w:r>
    </w:p>
    <w:p w14:paraId="663FCE49"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 xml:space="preserve">(5) Diễn biến hàm lượng Tổng chất rắn hòa tan (TDS) nước dưới đất vùng đồng bằng </w:t>
      </w:r>
      <w:r>
        <w:rPr>
          <w:b/>
          <w:noProof/>
          <w:spacing w:val="-4"/>
          <w:sz w:val="26"/>
          <w:szCs w:val="26"/>
          <w:lang w:val="pt-BR"/>
        </w:rPr>
        <w:t>từ năm 2021-Quý II/2025</w:t>
      </w:r>
      <w:r>
        <w:rPr>
          <w:b/>
          <w:noProof/>
          <w:spacing w:val="-4"/>
          <w:sz w:val="26"/>
          <w:szCs w:val="26"/>
          <w:lang w:val="nl-NL"/>
        </w:rPr>
        <w:t>:</w:t>
      </w:r>
    </w:p>
    <w:p w14:paraId="38D9A275"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5840EFF5" wp14:editId="4E426052">
            <wp:extent cx="9029700" cy="2971800"/>
            <wp:effectExtent l="0" t="0" r="0" b="0"/>
            <wp:docPr id="1209238396" name="Chart 1">
              <a:extLst xmlns:a="http://schemas.openxmlformats.org/drawingml/2006/main">
                <a:ext uri="{FF2B5EF4-FFF2-40B4-BE49-F238E27FC236}">
                  <a16:creationId xmlns:a16="http://schemas.microsoft.com/office/drawing/2014/main" id="{D97D1752-11F4-4451-B230-14E86F8199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103A377A" w14:textId="77777777" w:rsidR="00085789" w:rsidRDefault="00000000">
      <w:pPr>
        <w:pStyle w:val="-bac4"/>
        <w:rPr>
          <w:lang w:val="nl-NL"/>
        </w:rPr>
      </w:pPr>
      <w:bookmarkStart w:id="794" w:name="_Toc205915771"/>
      <w:bookmarkStart w:id="795" w:name="_Toc213597466"/>
      <w:bookmarkStart w:id="796" w:name="_Toc213600816"/>
      <w:r>
        <w:rPr>
          <w:lang w:val="nl-NL"/>
        </w:rPr>
        <w:t>Hình 3.63. Diễn biến hàm lượng TDS trong nước dưới đất vùng đồng bằng</w:t>
      </w:r>
      <w:bookmarkEnd w:id="794"/>
      <w:bookmarkEnd w:id="795"/>
      <w:bookmarkEnd w:id="796"/>
    </w:p>
    <w:p w14:paraId="246EF60C"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FE20313"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TDS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từ 1,02-3,68 lần; hàm lượng TDS nguồn nước dưới đất các vị trí còn lại đang nằm trong giới hạn cho phép theo quy chuẩn. Năm 2022, hàm lượng TDS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vượt giá trị giới hạn theo QCVN 09-MT:2015/BTNMT từ 1,32-1,59 lần; hàm lượng TDS nguồn nước dưới đất các vị trí còn lại thuộc vùng đồng bằng đang nằm trong giới hạn cho phép theo quy chuẩn.</w:t>
      </w:r>
    </w:p>
    <w:p w14:paraId="2C9CCC24"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lastRenderedPageBreak/>
        <w:t xml:space="preserve">- Năm 2023-Quý II/2025: Năm 2023, </w:t>
      </w:r>
      <w:r>
        <w:rPr>
          <w:noProof/>
          <w:spacing w:val="-2"/>
          <w:sz w:val="26"/>
          <w:szCs w:val="26"/>
          <w:lang w:val="nl-NL"/>
        </w:rPr>
        <w:t xml:space="preserve">hàm lượng TDS nguồn nước dưới đất tại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1,002 lần; hàm lượng TDS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TDS nguồn nước dưới đất tại thôn Tiến Giang thuộc phường Đồng Môn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1,83 và 1,04 lần; hàm lượng TDS nguồn nước dưới đất các vị trí còn lại đang nằm trong giới hạn cho phép theo quy chuẩn</w:t>
      </w:r>
      <w:r>
        <w:rPr>
          <w:noProof/>
          <w:sz w:val="26"/>
          <w:szCs w:val="26"/>
          <w:lang w:val="nl-NL"/>
        </w:rPr>
        <w:t xml:space="preserve">. Quý II/2025: </w:t>
      </w:r>
      <w:r>
        <w:rPr>
          <w:noProof/>
          <w:spacing w:val="-2"/>
          <w:sz w:val="26"/>
          <w:szCs w:val="26"/>
          <w:lang w:val="nl-NL"/>
        </w:rPr>
        <w:t xml:space="preserve">hàm lượng TDS nguồn nước dưới đất tại thôn Tiến Giang thuộc phường Đồng Môn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2,01 lần; hàm lượng TDS nguồn nước dưới đất các vị trí còn lại thuộc vùng đồng bằng đang nằm trong giới hạn cho phép theo quy chuẩn</w:t>
      </w:r>
      <w:r>
        <w:rPr>
          <w:noProof/>
          <w:sz w:val="26"/>
          <w:szCs w:val="26"/>
          <w:lang w:val="nl-NL"/>
        </w:rPr>
        <w:t>.</w:t>
      </w:r>
    </w:p>
    <w:p w14:paraId="16504B8F"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=&gt; Nhìn chung, hàm lượng </w:t>
      </w:r>
      <w:r>
        <w:rPr>
          <w:noProof/>
          <w:spacing w:val="-2"/>
          <w:sz w:val="26"/>
          <w:szCs w:val="26"/>
          <w:lang w:val="nl-NL"/>
        </w:rPr>
        <w:t>TDS</w:t>
      </w:r>
      <w:r>
        <w:rPr>
          <w:noProof/>
          <w:sz w:val="26"/>
          <w:szCs w:val="26"/>
          <w:lang w:val="nl-NL"/>
        </w:rPr>
        <w:t xml:space="preserve"> nguồn nước dưới đất tại vùng đồng bằng về cơ bản đang đáp ứng theo quy chuẩn, chỉ tập trung vượt quy chuẩn chính tại khu vực </w:t>
      </w:r>
      <w:r>
        <w:rPr>
          <w:noProof/>
          <w:spacing w:val="-2"/>
          <w:sz w:val="26"/>
          <w:szCs w:val="26"/>
          <w:lang w:val="nl-NL"/>
        </w:rPr>
        <w:t>thôn Tiến Giang thuộc phường Đông Môn và thôn Tân Quý thuộc xã Hộ Độ</w:t>
      </w:r>
      <w:r>
        <w:rPr>
          <w:noProof/>
          <w:sz w:val="26"/>
          <w:szCs w:val="26"/>
          <w:lang w:val="nl-NL"/>
        </w:rPr>
        <w:t xml:space="preserve"> trước đây. Đây là khu vực có nhiều hoạt động NTTS, chế biến thủy sản và dịch vụ thủy sản.</w:t>
      </w:r>
    </w:p>
    <w:p w14:paraId="216F758F"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(6) Diễn biến hàm lượng Độ cứng (CaCO</w:t>
      </w:r>
      <w:r>
        <w:rPr>
          <w:b/>
          <w:noProof/>
          <w:spacing w:val="-4"/>
          <w:sz w:val="26"/>
          <w:szCs w:val="26"/>
          <w:vertAlign w:val="subscript"/>
          <w:lang w:val="nl-NL"/>
        </w:rPr>
        <w:t>3</w:t>
      </w:r>
      <w:r>
        <w:rPr>
          <w:b/>
          <w:noProof/>
          <w:spacing w:val="-4"/>
          <w:sz w:val="26"/>
          <w:szCs w:val="26"/>
          <w:lang w:val="nl-NL"/>
        </w:rPr>
        <w:t xml:space="preserve">) nước dưới đất vùng đồng bằng </w:t>
      </w:r>
      <w:r>
        <w:rPr>
          <w:b/>
          <w:noProof/>
          <w:spacing w:val="-4"/>
          <w:sz w:val="26"/>
          <w:szCs w:val="26"/>
          <w:lang w:val="pt-BR"/>
        </w:rPr>
        <w:t>từ năm 2021-Quý II/2025</w:t>
      </w:r>
      <w:r>
        <w:rPr>
          <w:b/>
          <w:noProof/>
          <w:spacing w:val="-4"/>
          <w:sz w:val="26"/>
          <w:szCs w:val="26"/>
          <w:lang w:val="nl-NL"/>
        </w:rPr>
        <w:t>:</w:t>
      </w:r>
    </w:p>
    <w:p w14:paraId="4BFDA2CD"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63760D38" wp14:editId="42E5F89B">
            <wp:extent cx="9020175" cy="2057400"/>
            <wp:effectExtent l="0" t="0" r="9525" b="0"/>
            <wp:docPr id="1176410244" name="Chart 1">
              <a:extLst xmlns:a="http://schemas.openxmlformats.org/drawingml/2006/main">
                <a:ext uri="{FF2B5EF4-FFF2-40B4-BE49-F238E27FC236}">
                  <a16:creationId xmlns:a16="http://schemas.microsoft.com/office/drawing/2014/main" id="{BDFDCC29-A442-4BB8-94D6-7391B21BA31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5C5B609F" w14:textId="77777777" w:rsidR="00085789" w:rsidRDefault="00000000">
      <w:pPr>
        <w:pStyle w:val="-bac4"/>
        <w:rPr>
          <w:lang w:val="nl-NL"/>
        </w:rPr>
      </w:pPr>
      <w:bookmarkStart w:id="797" w:name="_Toc205915772"/>
      <w:bookmarkStart w:id="798" w:name="_Toc213597467"/>
      <w:bookmarkStart w:id="799" w:name="_Toc213600817"/>
      <w:r>
        <w:rPr>
          <w:lang w:val="nl-NL"/>
        </w:rPr>
        <w:t>Hình 3.64. Diễn biến độ cứng (hàm lượng CaCO</w:t>
      </w:r>
      <w:r>
        <w:rPr>
          <w:vertAlign w:val="subscript"/>
          <w:lang w:val="nl-NL"/>
        </w:rPr>
        <w:t>3</w:t>
      </w:r>
      <w:r>
        <w:rPr>
          <w:lang w:val="nl-NL"/>
        </w:rPr>
        <w:t>) trong nước dưới đất vùng đồng bằng</w:t>
      </w:r>
      <w:bookmarkEnd w:id="797"/>
      <w:bookmarkEnd w:id="798"/>
      <w:bookmarkEnd w:id="799"/>
    </w:p>
    <w:p w14:paraId="38969EE9"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55B20BF"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sz w:val="26"/>
          <w:lang w:val="nl-NL"/>
        </w:rPr>
        <w:t>CaCO</w:t>
      </w:r>
      <w:r>
        <w:rPr>
          <w:sz w:val="26"/>
          <w:vertAlign w:val="subscript"/>
          <w:lang w:val="nl-NL"/>
        </w:rPr>
        <w:t>3</w:t>
      </w:r>
      <w:r>
        <w:rPr>
          <w:noProof/>
          <w:spacing w:val="-2"/>
          <w:sz w:val="26"/>
          <w:szCs w:val="26"/>
          <w:lang w:val="nl-NL"/>
        </w:rPr>
        <w:t xml:space="preserve"> nguồn nước dưới đất tại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2,49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 Năm 2022,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thuộc vùng đồng bằng đang nằm trong giới hạn cho phép theo quy chuẩn QCVN 09-MT:2015/BTNMT.</w:t>
      </w:r>
    </w:p>
    <w:p w14:paraId="1403F989"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2023-Quý II/2025: Năm 2023, h</w:t>
      </w:r>
      <w:r>
        <w:rPr>
          <w:noProof/>
          <w:spacing w:val="-2"/>
          <w:sz w:val="26"/>
          <w:szCs w:val="26"/>
          <w:lang w:val="nl-NL"/>
        </w:rPr>
        <w:t xml:space="preserve">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thuộc vùng đồng bằng đang nằm trong giới </w:t>
      </w:r>
      <w:r>
        <w:rPr>
          <w:noProof/>
          <w:spacing w:val="-2"/>
          <w:sz w:val="26"/>
          <w:szCs w:val="26"/>
          <w:lang w:val="nl-NL"/>
        </w:rPr>
        <w:lastRenderedPageBreak/>
        <w:t xml:space="preserve">hạn cho phép theo </w:t>
      </w:r>
      <w:r>
        <w:rPr>
          <w:noProof/>
          <w:sz w:val="26"/>
          <w:szCs w:val="26"/>
          <w:lang w:val="nl-NL"/>
        </w:rPr>
        <w:t>QCVN 09:2023/BTNMT</w:t>
      </w:r>
      <w:r>
        <w:rPr>
          <w:noProof/>
          <w:spacing w:val="-2"/>
          <w:sz w:val="26"/>
          <w:szCs w:val="26"/>
          <w:lang w:val="nl-NL"/>
        </w:rPr>
        <w:t>.</w:t>
      </w:r>
      <w:r>
        <w:rPr>
          <w:noProof/>
          <w:sz w:val="26"/>
          <w:szCs w:val="26"/>
          <w:lang w:val="nl-NL"/>
        </w:rPr>
        <w:t xml:space="preserve"> Năm 2024,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thôn Tiến Giang thuộc phường Đồng Môn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2,19 và 1,27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w:t>
      </w:r>
      <w:r>
        <w:rPr>
          <w:noProof/>
          <w:spacing w:val="-2"/>
          <w:sz w:val="26"/>
          <w:szCs w:val="26"/>
          <w:lang w:val="nl-NL"/>
        </w:rPr>
        <w:t xml:space="preserve">hàm lượng </w:t>
      </w:r>
      <w:r>
        <w:rPr>
          <w:sz w:val="26"/>
          <w:lang w:val="nl-NL"/>
        </w:rPr>
        <w:t>CaCO</w:t>
      </w:r>
      <w:r>
        <w:rPr>
          <w:sz w:val="26"/>
          <w:vertAlign w:val="subscript"/>
          <w:lang w:val="nl-NL"/>
        </w:rPr>
        <w:t>3</w:t>
      </w:r>
      <w:r>
        <w:rPr>
          <w:noProof/>
          <w:spacing w:val="-2"/>
          <w:sz w:val="26"/>
          <w:szCs w:val="26"/>
          <w:lang w:val="nl-NL"/>
        </w:rPr>
        <w:t xml:space="preserve"> nguồn nước dưới đất tại thôn Tiến Giang thuộc phường Đông Môn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3,48 lần; hàm lượng </w:t>
      </w:r>
      <w:r>
        <w:rPr>
          <w:sz w:val="26"/>
          <w:lang w:val="nl-NL"/>
        </w:rPr>
        <w:t>CaCO</w:t>
      </w:r>
      <w:r>
        <w:rPr>
          <w:sz w:val="26"/>
          <w:vertAlign w:val="subscript"/>
          <w:lang w:val="nl-NL"/>
        </w:rPr>
        <w:t>3</w:t>
      </w:r>
      <w:r>
        <w:rPr>
          <w:noProof/>
          <w:spacing w:val="-2"/>
          <w:sz w:val="26"/>
          <w:szCs w:val="26"/>
          <w:lang w:val="nl-NL"/>
        </w:rPr>
        <w:t xml:space="preserve"> nguồn nước dưới đất các vị trí còn lại đang nằm trong giới hạn cho phép theo </w:t>
      </w:r>
      <w:r>
        <w:rPr>
          <w:noProof/>
          <w:sz w:val="26"/>
          <w:szCs w:val="26"/>
          <w:lang w:val="nl-NL"/>
        </w:rPr>
        <w:t>QCVN 09:2023/BTNMT.</w:t>
      </w:r>
    </w:p>
    <w:p w14:paraId="7788AE72"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=&gt; Nhìn chung, độ cứng nguồn nước dưới đất tại vùng ven biển về cơ bản đang đáp ứng theo quy chuẩn, chỉ tập trung vượt quy chuẩn chính tại khu vực </w:t>
      </w:r>
      <w:r>
        <w:rPr>
          <w:noProof/>
          <w:spacing w:val="-2"/>
          <w:sz w:val="26"/>
          <w:szCs w:val="26"/>
          <w:lang w:val="nl-NL"/>
        </w:rPr>
        <w:t>thôn Đại Tiến, xã Thạch Trị</w:t>
      </w:r>
      <w:r>
        <w:rPr>
          <w:noProof/>
          <w:sz w:val="26"/>
          <w:szCs w:val="26"/>
          <w:lang w:val="nl-NL"/>
        </w:rPr>
        <w:t xml:space="preserve"> và </w:t>
      </w:r>
      <w:r>
        <w:rPr>
          <w:noProof/>
          <w:spacing w:val="-2"/>
          <w:sz w:val="26"/>
          <w:szCs w:val="26"/>
          <w:lang w:val="nl-NL"/>
        </w:rPr>
        <w:t xml:space="preserve">thôn Tân Quý thuộc xã Hộ Độ </w:t>
      </w:r>
      <w:r>
        <w:rPr>
          <w:noProof/>
          <w:sz w:val="26"/>
          <w:szCs w:val="26"/>
          <w:lang w:val="nl-NL"/>
        </w:rPr>
        <w:t xml:space="preserve">trước đây </w:t>
      </w:r>
      <w:r>
        <w:rPr>
          <w:noProof/>
          <w:spacing w:val="-2"/>
          <w:sz w:val="26"/>
          <w:szCs w:val="26"/>
          <w:lang w:val="nl-NL"/>
        </w:rPr>
        <w:t>có</w:t>
      </w:r>
      <w:r>
        <w:rPr>
          <w:noProof/>
          <w:sz w:val="26"/>
          <w:szCs w:val="26"/>
          <w:lang w:val="nl-NL"/>
        </w:rPr>
        <w:t xml:space="preserve"> </w:t>
      </w:r>
      <w:r>
        <w:rPr>
          <w:noProof/>
          <w:spacing w:val="-2"/>
          <w:sz w:val="26"/>
          <w:szCs w:val="26"/>
          <w:lang w:val="nl-NL"/>
        </w:rPr>
        <w:t xml:space="preserve">hàm lượng </w:t>
      </w:r>
      <w:r>
        <w:rPr>
          <w:sz w:val="26"/>
          <w:lang w:val="nl-NL"/>
        </w:rPr>
        <w:t>CaCO</w:t>
      </w:r>
      <w:r>
        <w:rPr>
          <w:sz w:val="26"/>
          <w:vertAlign w:val="subscript"/>
          <w:lang w:val="nl-NL"/>
        </w:rPr>
        <w:t xml:space="preserve">3 </w:t>
      </w:r>
      <w:r>
        <w:rPr>
          <w:sz w:val="26"/>
          <w:lang w:val="nl-NL"/>
        </w:rPr>
        <w:t>cao do đất khu vực này chứa nhiều Ca</w:t>
      </w:r>
      <w:r>
        <w:rPr>
          <w:sz w:val="26"/>
          <w:vertAlign w:val="subscript"/>
          <w:lang w:val="nl-NL"/>
        </w:rPr>
        <w:t>2</w:t>
      </w:r>
      <w:r>
        <w:rPr>
          <w:sz w:val="26"/>
          <w:vertAlign w:val="superscript"/>
          <w:lang w:val="nl-NL"/>
        </w:rPr>
        <w:t>+</w:t>
      </w:r>
      <w:r>
        <w:rPr>
          <w:sz w:val="26"/>
          <w:lang w:val="nl-NL"/>
        </w:rPr>
        <w:t>.</w:t>
      </w:r>
    </w:p>
    <w:p w14:paraId="519935A9"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 xml:space="preserve">(7) Diễn biến hàm lượng Asenic (As) nước dưới đất vùng đồng bằng </w:t>
      </w:r>
      <w:r>
        <w:rPr>
          <w:b/>
          <w:noProof/>
          <w:spacing w:val="-4"/>
          <w:sz w:val="26"/>
          <w:szCs w:val="26"/>
          <w:lang w:val="pt-BR"/>
        </w:rPr>
        <w:t>từ năm 2021-Quý II/2025</w:t>
      </w:r>
      <w:r>
        <w:rPr>
          <w:b/>
          <w:noProof/>
          <w:spacing w:val="-4"/>
          <w:sz w:val="26"/>
          <w:szCs w:val="26"/>
          <w:lang w:val="nl-NL"/>
        </w:rPr>
        <w:t>:</w:t>
      </w:r>
    </w:p>
    <w:p w14:paraId="7DAC841C"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0B7F354B" wp14:editId="2A2C2FB3">
            <wp:extent cx="9020175" cy="2667000"/>
            <wp:effectExtent l="0" t="0" r="9525" b="0"/>
            <wp:docPr id="1269764386" name="Chart 1">
              <a:extLst xmlns:a="http://schemas.openxmlformats.org/drawingml/2006/main">
                <a:ext uri="{FF2B5EF4-FFF2-40B4-BE49-F238E27FC236}">
                  <a16:creationId xmlns:a16="http://schemas.microsoft.com/office/drawing/2014/main" id="{D9FB8424-5312-48CB-914D-C64D6D1BC2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5E551FB4" w14:textId="77777777" w:rsidR="00085789" w:rsidRDefault="00000000">
      <w:pPr>
        <w:pStyle w:val="-bac4"/>
        <w:rPr>
          <w:lang w:val="nl-NL"/>
        </w:rPr>
      </w:pPr>
      <w:bookmarkStart w:id="800" w:name="_Toc205915773"/>
      <w:bookmarkStart w:id="801" w:name="_Toc213597468"/>
      <w:bookmarkStart w:id="802" w:name="_Toc213600818"/>
      <w:r>
        <w:rPr>
          <w:lang w:val="nl-NL"/>
        </w:rPr>
        <w:t xml:space="preserve">Hình 3.65. Diễn biến </w:t>
      </w:r>
      <w:r>
        <w:rPr>
          <w:noProof/>
          <w:spacing w:val="-4"/>
          <w:lang w:val="nl-NL"/>
        </w:rPr>
        <w:t xml:space="preserve">Asenic (As) </w:t>
      </w:r>
      <w:r>
        <w:rPr>
          <w:lang w:val="nl-NL"/>
        </w:rPr>
        <w:t>trong nước dưới đất vùng đồng bằng</w:t>
      </w:r>
      <w:bookmarkEnd w:id="800"/>
      <w:bookmarkEnd w:id="801"/>
      <w:bookmarkEnd w:id="802"/>
    </w:p>
    <w:p w14:paraId="02AE2E36"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F2F7DB8"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Từ năm 2021 đến năm 2022, hàm lượng </w:t>
      </w:r>
      <w:r>
        <w:rPr>
          <w:sz w:val="26"/>
          <w:lang w:val="nl-NL"/>
        </w:rPr>
        <w:t>As</w:t>
      </w:r>
      <w:r>
        <w:rPr>
          <w:noProof/>
          <w:spacing w:val="-2"/>
          <w:sz w:val="26"/>
          <w:szCs w:val="26"/>
          <w:lang w:val="nl-NL"/>
        </w:rPr>
        <w:t xml:space="preserve"> nguồn nước dưới đất vùng đồng bằng ở tất cả các vị trí tại thời điểm quan trắc đều đạt giá trị giới hạn theo QCVN 09-MT:2015/BTNMT.</w:t>
      </w:r>
    </w:p>
    <w:p w14:paraId="0BF6ED37"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2"/>
          <w:sz w:val="26"/>
          <w:szCs w:val="26"/>
          <w:lang w:val="nl-NL"/>
        </w:rPr>
        <w:t xml:space="preserve">hàm lượng </w:t>
      </w:r>
      <w:r>
        <w:rPr>
          <w:sz w:val="26"/>
          <w:lang w:val="nl-NL"/>
        </w:rPr>
        <w:t>As</w:t>
      </w:r>
      <w:r>
        <w:rPr>
          <w:noProof/>
          <w:spacing w:val="-2"/>
          <w:sz w:val="26"/>
          <w:szCs w:val="26"/>
          <w:lang w:val="nl-NL"/>
        </w:rPr>
        <w:t xml:space="preserve"> nguồn nước dưới đất vùng đồng bằng ở tất cả các vị trí tại thời điểm quan trắc đều đạt giá trị giới hạn theo </w:t>
      </w:r>
      <w:r>
        <w:rPr>
          <w:noProof/>
          <w:sz w:val="26"/>
          <w:szCs w:val="26"/>
          <w:lang w:val="nl-NL"/>
        </w:rPr>
        <w:t>QCVN 09:2023/BTNMT.</w:t>
      </w:r>
    </w:p>
    <w:p w14:paraId="1AF71AA5" w14:textId="77777777" w:rsidR="00085789" w:rsidRDefault="00000000">
      <w:pPr>
        <w:widowControl w:val="0"/>
        <w:spacing w:before="120" w:line="240" w:lineRule="auto"/>
        <w:ind w:firstLine="709"/>
        <w:jc w:val="both"/>
        <w:rPr>
          <w:sz w:val="26"/>
          <w:lang w:val="nl-NL"/>
        </w:rPr>
      </w:pPr>
      <w:r>
        <w:rPr>
          <w:noProof/>
          <w:sz w:val="26"/>
          <w:szCs w:val="26"/>
          <w:lang w:val="nl-NL"/>
        </w:rPr>
        <w:lastRenderedPageBreak/>
        <w:t>=&gt; Nhìn chung, hàm lượng Asen trong nước dưới đất vùng ven biển đều dưới ngưỡng cho phép nhiều lần, tuy nhiên, một số khu vực như thôn Địa Châu thuộc xã Tùng Châu và TDP Quyền Hành thuộc phường Kỳ Trinh trước đây đang có hàm lượng As cao hơn các khu vực còn lại thuộc vùng đồng bằng</w:t>
      </w:r>
      <w:r>
        <w:rPr>
          <w:sz w:val="26"/>
          <w:lang w:val="nl-NL"/>
        </w:rPr>
        <w:t>.</w:t>
      </w:r>
    </w:p>
    <w:p w14:paraId="14C5E03F"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(8) Diễn biến hàm lượng Cloride (Cl</w:t>
      </w:r>
      <w:r>
        <w:rPr>
          <w:b/>
          <w:noProof/>
          <w:spacing w:val="-4"/>
          <w:sz w:val="26"/>
          <w:szCs w:val="26"/>
          <w:vertAlign w:val="superscript"/>
          <w:lang w:val="nl-NL"/>
        </w:rPr>
        <w:t>-</w:t>
      </w:r>
      <w:r>
        <w:rPr>
          <w:b/>
          <w:noProof/>
          <w:spacing w:val="-4"/>
          <w:sz w:val="26"/>
          <w:szCs w:val="26"/>
          <w:lang w:val="nl-NL"/>
        </w:rPr>
        <w:t xml:space="preserve">) nước dưới đất vùng đồng bằng </w:t>
      </w:r>
      <w:r>
        <w:rPr>
          <w:b/>
          <w:noProof/>
          <w:spacing w:val="-4"/>
          <w:sz w:val="26"/>
          <w:szCs w:val="26"/>
          <w:lang w:val="pt-BR"/>
        </w:rPr>
        <w:t>từ năm 2021-Quý II/2025</w:t>
      </w:r>
      <w:r>
        <w:rPr>
          <w:b/>
          <w:noProof/>
          <w:spacing w:val="-4"/>
          <w:sz w:val="26"/>
          <w:szCs w:val="26"/>
          <w:lang w:val="nl-NL"/>
        </w:rPr>
        <w:t>:</w:t>
      </w:r>
    </w:p>
    <w:p w14:paraId="06387C20"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C2EBB5E" wp14:editId="27D70115">
            <wp:extent cx="9039225" cy="2857500"/>
            <wp:effectExtent l="0" t="0" r="9525" b="0"/>
            <wp:docPr id="786972357" name="Chart 1">
              <a:extLst xmlns:a="http://schemas.openxmlformats.org/drawingml/2006/main">
                <a:ext uri="{FF2B5EF4-FFF2-40B4-BE49-F238E27FC236}">
                  <a16:creationId xmlns:a16="http://schemas.microsoft.com/office/drawing/2014/main" id="{6E7DCA81-3FE5-4DCD-88DB-82E2C5BDD41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3FFE83AF" w14:textId="77777777" w:rsidR="00085789" w:rsidRDefault="00000000">
      <w:pPr>
        <w:pStyle w:val="-bac4"/>
        <w:rPr>
          <w:lang w:val="nl-NL"/>
        </w:rPr>
      </w:pPr>
      <w:bookmarkStart w:id="803" w:name="_Toc205915774"/>
      <w:bookmarkStart w:id="804" w:name="_Toc213597469"/>
      <w:bookmarkStart w:id="805" w:name="_Toc213600819"/>
      <w:r>
        <w:rPr>
          <w:lang w:val="nl-NL"/>
        </w:rPr>
        <w:t xml:space="preserve">Hình 3.66. Diễn biến </w:t>
      </w:r>
      <w:r>
        <w:rPr>
          <w:noProof/>
          <w:spacing w:val="-4"/>
          <w:lang w:val="nl-NL"/>
        </w:rPr>
        <w:t>Cloride (Cl</w:t>
      </w:r>
      <w:r>
        <w:rPr>
          <w:noProof/>
          <w:spacing w:val="-4"/>
          <w:vertAlign w:val="superscript"/>
          <w:lang w:val="nl-NL"/>
        </w:rPr>
        <w:t>-</w:t>
      </w:r>
      <w:r>
        <w:rPr>
          <w:noProof/>
          <w:spacing w:val="-4"/>
          <w:lang w:val="nl-NL"/>
        </w:rPr>
        <w:t xml:space="preserve">) </w:t>
      </w:r>
      <w:r>
        <w:rPr>
          <w:lang w:val="nl-NL"/>
        </w:rPr>
        <w:t>trong nước dưới đất vùng đồng bằng</w:t>
      </w:r>
      <w:bookmarkEnd w:id="803"/>
      <w:bookmarkEnd w:id="804"/>
      <w:bookmarkEnd w:id="805"/>
    </w:p>
    <w:p w14:paraId="220EA2EC"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68D031D"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Năm 2021,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Tiến Giang thuộc phường Đồng Môn,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từ 1,08-12,07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 Năm 2022,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QCVN 09-MT:2015/BTNMT từ 3,66-5,08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p>
    <w:p w14:paraId="0ABD3F0A"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Trung Hải thuộc xã Thiên Lộc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từ 2,8-2,85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Năm 2024,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Tiến Giang thuộc phường </w:t>
      </w:r>
      <w:r>
        <w:rPr>
          <w:noProof/>
          <w:spacing w:val="-2"/>
          <w:sz w:val="26"/>
          <w:szCs w:val="26"/>
          <w:lang w:val="nl-NL"/>
        </w:rPr>
        <w:lastRenderedPageBreak/>
        <w:t xml:space="preserve">Đồng Môn và thôn Tân Quý thuộc xã Hộ Độ </w:t>
      </w:r>
      <w:r>
        <w:rPr>
          <w:noProof/>
          <w:sz w:val="26"/>
          <w:szCs w:val="26"/>
          <w:lang w:val="nl-NL"/>
        </w:rPr>
        <w:t xml:space="preserve">trước đây </w:t>
      </w:r>
      <w:r>
        <w:rPr>
          <w:noProof/>
          <w:spacing w:val="-2"/>
          <w:sz w:val="26"/>
          <w:szCs w:val="26"/>
          <w:lang w:val="nl-NL"/>
        </w:rPr>
        <w:t xml:space="preserve">vượt giá trị giới hạn theo </w:t>
      </w:r>
      <w:r>
        <w:rPr>
          <w:noProof/>
          <w:sz w:val="26"/>
          <w:szCs w:val="26"/>
          <w:lang w:val="nl-NL"/>
        </w:rPr>
        <w:t>QCVN 09:2023/BTNMT</w:t>
      </w:r>
      <w:r>
        <w:rPr>
          <w:noProof/>
          <w:spacing w:val="-2"/>
          <w:sz w:val="26"/>
          <w:szCs w:val="26"/>
          <w:lang w:val="nl-NL"/>
        </w:rPr>
        <w:t xml:space="preserve"> từ 2,06-4,04 lần; 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đang nằm trong giới hạn cho phép theo quy chuẩn</w:t>
      </w:r>
      <w:r>
        <w:rPr>
          <w:noProof/>
          <w:sz w:val="26"/>
          <w:szCs w:val="26"/>
          <w:lang w:val="nl-NL"/>
        </w:rPr>
        <w:t xml:space="preserve">. Quý II/2025: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tại thôn Tiến Giang thuộc phường Đồng Môn</w:t>
      </w:r>
      <w:r>
        <w:rPr>
          <w:noProof/>
          <w:sz w:val="26"/>
          <w:szCs w:val="26"/>
          <w:lang w:val="nl-NL"/>
        </w:rPr>
        <w:t xml:space="preserve"> trước đây</w:t>
      </w:r>
      <w:r>
        <w:rPr>
          <w:noProof/>
          <w:spacing w:val="-2"/>
          <w:sz w:val="26"/>
          <w:szCs w:val="26"/>
          <w:lang w:val="nl-NL"/>
        </w:rPr>
        <w:t xml:space="preserve"> vượt giá trị giới hạn theo </w:t>
      </w:r>
      <w:r>
        <w:rPr>
          <w:noProof/>
          <w:sz w:val="26"/>
          <w:szCs w:val="26"/>
          <w:lang w:val="nl-NL"/>
        </w:rPr>
        <w:t>QCVN 09:2023/BTNMT</w:t>
      </w:r>
      <w:r>
        <w:rPr>
          <w:noProof/>
          <w:spacing w:val="-2"/>
          <w:sz w:val="26"/>
          <w:szCs w:val="26"/>
          <w:lang w:val="nl-NL"/>
        </w:rPr>
        <w:t xml:space="preserve"> 5,67 lần</w:t>
      </w:r>
      <w:r>
        <w:rPr>
          <w:noProof/>
          <w:sz w:val="26"/>
          <w:szCs w:val="26"/>
          <w:lang w:val="nl-NL"/>
        </w:rPr>
        <w:t xml:space="preserve">;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noProof/>
          <w:spacing w:val="-2"/>
          <w:sz w:val="26"/>
          <w:szCs w:val="26"/>
          <w:lang w:val="nl-NL"/>
        </w:rPr>
        <w:t xml:space="preserve"> nguồn nước dưới đất các vị trí còn lại vùng đồng bằng đang nằm trong giới hạn cho phép theo quy chuẩn.</w:t>
      </w:r>
    </w:p>
    <w:p w14:paraId="19280B66" w14:textId="77777777" w:rsidR="00085789" w:rsidRDefault="00000000">
      <w:pPr>
        <w:spacing w:before="120" w:line="240" w:lineRule="auto"/>
        <w:ind w:firstLine="720"/>
        <w:jc w:val="both"/>
        <w:rPr>
          <w:spacing w:val="-2"/>
          <w:sz w:val="26"/>
          <w:szCs w:val="26"/>
          <w:shd w:val="clear" w:color="auto" w:fill="FFFFFF"/>
          <w:lang w:val="nl-NL"/>
        </w:rPr>
      </w:pPr>
      <w:r>
        <w:rPr>
          <w:noProof/>
          <w:sz w:val="26"/>
          <w:szCs w:val="26"/>
          <w:lang w:val="nl-NL"/>
        </w:rPr>
        <w:t xml:space="preserve">=&gt; Nguyên nhân: Nhìn chung, độ cứng nguồn nước dưới đất tại vùng ven biển về cơ bản đang đáp ứng theo quy chuẩn, chỉ tập trung vượt quy chuẩn chính tại khu vực </w:t>
      </w:r>
      <w:r>
        <w:rPr>
          <w:noProof/>
          <w:spacing w:val="-2"/>
          <w:sz w:val="26"/>
          <w:szCs w:val="26"/>
          <w:lang w:val="nl-NL"/>
        </w:rPr>
        <w:t>phường Đồng Môn, xã Thiên Lộc và xã Hộ độ</w:t>
      </w:r>
      <w:r>
        <w:rPr>
          <w:noProof/>
          <w:sz w:val="26"/>
          <w:szCs w:val="26"/>
          <w:lang w:val="nl-NL"/>
        </w:rPr>
        <w:t xml:space="preserve"> trước đây, </w:t>
      </w:r>
      <w:r>
        <w:rPr>
          <w:noProof/>
          <w:spacing w:val="-2"/>
          <w:sz w:val="26"/>
          <w:szCs w:val="26"/>
          <w:lang w:val="nl-NL"/>
        </w:rPr>
        <w:t xml:space="preserve">hàm lượng </w:t>
      </w:r>
      <w:r>
        <w:rPr>
          <w:bCs/>
          <w:noProof/>
          <w:spacing w:val="-4"/>
          <w:sz w:val="26"/>
          <w:szCs w:val="26"/>
          <w:lang w:val="nl-NL"/>
        </w:rPr>
        <w:t>Cl</w:t>
      </w:r>
      <w:r>
        <w:rPr>
          <w:bCs/>
          <w:noProof/>
          <w:spacing w:val="-4"/>
          <w:sz w:val="26"/>
          <w:szCs w:val="26"/>
          <w:vertAlign w:val="superscript"/>
          <w:lang w:val="nl-NL"/>
        </w:rPr>
        <w:t>-</w:t>
      </w:r>
      <w:r>
        <w:rPr>
          <w:sz w:val="26"/>
          <w:vertAlign w:val="subscript"/>
          <w:lang w:val="nl-NL"/>
        </w:rPr>
        <w:t xml:space="preserve"> </w:t>
      </w:r>
      <w:r>
        <w:rPr>
          <w:sz w:val="26"/>
          <w:lang w:val="nl-NL"/>
        </w:rPr>
        <w:t>cao do đất khu vực này nhiễm mặn.</w:t>
      </w:r>
    </w:p>
    <w:p w14:paraId="3049F457" w14:textId="77777777" w:rsidR="00085789" w:rsidRDefault="00000000">
      <w:pPr>
        <w:pStyle w:val="hd1"/>
        <w:spacing w:before="120" w:after="0" w:line="240" w:lineRule="auto"/>
        <w:ind w:firstLine="709"/>
        <w:rPr>
          <w:rFonts w:ascii="Times New Roman" w:hAnsi="Times New Roman"/>
          <w:i/>
          <w:smallCaps/>
          <w:color w:val="auto"/>
          <w:sz w:val="26"/>
          <w:lang w:val="nl-NL"/>
        </w:rPr>
      </w:pPr>
      <w:r>
        <w:rPr>
          <w:rFonts w:ascii="Times New Roman" w:hAnsi="Times New Roman"/>
          <w:i/>
          <w:color w:val="auto"/>
          <w:sz w:val="26"/>
          <w:lang w:val="nl-NL"/>
        </w:rPr>
        <w:t>3.2.2.2.3. Diễn biến ô nhiễm nước dưới đất vùng miền núi</w:t>
      </w:r>
    </w:p>
    <w:p w14:paraId="202F6E7F" w14:textId="77777777" w:rsidR="00085789" w:rsidRDefault="00000000">
      <w:pPr>
        <w:spacing w:before="120" w:line="240" w:lineRule="auto"/>
        <w:ind w:firstLine="720"/>
        <w:jc w:val="both"/>
        <w:rPr>
          <w:spacing w:val="-2"/>
          <w:sz w:val="26"/>
          <w:szCs w:val="26"/>
          <w:shd w:val="clear" w:color="auto" w:fill="FFFFFF"/>
          <w:lang w:val="nl-NL"/>
        </w:rPr>
      </w:pPr>
      <w:r>
        <w:rPr>
          <w:spacing w:val="-2"/>
          <w:sz w:val="26"/>
          <w:szCs w:val="26"/>
          <w:shd w:val="clear" w:color="auto" w:fill="FFFFFF"/>
          <w:lang w:val="nl-NL"/>
        </w:rPr>
        <w:t>Vùng miền núi của Hà Tĩnh trước đây bao gồm các địa phương thuộc huyện Hương Sơn, Vũ Quang, Hương Khê, Cẩm Xuyên, Kỳ Anh. Để đánh giá diễn biến ô nhiễm tại các khu vực miền núi, nhất là các vị trí có sự tác động bởi các hoạt động phát triển kinh tế (Công nghiệp, chăn nuôi,...) và sinh hoạt. Báo cáo sử dụng kết quả của 08 điểm quan trắc mạng lưới để phân tích, đánh giá diễn biến ô nhiễm nguồn nước dưới đất vùng này, cụ thể diễn biến ô nhiễm như sau:</w:t>
      </w:r>
    </w:p>
    <w:p w14:paraId="56AEBD26"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độ pH nước dưới đất vùng miền núi </w:t>
      </w:r>
      <w:r>
        <w:rPr>
          <w:b/>
          <w:noProof/>
          <w:spacing w:val="-4"/>
          <w:sz w:val="26"/>
          <w:szCs w:val="26"/>
          <w:lang w:val="pt-BR"/>
        </w:rPr>
        <w:t>từ năm 2021-Quý II/2025</w:t>
      </w:r>
      <w:r>
        <w:rPr>
          <w:b/>
          <w:noProof/>
          <w:spacing w:val="-4"/>
          <w:sz w:val="26"/>
          <w:szCs w:val="26"/>
          <w:lang w:val="nl-NL"/>
        </w:rPr>
        <w:t>:</w:t>
      </w:r>
    </w:p>
    <w:p w14:paraId="089B51CB"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E5146E3" wp14:editId="0F195E84">
            <wp:extent cx="9048750" cy="2169994"/>
            <wp:effectExtent l="0" t="0" r="0" b="1905"/>
            <wp:docPr id="32458226" name="Chart 1">
              <a:extLst xmlns:a="http://schemas.openxmlformats.org/drawingml/2006/main">
                <a:ext uri="{FF2B5EF4-FFF2-40B4-BE49-F238E27FC236}">
                  <a16:creationId xmlns:a16="http://schemas.microsoft.com/office/drawing/2014/main" id="{B2CA408A-31C3-4E28-A96D-4AD468F36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r>
        <w:rPr>
          <w:b/>
          <w:noProof/>
          <w:spacing w:val="-4"/>
          <w:sz w:val="26"/>
          <w:szCs w:val="26"/>
          <w:lang w:val="nl-NL"/>
        </w:rPr>
        <w:tab/>
      </w:r>
    </w:p>
    <w:p w14:paraId="499D9D4E" w14:textId="77777777" w:rsidR="00085789" w:rsidRDefault="00000000">
      <w:pPr>
        <w:pStyle w:val="-bac4"/>
        <w:rPr>
          <w:lang w:val="nl-NL"/>
        </w:rPr>
      </w:pPr>
      <w:bookmarkStart w:id="806" w:name="_Toc205915775"/>
      <w:bookmarkStart w:id="807" w:name="_Toc213597470"/>
      <w:bookmarkStart w:id="808" w:name="_Toc213600820"/>
      <w:r>
        <w:rPr>
          <w:lang w:val="nl-NL"/>
        </w:rPr>
        <w:t>Hình 3.67. Diễn biến độ pH trong nước dưới đất vùng miền núi</w:t>
      </w:r>
      <w:bookmarkEnd w:id="806"/>
      <w:bookmarkEnd w:id="807"/>
      <w:bookmarkEnd w:id="808"/>
    </w:p>
    <w:p w14:paraId="3EA89AE5"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54B09B2"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2021-2022: Năm 2021, độ pH nguồn nước dưới đất tại thôn Khe Sú thuộc xã Sơn Kim 1, thôn Tân Thủy thuộc xã Sơn Tây </w:t>
      </w:r>
      <w:r>
        <w:rPr>
          <w:noProof/>
          <w:sz w:val="26"/>
          <w:szCs w:val="26"/>
          <w:lang w:val="nl-NL"/>
        </w:rPr>
        <w:lastRenderedPageBreak/>
        <w:t>và thôn Nam Phong thuộc xã Kỳ Phong trước đây thấp hơn giới hạn cho phép theo QCVN 09-MT:2015/BTNMT từ 1,04-1,14 lần; Độ pH nguồn nước dưới đất các vị trí còn lại vùng miền núi đang nằm trong ngưỡng giới hạn cho phép theo quy chuẩn. Năm 2022, độ pH nguồn nước dưới đất ở tất cả các vị trí quan trắc vùng ven biển đều đạt giá trị giới hạn theo QCVN 09-MT:2015/BTNMT.</w:t>
      </w:r>
    </w:p>
    <w:p w14:paraId="0ABFEEF3"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2023-Quý II/2025: Năm 2023, độ pH nguồn nước dưới đất tại thôn 1 xã Quang Thọ và thôn Khe Sú thuộc xã Sơn Kim 1 trước đây thấp hơn so với QCVN 09:2023/BTNMT từ 1,02-1,05 lần; độ pH nguồn nước dưới đất tại các vị trí còn lại đều nằm trong quy chuẩn cho phép. Năm 2024, độ pH nguồn nước dưới đất tại thôn 1 xã Quang Thọ trước đây thấp hơn so với QCVN 09:2023/BTNMT 1,01 lần; độ pH nguồn nước dưới đất tại các vị trí còn lại đều nằm trong quy chuẩn cho phép. Quý II/2025, độ pH nguồn nước dưới đất tại thôn Khe Sú và thôn Kim Cương 1 thuộc xã Sơn Kim 1 trước đây thấp hơn so với QCVN 09:2023/BTNMT từ 1,02-1,05 lần; độ pH nguồn nước dưới đất tại các vị trí còn lại đều nằm trong quy chuẩn cho phép.</w:t>
      </w:r>
    </w:p>
    <w:p w14:paraId="003E885E"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 xml:space="preserve">(2) Diễn biến hàm lượng Coliform nước dưới đất vùng miền núi </w:t>
      </w:r>
      <w:r>
        <w:rPr>
          <w:b/>
          <w:noProof/>
          <w:spacing w:val="-4"/>
          <w:sz w:val="26"/>
          <w:szCs w:val="26"/>
          <w:lang w:val="pt-BR"/>
        </w:rPr>
        <w:t>từ năm 2021-Quý II/2025</w:t>
      </w:r>
      <w:r>
        <w:rPr>
          <w:b/>
          <w:noProof/>
          <w:spacing w:val="-4"/>
          <w:sz w:val="26"/>
          <w:szCs w:val="26"/>
          <w:lang w:val="nl-NL"/>
        </w:rPr>
        <w:t>:</w:t>
      </w:r>
    </w:p>
    <w:p w14:paraId="7A023870"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5B4B9EBB" wp14:editId="7F154F49">
            <wp:extent cx="9048750" cy="2133600"/>
            <wp:effectExtent l="0" t="0" r="0" b="0"/>
            <wp:docPr id="1307986473" name="Chart 1">
              <a:extLst xmlns:a="http://schemas.openxmlformats.org/drawingml/2006/main">
                <a:ext uri="{FF2B5EF4-FFF2-40B4-BE49-F238E27FC236}">
                  <a16:creationId xmlns:a16="http://schemas.microsoft.com/office/drawing/2014/main" id="{F72EFD42-B9E6-40DB-BC3F-F6A61EA8B3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423C2D08" w14:textId="77777777" w:rsidR="00085789" w:rsidRDefault="00000000">
      <w:pPr>
        <w:pStyle w:val="-bac4"/>
        <w:rPr>
          <w:lang w:val="nl-NL"/>
        </w:rPr>
      </w:pPr>
      <w:bookmarkStart w:id="809" w:name="_Toc205915776"/>
      <w:bookmarkStart w:id="810" w:name="_Toc213597471"/>
      <w:bookmarkStart w:id="811" w:name="_Toc213600821"/>
      <w:r>
        <w:rPr>
          <w:lang w:val="nl-NL"/>
        </w:rPr>
        <w:t>Hình 3.68. Diễn biến hàm lượng Coliform trong nước dưới đất vùng miền núi</w:t>
      </w:r>
      <w:bookmarkEnd w:id="809"/>
      <w:bookmarkEnd w:id="810"/>
      <w:bookmarkEnd w:id="811"/>
    </w:p>
    <w:p w14:paraId="19985603"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4287D39"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Năm 2021, hàm lượng Coliform nguồn nước dưới đất tại tất cả các vị trí vùng miền núi đang vượt ngưỡng giới hạn cho phép theo quy chuẩn từ 2,67-35,25 lần. Năm 2022, hàm lượng Coliform nguồn nước dưới đất ở tất cả các vị trí quan trắc vùng ven biển đều vượt ngưỡng giá trị giới hạn theo QCVN 09-MT:2015/BTNMT từ 2,23-46,5 lần.</w:t>
      </w:r>
    </w:p>
    <w:p w14:paraId="205895CD"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Năm 2023, hàm lượng Coliform nguồn nước dưới đất tại tất cả các vị trí quan trắc vùng ven biển đều vượt ngưỡng giá trị giới hạn theo QCVN 09:2023/BTNMT từ 1,13-38,0 lần. Năm 2024, hàm lượng Coliform nguồn nước dưới đất tại tất cả các vị trí quan trắc vùng miền núi đều vượt ngưỡng giá trị giới hạn theo QCVN 09:2023/BTNMT từ 2,57-48,0 lần. Quý II/2025: hàm </w:t>
      </w:r>
      <w:r>
        <w:rPr>
          <w:noProof/>
          <w:sz w:val="26"/>
          <w:szCs w:val="26"/>
          <w:lang w:val="nl-NL"/>
        </w:rPr>
        <w:lastRenderedPageBreak/>
        <w:t>lượng Coliform nguồn nước dưới đất tại xã Quang Thọ, xã Sơn Tây và xã Hương Thủy trước đây đang nằm trong giới hạn cho phép; hàm lượng Coliform nguồn nước dưới đất tại các vị trí còn lại đề vượt ngưỡng giá trị giới hạn từ 2,27-13,00 lần.</w:t>
      </w:r>
    </w:p>
    <w:p w14:paraId="0177A5C1" w14:textId="77777777" w:rsidR="00085789" w:rsidRDefault="00000000">
      <w:pPr>
        <w:widowControl w:val="0"/>
        <w:spacing w:before="120" w:line="240" w:lineRule="auto"/>
        <w:ind w:firstLine="709"/>
        <w:jc w:val="both"/>
        <w:rPr>
          <w:b/>
          <w:noProof/>
          <w:spacing w:val="-4"/>
          <w:sz w:val="26"/>
          <w:szCs w:val="26"/>
          <w:lang w:val="nl-NL"/>
        </w:rPr>
      </w:pPr>
      <w:r>
        <w:rPr>
          <w:noProof/>
          <w:sz w:val="26"/>
          <w:szCs w:val="26"/>
          <w:lang w:val="nl-NL"/>
        </w:rPr>
        <w:t>=&gt; Nguyên nhân: Nhìn chung, hàm lượng Coliform nguồn nước dưới đất tại các vị trí quan trắc hầu hết đều vượt quy chuẩn cho phép, nhất là tại các khu vực có hoạt động chăn nuôi, công nghiệp và tập trung đông dân cư.</w:t>
      </w:r>
    </w:p>
    <w:p w14:paraId="661E8D24"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 xml:space="preserve">(3) Diễn biến hàm lượng Nitrat nước dưới đất vùng miền núi </w:t>
      </w:r>
      <w:r>
        <w:rPr>
          <w:b/>
          <w:noProof/>
          <w:spacing w:val="-4"/>
          <w:sz w:val="26"/>
          <w:szCs w:val="26"/>
          <w:lang w:val="pt-BR"/>
        </w:rPr>
        <w:t>từ năm 2021-Quý II/2025</w:t>
      </w:r>
      <w:r>
        <w:rPr>
          <w:b/>
          <w:noProof/>
          <w:spacing w:val="-4"/>
          <w:sz w:val="26"/>
          <w:szCs w:val="26"/>
          <w:lang w:val="nl-NL"/>
        </w:rPr>
        <w:t>:</w:t>
      </w:r>
    </w:p>
    <w:p w14:paraId="3D19887A" w14:textId="77777777" w:rsidR="00085789" w:rsidRDefault="00000000">
      <w:pPr>
        <w:widowControl w:val="0"/>
        <w:spacing w:before="120" w:line="240" w:lineRule="auto"/>
        <w:jc w:val="center"/>
        <w:rPr>
          <w:b/>
          <w:noProof/>
          <w:spacing w:val="-4"/>
          <w:sz w:val="26"/>
          <w:szCs w:val="26"/>
          <w:lang w:val="nl-NL"/>
        </w:rPr>
      </w:pPr>
      <w:r>
        <w:rPr>
          <w:noProof/>
        </w:rPr>
        <w:drawing>
          <wp:inline distT="0" distB="0" distL="0" distR="0" wp14:anchorId="6F8F9E2D" wp14:editId="73B40B85">
            <wp:extent cx="9039225" cy="1594884"/>
            <wp:effectExtent l="0" t="0" r="9525" b="5715"/>
            <wp:docPr id="109773313" name="Chart 1">
              <a:extLst xmlns:a="http://schemas.openxmlformats.org/drawingml/2006/main">
                <a:ext uri="{FF2B5EF4-FFF2-40B4-BE49-F238E27FC236}">
                  <a16:creationId xmlns:a16="http://schemas.microsoft.com/office/drawing/2014/main" id="{5136D220-C71F-47DC-8D0A-298C5E1AE4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179592EE" w14:textId="77777777" w:rsidR="00085789" w:rsidRDefault="00000000">
      <w:pPr>
        <w:pStyle w:val="-bac4"/>
        <w:spacing w:line="320" w:lineRule="exact"/>
        <w:rPr>
          <w:lang w:val="nl-NL"/>
        </w:rPr>
      </w:pPr>
      <w:bookmarkStart w:id="812" w:name="_Toc205915777"/>
      <w:bookmarkStart w:id="813" w:name="_Toc213597472"/>
      <w:bookmarkStart w:id="814" w:name="_Toc213600822"/>
      <w:r>
        <w:rPr>
          <w:lang w:val="nl-NL"/>
        </w:rPr>
        <w:t>Hình 3.69. Diễn biến hàm lượng Nitrat trong nước dưới đất vùng miền núi</w:t>
      </w:r>
      <w:bookmarkEnd w:id="812"/>
      <w:bookmarkEnd w:id="813"/>
      <w:bookmarkEnd w:id="814"/>
    </w:p>
    <w:p w14:paraId="6032696F"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903B147"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Từ năm 2021 đến năm 2022, hàm lượng Nitrat nguồn nước dưới đất ở tất cả các vị trí quan trắc vùng miền núi đều đạt giá trị giới hạn theo QCVN 09-MT:2015/BTNMT.</w:t>
      </w:r>
    </w:p>
    <w:p w14:paraId="6DB49E1F"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2023-Quý II/2025: Từ năm 2023 đến Quý II/2025, hàm lượng Nitrat nguồn nước dưới đất ở tất cả các vị trí quan trắc vùng miền núi đều đạt giá trị giới hạn theo QCVN 09:2023/BTNMT.</w:t>
      </w:r>
    </w:p>
    <w:p w14:paraId="4523075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=&gt; Như vậy, hàm lượng Nitrat nguồn nước dưới đất tại các vị trí quan trắc vùng miền núi đều đang nằm trong giới hạn cho phép nhiều lần.</w:t>
      </w:r>
    </w:p>
    <w:p w14:paraId="6BDD8D03"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lastRenderedPageBreak/>
        <w:t>(4) Diễn biến hàm lượng Amoni (NH</w:t>
      </w:r>
      <w:r>
        <w:rPr>
          <w:b/>
          <w:noProof/>
          <w:spacing w:val="-4"/>
          <w:sz w:val="26"/>
          <w:szCs w:val="26"/>
          <w:vertAlign w:val="subscript"/>
          <w:lang w:val="nl-NL"/>
        </w:rPr>
        <w:t>4</w:t>
      </w:r>
      <w:r>
        <w:rPr>
          <w:b/>
          <w:noProof/>
          <w:spacing w:val="-4"/>
          <w:sz w:val="26"/>
          <w:szCs w:val="26"/>
          <w:vertAlign w:val="superscript"/>
          <w:lang w:val="nl-NL"/>
        </w:rPr>
        <w:t>+</w:t>
      </w:r>
      <w:r>
        <w:rPr>
          <w:b/>
          <w:noProof/>
          <w:spacing w:val="-4"/>
          <w:sz w:val="26"/>
          <w:szCs w:val="26"/>
          <w:lang w:val="nl-NL"/>
        </w:rPr>
        <w:t xml:space="preserve">-N) nước dưới đất vùng ven biển </w:t>
      </w:r>
      <w:r>
        <w:rPr>
          <w:b/>
          <w:noProof/>
          <w:spacing w:val="-4"/>
          <w:sz w:val="26"/>
          <w:szCs w:val="26"/>
          <w:lang w:val="pt-BR"/>
        </w:rPr>
        <w:t>từ năm 2021-Quý II/2025</w:t>
      </w:r>
      <w:r>
        <w:rPr>
          <w:b/>
          <w:noProof/>
          <w:spacing w:val="-4"/>
          <w:sz w:val="26"/>
          <w:szCs w:val="26"/>
          <w:lang w:val="nl-NL"/>
        </w:rPr>
        <w:t>:</w:t>
      </w:r>
    </w:p>
    <w:p w14:paraId="2D77A853"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5D2AF22A" wp14:editId="5399110B">
            <wp:extent cx="9039225" cy="1914525"/>
            <wp:effectExtent l="0" t="0" r="9525" b="3810"/>
            <wp:docPr id="836293894" name="Chart 1">
              <a:extLst xmlns:a="http://schemas.openxmlformats.org/drawingml/2006/main">
                <a:ext uri="{FF2B5EF4-FFF2-40B4-BE49-F238E27FC236}">
                  <a16:creationId xmlns:a16="http://schemas.microsoft.com/office/drawing/2014/main" id="{786D89D5-250B-4733-AA37-AF368577DD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628131EC" w14:textId="77777777" w:rsidR="00085789" w:rsidRDefault="00000000">
      <w:pPr>
        <w:pStyle w:val="-bac4"/>
        <w:spacing w:before="0"/>
        <w:rPr>
          <w:lang w:val="nl-NL"/>
        </w:rPr>
      </w:pPr>
      <w:bookmarkStart w:id="815" w:name="_Toc205915778"/>
      <w:bookmarkStart w:id="816" w:name="_Toc213597473"/>
      <w:bookmarkStart w:id="817" w:name="_Toc213600823"/>
      <w:r>
        <w:rPr>
          <w:lang w:val="nl-NL"/>
        </w:rPr>
        <w:t>Hình 3.70. Diễn biến hàm lượng Amoni trong nước dưới đất vùng miền núi</w:t>
      </w:r>
      <w:bookmarkEnd w:id="815"/>
      <w:bookmarkEnd w:id="816"/>
      <w:bookmarkEnd w:id="817"/>
    </w:p>
    <w:p w14:paraId="1165064D"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BAF6A19" w14:textId="77777777" w:rsidR="00085789" w:rsidRDefault="00000000">
      <w:pPr>
        <w:widowControl w:val="0"/>
        <w:spacing w:before="120" w:line="240" w:lineRule="auto"/>
        <w:ind w:firstLine="709"/>
        <w:jc w:val="both"/>
        <w:rPr>
          <w:noProof/>
          <w:spacing w:val="-2"/>
          <w:sz w:val="26"/>
          <w:szCs w:val="26"/>
          <w:lang w:val="nl-NL"/>
        </w:rPr>
      </w:pPr>
      <w:r>
        <w:rPr>
          <w:noProof/>
          <w:spacing w:val="-2"/>
          <w:sz w:val="26"/>
          <w:szCs w:val="26"/>
          <w:lang w:val="nl-NL"/>
        </w:rPr>
        <w:t xml:space="preserve">- Năm 2021-2022: </w:t>
      </w:r>
      <w:r>
        <w:rPr>
          <w:noProof/>
          <w:sz w:val="26"/>
          <w:szCs w:val="26"/>
          <w:lang w:val="nl-NL"/>
        </w:rPr>
        <w:t>Từ năm 2021 đến năm 2022, hàm lượng Amoni nguồn nước dưới đất ở tất cả các vị trí quan trắc vùng miền núi đều đạt giá trị giới hạn theo QCVN 09-MT:2015/BTNMT</w:t>
      </w:r>
      <w:r>
        <w:rPr>
          <w:noProof/>
          <w:spacing w:val="-2"/>
          <w:sz w:val="26"/>
          <w:szCs w:val="26"/>
          <w:lang w:val="nl-NL"/>
        </w:rPr>
        <w:t>.</w:t>
      </w:r>
    </w:p>
    <w:p w14:paraId="43862EC7"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năm 2024, hàm lượng Amoni nguồn nước dưới đất ở tất cả các vị trí quan trắc vùng miền núi đều đạt giá trị giới hạn theo QCVN 09:2023/BTNMT. Quý II/2025: Hàm lượng </w:t>
      </w:r>
      <w:r>
        <w:rPr>
          <w:noProof/>
          <w:spacing w:val="-2"/>
          <w:sz w:val="26"/>
          <w:szCs w:val="26"/>
          <w:lang w:val="nl-NL"/>
        </w:rPr>
        <w:t>Amoni</w:t>
      </w:r>
      <w:r>
        <w:rPr>
          <w:noProof/>
          <w:sz w:val="26"/>
          <w:szCs w:val="26"/>
          <w:lang w:val="nl-NL"/>
        </w:rPr>
        <w:t xml:space="preserve"> nguồn nước dưới đất tại khu vực thôn Kim Cương 1, xã Sơn Kim 1 có vượt giá trị giới hạn 1,41 lần; hàm lượng Amoni tại tất cả các vị trí còn lại vùng miền núi đang đạt giá trị giới hạn cho phép theo QCVN 09:2023/BTNMT.</w:t>
      </w:r>
    </w:p>
    <w:p w14:paraId="0DBD5F23"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=&gt; Nhìn chung, hàm lượng </w:t>
      </w:r>
      <w:r>
        <w:rPr>
          <w:noProof/>
          <w:spacing w:val="-2"/>
          <w:sz w:val="26"/>
          <w:szCs w:val="26"/>
          <w:lang w:val="nl-NL"/>
        </w:rPr>
        <w:t>Amoni</w:t>
      </w:r>
      <w:r>
        <w:rPr>
          <w:noProof/>
          <w:sz w:val="26"/>
          <w:szCs w:val="26"/>
          <w:lang w:val="nl-NL"/>
        </w:rPr>
        <w:t xml:space="preserve"> nguồn nước dưới đất tại vùng miền núi về cơ bản đang đáp ứng theo quy chuẩn, chỉ có thời điểm Quý II/2025, hàm lượng Amoni tại khu vực thôn Kim Cương 1, xã Sơn Kim 1 vượt quy chuẩn nhất thời, một phần bởi khu vực này là khu vực tập trung dân cư, có hoạt động sản xuất công nghiệp.</w:t>
      </w:r>
    </w:p>
    <w:p w14:paraId="34F78933"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lastRenderedPageBreak/>
        <w:t xml:space="preserve">(5) Diễn biến hàm lượng Tổng chất rắn hòa tan (TDS) nước dưới đất vùng miền núi </w:t>
      </w:r>
      <w:r>
        <w:rPr>
          <w:b/>
          <w:noProof/>
          <w:spacing w:val="-4"/>
          <w:sz w:val="26"/>
          <w:szCs w:val="26"/>
          <w:lang w:val="pt-BR"/>
        </w:rPr>
        <w:t>từ năm 2021-Quý II/2025</w:t>
      </w:r>
      <w:r>
        <w:rPr>
          <w:b/>
          <w:noProof/>
          <w:spacing w:val="-4"/>
          <w:sz w:val="26"/>
          <w:szCs w:val="26"/>
          <w:lang w:val="nl-NL"/>
        </w:rPr>
        <w:t>:</w:t>
      </w:r>
    </w:p>
    <w:p w14:paraId="175727F2"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322FC064" wp14:editId="6CF49DA8">
            <wp:extent cx="9020175" cy="1752600"/>
            <wp:effectExtent l="0" t="0" r="9525" b="0"/>
            <wp:docPr id="1676994160" name="Chart 1">
              <a:extLst xmlns:a="http://schemas.openxmlformats.org/drawingml/2006/main">
                <a:ext uri="{FF2B5EF4-FFF2-40B4-BE49-F238E27FC236}">
                  <a16:creationId xmlns:a16="http://schemas.microsoft.com/office/drawing/2014/main" id="{0381DA65-02F4-4CC1-8F6A-7B64B93AD2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05A42E28" w14:textId="77777777" w:rsidR="00085789" w:rsidRDefault="00000000">
      <w:pPr>
        <w:pStyle w:val="-bac4"/>
        <w:rPr>
          <w:lang w:val="nl-NL"/>
        </w:rPr>
      </w:pPr>
      <w:bookmarkStart w:id="818" w:name="_Toc205915779"/>
      <w:bookmarkStart w:id="819" w:name="_Toc213597474"/>
      <w:bookmarkStart w:id="820" w:name="_Toc213600824"/>
      <w:r>
        <w:rPr>
          <w:lang w:val="nl-NL"/>
        </w:rPr>
        <w:t>Hình 3.71. Diễn biến hàm lượng TDS trong nước dưới đất vùng miền núi</w:t>
      </w:r>
      <w:bookmarkEnd w:id="818"/>
      <w:bookmarkEnd w:id="819"/>
      <w:bookmarkEnd w:id="820"/>
    </w:p>
    <w:p w14:paraId="068B73B3" w14:textId="77777777" w:rsidR="00085789" w:rsidRDefault="00000000">
      <w:pPr>
        <w:widowControl w:val="0"/>
        <w:spacing w:line="340" w:lineRule="exact"/>
        <w:ind w:firstLine="709"/>
        <w:jc w:val="both"/>
        <w:rPr>
          <w:noProof/>
          <w:sz w:val="26"/>
          <w:szCs w:val="26"/>
          <w:u w:val="single"/>
          <w:lang w:val="nl-NL"/>
        </w:rPr>
      </w:pPr>
      <w:r>
        <w:rPr>
          <w:i/>
          <w:noProof/>
          <w:sz w:val="26"/>
          <w:szCs w:val="26"/>
          <w:u w:val="single"/>
          <w:lang w:val="nl-NL"/>
        </w:rPr>
        <w:t>Nhận xét:</w:t>
      </w:r>
    </w:p>
    <w:p w14:paraId="2EE2523A" w14:textId="77777777" w:rsidR="00085789" w:rsidRDefault="00000000">
      <w:pPr>
        <w:widowControl w:val="0"/>
        <w:spacing w:line="320" w:lineRule="exact"/>
        <w:ind w:firstLine="709"/>
        <w:jc w:val="both"/>
        <w:rPr>
          <w:noProof/>
          <w:sz w:val="26"/>
          <w:szCs w:val="26"/>
          <w:lang w:val="nl-NL"/>
        </w:rPr>
      </w:pPr>
      <w:r>
        <w:rPr>
          <w:noProof/>
          <w:sz w:val="26"/>
          <w:szCs w:val="26"/>
          <w:lang w:val="nl-NL"/>
        </w:rPr>
        <w:t>- Năm 2021-2022: Từ năm 2021 đến năm 2022, hàm lượng TDS nguồn nước dưới đất ở tất cả các vị trí quan trắc vùng miền núi đều đạt giá trị giới hạn theo QCVN 09-MT:2015/BTNMT.</w:t>
      </w:r>
    </w:p>
    <w:p w14:paraId="3B793763" w14:textId="77777777" w:rsidR="00085789" w:rsidRDefault="00000000">
      <w:pPr>
        <w:widowControl w:val="0"/>
        <w:spacing w:line="320" w:lineRule="exact"/>
        <w:ind w:firstLine="709"/>
        <w:jc w:val="both"/>
        <w:rPr>
          <w:noProof/>
          <w:sz w:val="26"/>
          <w:szCs w:val="26"/>
          <w:lang w:val="nl-NL"/>
        </w:rPr>
      </w:pPr>
      <w:r>
        <w:rPr>
          <w:noProof/>
          <w:sz w:val="26"/>
          <w:szCs w:val="26"/>
          <w:lang w:val="nl-NL"/>
        </w:rPr>
        <w:t>- Năm 2023-Quý II/2025: Từ năm 2023 đến Quý II/2025, hàm lượng TDS nguồn nước dưới đất ở tất cả các vị trí quan trắc vùng miền núi đều đạt giá trị giới hạn theo QCVN 09:2023/BTNMT.</w:t>
      </w:r>
    </w:p>
    <w:p w14:paraId="344EB346" w14:textId="77777777" w:rsidR="00085789" w:rsidRDefault="00000000">
      <w:pPr>
        <w:widowControl w:val="0"/>
        <w:spacing w:line="320" w:lineRule="exact"/>
        <w:ind w:firstLine="709"/>
        <w:jc w:val="both"/>
        <w:rPr>
          <w:noProof/>
          <w:sz w:val="26"/>
          <w:szCs w:val="26"/>
          <w:lang w:val="nl-NL"/>
        </w:rPr>
      </w:pPr>
      <w:r>
        <w:rPr>
          <w:noProof/>
          <w:sz w:val="26"/>
          <w:szCs w:val="26"/>
          <w:lang w:val="nl-NL"/>
        </w:rPr>
        <w:t>=&gt; Như vậy, hàm lượng TDS nguồn nước dưới đất tại các vị trí quan trắc vùng miền núi đều đang nằm trong giới hạn cho phép nhiều lần.</w:t>
      </w:r>
    </w:p>
    <w:p w14:paraId="4A4043E5"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t>(6) Diễn biến hàm lượng Độ cứng (CaCO</w:t>
      </w:r>
      <w:r>
        <w:rPr>
          <w:b/>
          <w:noProof/>
          <w:spacing w:val="-4"/>
          <w:sz w:val="26"/>
          <w:szCs w:val="26"/>
          <w:vertAlign w:val="subscript"/>
          <w:lang w:val="nl-NL"/>
        </w:rPr>
        <w:t>3</w:t>
      </w:r>
      <w:r>
        <w:rPr>
          <w:b/>
          <w:noProof/>
          <w:spacing w:val="-4"/>
          <w:sz w:val="26"/>
          <w:szCs w:val="26"/>
          <w:lang w:val="nl-NL"/>
        </w:rPr>
        <w:t xml:space="preserve">) nước dưới đất vùng miền núi </w:t>
      </w:r>
      <w:r>
        <w:rPr>
          <w:b/>
          <w:noProof/>
          <w:spacing w:val="-4"/>
          <w:sz w:val="26"/>
          <w:szCs w:val="26"/>
          <w:lang w:val="pt-BR"/>
        </w:rPr>
        <w:t>từ năm 2021-Quý II/2025</w:t>
      </w:r>
      <w:r>
        <w:rPr>
          <w:b/>
          <w:noProof/>
          <w:spacing w:val="-4"/>
          <w:sz w:val="26"/>
          <w:szCs w:val="26"/>
          <w:lang w:val="nl-NL"/>
        </w:rPr>
        <w:t>:</w:t>
      </w:r>
    </w:p>
    <w:p w14:paraId="1E797C43"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7F51345B" wp14:editId="695290D9">
            <wp:extent cx="9039225" cy="1695450"/>
            <wp:effectExtent l="0" t="0" r="9525" b="0"/>
            <wp:docPr id="104278313" name="Chart 1">
              <a:extLst xmlns:a="http://schemas.openxmlformats.org/drawingml/2006/main">
                <a:ext uri="{FF2B5EF4-FFF2-40B4-BE49-F238E27FC236}">
                  <a16:creationId xmlns:a16="http://schemas.microsoft.com/office/drawing/2014/main" id="{F0FF896F-58AB-43AD-AA52-BF0206917D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35A0E88A" w14:textId="77777777" w:rsidR="00085789" w:rsidRDefault="00000000">
      <w:pPr>
        <w:pStyle w:val="-bac4"/>
        <w:rPr>
          <w:lang w:val="nl-NL"/>
        </w:rPr>
      </w:pPr>
      <w:bookmarkStart w:id="821" w:name="_Toc205915780"/>
      <w:bookmarkStart w:id="822" w:name="_Toc213597475"/>
      <w:bookmarkStart w:id="823" w:name="_Toc213600825"/>
      <w:r>
        <w:rPr>
          <w:lang w:val="nl-NL"/>
        </w:rPr>
        <w:t>Hình 3.72. Diễn biến độ cứng (hàm lượng CaCO</w:t>
      </w:r>
      <w:r>
        <w:rPr>
          <w:vertAlign w:val="subscript"/>
          <w:lang w:val="nl-NL"/>
        </w:rPr>
        <w:t>3</w:t>
      </w:r>
      <w:r>
        <w:rPr>
          <w:lang w:val="nl-NL"/>
        </w:rPr>
        <w:t>) trong nước dưới đất vùng miền núi</w:t>
      </w:r>
      <w:bookmarkEnd w:id="821"/>
      <w:bookmarkEnd w:id="822"/>
      <w:bookmarkEnd w:id="823"/>
    </w:p>
    <w:p w14:paraId="7905B392"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lastRenderedPageBreak/>
        <w:t>Nhận xét:</w:t>
      </w:r>
    </w:p>
    <w:p w14:paraId="6AC6E624"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2021-2022: Từ năm 2021 đến năm 2022, hàm lượng </w:t>
      </w:r>
      <w:r>
        <w:rPr>
          <w:sz w:val="26"/>
          <w:lang w:val="nl-NL"/>
        </w:rPr>
        <w:t>CaCO</w:t>
      </w:r>
      <w:r>
        <w:rPr>
          <w:sz w:val="26"/>
          <w:vertAlign w:val="subscript"/>
          <w:lang w:val="nl-NL"/>
        </w:rPr>
        <w:t>3</w:t>
      </w:r>
      <w:r>
        <w:rPr>
          <w:noProof/>
          <w:sz w:val="26"/>
          <w:szCs w:val="26"/>
          <w:lang w:val="nl-NL"/>
        </w:rPr>
        <w:t xml:space="preserve"> nguồn nước dưới đất ở tất cả các vị trí quan trắc vùng miền núi đều đạt giá trị giới hạn theo QCVN 09-MT:2015/BTNMT.</w:t>
      </w:r>
    </w:p>
    <w:p w14:paraId="6B77E7E4"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hàm lượng </w:t>
      </w:r>
      <w:r>
        <w:rPr>
          <w:sz w:val="26"/>
          <w:lang w:val="nl-NL"/>
        </w:rPr>
        <w:t>CaCO</w:t>
      </w:r>
      <w:r>
        <w:rPr>
          <w:sz w:val="26"/>
          <w:vertAlign w:val="subscript"/>
          <w:lang w:val="nl-NL"/>
        </w:rPr>
        <w:t>3</w:t>
      </w:r>
      <w:r>
        <w:rPr>
          <w:noProof/>
          <w:sz w:val="26"/>
          <w:szCs w:val="26"/>
          <w:lang w:val="nl-NL"/>
        </w:rPr>
        <w:t xml:space="preserve"> nguồn nước dưới đất ở tất cả các vị trí quan trắc vùng miền núi đều đạt giá trị giới hạn theo QCVN 09:2023/BTNMT.</w:t>
      </w:r>
    </w:p>
    <w:p w14:paraId="7207F68F"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=&gt; Như vậy, hàm lượng </w:t>
      </w:r>
      <w:r>
        <w:rPr>
          <w:sz w:val="26"/>
          <w:lang w:val="nl-NL"/>
        </w:rPr>
        <w:t>CaCO</w:t>
      </w:r>
      <w:r>
        <w:rPr>
          <w:sz w:val="26"/>
          <w:vertAlign w:val="subscript"/>
          <w:lang w:val="nl-NL"/>
        </w:rPr>
        <w:t>3</w:t>
      </w:r>
      <w:r>
        <w:rPr>
          <w:noProof/>
          <w:sz w:val="26"/>
          <w:szCs w:val="26"/>
          <w:lang w:val="nl-NL"/>
        </w:rPr>
        <w:t xml:space="preserve"> nguồn nước dưới đất tại các vị trí quan trắc vùng miền núi đều đang nằm trong giới hạn cho phép nhiều lần.</w:t>
      </w:r>
    </w:p>
    <w:p w14:paraId="368AB8F9" w14:textId="77777777" w:rsidR="00085789" w:rsidRDefault="00000000">
      <w:pPr>
        <w:keepNext/>
        <w:spacing w:before="120" w:line="240" w:lineRule="auto"/>
        <w:ind w:firstLine="709"/>
        <w:jc w:val="both"/>
        <w:rPr>
          <w:b/>
          <w:noProof/>
          <w:spacing w:val="-4"/>
          <w:sz w:val="26"/>
          <w:szCs w:val="26"/>
          <w:lang w:val="nl-NL"/>
        </w:rPr>
      </w:pPr>
      <w:r>
        <w:rPr>
          <w:b/>
          <w:noProof/>
          <w:spacing w:val="-4"/>
          <w:sz w:val="26"/>
          <w:szCs w:val="26"/>
          <w:lang w:val="nl-NL"/>
        </w:rPr>
        <w:t xml:space="preserve">(7) Diễn biến hàm lượng Asenic (As) nước dưới đất vùng miền núi </w:t>
      </w:r>
      <w:r>
        <w:rPr>
          <w:b/>
          <w:noProof/>
          <w:spacing w:val="-4"/>
          <w:sz w:val="26"/>
          <w:szCs w:val="26"/>
          <w:lang w:val="pt-BR"/>
        </w:rPr>
        <w:t>từ năm 2021-Quý II/2025</w:t>
      </w:r>
      <w:r>
        <w:rPr>
          <w:b/>
          <w:noProof/>
          <w:spacing w:val="-4"/>
          <w:sz w:val="26"/>
          <w:szCs w:val="26"/>
          <w:lang w:val="nl-NL"/>
        </w:rPr>
        <w:t>:</w:t>
      </w:r>
    </w:p>
    <w:p w14:paraId="02E6E707"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1F8BD689" wp14:editId="52B2095B">
            <wp:extent cx="9029700" cy="1673524"/>
            <wp:effectExtent l="0" t="0" r="0" b="3175"/>
            <wp:docPr id="158048168" name="Chart 1">
              <a:extLst xmlns:a="http://schemas.openxmlformats.org/drawingml/2006/main">
                <a:ext uri="{FF2B5EF4-FFF2-40B4-BE49-F238E27FC236}">
                  <a16:creationId xmlns:a16="http://schemas.microsoft.com/office/drawing/2014/main" id="{9B381163-59B1-43B6-A6B1-71E98B07F4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6F399E5A" w14:textId="77777777" w:rsidR="00085789" w:rsidRDefault="00000000">
      <w:pPr>
        <w:pStyle w:val="-bac4"/>
        <w:spacing w:before="0"/>
        <w:rPr>
          <w:lang w:val="nl-NL"/>
        </w:rPr>
      </w:pPr>
      <w:bookmarkStart w:id="824" w:name="_Toc205915781"/>
      <w:bookmarkStart w:id="825" w:name="_Toc213597476"/>
      <w:bookmarkStart w:id="826" w:name="_Toc213600826"/>
      <w:r>
        <w:rPr>
          <w:lang w:val="nl-NL"/>
        </w:rPr>
        <w:t xml:space="preserve">Hình 3.73. Diễn biến </w:t>
      </w:r>
      <w:r>
        <w:rPr>
          <w:noProof/>
          <w:spacing w:val="-4"/>
          <w:lang w:val="nl-NL"/>
        </w:rPr>
        <w:t xml:space="preserve">Asenic (As) </w:t>
      </w:r>
      <w:r>
        <w:rPr>
          <w:lang w:val="nl-NL"/>
        </w:rPr>
        <w:t>trong nước dưới đất vùng miền núi.</w:t>
      </w:r>
      <w:bookmarkEnd w:id="824"/>
      <w:bookmarkEnd w:id="825"/>
      <w:bookmarkEnd w:id="826"/>
    </w:p>
    <w:p w14:paraId="107CE65A"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29DB44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2021-2022: Từ năm 2021 đến năm 2022, hàm lượng </w:t>
      </w:r>
      <w:r>
        <w:rPr>
          <w:sz w:val="26"/>
          <w:lang w:val="nl-NL"/>
        </w:rPr>
        <w:t>As</w:t>
      </w:r>
      <w:r>
        <w:rPr>
          <w:noProof/>
          <w:sz w:val="26"/>
          <w:szCs w:val="26"/>
          <w:lang w:val="nl-NL"/>
        </w:rPr>
        <w:t xml:space="preserve"> nguồn nước dưới đất ở tất cả các vị trí quan trắc vùng miền núi đều đạt giá trị giới hạn theo QCVN 09-MT:2015/BTNMT.</w:t>
      </w:r>
    </w:p>
    <w:p w14:paraId="171A00BB"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hàm lượng </w:t>
      </w:r>
      <w:r>
        <w:rPr>
          <w:sz w:val="26"/>
          <w:lang w:val="nl-NL"/>
        </w:rPr>
        <w:t>As</w:t>
      </w:r>
      <w:r>
        <w:rPr>
          <w:noProof/>
          <w:sz w:val="26"/>
          <w:szCs w:val="26"/>
          <w:lang w:val="nl-NL"/>
        </w:rPr>
        <w:t xml:space="preserve"> nguồn nước dưới đất ở tất cả các vị trí quan trắc vùng miền núi đều đạt giá trị giới hạn theo QCVN 09:2023/BTNMT.</w:t>
      </w:r>
    </w:p>
    <w:p w14:paraId="5B9ABFDA" w14:textId="77777777" w:rsidR="00085789" w:rsidRDefault="00000000">
      <w:pPr>
        <w:widowControl w:val="0"/>
        <w:spacing w:before="120" w:line="240" w:lineRule="auto"/>
        <w:ind w:firstLine="709"/>
        <w:jc w:val="both"/>
        <w:rPr>
          <w:noProof/>
          <w:spacing w:val="-4"/>
          <w:sz w:val="26"/>
          <w:szCs w:val="26"/>
          <w:lang w:val="nl-NL"/>
        </w:rPr>
      </w:pPr>
      <w:r>
        <w:rPr>
          <w:noProof/>
          <w:spacing w:val="-4"/>
          <w:sz w:val="26"/>
          <w:szCs w:val="26"/>
          <w:lang w:val="nl-NL"/>
        </w:rPr>
        <w:t xml:space="preserve">=&gt; Như vậy, hàm lượng </w:t>
      </w:r>
      <w:r>
        <w:rPr>
          <w:spacing w:val="-4"/>
          <w:sz w:val="26"/>
          <w:lang w:val="nl-NL"/>
        </w:rPr>
        <w:t>As</w:t>
      </w:r>
      <w:r>
        <w:rPr>
          <w:noProof/>
          <w:spacing w:val="-4"/>
          <w:sz w:val="26"/>
          <w:szCs w:val="26"/>
          <w:lang w:val="nl-NL"/>
        </w:rPr>
        <w:t xml:space="preserve"> nguồn nước dưới đất tại các vị trí quan trắc vùng miền núi đều đang nằm trong giới hạn cho phép nhiều lần.</w:t>
      </w:r>
    </w:p>
    <w:p w14:paraId="5ABEF7B1" w14:textId="77777777" w:rsidR="00085789" w:rsidRDefault="00000000">
      <w:pPr>
        <w:keepNext/>
        <w:spacing w:before="120" w:line="320" w:lineRule="exact"/>
        <w:ind w:firstLine="709"/>
        <w:jc w:val="both"/>
        <w:rPr>
          <w:b/>
          <w:noProof/>
          <w:spacing w:val="-4"/>
          <w:sz w:val="26"/>
          <w:szCs w:val="26"/>
          <w:lang w:val="nl-NL"/>
        </w:rPr>
      </w:pPr>
      <w:r>
        <w:rPr>
          <w:b/>
          <w:noProof/>
          <w:spacing w:val="-4"/>
          <w:sz w:val="26"/>
          <w:szCs w:val="26"/>
          <w:lang w:val="nl-NL"/>
        </w:rPr>
        <w:lastRenderedPageBreak/>
        <w:t>(8) Diễn biến hàm lượng Cloride (Cl</w:t>
      </w:r>
      <w:r>
        <w:rPr>
          <w:b/>
          <w:noProof/>
          <w:spacing w:val="-4"/>
          <w:sz w:val="26"/>
          <w:szCs w:val="26"/>
          <w:vertAlign w:val="superscript"/>
          <w:lang w:val="nl-NL"/>
        </w:rPr>
        <w:t>-</w:t>
      </w:r>
      <w:r>
        <w:rPr>
          <w:b/>
          <w:noProof/>
          <w:spacing w:val="-4"/>
          <w:sz w:val="26"/>
          <w:szCs w:val="26"/>
          <w:lang w:val="nl-NL"/>
        </w:rPr>
        <w:t xml:space="preserve">) nước dưới đất vùng miền núi </w:t>
      </w:r>
      <w:r>
        <w:rPr>
          <w:b/>
          <w:noProof/>
          <w:spacing w:val="-4"/>
          <w:sz w:val="26"/>
          <w:szCs w:val="26"/>
          <w:lang w:val="pt-BR"/>
        </w:rPr>
        <w:t>từ năm 2021-Quý II/2025</w:t>
      </w:r>
      <w:r>
        <w:rPr>
          <w:b/>
          <w:noProof/>
          <w:spacing w:val="-4"/>
          <w:sz w:val="26"/>
          <w:szCs w:val="26"/>
          <w:lang w:val="nl-NL"/>
        </w:rPr>
        <w:t>:</w:t>
      </w:r>
    </w:p>
    <w:p w14:paraId="6B3137E9"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131DBBC2" wp14:editId="76B8B0D4">
            <wp:extent cx="9001125" cy="2216989"/>
            <wp:effectExtent l="0" t="0" r="9525" b="12065"/>
            <wp:docPr id="2047596710" name="Chart 1">
              <a:extLst xmlns:a="http://schemas.openxmlformats.org/drawingml/2006/main">
                <a:ext uri="{FF2B5EF4-FFF2-40B4-BE49-F238E27FC236}">
                  <a16:creationId xmlns:a16="http://schemas.microsoft.com/office/drawing/2014/main" id="{5984E642-3AFC-44C8-AF09-E6B8BDA7C3D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5A3AD416" w14:textId="77777777" w:rsidR="00085789" w:rsidRDefault="00000000">
      <w:pPr>
        <w:pStyle w:val="-bac4"/>
        <w:rPr>
          <w:lang w:val="nl-NL"/>
        </w:rPr>
      </w:pPr>
      <w:bookmarkStart w:id="827" w:name="_Toc205915782"/>
      <w:bookmarkStart w:id="828" w:name="_Toc213597477"/>
      <w:bookmarkStart w:id="829" w:name="_Toc213600827"/>
      <w:r>
        <w:rPr>
          <w:lang w:val="nl-NL"/>
        </w:rPr>
        <w:t xml:space="preserve">Hình 3.74. Diễn biến </w:t>
      </w:r>
      <w:r>
        <w:rPr>
          <w:noProof/>
          <w:spacing w:val="-4"/>
          <w:lang w:val="nl-NL"/>
        </w:rPr>
        <w:t>Cloride (Cl</w:t>
      </w:r>
      <w:r>
        <w:rPr>
          <w:noProof/>
          <w:spacing w:val="-4"/>
          <w:vertAlign w:val="superscript"/>
          <w:lang w:val="nl-NL"/>
        </w:rPr>
        <w:t>-</w:t>
      </w:r>
      <w:r>
        <w:rPr>
          <w:noProof/>
          <w:spacing w:val="-4"/>
          <w:lang w:val="nl-NL"/>
        </w:rPr>
        <w:t xml:space="preserve">) </w:t>
      </w:r>
      <w:r>
        <w:rPr>
          <w:lang w:val="nl-NL"/>
        </w:rPr>
        <w:t>trong nước dưới đất vùng miền núi.</w:t>
      </w:r>
      <w:bookmarkEnd w:id="827"/>
      <w:bookmarkEnd w:id="828"/>
      <w:bookmarkEnd w:id="829"/>
    </w:p>
    <w:p w14:paraId="1DE7464E"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C80F0E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2021-2022: Từ năm 2021 đến năm 2022, hàm lượng </w:t>
      </w:r>
      <w:r>
        <w:rPr>
          <w:sz w:val="26"/>
          <w:lang w:val="nl-NL"/>
        </w:rPr>
        <w:t>Cl</w:t>
      </w:r>
      <w:r>
        <w:rPr>
          <w:sz w:val="26"/>
          <w:vertAlign w:val="superscript"/>
          <w:lang w:val="nl-NL"/>
        </w:rPr>
        <w:t>-</w:t>
      </w:r>
      <w:r>
        <w:rPr>
          <w:noProof/>
          <w:sz w:val="26"/>
          <w:szCs w:val="26"/>
          <w:lang w:val="nl-NL"/>
        </w:rPr>
        <w:t xml:space="preserve"> nguồn nước dưới đất ở tất cả các vị trí quan trắc vùng miền núi đều đạt giá trị giới hạn theo QCVN 09-MT:2015/BTNMT.</w:t>
      </w:r>
    </w:p>
    <w:p w14:paraId="09A6D491"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2023-Quý II/2025: Từ năm 2023 đến Quý II/2025, hàm lượng </w:t>
      </w:r>
      <w:r>
        <w:rPr>
          <w:sz w:val="26"/>
          <w:lang w:val="nl-NL"/>
        </w:rPr>
        <w:t>Cl</w:t>
      </w:r>
      <w:r>
        <w:rPr>
          <w:sz w:val="26"/>
          <w:vertAlign w:val="superscript"/>
          <w:lang w:val="nl-NL"/>
        </w:rPr>
        <w:t>-</w:t>
      </w:r>
      <w:r>
        <w:rPr>
          <w:noProof/>
          <w:sz w:val="26"/>
          <w:szCs w:val="26"/>
          <w:lang w:val="nl-NL"/>
        </w:rPr>
        <w:t xml:space="preserve"> nguồn nước dưới đất ở tất cả các vị trí quan trắc vùng miền núi đều đạt giá trị giới hạn theo QCVN 09:2023/BTNMT.</w:t>
      </w:r>
    </w:p>
    <w:p w14:paraId="603581CF"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=&gt; Như vậy, hàm lượng </w:t>
      </w:r>
      <w:r>
        <w:rPr>
          <w:spacing w:val="-6"/>
          <w:sz w:val="26"/>
          <w:lang w:val="nl-NL"/>
        </w:rPr>
        <w:t>Cl</w:t>
      </w:r>
      <w:r>
        <w:rPr>
          <w:spacing w:val="-6"/>
          <w:sz w:val="26"/>
          <w:vertAlign w:val="superscript"/>
          <w:lang w:val="nl-NL"/>
        </w:rPr>
        <w:t>-</w:t>
      </w:r>
      <w:r>
        <w:rPr>
          <w:noProof/>
          <w:spacing w:val="-6"/>
          <w:sz w:val="26"/>
          <w:szCs w:val="26"/>
          <w:lang w:val="nl-NL"/>
        </w:rPr>
        <w:t xml:space="preserve"> nguồn nước dưới đất tại các vị trí quan trắc vùng miền núi đều đang nằm trong giới hạn cho phép nhiều lần.</w:t>
      </w:r>
    </w:p>
    <w:p w14:paraId="7FC1D8CF" w14:textId="77777777" w:rsidR="00085789" w:rsidRDefault="00085789">
      <w:pPr>
        <w:widowControl w:val="0"/>
        <w:spacing w:before="120" w:line="240" w:lineRule="auto"/>
        <w:ind w:firstLine="709"/>
        <w:jc w:val="both"/>
        <w:rPr>
          <w:noProof/>
          <w:sz w:val="26"/>
          <w:szCs w:val="26"/>
          <w:lang w:val="nl-NL"/>
        </w:rPr>
      </w:pPr>
    </w:p>
    <w:p w14:paraId="4AA76BA5" w14:textId="77777777" w:rsidR="00085789" w:rsidRDefault="00085789">
      <w:pPr>
        <w:widowControl w:val="0"/>
        <w:spacing w:line="340" w:lineRule="exact"/>
        <w:ind w:firstLine="709"/>
        <w:jc w:val="both"/>
        <w:rPr>
          <w:noProof/>
          <w:sz w:val="26"/>
          <w:szCs w:val="26"/>
          <w:lang w:val="nl-NL"/>
        </w:rPr>
      </w:pPr>
    </w:p>
    <w:p w14:paraId="13D968E5" w14:textId="77777777" w:rsidR="00085789" w:rsidRDefault="00085789">
      <w:pPr>
        <w:widowControl w:val="0"/>
        <w:spacing w:line="340" w:lineRule="exact"/>
        <w:ind w:firstLine="709"/>
        <w:jc w:val="both"/>
        <w:rPr>
          <w:noProof/>
          <w:sz w:val="26"/>
          <w:szCs w:val="26"/>
          <w:lang w:val="nl-NL"/>
        </w:rPr>
        <w:sectPr w:rsidR="00085789">
          <w:pgSz w:w="16834" w:h="11909" w:orient="landscape" w:code="9"/>
          <w:pgMar w:top="1134" w:right="1134" w:bottom="1134" w:left="1418" w:header="680" w:footer="340" w:gutter="0"/>
          <w:cols w:space="720"/>
          <w:docGrid w:linePitch="381"/>
        </w:sectPr>
      </w:pPr>
    </w:p>
    <w:p w14:paraId="1699C567" w14:textId="77777777" w:rsidR="00085789" w:rsidRDefault="00000000">
      <w:pPr>
        <w:pStyle w:val="-bac3"/>
        <w:spacing w:before="120" w:after="0" w:line="240" w:lineRule="auto"/>
        <w:rPr>
          <w:smallCaps/>
          <w:lang w:val="nl-NL"/>
        </w:rPr>
      </w:pPr>
      <w:bookmarkStart w:id="830" w:name="_Toc214311242"/>
      <w:r>
        <w:rPr>
          <w:lang w:val="nl-NL"/>
        </w:rPr>
        <w:lastRenderedPageBreak/>
        <w:t>3.2.2.3. Các vấn đề môi trường nước dưới đất</w:t>
      </w:r>
      <w:bookmarkEnd w:id="830"/>
      <w:r>
        <w:rPr>
          <w:lang w:val="nl-NL"/>
        </w:rPr>
        <w:t xml:space="preserve"> </w:t>
      </w:r>
    </w:p>
    <w:p w14:paraId="2436BA57" w14:textId="77777777" w:rsidR="00085789" w:rsidRDefault="00000000">
      <w:pPr>
        <w:widowControl w:val="0"/>
        <w:spacing w:before="120" w:line="240" w:lineRule="auto"/>
        <w:ind w:firstLine="709"/>
        <w:jc w:val="both"/>
        <w:rPr>
          <w:sz w:val="26"/>
          <w:szCs w:val="26"/>
          <w:lang w:val="nl-NL"/>
        </w:rPr>
      </w:pPr>
      <w:r>
        <w:rPr>
          <w:sz w:val="26"/>
          <w:szCs w:val="26"/>
          <w:lang w:val="nl-NL"/>
        </w:rPr>
        <w:t>Hà Tĩnh thuộc khu vực Bắc Trung Bộ có nền địa hình phân bố không đồng đều, phía Tây là khu vực đồi núi cao chiếm khoảng 60 % diện tích tự nhiên của tỉnh. Vùng đồng bằng và khu vực ven biển có địa hình thấp trũng nhưng thường xuyên chịu ảnh hưởng bởi chế độ thủy văn, thủy triều. Các vấn đề môi trường nước dưới đất nổi cộm trên địa bàn tỉnh trong giai đoạn từ năm 2021 đến nay được tổng hợp như sau:</w:t>
      </w:r>
    </w:p>
    <w:p w14:paraId="62975EBD" w14:textId="77777777" w:rsidR="00085789" w:rsidRDefault="00000000">
      <w:pPr>
        <w:widowControl w:val="0"/>
        <w:spacing w:before="120" w:line="240" w:lineRule="auto"/>
        <w:ind w:firstLine="709"/>
        <w:jc w:val="both"/>
        <w:rPr>
          <w:sz w:val="26"/>
          <w:szCs w:val="26"/>
          <w:lang w:val="nl-NL"/>
        </w:rPr>
      </w:pPr>
      <w:r>
        <w:rPr>
          <w:sz w:val="26"/>
          <w:szCs w:val="26"/>
          <w:lang w:val="nl-NL"/>
        </w:rPr>
        <w:t>- Một số tầng chứa nước ở khu vực ven biển có nguy cơ bị nhiễm mặn do hoạt động nuôi tôm trên cát.</w:t>
      </w:r>
    </w:p>
    <w:p w14:paraId="641A6F45" w14:textId="77777777" w:rsidR="00085789" w:rsidRDefault="00000000">
      <w:pPr>
        <w:widowControl w:val="0"/>
        <w:spacing w:before="120" w:line="240" w:lineRule="auto"/>
        <w:ind w:firstLine="709"/>
        <w:jc w:val="both"/>
        <w:rPr>
          <w:sz w:val="26"/>
          <w:szCs w:val="26"/>
          <w:lang w:val="nl-NL"/>
        </w:rPr>
      </w:pPr>
      <w:r>
        <w:rPr>
          <w:sz w:val="26"/>
          <w:szCs w:val="26"/>
          <w:lang w:val="nl-NL"/>
        </w:rPr>
        <w:t>- Trên địa bàn tỉnh hiện có 382 trang trại chăn nuôi tập trung (trong đó có 46 trại quy mô lớn, 208 trại quy mô vừa và 128 trại quy mô nhỏ), thực tế hệ thống xử lý nước thải của một số trang trại đã xuống cấp, có rò rỉ và thấm vào môi trường đất tác động trực tiếp đến chất lượng nước cục bộ khu vực nước dưới đất tại các trang trại đó.</w:t>
      </w:r>
    </w:p>
    <w:p w14:paraId="652B9882" w14:textId="77777777" w:rsidR="00085789" w:rsidRDefault="00000000">
      <w:pPr>
        <w:pStyle w:val="bac2"/>
        <w:spacing w:before="120" w:after="0" w:line="240" w:lineRule="auto"/>
        <w:rPr>
          <w:smallCaps/>
          <w:lang w:val="nl-NL"/>
        </w:rPr>
      </w:pPr>
      <w:bookmarkStart w:id="831" w:name="_Toc214311243"/>
      <w:r>
        <w:rPr>
          <w:lang w:val="nl-NL"/>
        </w:rPr>
        <w:t>3.3. Diễn biến môi trường nước biển ven bờ</w:t>
      </w:r>
      <w:bookmarkEnd w:id="831"/>
    </w:p>
    <w:p w14:paraId="5486A963" w14:textId="77777777" w:rsidR="00085789" w:rsidRDefault="00000000">
      <w:pPr>
        <w:pStyle w:val="bac2"/>
        <w:spacing w:before="120" w:after="0" w:line="240" w:lineRule="auto"/>
        <w:rPr>
          <w:bCs/>
          <w:smallCaps/>
          <w:lang w:val="nl-NL"/>
        </w:rPr>
      </w:pPr>
      <w:bookmarkStart w:id="832" w:name="_Toc214311244"/>
      <w:r>
        <w:rPr>
          <w:lang w:val="nl-NL"/>
        </w:rPr>
        <w:t>3.3.1. Khái quát diễn biến chất lượng nước biển ven bờ</w:t>
      </w:r>
      <w:bookmarkEnd w:id="832"/>
    </w:p>
    <w:p w14:paraId="4D1D25F6" w14:textId="77777777" w:rsidR="00085789" w:rsidRDefault="00000000">
      <w:pPr>
        <w:spacing w:before="120" w:line="240" w:lineRule="auto"/>
        <w:ind w:firstLine="720"/>
        <w:jc w:val="both"/>
        <w:rPr>
          <w:spacing w:val="-4"/>
          <w:sz w:val="26"/>
          <w:szCs w:val="26"/>
          <w:lang w:val="nl-NL"/>
        </w:rPr>
      </w:pPr>
      <w:r>
        <w:rPr>
          <w:spacing w:val="-4"/>
          <w:sz w:val="26"/>
          <w:szCs w:val="26"/>
          <w:lang w:val="nl-NL"/>
        </w:rPr>
        <w:t xml:space="preserve">Hà Tĩnh có chiều dài bờ biển 137 km với bờ cát dài, thoải, mịn cùng với làn nước trong xanh là điều kiện lý tưởng để phát triển các khu du lịch biển như Thiên Cầm, Xuân Thành, Đèo Con. Đặc biệt, Cụm cảng nước sâu như Vũng Áng, Sơn Dương trong tương lai sẽ là cửa ngõ ra biển Đông và Thái Bình Dương của vùng Bắc Trung Bộ. Dọc theo bờ biển từ xã Đan Hải đến phường Hoành Sơn, tỉnh Hà Tĩnh có cửa biển Cửa Hội, Cửa Sót, Cửa Nhượng, Cửa Khẩu với các vùng đầm phá rộng hàng trăm ha. Đây là tiềm năng lớn để người dân khai thác đánh bắt cá vùng khơi, vùng lộng và nuôi trồng thủy, hải sản. Do đó, việc kiểm soát nguồn nước biển ven bờ của tỉnh là đặc biệt quan trọng, trong nhiều năm qua, Sở Nông nghiệp và Môi trường đã giám sát chất lượng nước biển ven bờ thông qua chương trình quan trắc mạng lưới trải dài trên địa bàn tỉnh từ khu vực phía Bắc đến phía Nam và tập trung tại các điểm có hoạt động phát triển du lịch, NTTS và cửa sông. </w:t>
      </w:r>
    </w:p>
    <w:p w14:paraId="724636E4" w14:textId="77777777" w:rsidR="00085789" w:rsidRDefault="00000000">
      <w:pPr>
        <w:spacing w:before="120" w:line="240" w:lineRule="auto"/>
        <w:ind w:firstLine="720"/>
        <w:jc w:val="both"/>
        <w:rPr>
          <w:spacing w:val="-2"/>
          <w:sz w:val="26"/>
          <w:szCs w:val="26"/>
          <w:lang w:val="nl-NL"/>
        </w:rPr>
      </w:pPr>
      <w:r>
        <w:rPr>
          <w:spacing w:val="-4"/>
          <w:sz w:val="26"/>
          <w:szCs w:val="26"/>
          <w:lang w:val="nl-NL"/>
        </w:rPr>
        <w:t xml:space="preserve">Để khái quát diễn biến chất lượng nước biển ven bờ trong giai đoạn từ năm 2021 đến nay, báo cáo sử dụng số liệu quan trắc mạng lưới thông qua các thông số đặc trưng gồm: pH, DO, TSS, Tổng Coliform, Amoni, phosphat, Florua. </w:t>
      </w:r>
      <w:r>
        <w:rPr>
          <w:spacing w:val="-2"/>
          <w:sz w:val="26"/>
          <w:szCs w:val="26"/>
          <w:lang w:val="vi-VN"/>
        </w:rPr>
        <w:t xml:space="preserve">Chất lượng môi trường nước được đánh giá trên cơ sở so sánh, đối chiếu với giá trị giới hạn được quy định tại QCVN </w:t>
      </w:r>
      <w:r>
        <w:rPr>
          <w:spacing w:val="-2"/>
          <w:sz w:val="26"/>
          <w:szCs w:val="26"/>
          <w:lang w:val="nl-NL"/>
        </w:rPr>
        <w:t>10</w:t>
      </w:r>
      <w:r>
        <w:rPr>
          <w:spacing w:val="-2"/>
          <w:sz w:val="26"/>
          <w:szCs w:val="26"/>
          <w:lang w:val="vi-VN"/>
        </w:rPr>
        <w:t xml:space="preserve">-MT:2015/BTNMT (giai đoạn 2021-2022), QCVN </w:t>
      </w:r>
      <w:r>
        <w:rPr>
          <w:spacing w:val="-2"/>
          <w:sz w:val="26"/>
          <w:szCs w:val="26"/>
          <w:lang w:val="nl-NL"/>
        </w:rPr>
        <w:t>10</w:t>
      </w:r>
      <w:r>
        <w:rPr>
          <w:spacing w:val="-2"/>
          <w:sz w:val="26"/>
          <w:szCs w:val="26"/>
          <w:lang w:val="vi-VN"/>
        </w:rPr>
        <w:t>:2023/BTNMT (từ 2023-</w:t>
      </w:r>
      <w:r>
        <w:rPr>
          <w:spacing w:val="-2"/>
          <w:sz w:val="26"/>
          <w:szCs w:val="26"/>
        </w:rPr>
        <w:t>quý II/2025</w:t>
      </w:r>
      <w:r>
        <w:rPr>
          <w:spacing w:val="-2"/>
          <w:sz w:val="26"/>
          <w:szCs w:val="26"/>
          <w:lang w:val="vi-VN"/>
        </w:rPr>
        <w:t>)</w:t>
      </w:r>
      <w:r>
        <w:rPr>
          <w:spacing w:val="-2"/>
          <w:sz w:val="26"/>
          <w:szCs w:val="26"/>
          <w:lang w:val="nl-NL"/>
        </w:rPr>
        <w:t xml:space="preserve"> đã lựa chọn các vị trí đặc trưng đại diện cho vùng, khu vực chịu nhiều ảnh hưởng bởi các hoạt động NTTS, du lịch và chịu nhiều ảnh hưởng tại các cửa sông của tỉnh. </w:t>
      </w:r>
      <w:r>
        <w:rPr>
          <w:noProof/>
          <w:spacing w:val="-2"/>
          <w:sz w:val="26"/>
          <w:szCs w:val="26"/>
          <w:lang w:val="nl-NL"/>
        </w:rPr>
        <w:t>Thông tin các nguồn nước biển ven bờ vùng đại diện đánh giá cụ thể như sau:</w:t>
      </w:r>
    </w:p>
    <w:p w14:paraId="0AB4B195" w14:textId="77777777" w:rsidR="00085789" w:rsidRDefault="00000000">
      <w:pPr>
        <w:pStyle w:val="-bac4"/>
        <w:spacing w:before="120" w:after="0" w:line="240" w:lineRule="auto"/>
        <w:rPr>
          <w:lang w:val="nl-NL"/>
        </w:rPr>
      </w:pPr>
      <w:bookmarkStart w:id="833" w:name="_Toc205915787"/>
      <w:bookmarkStart w:id="834" w:name="_Toc213597482"/>
      <w:bookmarkStart w:id="835" w:name="_Toc213600829"/>
      <w:r>
        <w:rPr>
          <w:lang w:val="nl-NL"/>
        </w:rPr>
        <w:t>Bảng 3.5. Thông tin các nguồn nước dưới biển ven bờ chịu sức ép từ hoạt động phát triển KT-XH trên địa bàn tỉnh Hà Tĩnh</w:t>
      </w:r>
      <w:bookmarkEnd w:id="833"/>
      <w:bookmarkEnd w:id="834"/>
      <w:bookmarkEnd w:id="835"/>
    </w:p>
    <w:p w14:paraId="510D5235" w14:textId="77777777" w:rsidR="00085789" w:rsidRDefault="00085789">
      <w:pPr>
        <w:pStyle w:val="-bac4"/>
        <w:spacing w:before="120" w:after="0" w:line="240" w:lineRule="auto"/>
        <w:rPr>
          <w:sz w:val="6"/>
          <w:szCs w:val="4"/>
          <w:lang w:val="nl-NL"/>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
        <w:gridCol w:w="4150"/>
        <w:gridCol w:w="2260"/>
        <w:gridCol w:w="2033"/>
        <w:gridCol w:w="9"/>
      </w:tblGrid>
      <w:tr w:rsidR="00085789" w14:paraId="0066BF93" w14:textId="77777777">
        <w:trPr>
          <w:gridAfter w:val="1"/>
          <w:wAfter w:w="9" w:type="dxa"/>
          <w:trHeight w:val="315"/>
          <w:tblHeader/>
          <w:jc w:val="center"/>
        </w:trPr>
        <w:tc>
          <w:tcPr>
            <w:tcW w:w="618" w:type="dxa"/>
            <w:vAlign w:val="center"/>
          </w:tcPr>
          <w:p w14:paraId="0717941F" w14:textId="77777777" w:rsidR="00085789" w:rsidRDefault="00000000">
            <w:pPr>
              <w:spacing w:line="340" w:lineRule="exact"/>
              <w:ind w:left="-45" w:right="-57"/>
              <w:jc w:val="center"/>
              <w:rPr>
                <w:b/>
                <w:sz w:val="24"/>
                <w:szCs w:val="24"/>
              </w:rPr>
            </w:pPr>
            <w:r>
              <w:rPr>
                <w:b/>
                <w:sz w:val="24"/>
                <w:szCs w:val="24"/>
              </w:rPr>
              <w:t>STT</w:t>
            </w:r>
          </w:p>
        </w:tc>
        <w:tc>
          <w:tcPr>
            <w:tcW w:w="4154" w:type="dxa"/>
            <w:vAlign w:val="center"/>
          </w:tcPr>
          <w:p w14:paraId="2E9A2D13" w14:textId="77777777" w:rsidR="00085789" w:rsidRDefault="00000000">
            <w:pPr>
              <w:spacing w:line="340" w:lineRule="exact"/>
              <w:jc w:val="center"/>
              <w:rPr>
                <w:bCs/>
                <w:spacing w:val="-4"/>
                <w:sz w:val="24"/>
                <w:szCs w:val="24"/>
              </w:rPr>
            </w:pPr>
            <w:r>
              <w:rPr>
                <w:b/>
                <w:bCs/>
                <w:spacing w:val="-4"/>
                <w:sz w:val="24"/>
                <w:szCs w:val="24"/>
              </w:rPr>
              <w:t>Tên điểm quan trắc mạng lưới</w:t>
            </w:r>
          </w:p>
        </w:tc>
        <w:tc>
          <w:tcPr>
            <w:tcW w:w="2262" w:type="dxa"/>
            <w:vAlign w:val="center"/>
          </w:tcPr>
          <w:p w14:paraId="6BBFF423" w14:textId="77777777" w:rsidR="00085789" w:rsidRDefault="00000000">
            <w:pPr>
              <w:spacing w:line="340" w:lineRule="exact"/>
              <w:jc w:val="center"/>
              <w:rPr>
                <w:bCs/>
                <w:spacing w:val="-6"/>
                <w:sz w:val="24"/>
                <w:szCs w:val="24"/>
              </w:rPr>
            </w:pPr>
            <w:r>
              <w:rPr>
                <w:b/>
                <w:bCs/>
                <w:spacing w:val="-4"/>
                <w:sz w:val="24"/>
                <w:szCs w:val="24"/>
              </w:rPr>
              <w:t>Tên phân tích trong báo cáo</w:t>
            </w:r>
          </w:p>
        </w:tc>
        <w:tc>
          <w:tcPr>
            <w:tcW w:w="2034" w:type="dxa"/>
            <w:vAlign w:val="center"/>
          </w:tcPr>
          <w:p w14:paraId="3E05D26F" w14:textId="77777777" w:rsidR="00085789" w:rsidRDefault="00000000">
            <w:pPr>
              <w:spacing w:line="340" w:lineRule="exact"/>
              <w:ind w:left="-119" w:right="-105"/>
              <w:jc w:val="center"/>
              <w:rPr>
                <w:b/>
                <w:sz w:val="24"/>
                <w:szCs w:val="24"/>
              </w:rPr>
            </w:pPr>
            <w:r>
              <w:rPr>
                <w:b/>
                <w:sz w:val="24"/>
                <w:szCs w:val="24"/>
              </w:rPr>
              <w:t>Tên địa danh hành chính mới</w:t>
            </w:r>
            <w:r>
              <w:rPr>
                <w:rStyle w:val="FootnoteReference"/>
                <w:b/>
                <w:sz w:val="24"/>
                <w:szCs w:val="24"/>
              </w:rPr>
              <w:footnoteReference w:id="39"/>
            </w:r>
          </w:p>
        </w:tc>
      </w:tr>
      <w:tr w:rsidR="00085789" w14:paraId="4D6266F3" w14:textId="77777777">
        <w:trPr>
          <w:trHeight w:val="315"/>
          <w:jc w:val="center"/>
        </w:trPr>
        <w:tc>
          <w:tcPr>
            <w:tcW w:w="618" w:type="dxa"/>
            <w:vAlign w:val="center"/>
          </w:tcPr>
          <w:p w14:paraId="00D01651" w14:textId="77777777" w:rsidR="00085789" w:rsidRDefault="00000000">
            <w:pPr>
              <w:spacing w:line="340" w:lineRule="exact"/>
              <w:jc w:val="center"/>
              <w:rPr>
                <w:b/>
                <w:sz w:val="24"/>
                <w:szCs w:val="24"/>
              </w:rPr>
            </w:pPr>
            <w:r>
              <w:rPr>
                <w:b/>
                <w:sz w:val="24"/>
                <w:szCs w:val="24"/>
              </w:rPr>
              <w:t>I</w:t>
            </w:r>
          </w:p>
        </w:tc>
        <w:tc>
          <w:tcPr>
            <w:tcW w:w="8459" w:type="dxa"/>
            <w:gridSpan w:val="4"/>
            <w:vAlign w:val="center"/>
          </w:tcPr>
          <w:p w14:paraId="49F4BF79" w14:textId="77777777" w:rsidR="00085789" w:rsidRDefault="00000000">
            <w:pPr>
              <w:spacing w:line="340" w:lineRule="exact"/>
              <w:ind w:left="-119" w:right="-105"/>
              <w:jc w:val="center"/>
              <w:rPr>
                <w:b/>
                <w:sz w:val="24"/>
                <w:szCs w:val="24"/>
              </w:rPr>
            </w:pPr>
            <w:r>
              <w:rPr>
                <w:b/>
                <w:spacing w:val="-4"/>
                <w:sz w:val="24"/>
                <w:szCs w:val="24"/>
              </w:rPr>
              <w:t>Thông tin vị trí quan trắc nước biển ven bờ tại các bãi tắm hiện trạng</w:t>
            </w:r>
          </w:p>
        </w:tc>
      </w:tr>
      <w:tr w:rsidR="00085789" w14:paraId="18B1EDCE" w14:textId="77777777">
        <w:trPr>
          <w:gridAfter w:val="1"/>
          <w:wAfter w:w="9" w:type="dxa"/>
          <w:trHeight w:val="315"/>
          <w:jc w:val="center"/>
        </w:trPr>
        <w:tc>
          <w:tcPr>
            <w:tcW w:w="618" w:type="dxa"/>
            <w:vAlign w:val="center"/>
          </w:tcPr>
          <w:p w14:paraId="53145D34" w14:textId="77777777" w:rsidR="00085789" w:rsidRDefault="00000000">
            <w:pPr>
              <w:spacing w:line="340" w:lineRule="exact"/>
              <w:jc w:val="center"/>
              <w:rPr>
                <w:bCs/>
                <w:sz w:val="24"/>
                <w:szCs w:val="24"/>
              </w:rPr>
            </w:pPr>
            <w:r>
              <w:rPr>
                <w:bCs/>
                <w:sz w:val="24"/>
                <w:szCs w:val="24"/>
              </w:rPr>
              <w:t>1</w:t>
            </w:r>
          </w:p>
        </w:tc>
        <w:tc>
          <w:tcPr>
            <w:tcW w:w="4154" w:type="dxa"/>
            <w:vAlign w:val="center"/>
          </w:tcPr>
          <w:p w14:paraId="4F48876E" w14:textId="77777777" w:rsidR="00085789" w:rsidRDefault="00000000">
            <w:pPr>
              <w:spacing w:line="340" w:lineRule="exact"/>
              <w:rPr>
                <w:sz w:val="24"/>
                <w:szCs w:val="24"/>
              </w:rPr>
            </w:pPr>
            <w:r>
              <w:rPr>
                <w:sz w:val="24"/>
                <w:szCs w:val="24"/>
              </w:rPr>
              <w:t>Bãi tắm Xuân Thành, xã Xuân Thành, huyện Nghi Xuân</w:t>
            </w:r>
          </w:p>
        </w:tc>
        <w:tc>
          <w:tcPr>
            <w:tcW w:w="2262" w:type="dxa"/>
            <w:vAlign w:val="center"/>
          </w:tcPr>
          <w:p w14:paraId="2C806440" w14:textId="77777777" w:rsidR="00085789" w:rsidRDefault="00000000">
            <w:pPr>
              <w:spacing w:line="340" w:lineRule="exact"/>
              <w:rPr>
                <w:spacing w:val="-6"/>
                <w:sz w:val="24"/>
                <w:szCs w:val="24"/>
              </w:rPr>
            </w:pPr>
            <w:r>
              <w:rPr>
                <w:spacing w:val="-6"/>
                <w:sz w:val="24"/>
                <w:szCs w:val="24"/>
              </w:rPr>
              <w:t>Biển bãi tắm Xuân Thành</w:t>
            </w:r>
          </w:p>
        </w:tc>
        <w:tc>
          <w:tcPr>
            <w:tcW w:w="2034" w:type="dxa"/>
            <w:vAlign w:val="center"/>
          </w:tcPr>
          <w:p w14:paraId="5492A432" w14:textId="77777777" w:rsidR="00085789" w:rsidRDefault="00000000">
            <w:pPr>
              <w:spacing w:line="340" w:lineRule="exact"/>
              <w:rPr>
                <w:bCs/>
                <w:spacing w:val="-6"/>
                <w:sz w:val="24"/>
                <w:szCs w:val="24"/>
              </w:rPr>
            </w:pPr>
            <w:r>
              <w:rPr>
                <w:bCs/>
                <w:spacing w:val="-6"/>
                <w:sz w:val="24"/>
                <w:szCs w:val="24"/>
              </w:rPr>
              <w:t>Xã Tiên Điền</w:t>
            </w:r>
          </w:p>
        </w:tc>
      </w:tr>
      <w:tr w:rsidR="00085789" w14:paraId="44EEDD93" w14:textId="77777777">
        <w:trPr>
          <w:gridAfter w:val="1"/>
          <w:wAfter w:w="9" w:type="dxa"/>
          <w:trHeight w:val="315"/>
          <w:jc w:val="center"/>
        </w:trPr>
        <w:tc>
          <w:tcPr>
            <w:tcW w:w="618" w:type="dxa"/>
            <w:vAlign w:val="center"/>
          </w:tcPr>
          <w:p w14:paraId="7CFCB0EE" w14:textId="77777777" w:rsidR="00085789" w:rsidRDefault="00000000">
            <w:pPr>
              <w:spacing w:line="340" w:lineRule="exact"/>
              <w:jc w:val="center"/>
              <w:rPr>
                <w:bCs/>
                <w:sz w:val="24"/>
                <w:szCs w:val="24"/>
              </w:rPr>
            </w:pPr>
            <w:r>
              <w:rPr>
                <w:bCs/>
                <w:sz w:val="24"/>
                <w:szCs w:val="24"/>
              </w:rPr>
              <w:lastRenderedPageBreak/>
              <w:t>2</w:t>
            </w:r>
          </w:p>
        </w:tc>
        <w:tc>
          <w:tcPr>
            <w:tcW w:w="4154" w:type="dxa"/>
            <w:vAlign w:val="center"/>
          </w:tcPr>
          <w:p w14:paraId="051C840A" w14:textId="77777777" w:rsidR="00085789" w:rsidRDefault="00000000">
            <w:pPr>
              <w:spacing w:line="340" w:lineRule="exact"/>
              <w:rPr>
                <w:bCs/>
                <w:spacing w:val="-6"/>
                <w:sz w:val="24"/>
                <w:szCs w:val="24"/>
              </w:rPr>
            </w:pPr>
            <w:r>
              <w:rPr>
                <w:sz w:val="24"/>
                <w:szCs w:val="24"/>
              </w:rPr>
              <w:t>Bãi tắm Xuân Hải, xã Thạch Bằng, huyện Thạch Hà</w:t>
            </w:r>
          </w:p>
        </w:tc>
        <w:tc>
          <w:tcPr>
            <w:tcW w:w="2262" w:type="dxa"/>
            <w:vAlign w:val="center"/>
          </w:tcPr>
          <w:p w14:paraId="32022490" w14:textId="77777777" w:rsidR="00085789" w:rsidRDefault="00000000">
            <w:pPr>
              <w:spacing w:line="340" w:lineRule="exact"/>
              <w:rPr>
                <w:bCs/>
                <w:spacing w:val="-6"/>
                <w:sz w:val="24"/>
                <w:szCs w:val="24"/>
              </w:rPr>
            </w:pPr>
            <w:r>
              <w:rPr>
                <w:spacing w:val="-6"/>
                <w:sz w:val="24"/>
                <w:szCs w:val="24"/>
              </w:rPr>
              <w:t>Biển bãi tắm Xuân Hải</w:t>
            </w:r>
          </w:p>
        </w:tc>
        <w:tc>
          <w:tcPr>
            <w:tcW w:w="2034" w:type="dxa"/>
            <w:vAlign w:val="center"/>
          </w:tcPr>
          <w:p w14:paraId="1741733E" w14:textId="77777777" w:rsidR="00085789" w:rsidRDefault="00000000">
            <w:pPr>
              <w:spacing w:line="340" w:lineRule="exact"/>
              <w:rPr>
                <w:bCs/>
                <w:spacing w:val="-6"/>
                <w:sz w:val="24"/>
                <w:szCs w:val="24"/>
              </w:rPr>
            </w:pPr>
            <w:r>
              <w:rPr>
                <w:bCs/>
                <w:spacing w:val="-6"/>
                <w:sz w:val="24"/>
                <w:szCs w:val="24"/>
              </w:rPr>
              <w:t>Xã Đan Hải</w:t>
            </w:r>
          </w:p>
        </w:tc>
      </w:tr>
      <w:tr w:rsidR="00085789" w14:paraId="301A2652" w14:textId="77777777">
        <w:trPr>
          <w:gridAfter w:val="1"/>
          <w:wAfter w:w="9" w:type="dxa"/>
          <w:trHeight w:val="262"/>
          <w:jc w:val="center"/>
        </w:trPr>
        <w:tc>
          <w:tcPr>
            <w:tcW w:w="618" w:type="dxa"/>
            <w:vAlign w:val="center"/>
          </w:tcPr>
          <w:p w14:paraId="1AB73841" w14:textId="77777777" w:rsidR="00085789" w:rsidRDefault="00000000">
            <w:pPr>
              <w:spacing w:line="340" w:lineRule="exact"/>
              <w:jc w:val="center"/>
              <w:rPr>
                <w:bCs/>
                <w:sz w:val="24"/>
                <w:szCs w:val="24"/>
              </w:rPr>
            </w:pPr>
            <w:r>
              <w:rPr>
                <w:bCs/>
                <w:sz w:val="24"/>
                <w:szCs w:val="24"/>
              </w:rPr>
              <w:t>3</w:t>
            </w:r>
          </w:p>
        </w:tc>
        <w:tc>
          <w:tcPr>
            <w:tcW w:w="4154" w:type="dxa"/>
            <w:vAlign w:val="center"/>
          </w:tcPr>
          <w:p w14:paraId="01F5E604" w14:textId="77777777" w:rsidR="00085789" w:rsidRDefault="00000000">
            <w:pPr>
              <w:spacing w:line="340" w:lineRule="exact"/>
              <w:rPr>
                <w:bCs/>
                <w:spacing w:val="-6"/>
                <w:sz w:val="24"/>
                <w:szCs w:val="24"/>
              </w:rPr>
            </w:pPr>
            <w:r>
              <w:rPr>
                <w:sz w:val="24"/>
                <w:szCs w:val="24"/>
              </w:rPr>
              <w:t>Bãi tắm Thạch Hải, xã Thạch Hải, huyện Thạch Hà</w:t>
            </w:r>
          </w:p>
        </w:tc>
        <w:tc>
          <w:tcPr>
            <w:tcW w:w="2262" w:type="dxa"/>
            <w:vAlign w:val="center"/>
          </w:tcPr>
          <w:p w14:paraId="5185D71B" w14:textId="77777777" w:rsidR="00085789" w:rsidRDefault="00000000">
            <w:pPr>
              <w:spacing w:line="340" w:lineRule="exact"/>
              <w:rPr>
                <w:bCs/>
                <w:spacing w:val="-6"/>
                <w:sz w:val="24"/>
                <w:szCs w:val="24"/>
              </w:rPr>
            </w:pPr>
            <w:r>
              <w:rPr>
                <w:spacing w:val="-6"/>
                <w:sz w:val="24"/>
                <w:szCs w:val="24"/>
              </w:rPr>
              <w:t>Biển bãi tắm Thạch Hải</w:t>
            </w:r>
          </w:p>
        </w:tc>
        <w:tc>
          <w:tcPr>
            <w:tcW w:w="2034" w:type="dxa"/>
            <w:vAlign w:val="center"/>
          </w:tcPr>
          <w:p w14:paraId="169A14BC" w14:textId="77777777" w:rsidR="00085789" w:rsidRDefault="00000000">
            <w:pPr>
              <w:spacing w:line="340" w:lineRule="exact"/>
              <w:rPr>
                <w:bCs/>
                <w:spacing w:val="-6"/>
                <w:sz w:val="24"/>
                <w:szCs w:val="24"/>
              </w:rPr>
            </w:pPr>
            <w:r>
              <w:rPr>
                <w:bCs/>
                <w:spacing w:val="-6"/>
                <w:sz w:val="24"/>
                <w:szCs w:val="24"/>
              </w:rPr>
              <w:t>Xã Thạch Khê</w:t>
            </w:r>
          </w:p>
        </w:tc>
      </w:tr>
      <w:tr w:rsidR="00085789" w14:paraId="3A43C805" w14:textId="77777777">
        <w:trPr>
          <w:gridAfter w:val="1"/>
          <w:wAfter w:w="9" w:type="dxa"/>
          <w:trHeight w:val="315"/>
          <w:jc w:val="center"/>
        </w:trPr>
        <w:tc>
          <w:tcPr>
            <w:tcW w:w="618" w:type="dxa"/>
            <w:vAlign w:val="center"/>
          </w:tcPr>
          <w:p w14:paraId="763CF034" w14:textId="77777777" w:rsidR="00085789" w:rsidRDefault="00000000">
            <w:pPr>
              <w:spacing w:line="340" w:lineRule="exact"/>
              <w:jc w:val="center"/>
              <w:rPr>
                <w:bCs/>
                <w:sz w:val="24"/>
                <w:szCs w:val="24"/>
              </w:rPr>
            </w:pPr>
            <w:r>
              <w:rPr>
                <w:bCs/>
                <w:sz w:val="24"/>
                <w:szCs w:val="24"/>
              </w:rPr>
              <w:t>4</w:t>
            </w:r>
          </w:p>
        </w:tc>
        <w:tc>
          <w:tcPr>
            <w:tcW w:w="4154" w:type="dxa"/>
            <w:vAlign w:val="center"/>
          </w:tcPr>
          <w:p w14:paraId="1AD7E19F" w14:textId="77777777" w:rsidR="00085789" w:rsidRDefault="00000000">
            <w:pPr>
              <w:spacing w:line="340" w:lineRule="exact"/>
              <w:rPr>
                <w:bCs/>
                <w:spacing w:val="-6"/>
                <w:sz w:val="24"/>
                <w:szCs w:val="24"/>
              </w:rPr>
            </w:pPr>
            <w:r>
              <w:rPr>
                <w:sz w:val="24"/>
                <w:szCs w:val="24"/>
              </w:rPr>
              <w:t>Bãi tắm Thiên Cầm, thị trấn Thiên Cầm, huyện Cẩm Xuyên</w:t>
            </w:r>
          </w:p>
        </w:tc>
        <w:tc>
          <w:tcPr>
            <w:tcW w:w="2262" w:type="dxa"/>
            <w:vAlign w:val="center"/>
          </w:tcPr>
          <w:p w14:paraId="66F7456F" w14:textId="77777777" w:rsidR="00085789" w:rsidRDefault="00000000">
            <w:pPr>
              <w:spacing w:line="340" w:lineRule="exact"/>
              <w:rPr>
                <w:bCs/>
                <w:spacing w:val="-6"/>
                <w:sz w:val="24"/>
                <w:szCs w:val="24"/>
              </w:rPr>
            </w:pPr>
            <w:r>
              <w:rPr>
                <w:spacing w:val="-6"/>
                <w:sz w:val="24"/>
                <w:szCs w:val="24"/>
              </w:rPr>
              <w:t>Biển bãi tắm Thiên Cầm</w:t>
            </w:r>
          </w:p>
        </w:tc>
        <w:tc>
          <w:tcPr>
            <w:tcW w:w="2034" w:type="dxa"/>
            <w:vAlign w:val="center"/>
          </w:tcPr>
          <w:p w14:paraId="372FA7C3" w14:textId="77777777" w:rsidR="00085789" w:rsidRDefault="00000000">
            <w:pPr>
              <w:spacing w:line="340" w:lineRule="exact"/>
              <w:rPr>
                <w:bCs/>
                <w:spacing w:val="-6"/>
                <w:sz w:val="24"/>
                <w:szCs w:val="24"/>
              </w:rPr>
            </w:pPr>
            <w:r>
              <w:rPr>
                <w:bCs/>
                <w:spacing w:val="-6"/>
                <w:sz w:val="24"/>
                <w:szCs w:val="24"/>
              </w:rPr>
              <w:t>Xã Thiên Cầm</w:t>
            </w:r>
          </w:p>
        </w:tc>
      </w:tr>
      <w:tr w:rsidR="00085789" w14:paraId="2EC827EC" w14:textId="77777777">
        <w:trPr>
          <w:gridAfter w:val="1"/>
          <w:wAfter w:w="9" w:type="dxa"/>
          <w:trHeight w:val="315"/>
          <w:jc w:val="center"/>
        </w:trPr>
        <w:tc>
          <w:tcPr>
            <w:tcW w:w="618" w:type="dxa"/>
            <w:vAlign w:val="center"/>
          </w:tcPr>
          <w:p w14:paraId="555D3C09" w14:textId="77777777" w:rsidR="00085789" w:rsidRDefault="00000000">
            <w:pPr>
              <w:spacing w:line="340" w:lineRule="exact"/>
              <w:jc w:val="center"/>
              <w:rPr>
                <w:bCs/>
                <w:sz w:val="24"/>
                <w:szCs w:val="24"/>
              </w:rPr>
            </w:pPr>
            <w:r>
              <w:rPr>
                <w:bCs/>
                <w:sz w:val="24"/>
                <w:szCs w:val="24"/>
              </w:rPr>
              <w:t>5</w:t>
            </w:r>
          </w:p>
        </w:tc>
        <w:tc>
          <w:tcPr>
            <w:tcW w:w="4154" w:type="dxa"/>
            <w:vAlign w:val="center"/>
          </w:tcPr>
          <w:p w14:paraId="74D50566" w14:textId="77777777" w:rsidR="00085789" w:rsidRDefault="00000000">
            <w:pPr>
              <w:spacing w:line="340" w:lineRule="exact"/>
              <w:rPr>
                <w:bCs/>
                <w:spacing w:val="-4"/>
                <w:sz w:val="24"/>
                <w:szCs w:val="24"/>
              </w:rPr>
            </w:pPr>
            <w:r>
              <w:rPr>
                <w:spacing w:val="-4"/>
                <w:sz w:val="24"/>
                <w:szCs w:val="24"/>
              </w:rPr>
              <w:t>Bãi tắm Kỳ Xuân, xã Kỳ Xuân</w:t>
            </w:r>
          </w:p>
        </w:tc>
        <w:tc>
          <w:tcPr>
            <w:tcW w:w="2262" w:type="dxa"/>
            <w:vAlign w:val="center"/>
          </w:tcPr>
          <w:p w14:paraId="2B3D1BFB" w14:textId="77777777" w:rsidR="00085789" w:rsidRDefault="00000000">
            <w:pPr>
              <w:spacing w:line="340" w:lineRule="exact"/>
              <w:rPr>
                <w:bCs/>
                <w:spacing w:val="-6"/>
                <w:sz w:val="24"/>
                <w:szCs w:val="24"/>
              </w:rPr>
            </w:pPr>
            <w:r>
              <w:rPr>
                <w:spacing w:val="-6"/>
                <w:sz w:val="24"/>
                <w:szCs w:val="24"/>
              </w:rPr>
              <w:t>Biển bãi tắm Kỳ Xuân</w:t>
            </w:r>
          </w:p>
        </w:tc>
        <w:tc>
          <w:tcPr>
            <w:tcW w:w="2034" w:type="dxa"/>
            <w:vAlign w:val="center"/>
          </w:tcPr>
          <w:p w14:paraId="626744D2" w14:textId="77777777" w:rsidR="00085789" w:rsidRDefault="00000000">
            <w:pPr>
              <w:spacing w:line="340" w:lineRule="exact"/>
              <w:rPr>
                <w:bCs/>
                <w:spacing w:val="-6"/>
                <w:sz w:val="24"/>
                <w:szCs w:val="24"/>
              </w:rPr>
            </w:pPr>
            <w:r>
              <w:rPr>
                <w:bCs/>
                <w:spacing w:val="-6"/>
                <w:sz w:val="24"/>
                <w:szCs w:val="24"/>
              </w:rPr>
              <w:t>Xã Kỳ Xuân</w:t>
            </w:r>
          </w:p>
        </w:tc>
      </w:tr>
      <w:tr w:rsidR="00085789" w14:paraId="289FBC83" w14:textId="77777777">
        <w:trPr>
          <w:gridAfter w:val="1"/>
          <w:wAfter w:w="9" w:type="dxa"/>
          <w:trHeight w:val="315"/>
          <w:jc w:val="center"/>
        </w:trPr>
        <w:tc>
          <w:tcPr>
            <w:tcW w:w="618" w:type="dxa"/>
            <w:vAlign w:val="center"/>
          </w:tcPr>
          <w:p w14:paraId="4FB05755" w14:textId="77777777" w:rsidR="00085789" w:rsidRDefault="00000000">
            <w:pPr>
              <w:spacing w:line="340" w:lineRule="exact"/>
              <w:jc w:val="center"/>
              <w:rPr>
                <w:bCs/>
                <w:sz w:val="24"/>
                <w:szCs w:val="24"/>
              </w:rPr>
            </w:pPr>
            <w:r>
              <w:rPr>
                <w:bCs/>
                <w:sz w:val="24"/>
                <w:szCs w:val="24"/>
              </w:rPr>
              <w:t>6</w:t>
            </w:r>
          </w:p>
        </w:tc>
        <w:tc>
          <w:tcPr>
            <w:tcW w:w="4154" w:type="dxa"/>
            <w:vAlign w:val="center"/>
          </w:tcPr>
          <w:p w14:paraId="3B134679" w14:textId="77777777" w:rsidR="00085789" w:rsidRDefault="00000000">
            <w:pPr>
              <w:spacing w:line="340" w:lineRule="exact"/>
              <w:rPr>
                <w:bCs/>
                <w:spacing w:val="-6"/>
                <w:sz w:val="24"/>
                <w:szCs w:val="24"/>
              </w:rPr>
            </w:pPr>
            <w:r>
              <w:rPr>
                <w:spacing w:val="-6"/>
                <w:sz w:val="24"/>
                <w:szCs w:val="24"/>
              </w:rPr>
              <w:t>Bãi tắm Kỳ Ninh, xã Kỳ Ninh, thị xã Kỳ Anh</w:t>
            </w:r>
          </w:p>
        </w:tc>
        <w:tc>
          <w:tcPr>
            <w:tcW w:w="2262" w:type="dxa"/>
            <w:vAlign w:val="center"/>
          </w:tcPr>
          <w:p w14:paraId="6D836DB1" w14:textId="77777777" w:rsidR="00085789" w:rsidRDefault="00000000">
            <w:pPr>
              <w:spacing w:line="340" w:lineRule="exact"/>
              <w:rPr>
                <w:bCs/>
                <w:spacing w:val="-6"/>
                <w:sz w:val="24"/>
                <w:szCs w:val="24"/>
              </w:rPr>
            </w:pPr>
            <w:r>
              <w:rPr>
                <w:spacing w:val="-6"/>
                <w:sz w:val="24"/>
                <w:szCs w:val="24"/>
              </w:rPr>
              <w:t>Biển bãi tắm Kỳ Ninh</w:t>
            </w:r>
          </w:p>
        </w:tc>
        <w:tc>
          <w:tcPr>
            <w:tcW w:w="2034" w:type="dxa"/>
            <w:vAlign w:val="center"/>
          </w:tcPr>
          <w:p w14:paraId="6614020E" w14:textId="77777777" w:rsidR="00085789" w:rsidRDefault="00000000">
            <w:pPr>
              <w:spacing w:line="340" w:lineRule="exact"/>
              <w:rPr>
                <w:bCs/>
                <w:spacing w:val="-6"/>
                <w:sz w:val="24"/>
                <w:szCs w:val="24"/>
              </w:rPr>
            </w:pPr>
            <w:r>
              <w:rPr>
                <w:bCs/>
                <w:spacing w:val="-6"/>
                <w:sz w:val="24"/>
                <w:szCs w:val="24"/>
              </w:rPr>
              <w:t>Phường Hải Ninh</w:t>
            </w:r>
          </w:p>
        </w:tc>
      </w:tr>
      <w:tr w:rsidR="00085789" w14:paraId="455974F4" w14:textId="77777777">
        <w:trPr>
          <w:gridAfter w:val="1"/>
          <w:wAfter w:w="9" w:type="dxa"/>
          <w:trHeight w:val="315"/>
          <w:jc w:val="center"/>
        </w:trPr>
        <w:tc>
          <w:tcPr>
            <w:tcW w:w="618" w:type="dxa"/>
            <w:vAlign w:val="center"/>
          </w:tcPr>
          <w:p w14:paraId="130FB6DF" w14:textId="77777777" w:rsidR="00085789" w:rsidRDefault="00000000">
            <w:pPr>
              <w:spacing w:line="340" w:lineRule="exact"/>
              <w:jc w:val="center"/>
              <w:rPr>
                <w:bCs/>
                <w:sz w:val="24"/>
                <w:szCs w:val="24"/>
              </w:rPr>
            </w:pPr>
            <w:r>
              <w:rPr>
                <w:bCs/>
                <w:sz w:val="24"/>
                <w:szCs w:val="24"/>
              </w:rPr>
              <w:t>7</w:t>
            </w:r>
          </w:p>
        </w:tc>
        <w:tc>
          <w:tcPr>
            <w:tcW w:w="4154" w:type="dxa"/>
            <w:vAlign w:val="center"/>
          </w:tcPr>
          <w:p w14:paraId="5CE75536" w14:textId="77777777" w:rsidR="00085789" w:rsidRDefault="00000000">
            <w:pPr>
              <w:spacing w:line="340" w:lineRule="exact"/>
              <w:rPr>
                <w:bCs/>
                <w:spacing w:val="-6"/>
                <w:sz w:val="24"/>
                <w:szCs w:val="24"/>
              </w:rPr>
            </w:pPr>
            <w:r>
              <w:rPr>
                <w:sz w:val="24"/>
                <w:szCs w:val="24"/>
              </w:rPr>
              <w:t>Bãi tắm Mũi Đao, xã Kỳ Nam, thị xã Kỳ Anh</w:t>
            </w:r>
          </w:p>
        </w:tc>
        <w:tc>
          <w:tcPr>
            <w:tcW w:w="2262" w:type="dxa"/>
            <w:vAlign w:val="center"/>
          </w:tcPr>
          <w:p w14:paraId="31BCEE68" w14:textId="77777777" w:rsidR="00085789" w:rsidRDefault="00000000">
            <w:pPr>
              <w:spacing w:line="340" w:lineRule="exact"/>
              <w:rPr>
                <w:bCs/>
                <w:spacing w:val="-6"/>
                <w:sz w:val="24"/>
                <w:szCs w:val="24"/>
              </w:rPr>
            </w:pPr>
            <w:r>
              <w:rPr>
                <w:spacing w:val="-6"/>
                <w:sz w:val="24"/>
                <w:szCs w:val="24"/>
              </w:rPr>
              <w:t>Biển bãi tắm Mũi Đao</w:t>
            </w:r>
          </w:p>
        </w:tc>
        <w:tc>
          <w:tcPr>
            <w:tcW w:w="2034" w:type="dxa"/>
            <w:vAlign w:val="center"/>
          </w:tcPr>
          <w:p w14:paraId="3812D3F0" w14:textId="77777777" w:rsidR="00085789" w:rsidRDefault="00000000">
            <w:pPr>
              <w:spacing w:line="340" w:lineRule="exact"/>
              <w:rPr>
                <w:bCs/>
                <w:spacing w:val="-6"/>
                <w:sz w:val="24"/>
                <w:szCs w:val="24"/>
              </w:rPr>
            </w:pPr>
            <w:r>
              <w:rPr>
                <w:bCs/>
                <w:spacing w:val="-6"/>
                <w:sz w:val="24"/>
                <w:szCs w:val="24"/>
              </w:rPr>
              <w:t>Phường Hoành Sơn</w:t>
            </w:r>
          </w:p>
        </w:tc>
      </w:tr>
      <w:tr w:rsidR="00085789" w14:paraId="513E336C" w14:textId="77777777">
        <w:trPr>
          <w:trHeight w:val="315"/>
          <w:jc w:val="center"/>
        </w:trPr>
        <w:tc>
          <w:tcPr>
            <w:tcW w:w="618" w:type="dxa"/>
            <w:vAlign w:val="center"/>
          </w:tcPr>
          <w:p w14:paraId="13E89B85" w14:textId="77777777" w:rsidR="00085789" w:rsidRDefault="00000000">
            <w:pPr>
              <w:spacing w:line="340" w:lineRule="exact"/>
              <w:jc w:val="center"/>
              <w:rPr>
                <w:bCs/>
                <w:sz w:val="24"/>
                <w:szCs w:val="24"/>
                <w:lang w:val="sv-SE"/>
              </w:rPr>
            </w:pPr>
            <w:r>
              <w:rPr>
                <w:b/>
                <w:sz w:val="24"/>
                <w:szCs w:val="24"/>
              </w:rPr>
              <w:t>II</w:t>
            </w:r>
          </w:p>
        </w:tc>
        <w:tc>
          <w:tcPr>
            <w:tcW w:w="8459" w:type="dxa"/>
            <w:gridSpan w:val="4"/>
            <w:vAlign w:val="center"/>
          </w:tcPr>
          <w:p w14:paraId="5DA2FFDA" w14:textId="77777777" w:rsidR="00085789" w:rsidRDefault="00000000">
            <w:pPr>
              <w:spacing w:line="340" w:lineRule="exact"/>
              <w:jc w:val="center"/>
              <w:rPr>
                <w:bCs/>
                <w:sz w:val="24"/>
                <w:szCs w:val="24"/>
                <w:lang w:val="sv-SE"/>
              </w:rPr>
            </w:pPr>
            <w:r>
              <w:rPr>
                <w:b/>
                <w:spacing w:val="-4"/>
                <w:sz w:val="24"/>
                <w:szCs w:val="24"/>
                <w:lang w:val="sv-SE"/>
              </w:rPr>
              <w:t>Thông tin vị trí quan trắc nước biển ven bờ tại các vị trí khác</w:t>
            </w:r>
          </w:p>
        </w:tc>
      </w:tr>
      <w:tr w:rsidR="00085789" w14:paraId="35235B1E" w14:textId="77777777">
        <w:trPr>
          <w:gridAfter w:val="1"/>
          <w:wAfter w:w="9" w:type="dxa"/>
          <w:trHeight w:val="315"/>
          <w:jc w:val="center"/>
        </w:trPr>
        <w:tc>
          <w:tcPr>
            <w:tcW w:w="618" w:type="dxa"/>
            <w:vAlign w:val="center"/>
          </w:tcPr>
          <w:p w14:paraId="5A479F48" w14:textId="77777777" w:rsidR="00085789" w:rsidRDefault="00000000">
            <w:pPr>
              <w:spacing w:line="340" w:lineRule="exact"/>
              <w:jc w:val="center"/>
              <w:rPr>
                <w:bCs/>
                <w:sz w:val="24"/>
                <w:szCs w:val="24"/>
                <w:lang w:val="sv-SE"/>
              </w:rPr>
            </w:pPr>
            <w:r>
              <w:rPr>
                <w:bCs/>
                <w:sz w:val="24"/>
                <w:szCs w:val="24"/>
                <w:lang w:val="sv-SE"/>
              </w:rPr>
              <w:t>1</w:t>
            </w:r>
          </w:p>
        </w:tc>
        <w:tc>
          <w:tcPr>
            <w:tcW w:w="4154" w:type="dxa"/>
            <w:vAlign w:val="center"/>
          </w:tcPr>
          <w:p w14:paraId="08B68053" w14:textId="77777777" w:rsidR="00085789" w:rsidRDefault="00000000">
            <w:pPr>
              <w:spacing w:line="340" w:lineRule="exact"/>
              <w:rPr>
                <w:spacing w:val="-4"/>
                <w:sz w:val="24"/>
                <w:szCs w:val="24"/>
                <w:lang w:val="sv-SE"/>
              </w:rPr>
            </w:pPr>
            <w:r>
              <w:rPr>
                <w:spacing w:val="-4"/>
                <w:sz w:val="24"/>
                <w:szCs w:val="24"/>
                <w:lang w:val="sv-SE"/>
              </w:rPr>
              <w:t>Cửa Hội, xã Xuân Hội, huyện Nghi Xuân</w:t>
            </w:r>
          </w:p>
        </w:tc>
        <w:tc>
          <w:tcPr>
            <w:tcW w:w="2262" w:type="dxa"/>
            <w:vAlign w:val="center"/>
          </w:tcPr>
          <w:p w14:paraId="5C65AA98" w14:textId="77777777" w:rsidR="00085789" w:rsidRDefault="00000000">
            <w:pPr>
              <w:spacing w:line="340" w:lineRule="exact"/>
              <w:rPr>
                <w:spacing w:val="-6"/>
                <w:sz w:val="24"/>
                <w:szCs w:val="24"/>
                <w:lang w:val="sv-SE"/>
              </w:rPr>
            </w:pPr>
            <w:r>
              <w:rPr>
                <w:spacing w:val="-6"/>
                <w:sz w:val="24"/>
                <w:szCs w:val="24"/>
                <w:lang w:val="sv-SE"/>
              </w:rPr>
              <w:t>Biển ven bờ Cửa Hội</w:t>
            </w:r>
          </w:p>
        </w:tc>
        <w:tc>
          <w:tcPr>
            <w:tcW w:w="2034" w:type="dxa"/>
            <w:vAlign w:val="center"/>
          </w:tcPr>
          <w:p w14:paraId="434E7D22" w14:textId="77777777" w:rsidR="00085789" w:rsidRDefault="00000000">
            <w:pPr>
              <w:spacing w:line="340" w:lineRule="exact"/>
              <w:rPr>
                <w:bCs/>
                <w:spacing w:val="-6"/>
                <w:sz w:val="24"/>
                <w:szCs w:val="24"/>
                <w:lang w:val="sv-SE"/>
              </w:rPr>
            </w:pPr>
            <w:r>
              <w:rPr>
                <w:bCs/>
                <w:spacing w:val="-6"/>
                <w:sz w:val="24"/>
                <w:szCs w:val="24"/>
                <w:lang w:val="sv-SE"/>
              </w:rPr>
              <w:t>Xã Đan Hải</w:t>
            </w:r>
          </w:p>
        </w:tc>
      </w:tr>
      <w:tr w:rsidR="00085789" w14:paraId="29F71A9D" w14:textId="77777777">
        <w:trPr>
          <w:gridAfter w:val="1"/>
          <w:wAfter w:w="9" w:type="dxa"/>
          <w:trHeight w:val="315"/>
          <w:jc w:val="center"/>
        </w:trPr>
        <w:tc>
          <w:tcPr>
            <w:tcW w:w="618" w:type="dxa"/>
            <w:vAlign w:val="center"/>
          </w:tcPr>
          <w:p w14:paraId="286B589B" w14:textId="77777777" w:rsidR="00085789" w:rsidRDefault="00000000">
            <w:pPr>
              <w:spacing w:line="340" w:lineRule="exact"/>
              <w:jc w:val="center"/>
              <w:rPr>
                <w:bCs/>
                <w:sz w:val="24"/>
                <w:szCs w:val="24"/>
                <w:lang w:val="sv-SE"/>
              </w:rPr>
            </w:pPr>
            <w:r>
              <w:rPr>
                <w:bCs/>
                <w:sz w:val="24"/>
                <w:szCs w:val="24"/>
                <w:lang w:val="sv-SE"/>
              </w:rPr>
              <w:t>2</w:t>
            </w:r>
          </w:p>
        </w:tc>
        <w:tc>
          <w:tcPr>
            <w:tcW w:w="4154" w:type="dxa"/>
            <w:vAlign w:val="center"/>
          </w:tcPr>
          <w:p w14:paraId="3932E975" w14:textId="77777777" w:rsidR="00085789" w:rsidRDefault="00000000">
            <w:pPr>
              <w:spacing w:line="340" w:lineRule="exact"/>
              <w:rPr>
                <w:spacing w:val="-4"/>
                <w:sz w:val="24"/>
                <w:szCs w:val="24"/>
                <w:lang w:val="sv-SE"/>
              </w:rPr>
            </w:pPr>
            <w:r>
              <w:rPr>
                <w:spacing w:val="-4"/>
                <w:sz w:val="24"/>
                <w:szCs w:val="24"/>
                <w:lang w:val="sv-SE"/>
              </w:rPr>
              <w:t>Biển Cương Gián, xã Cương Gián</w:t>
            </w:r>
          </w:p>
        </w:tc>
        <w:tc>
          <w:tcPr>
            <w:tcW w:w="2262" w:type="dxa"/>
            <w:vAlign w:val="center"/>
          </w:tcPr>
          <w:p w14:paraId="7132FB5A" w14:textId="77777777" w:rsidR="00085789" w:rsidRDefault="00000000">
            <w:pPr>
              <w:spacing w:line="340" w:lineRule="exact"/>
              <w:rPr>
                <w:spacing w:val="-6"/>
                <w:sz w:val="24"/>
                <w:szCs w:val="24"/>
                <w:lang w:val="sv-SE"/>
              </w:rPr>
            </w:pPr>
            <w:r>
              <w:rPr>
                <w:spacing w:val="-6"/>
                <w:sz w:val="24"/>
                <w:szCs w:val="24"/>
                <w:lang w:val="sv-SE"/>
              </w:rPr>
              <w:t>Biển ven bờ Cương Gián</w:t>
            </w:r>
          </w:p>
        </w:tc>
        <w:tc>
          <w:tcPr>
            <w:tcW w:w="2034" w:type="dxa"/>
            <w:vAlign w:val="center"/>
          </w:tcPr>
          <w:p w14:paraId="4BE1A155" w14:textId="77777777" w:rsidR="00085789" w:rsidRDefault="00000000">
            <w:pPr>
              <w:spacing w:line="340" w:lineRule="exact"/>
              <w:rPr>
                <w:bCs/>
                <w:spacing w:val="-6"/>
                <w:sz w:val="24"/>
                <w:szCs w:val="24"/>
                <w:lang w:val="sv-SE"/>
              </w:rPr>
            </w:pPr>
            <w:r>
              <w:rPr>
                <w:bCs/>
                <w:spacing w:val="-6"/>
                <w:sz w:val="24"/>
                <w:szCs w:val="24"/>
                <w:lang w:val="sv-SE"/>
              </w:rPr>
              <w:t>Xã Cổ Đạm</w:t>
            </w:r>
          </w:p>
        </w:tc>
      </w:tr>
      <w:tr w:rsidR="00085789" w14:paraId="4D6461BE" w14:textId="77777777">
        <w:trPr>
          <w:gridAfter w:val="1"/>
          <w:wAfter w:w="9" w:type="dxa"/>
          <w:trHeight w:val="315"/>
          <w:jc w:val="center"/>
        </w:trPr>
        <w:tc>
          <w:tcPr>
            <w:tcW w:w="618" w:type="dxa"/>
            <w:vAlign w:val="center"/>
          </w:tcPr>
          <w:p w14:paraId="07C4BF9F" w14:textId="77777777" w:rsidR="00085789" w:rsidRDefault="00000000">
            <w:pPr>
              <w:spacing w:line="340" w:lineRule="exact"/>
              <w:jc w:val="center"/>
              <w:rPr>
                <w:bCs/>
                <w:sz w:val="24"/>
                <w:szCs w:val="24"/>
                <w:lang w:val="sv-SE"/>
              </w:rPr>
            </w:pPr>
            <w:r>
              <w:rPr>
                <w:bCs/>
                <w:sz w:val="24"/>
                <w:szCs w:val="24"/>
                <w:lang w:val="sv-SE"/>
              </w:rPr>
              <w:t>3</w:t>
            </w:r>
          </w:p>
        </w:tc>
        <w:tc>
          <w:tcPr>
            <w:tcW w:w="4154" w:type="dxa"/>
            <w:vAlign w:val="center"/>
          </w:tcPr>
          <w:p w14:paraId="21F7EE49" w14:textId="77777777" w:rsidR="00085789" w:rsidRDefault="00000000">
            <w:pPr>
              <w:spacing w:line="340" w:lineRule="exact"/>
              <w:rPr>
                <w:spacing w:val="-4"/>
                <w:sz w:val="24"/>
                <w:szCs w:val="24"/>
                <w:lang w:val="sv-SE"/>
              </w:rPr>
            </w:pPr>
            <w:r>
              <w:rPr>
                <w:spacing w:val="-4"/>
                <w:sz w:val="24"/>
                <w:szCs w:val="24"/>
                <w:lang w:val="sv-SE"/>
              </w:rPr>
              <w:t>Cửa Sót, xã Thạch Kim</w:t>
            </w:r>
          </w:p>
        </w:tc>
        <w:tc>
          <w:tcPr>
            <w:tcW w:w="2262" w:type="dxa"/>
            <w:vAlign w:val="center"/>
          </w:tcPr>
          <w:p w14:paraId="3F7D30D9" w14:textId="77777777" w:rsidR="00085789" w:rsidRDefault="00000000">
            <w:pPr>
              <w:spacing w:line="340" w:lineRule="exact"/>
              <w:rPr>
                <w:spacing w:val="-6"/>
                <w:sz w:val="24"/>
                <w:szCs w:val="24"/>
                <w:lang w:val="sv-SE"/>
              </w:rPr>
            </w:pPr>
            <w:r>
              <w:rPr>
                <w:spacing w:val="-6"/>
                <w:sz w:val="24"/>
                <w:szCs w:val="24"/>
                <w:lang w:val="sv-SE"/>
              </w:rPr>
              <w:t>Biển ven bờ Cửa Sót</w:t>
            </w:r>
          </w:p>
        </w:tc>
        <w:tc>
          <w:tcPr>
            <w:tcW w:w="2034" w:type="dxa"/>
            <w:vAlign w:val="center"/>
          </w:tcPr>
          <w:p w14:paraId="40C7D5DD" w14:textId="77777777" w:rsidR="00085789" w:rsidRDefault="00000000">
            <w:pPr>
              <w:spacing w:line="340" w:lineRule="exact"/>
              <w:rPr>
                <w:bCs/>
                <w:spacing w:val="-6"/>
                <w:sz w:val="24"/>
                <w:szCs w:val="24"/>
                <w:lang w:val="sv-SE"/>
              </w:rPr>
            </w:pPr>
            <w:r>
              <w:rPr>
                <w:bCs/>
                <w:spacing w:val="-6"/>
                <w:sz w:val="24"/>
                <w:szCs w:val="24"/>
                <w:lang w:val="sv-SE"/>
              </w:rPr>
              <w:t>Xã Lộc Hà</w:t>
            </w:r>
          </w:p>
        </w:tc>
      </w:tr>
      <w:tr w:rsidR="00085789" w14:paraId="6E6605DE" w14:textId="77777777">
        <w:trPr>
          <w:gridAfter w:val="1"/>
          <w:wAfter w:w="9" w:type="dxa"/>
          <w:trHeight w:val="315"/>
          <w:jc w:val="center"/>
        </w:trPr>
        <w:tc>
          <w:tcPr>
            <w:tcW w:w="618" w:type="dxa"/>
            <w:vAlign w:val="center"/>
          </w:tcPr>
          <w:p w14:paraId="1F06836D" w14:textId="77777777" w:rsidR="00085789" w:rsidRDefault="00000000">
            <w:pPr>
              <w:spacing w:line="340" w:lineRule="exact"/>
              <w:jc w:val="center"/>
              <w:rPr>
                <w:bCs/>
                <w:sz w:val="24"/>
                <w:szCs w:val="24"/>
                <w:lang w:val="sv-SE"/>
              </w:rPr>
            </w:pPr>
            <w:r>
              <w:rPr>
                <w:bCs/>
                <w:sz w:val="24"/>
                <w:szCs w:val="24"/>
                <w:lang w:val="sv-SE"/>
              </w:rPr>
              <w:t>4</w:t>
            </w:r>
          </w:p>
        </w:tc>
        <w:tc>
          <w:tcPr>
            <w:tcW w:w="4154" w:type="dxa"/>
            <w:vAlign w:val="center"/>
          </w:tcPr>
          <w:p w14:paraId="57ECB86D" w14:textId="77777777" w:rsidR="00085789" w:rsidRDefault="00000000">
            <w:pPr>
              <w:spacing w:line="340" w:lineRule="exact"/>
              <w:rPr>
                <w:spacing w:val="-6"/>
                <w:sz w:val="24"/>
                <w:szCs w:val="24"/>
                <w:lang w:val="sv-SE"/>
              </w:rPr>
            </w:pPr>
            <w:r>
              <w:rPr>
                <w:spacing w:val="-6"/>
                <w:sz w:val="24"/>
                <w:szCs w:val="24"/>
                <w:lang w:val="sv-SE"/>
              </w:rPr>
              <w:t>Cửa Nhượng, xã Cẩm Nhượng, huyện Cẩm Xuyên</w:t>
            </w:r>
          </w:p>
        </w:tc>
        <w:tc>
          <w:tcPr>
            <w:tcW w:w="2262" w:type="dxa"/>
            <w:vAlign w:val="center"/>
          </w:tcPr>
          <w:p w14:paraId="2F6C008B" w14:textId="77777777" w:rsidR="00085789" w:rsidRDefault="00000000">
            <w:pPr>
              <w:spacing w:line="340" w:lineRule="exact"/>
              <w:rPr>
                <w:spacing w:val="-6"/>
                <w:sz w:val="24"/>
                <w:szCs w:val="24"/>
                <w:lang w:val="sv-SE"/>
              </w:rPr>
            </w:pPr>
            <w:r>
              <w:rPr>
                <w:spacing w:val="-6"/>
                <w:sz w:val="24"/>
                <w:szCs w:val="24"/>
                <w:lang w:val="sv-SE"/>
              </w:rPr>
              <w:t>Biển ven bờ Cửa Nhượng</w:t>
            </w:r>
          </w:p>
        </w:tc>
        <w:tc>
          <w:tcPr>
            <w:tcW w:w="2034" w:type="dxa"/>
            <w:vAlign w:val="center"/>
          </w:tcPr>
          <w:p w14:paraId="5D5DB141" w14:textId="77777777" w:rsidR="00085789" w:rsidRDefault="00000000">
            <w:pPr>
              <w:spacing w:line="340" w:lineRule="exact"/>
              <w:rPr>
                <w:bCs/>
                <w:spacing w:val="-6"/>
                <w:sz w:val="24"/>
                <w:szCs w:val="24"/>
                <w:lang w:val="sv-SE"/>
              </w:rPr>
            </w:pPr>
            <w:r>
              <w:rPr>
                <w:bCs/>
                <w:spacing w:val="-6"/>
                <w:sz w:val="24"/>
                <w:szCs w:val="24"/>
                <w:lang w:val="sv-SE"/>
              </w:rPr>
              <w:t>Xã Thiên Cầm</w:t>
            </w:r>
          </w:p>
        </w:tc>
      </w:tr>
      <w:tr w:rsidR="00085789" w14:paraId="427634AB" w14:textId="77777777">
        <w:trPr>
          <w:gridAfter w:val="1"/>
          <w:wAfter w:w="9" w:type="dxa"/>
          <w:trHeight w:val="315"/>
          <w:jc w:val="center"/>
        </w:trPr>
        <w:tc>
          <w:tcPr>
            <w:tcW w:w="618" w:type="dxa"/>
            <w:vAlign w:val="center"/>
          </w:tcPr>
          <w:p w14:paraId="5AFC0E22" w14:textId="77777777" w:rsidR="00085789" w:rsidRDefault="00000000">
            <w:pPr>
              <w:spacing w:line="340" w:lineRule="exact"/>
              <w:jc w:val="center"/>
              <w:rPr>
                <w:bCs/>
                <w:sz w:val="24"/>
                <w:szCs w:val="24"/>
                <w:lang w:val="sv-SE"/>
              </w:rPr>
            </w:pPr>
            <w:r>
              <w:rPr>
                <w:bCs/>
                <w:sz w:val="24"/>
                <w:szCs w:val="24"/>
                <w:lang w:val="sv-SE"/>
              </w:rPr>
              <w:t>5</w:t>
            </w:r>
          </w:p>
        </w:tc>
        <w:tc>
          <w:tcPr>
            <w:tcW w:w="4154" w:type="dxa"/>
            <w:vAlign w:val="center"/>
          </w:tcPr>
          <w:p w14:paraId="12B70B31" w14:textId="77777777" w:rsidR="00085789" w:rsidRDefault="00000000">
            <w:pPr>
              <w:spacing w:line="340" w:lineRule="exact"/>
              <w:rPr>
                <w:spacing w:val="-4"/>
                <w:sz w:val="24"/>
                <w:szCs w:val="24"/>
                <w:lang w:val="sv-SE"/>
              </w:rPr>
            </w:pPr>
            <w:r>
              <w:rPr>
                <w:spacing w:val="-4"/>
                <w:sz w:val="24"/>
                <w:szCs w:val="24"/>
                <w:lang w:val="sv-SE"/>
              </w:rPr>
              <w:t>Biển Cẩm Hòa, xã Yên Hòa</w:t>
            </w:r>
          </w:p>
        </w:tc>
        <w:tc>
          <w:tcPr>
            <w:tcW w:w="2262" w:type="dxa"/>
            <w:vAlign w:val="center"/>
          </w:tcPr>
          <w:p w14:paraId="13350C4D" w14:textId="77777777" w:rsidR="00085789" w:rsidRDefault="00000000">
            <w:pPr>
              <w:spacing w:line="340" w:lineRule="exact"/>
              <w:rPr>
                <w:spacing w:val="-6"/>
                <w:sz w:val="24"/>
                <w:szCs w:val="24"/>
                <w:lang w:val="sv-SE"/>
              </w:rPr>
            </w:pPr>
            <w:r>
              <w:rPr>
                <w:spacing w:val="-6"/>
                <w:sz w:val="24"/>
                <w:szCs w:val="24"/>
                <w:lang w:val="sv-SE"/>
              </w:rPr>
              <w:t>Biển ven bờ Cẩm Hòa</w:t>
            </w:r>
          </w:p>
        </w:tc>
        <w:tc>
          <w:tcPr>
            <w:tcW w:w="2034" w:type="dxa"/>
            <w:vAlign w:val="center"/>
          </w:tcPr>
          <w:p w14:paraId="7525B3F8" w14:textId="77777777" w:rsidR="00085789" w:rsidRDefault="00000000">
            <w:pPr>
              <w:spacing w:line="340" w:lineRule="exact"/>
              <w:rPr>
                <w:bCs/>
                <w:spacing w:val="-6"/>
                <w:sz w:val="24"/>
                <w:szCs w:val="24"/>
                <w:lang w:val="sv-SE"/>
              </w:rPr>
            </w:pPr>
            <w:r>
              <w:rPr>
                <w:bCs/>
                <w:spacing w:val="-6"/>
                <w:sz w:val="24"/>
                <w:szCs w:val="24"/>
                <w:lang w:val="sv-SE"/>
              </w:rPr>
              <w:t>Xã Yên Hòa</w:t>
            </w:r>
          </w:p>
        </w:tc>
      </w:tr>
      <w:tr w:rsidR="00085789" w14:paraId="38A00B06" w14:textId="77777777">
        <w:trPr>
          <w:gridAfter w:val="1"/>
          <w:wAfter w:w="9" w:type="dxa"/>
          <w:trHeight w:val="315"/>
          <w:jc w:val="center"/>
        </w:trPr>
        <w:tc>
          <w:tcPr>
            <w:tcW w:w="618" w:type="dxa"/>
            <w:vAlign w:val="center"/>
          </w:tcPr>
          <w:p w14:paraId="4BCF5C76" w14:textId="77777777" w:rsidR="00085789" w:rsidRDefault="00000000">
            <w:pPr>
              <w:spacing w:line="340" w:lineRule="exact"/>
              <w:jc w:val="center"/>
              <w:rPr>
                <w:bCs/>
                <w:sz w:val="24"/>
                <w:szCs w:val="24"/>
                <w:lang w:val="sv-SE"/>
              </w:rPr>
            </w:pPr>
            <w:r>
              <w:rPr>
                <w:bCs/>
                <w:sz w:val="24"/>
                <w:szCs w:val="24"/>
                <w:lang w:val="sv-SE"/>
              </w:rPr>
              <w:t>6</w:t>
            </w:r>
          </w:p>
        </w:tc>
        <w:tc>
          <w:tcPr>
            <w:tcW w:w="4154" w:type="dxa"/>
            <w:vAlign w:val="center"/>
          </w:tcPr>
          <w:p w14:paraId="6D1AFAA0" w14:textId="77777777" w:rsidR="00085789" w:rsidRDefault="00000000">
            <w:pPr>
              <w:spacing w:line="340" w:lineRule="exact"/>
              <w:rPr>
                <w:spacing w:val="-4"/>
                <w:sz w:val="24"/>
                <w:szCs w:val="24"/>
                <w:lang w:val="sv-SE"/>
              </w:rPr>
            </w:pPr>
            <w:r>
              <w:rPr>
                <w:spacing w:val="-4"/>
                <w:sz w:val="24"/>
                <w:szCs w:val="24"/>
                <w:lang w:val="sv-SE"/>
              </w:rPr>
              <w:t>Cửa Khẩu, xã Kỳ Ninh, thị xã Kỳ Anh</w:t>
            </w:r>
          </w:p>
        </w:tc>
        <w:tc>
          <w:tcPr>
            <w:tcW w:w="2262" w:type="dxa"/>
            <w:vAlign w:val="center"/>
          </w:tcPr>
          <w:p w14:paraId="3F0DAB36" w14:textId="77777777" w:rsidR="00085789" w:rsidRDefault="00000000">
            <w:pPr>
              <w:spacing w:line="340" w:lineRule="exact"/>
              <w:rPr>
                <w:spacing w:val="-6"/>
                <w:sz w:val="24"/>
                <w:szCs w:val="24"/>
                <w:lang w:val="sv-SE"/>
              </w:rPr>
            </w:pPr>
            <w:r>
              <w:rPr>
                <w:spacing w:val="-6"/>
                <w:sz w:val="24"/>
                <w:szCs w:val="24"/>
                <w:lang w:val="sv-SE"/>
              </w:rPr>
              <w:t>Biển ven bờ Cửa Khẩu</w:t>
            </w:r>
          </w:p>
        </w:tc>
        <w:tc>
          <w:tcPr>
            <w:tcW w:w="2034" w:type="dxa"/>
            <w:vAlign w:val="center"/>
          </w:tcPr>
          <w:p w14:paraId="0A6DFD6E" w14:textId="77777777" w:rsidR="00085789" w:rsidRDefault="00000000">
            <w:pPr>
              <w:spacing w:line="340" w:lineRule="exact"/>
              <w:rPr>
                <w:bCs/>
                <w:spacing w:val="-6"/>
                <w:sz w:val="24"/>
                <w:szCs w:val="24"/>
                <w:lang w:val="sv-SE"/>
              </w:rPr>
            </w:pPr>
            <w:r>
              <w:rPr>
                <w:bCs/>
                <w:spacing w:val="-6"/>
                <w:sz w:val="24"/>
                <w:szCs w:val="24"/>
                <w:lang w:val="sv-SE"/>
              </w:rPr>
              <w:t>Phường Hải Ninh</w:t>
            </w:r>
          </w:p>
        </w:tc>
      </w:tr>
      <w:tr w:rsidR="00085789" w14:paraId="24B0E039" w14:textId="77777777">
        <w:trPr>
          <w:gridAfter w:val="1"/>
          <w:wAfter w:w="9" w:type="dxa"/>
          <w:trHeight w:val="315"/>
          <w:jc w:val="center"/>
        </w:trPr>
        <w:tc>
          <w:tcPr>
            <w:tcW w:w="618" w:type="dxa"/>
            <w:vAlign w:val="center"/>
          </w:tcPr>
          <w:p w14:paraId="6ED3C982" w14:textId="77777777" w:rsidR="00085789" w:rsidRDefault="00000000">
            <w:pPr>
              <w:spacing w:line="340" w:lineRule="exact"/>
              <w:jc w:val="center"/>
              <w:rPr>
                <w:bCs/>
                <w:sz w:val="24"/>
                <w:szCs w:val="24"/>
                <w:lang w:val="sv-SE"/>
              </w:rPr>
            </w:pPr>
            <w:r>
              <w:rPr>
                <w:bCs/>
                <w:sz w:val="24"/>
                <w:szCs w:val="24"/>
                <w:lang w:val="sv-SE"/>
              </w:rPr>
              <w:t>7</w:t>
            </w:r>
          </w:p>
        </w:tc>
        <w:tc>
          <w:tcPr>
            <w:tcW w:w="4154" w:type="dxa"/>
            <w:vAlign w:val="center"/>
          </w:tcPr>
          <w:p w14:paraId="4DE66262" w14:textId="77777777" w:rsidR="00085789" w:rsidRDefault="00000000">
            <w:pPr>
              <w:spacing w:line="340" w:lineRule="exact"/>
              <w:rPr>
                <w:spacing w:val="-10"/>
                <w:sz w:val="24"/>
                <w:szCs w:val="24"/>
                <w:lang w:val="sv-SE"/>
              </w:rPr>
            </w:pPr>
            <w:r>
              <w:rPr>
                <w:spacing w:val="-10"/>
                <w:sz w:val="24"/>
                <w:szCs w:val="24"/>
                <w:lang w:val="sv-SE"/>
              </w:rPr>
              <w:t>Biển Vũng Môn (phía Bắc cảng Sơn Dương), xã Kỳ Lợi</w:t>
            </w:r>
          </w:p>
        </w:tc>
        <w:tc>
          <w:tcPr>
            <w:tcW w:w="2262" w:type="dxa"/>
            <w:vAlign w:val="center"/>
          </w:tcPr>
          <w:p w14:paraId="1A5921A5" w14:textId="77777777" w:rsidR="00085789" w:rsidRDefault="00000000">
            <w:pPr>
              <w:spacing w:line="340" w:lineRule="exact"/>
              <w:rPr>
                <w:spacing w:val="-6"/>
                <w:sz w:val="24"/>
                <w:szCs w:val="24"/>
                <w:lang w:val="sv-SE"/>
              </w:rPr>
            </w:pPr>
            <w:r>
              <w:rPr>
                <w:spacing w:val="-6"/>
                <w:sz w:val="24"/>
                <w:szCs w:val="24"/>
                <w:lang w:val="sv-SE"/>
              </w:rPr>
              <w:t>Biển ven bờ Vũng Môn</w:t>
            </w:r>
          </w:p>
        </w:tc>
        <w:tc>
          <w:tcPr>
            <w:tcW w:w="2034" w:type="dxa"/>
            <w:vAlign w:val="center"/>
          </w:tcPr>
          <w:p w14:paraId="686C7AD3" w14:textId="77777777" w:rsidR="00085789" w:rsidRDefault="00000000">
            <w:pPr>
              <w:spacing w:line="340" w:lineRule="exact"/>
              <w:rPr>
                <w:bCs/>
                <w:spacing w:val="-6"/>
                <w:sz w:val="24"/>
                <w:szCs w:val="24"/>
                <w:lang w:val="sv-SE"/>
              </w:rPr>
            </w:pPr>
            <w:r>
              <w:rPr>
                <w:bCs/>
                <w:spacing w:val="-6"/>
                <w:sz w:val="24"/>
                <w:szCs w:val="24"/>
                <w:lang w:val="sv-SE"/>
              </w:rPr>
              <w:t>Phường Vũng Áng</w:t>
            </w:r>
          </w:p>
        </w:tc>
      </w:tr>
      <w:tr w:rsidR="00085789" w14:paraId="4D37BE85" w14:textId="77777777">
        <w:trPr>
          <w:gridAfter w:val="1"/>
          <w:wAfter w:w="9" w:type="dxa"/>
          <w:trHeight w:val="315"/>
          <w:jc w:val="center"/>
        </w:trPr>
        <w:tc>
          <w:tcPr>
            <w:tcW w:w="618" w:type="dxa"/>
            <w:vAlign w:val="center"/>
          </w:tcPr>
          <w:p w14:paraId="3096AFF1" w14:textId="77777777" w:rsidR="00085789" w:rsidRDefault="00000000">
            <w:pPr>
              <w:spacing w:line="340" w:lineRule="exact"/>
              <w:jc w:val="center"/>
              <w:rPr>
                <w:bCs/>
                <w:sz w:val="24"/>
                <w:szCs w:val="24"/>
                <w:lang w:val="sv-SE"/>
              </w:rPr>
            </w:pPr>
            <w:r>
              <w:rPr>
                <w:bCs/>
                <w:sz w:val="24"/>
                <w:szCs w:val="24"/>
                <w:lang w:val="sv-SE"/>
              </w:rPr>
              <w:t>8</w:t>
            </w:r>
          </w:p>
        </w:tc>
        <w:tc>
          <w:tcPr>
            <w:tcW w:w="4154" w:type="dxa"/>
            <w:vAlign w:val="center"/>
          </w:tcPr>
          <w:p w14:paraId="1FE88419" w14:textId="77777777" w:rsidR="00085789" w:rsidRDefault="00000000">
            <w:pPr>
              <w:spacing w:line="340" w:lineRule="exact"/>
              <w:rPr>
                <w:spacing w:val="-10"/>
                <w:sz w:val="24"/>
                <w:szCs w:val="24"/>
                <w:lang w:val="sv-SE"/>
              </w:rPr>
            </w:pPr>
            <w:r>
              <w:rPr>
                <w:spacing w:val="-10"/>
                <w:sz w:val="24"/>
                <w:szCs w:val="24"/>
                <w:lang w:val="sv-SE"/>
              </w:rPr>
              <w:t>Biển Vũng Áng (cách cảng xuất nhập xăng dầu khoảng 1,0 km phía xa bờ), xã Kỳ Lợi</w:t>
            </w:r>
          </w:p>
        </w:tc>
        <w:tc>
          <w:tcPr>
            <w:tcW w:w="2262" w:type="dxa"/>
            <w:vAlign w:val="center"/>
          </w:tcPr>
          <w:p w14:paraId="36207ADD" w14:textId="77777777" w:rsidR="00085789" w:rsidRDefault="00000000">
            <w:pPr>
              <w:spacing w:line="340" w:lineRule="exact"/>
              <w:rPr>
                <w:spacing w:val="-6"/>
                <w:sz w:val="24"/>
                <w:szCs w:val="24"/>
                <w:lang w:val="sv-SE"/>
              </w:rPr>
            </w:pPr>
            <w:r>
              <w:rPr>
                <w:spacing w:val="-6"/>
                <w:sz w:val="24"/>
                <w:szCs w:val="24"/>
                <w:lang w:val="sv-SE"/>
              </w:rPr>
              <w:t>Biển ven bờ Vũng Áng</w:t>
            </w:r>
          </w:p>
        </w:tc>
        <w:tc>
          <w:tcPr>
            <w:tcW w:w="2034" w:type="dxa"/>
            <w:vAlign w:val="center"/>
          </w:tcPr>
          <w:p w14:paraId="17164A94" w14:textId="77777777" w:rsidR="00085789" w:rsidRDefault="00000000">
            <w:pPr>
              <w:spacing w:line="340" w:lineRule="exact"/>
              <w:rPr>
                <w:bCs/>
                <w:spacing w:val="-6"/>
                <w:sz w:val="24"/>
                <w:szCs w:val="24"/>
                <w:lang w:val="sv-SE"/>
              </w:rPr>
            </w:pPr>
            <w:r>
              <w:rPr>
                <w:bCs/>
                <w:spacing w:val="-6"/>
                <w:sz w:val="24"/>
                <w:szCs w:val="24"/>
                <w:lang w:val="sv-SE"/>
              </w:rPr>
              <w:t>Phường Vũng Áng</w:t>
            </w:r>
          </w:p>
        </w:tc>
      </w:tr>
    </w:tbl>
    <w:p w14:paraId="6E94DB57" w14:textId="77777777" w:rsidR="00085789" w:rsidRDefault="00085789">
      <w:pPr>
        <w:spacing w:line="240" w:lineRule="auto"/>
        <w:ind w:firstLine="720"/>
        <w:jc w:val="both"/>
        <w:rPr>
          <w:sz w:val="20"/>
          <w:szCs w:val="20"/>
          <w:lang w:val="sv-SE"/>
        </w:rPr>
      </w:pPr>
    </w:p>
    <w:p w14:paraId="5FAF8F71" w14:textId="77777777" w:rsidR="00085789" w:rsidRDefault="00000000">
      <w:pPr>
        <w:widowControl w:val="0"/>
        <w:spacing w:before="80" w:line="240" w:lineRule="auto"/>
        <w:ind w:firstLine="709"/>
        <w:jc w:val="both"/>
        <w:rPr>
          <w:spacing w:val="-2"/>
          <w:sz w:val="26"/>
          <w:szCs w:val="26"/>
          <w:shd w:val="clear" w:color="auto" w:fill="FFFFFF"/>
          <w:lang w:val="sv-SE"/>
        </w:rPr>
      </w:pPr>
      <w:r>
        <w:rPr>
          <w:spacing w:val="-2"/>
          <w:sz w:val="26"/>
          <w:szCs w:val="26"/>
          <w:shd w:val="clear" w:color="auto" w:fill="FFFFFF"/>
          <w:lang w:val="sv-SE"/>
        </w:rPr>
        <w:t>Qua tổng hợp diễn biến nguồn nước biển ven bờ trên địa bàn tỉnh từ năm 2021 đến Quý II/2025, cho thấy: Diễn biến chất lượng nước biển ven bờ trên địa bàn tỉnh tại 02 vùng (vùng biển ven bờ bãi tắm và vùng khác) không có sự khác biệt, điều đó cho thấy chất lượng nước biển ven bờ trải dài từ khu vực Cửa Hội đến khu vực Kỳ Anh tương đối ổn định. Một số thông số Coliform và Florua tại thời điểm quan trắc ở một số vị trí có cao hơn quy chuẩn nhưng ở mức thấp (như Thạch Hải, Cửa Nhượng, Cẩm Hòa, Cửa Khẩu) là các vị trí có nhiều hoạt động NTTS, sản xuất công nghiệp. Còn cơ bản các vị trí còn lại, chất lượng nước biển ven bờ đang ổn định.</w:t>
      </w:r>
    </w:p>
    <w:p w14:paraId="6D1EBF2F" w14:textId="77777777" w:rsidR="00085789" w:rsidRDefault="00000000">
      <w:pPr>
        <w:widowControl w:val="0"/>
        <w:spacing w:before="80" w:line="240" w:lineRule="auto"/>
        <w:ind w:firstLine="709"/>
        <w:jc w:val="both"/>
        <w:rPr>
          <w:sz w:val="26"/>
          <w:szCs w:val="26"/>
          <w:lang w:val="sv-SE"/>
        </w:rPr>
      </w:pPr>
      <w:r>
        <w:rPr>
          <w:sz w:val="26"/>
          <w:szCs w:val="26"/>
          <w:lang w:val="sv-SE"/>
        </w:rPr>
        <w:t>Diễn biến chất lượng nguồn nước biển ven bờ trên địa bàn tỉnh qua từng năm (từ năm 2021 đến nay) cụ thể như sau:</w:t>
      </w:r>
    </w:p>
    <w:p w14:paraId="4F9965CF" w14:textId="77777777" w:rsidR="00085789" w:rsidRDefault="00000000">
      <w:pPr>
        <w:pStyle w:val="bac2"/>
        <w:spacing w:before="80" w:after="0" w:line="240" w:lineRule="auto"/>
        <w:rPr>
          <w:bCs/>
          <w:smallCaps/>
          <w:lang w:val="nl-NL"/>
        </w:rPr>
      </w:pPr>
      <w:bookmarkStart w:id="836" w:name="_Toc214311245"/>
      <w:r>
        <w:rPr>
          <w:lang w:val="nl-NL"/>
        </w:rPr>
        <w:t>3.3.2. Diễn biến chất lượng nước biển ven bờ trên địa bàn tỉnh</w:t>
      </w:r>
      <w:bookmarkEnd w:id="836"/>
    </w:p>
    <w:p w14:paraId="4AE39A3A" w14:textId="77777777" w:rsidR="00085789" w:rsidRDefault="00000000">
      <w:pPr>
        <w:spacing w:before="80" w:line="240" w:lineRule="auto"/>
        <w:ind w:firstLine="709"/>
        <w:jc w:val="both"/>
        <w:rPr>
          <w:spacing w:val="-2"/>
          <w:sz w:val="26"/>
          <w:szCs w:val="26"/>
          <w:shd w:val="clear" w:color="auto" w:fill="FFFFFF"/>
          <w:lang w:val="nl-NL"/>
        </w:rPr>
      </w:pPr>
      <w:r>
        <w:rPr>
          <w:spacing w:val="-2"/>
          <w:sz w:val="26"/>
          <w:szCs w:val="26"/>
          <w:shd w:val="clear" w:color="auto" w:fill="FFFFFF"/>
          <w:lang w:val="nl-NL"/>
        </w:rPr>
        <w:t xml:space="preserve">Vùng biển ven bờ của Hà Tĩnh trước đây thuộc các địa phương ven biển (huyện Nghi Xuân, Thạch Hà, TP. Hà Tĩnh, Cẩm Xuyên, Kỳ Anh và thị xã Kỳ Anh trước đây). Để đánh giá chất lượng nguồn nước biển ven bờ, báo cáo sử dụng kết quả của 15 điểm </w:t>
      </w:r>
      <w:r>
        <w:rPr>
          <w:spacing w:val="-2"/>
          <w:sz w:val="26"/>
          <w:szCs w:val="26"/>
          <w:shd w:val="clear" w:color="auto" w:fill="FFFFFF"/>
          <w:lang w:val="nl-NL"/>
        </w:rPr>
        <w:lastRenderedPageBreak/>
        <w:t>quan trắc mạng lưới để phân tích, đánh giá diễn biến ô nhiễm nguồn nước dưới đất vùng này, cụ thể diễn biến ô nhiễm như sau:</w:t>
      </w:r>
    </w:p>
    <w:p w14:paraId="18A08FB8" w14:textId="77777777" w:rsidR="00085789" w:rsidRDefault="00000000">
      <w:pPr>
        <w:widowControl w:val="0"/>
        <w:spacing w:before="80" w:line="240" w:lineRule="auto"/>
        <w:ind w:firstLine="709"/>
        <w:jc w:val="both"/>
        <w:rPr>
          <w:b/>
          <w:noProof/>
          <w:spacing w:val="-4"/>
          <w:sz w:val="26"/>
          <w:szCs w:val="26"/>
          <w:lang w:val="nl-NL"/>
        </w:rPr>
      </w:pPr>
      <w:r>
        <w:rPr>
          <w:b/>
          <w:noProof/>
          <w:spacing w:val="-4"/>
          <w:sz w:val="26"/>
          <w:szCs w:val="26"/>
          <w:lang w:val="nl-NL"/>
        </w:rPr>
        <w:t xml:space="preserve">(1) Diễn biến độ pH nước biển ven bờ </w:t>
      </w:r>
      <w:r>
        <w:rPr>
          <w:b/>
          <w:noProof/>
          <w:spacing w:val="-4"/>
          <w:sz w:val="26"/>
          <w:szCs w:val="26"/>
          <w:lang w:val="pt-BR"/>
        </w:rPr>
        <w:t>từ năm 2021-Quý II/2025</w:t>
      </w:r>
      <w:r>
        <w:rPr>
          <w:b/>
          <w:noProof/>
          <w:spacing w:val="-4"/>
          <w:sz w:val="26"/>
          <w:szCs w:val="26"/>
          <w:lang w:val="nl-NL"/>
        </w:rPr>
        <w:t>:</w:t>
      </w:r>
    </w:p>
    <w:p w14:paraId="62B647DB"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2664AD6D" wp14:editId="7F5E0489">
            <wp:extent cx="5761990" cy="2001328"/>
            <wp:effectExtent l="0" t="0" r="10160" b="18415"/>
            <wp:docPr id="597600112" name="Chart 1">
              <a:extLst xmlns:a="http://schemas.openxmlformats.org/drawingml/2006/main">
                <a:ext uri="{FF2B5EF4-FFF2-40B4-BE49-F238E27FC236}">
                  <a16:creationId xmlns:a16="http://schemas.microsoft.com/office/drawing/2014/main" id="{6ACFE808-ADB8-4A8F-96B2-E432737FD49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05EF7760" w14:textId="77777777" w:rsidR="00085789" w:rsidRDefault="00000000">
      <w:pPr>
        <w:pStyle w:val="-bac4"/>
        <w:rPr>
          <w:lang w:val="nl-NL"/>
        </w:rPr>
      </w:pPr>
      <w:bookmarkStart w:id="837" w:name="_Toc205915789"/>
      <w:bookmarkStart w:id="838" w:name="_Toc213597484"/>
      <w:bookmarkStart w:id="839" w:name="_Toc213600830"/>
      <w:r>
        <w:rPr>
          <w:lang w:val="nl-NL"/>
        </w:rPr>
        <w:t>Hình 3.75. Diễn biến độ pH trong nước biển ven bờ</w:t>
      </w:r>
      <w:bookmarkEnd w:id="837"/>
      <w:bookmarkEnd w:id="838"/>
      <w:bookmarkEnd w:id="839"/>
    </w:p>
    <w:p w14:paraId="4EC3570B" w14:textId="77777777" w:rsidR="00085789" w:rsidRDefault="00000000">
      <w:pPr>
        <w:widowControl w:val="0"/>
        <w:spacing w:before="80" w:line="240" w:lineRule="auto"/>
        <w:ind w:firstLine="709"/>
        <w:jc w:val="both"/>
        <w:rPr>
          <w:noProof/>
          <w:sz w:val="26"/>
          <w:szCs w:val="26"/>
          <w:u w:val="single"/>
          <w:lang w:val="nl-NL"/>
        </w:rPr>
      </w:pPr>
      <w:r>
        <w:rPr>
          <w:i/>
          <w:noProof/>
          <w:sz w:val="26"/>
          <w:szCs w:val="26"/>
          <w:u w:val="single"/>
          <w:lang w:val="nl-NL"/>
        </w:rPr>
        <w:t>Nhận xét:</w:t>
      </w:r>
    </w:p>
    <w:p w14:paraId="36EF318A" w14:textId="77777777" w:rsidR="00085789" w:rsidRDefault="00000000">
      <w:pPr>
        <w:widowControl w:val="0"/>
        <w:spacing w:before="80" w:line="240" w:lineRule="auto"/>
        <w:ind w:firstLine="709"/>
        <w:jc w:val="both"/>
        <w:rPr>
          <w:noProof/>
          <w:sz w:val="26"/>
          <w:szCs w:val="26"/>
          <w:lang w:val="nl-NL"/>
        </w:rPr>
      </w:pPr>
      <w:r>
        <w:rPr>
          <w:noProof/>
          <w:sz w:val="26"/>
          <w:szCs w:val="26"/>
          <w:lang w:val="nl-NL"/>
        </w:rPr>
        <w:t>- Năm 2021-2022: Từ năm 2021 đến năm 2022, độ pH nguồn nước biển ven bờ ở tất cả các vị trí quan trắc tại các bãi tắm và các khu vực khác đều đạt giá trị giới hạn theo QCVN 10-MT:2015/BTNMT.</w:t>
      </w:r>
    </w:p>
    <w:p w14:paraId="114C4E3B" w14:textId="77777777" w:rsidR="00085789" w:rsidRDefault="00000000">
      <w:pPr>
        <w:spacing w:before="80" w:line="240" w:lineRule="auto"/>
        <w:ind w:firstLine="709"/>
        <w:jc w:val="both"/>
        <w:rPr>
          <w:noProof/>
          <w:sz w:val="26"/>
          <w:szCs w:val="26"/>
          <w:lang w:val="nl-NL"/>
        </w:rPr>
      </w:pPr>
      <w:r>
        <w:rPr>
          <w:noProof/>
          <w:sz w:val="26"/>
          <w:szCs w:val="26"/>
          <w:lang w:val="nl-NL"/>
        </w:rPr>
        <w:t>- Năm 2023-Quý II/2025: Từ năm 2021 đến Quý II/2025, độ pH nguồn nước biển ven bờ ở tất cả các vị trí quan trắc tại các bãi tắm và các khu vực khác đều đạt giá trị giới hạn theo QCVN 10:2023/BTNMT.</w:t>
      </w:r>
    </w:p>
    <w:p w14:paraId="3761F1C5" w14:textId="77777777" w:rsidR="00085789" w:rsidRDefault="00000000">
      <w:pPr>
        <w:widowControl w:val="0"/>
        <w:spacing w:before="80" w:line="240" w:lineRule="auto"/>
        <w:ind w:firstLine="709"/>
        <w:jc w:val="both"/>
        <w:rPr>
          <w:b/>
          <w:noProof/>
          <w:spacing w:val="-4"/>
          <w:sz w:val="26"/>
          <w:szCs w:val="26"/>
          <w:lang w:val="nl-NL"/>
        </w:rPr>
      </w:pPr>
      <w:r>
        <w:rPr>
          <w:b/>
          <w:noProof/>
          <w:spacing w:val="-4"/>
          <w:sz w:val="26"/>
          <w:szCs w:val="26"/>
          <w:lang w:val="nl-NL"/>
        </w:rPr>
        <w:t xml:space="preserve">(2) Diễn biến hàm lượng DO trong nước biển ven bờ </w:t>
      </w:r>
      <w:r>
        <w:rPr>
          <w:b/>
          <w:noProof/>
          <w:spacing w:val="-4"/>
          <w:sz w:val="26"/>
          <w:szCs w:val="26"/>
          <w:lang w:val="pt-BR"/>
        </w:rPr>
        <w:t>từ năm 2021-Quý II/2025</w:t>
      </w:r>
      <w:r>
        <w:rPr>
          <w:b/>
          <w:noProof/>
          <w:spacing w:val="-4"/>
          <w:sz w:val="26"/>
          <w:szCs w:val="26"/>
          <w:lang w:val="nl-NL"/>
        </w:rPr>
        <w:t>:</w:t>
      </w:r>
    </w:p>
    <w:p w14:paraId="4384DF38"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54E10915" wp14:editId="58265AA5">
            <wp:extent cx="5761990" cy="1866900"/>
            <wp:effectExtent l="0" t="0" r="10160" b="0"/>
            <wp:docPr id="531731477" name="Chart 1">
              <a:extLst xmlns:a="http://schemas.openxmlformats.org/drawingml/2006/main">
                <a:ext uri="{FF2B5EF4-FFF2-40B4-BE49-F238E27FC236}">
                  <a16:creationId xmlns:a16="http://schemas.microsoft.com/office/drawing/2014/main" id="{17068C08-1C4F-4207-A622-84B1441AF1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5B743A37" w14:textId="77777777" w:rsidR="00085789" w:rsidRDefault="00000000">
      <w:pPr>
        <w:pStyle w:val="-bac4"/>
        <w:rPr>
          <w:lang w:val="nl-NL"/>
        </w:rPr>
      </w:pPr>
      <w:bookmarkStart w:id="840" w:name="_Toc205915790"/>
      <w:bookmarkStart w:id="841" w:name="_Toc213597485"/>
      <w:bookmarkStart w:id="842" w:name="_Toc213600831"/>
      <w:r>
        <w:rPr>
          <w:lang w:val="nl-NL"/>
        </w:rPr>
        <w:t>Hình 3.76. Diễn biến hàm lượng DO trong nước biển ven bờ</w:t>
      </w:r>
      <w:bookmarkEnd w:id="840"/>
      <w:bookmarkEnd w:id="841"/>
      <w:bookmarkEnd w:id="842"/>
    </w:p>
    <w:p w14:paraId="14EA25C7"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5B7F5F1"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 Từ năm 2021 đến năm 2022, hàm lượng DO trong nước biển ven bờ ở tất cả các vị trí quan trắc tại các bãi tắm và các khu vực khác đều đạt giá trị giới hạn theo QCVN 10-MT:2015/BTNMT.</w:t>
      </w:r>
    </w:p>
    <w:p w14:paraId="2D6316AA"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2023-Quý II/2025: Từ năm 2021 đến Quý II/2025, hàm lượng DO trong nước biển ven bờ ở tất cả các vị trí quan trắc tại các bãi tắm và các khu vực khác đều đạt giá trị giới hạn theo QCVN 10:2023/BTNMT.</w:t>
      </w:r>
    </w:p>
    <w:p w14:paraId="4D6931D4"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(3) Diễn biến hàm lượng TSS trong nước biển ven bờ </w:t>
      </w:r>
      <w:r>
        <w:rPr>
          <w:b/>
          <w:noProof/>
          <w:spacing w:val="-4"/>
          <w:sz w:val="26"/>
          <w:szCs w:val="26"/>
          <w:lang w:val="pt-BR"/>
        </w:rPr>
        <w:t>từ năm 2021-Quý II/2025</w:t>
      </w:r>
      <w:r>
        <w:rPr>
          <w:b/>
          <w:noProof/>
          <w:spacing w:val="-4"/>
          <w:sz w:val="26"/>
          <w:szCs w:val="26"/>
          <w:lang w:val="nl-NL"/>
        </w:rPr>
        <w:t>:</w:t>
      </w:r>
    </w:p>
    <w:p w14:paraId="57A96316" w14:textId="77777777" w:rsidR="00085789" w:rsidRDefault="00000000">
      <w:pPr>
        <w:widowControl w:val="0"/>
        <w:spacing w:before="120" w:line="240" w:lineRule="auto"/>
        <w:jc w:val="both"/>
        <w:rPr>
          <w:b/>
          <w:noProof/>
          <w:spacing w:val="-4"/>
          <w:sz w:val="26"/>
          <w:szCs w:val="26"/>
          <w:lang w:val="nl-NL"/>
        </w:rPr>
      </w:pPr>
      <w:r>
        <w:rPr>
          <w:noProof/>
        </w:rPr>
        <w:lastRenderedPageBreak/>
        <w:drawing>
          <wp:inline distT="0" distB="0" distL="0" distR="0" wp14:anchorId="52705AFC" wp14:editId="3B5F56BB">
            <wp:extent cx="5761990" cy="1828800"/>
            <wp:effectExtent l="0" t="0" r="10160" b="0"/>
            <wp:docPr id="1623698846" name="Chart 1">
              <a:extLst xmlns:a="http://schemas.openxmlformats.org/drawingml/2006/main">
                <a:ext uri="{FF2B5EF4-FFF2-40B4-BE49-F238E27FC236}">
                  <a16:creationId xmlns:a16="http://schemas.microsoft.com/office/drawing/2014/main" id="{A1D1D86E-5A4D-46E7-B873-A2E883BC41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184B315D" w14:textId="77777777" w:rsidR="00085789" w:rsidRDefault="00000000">
      <w:pPr>
        <w:pStyle w:val="-bac4"/>
        <w:rPr>
          <w:lang w:val="nl-NL"/>
        </w:rPr>
      </w:pPr>
      <w:bookmarkStart w:id="843" w:name="_Toc205915791"/>
      <w:bookmarkStart w:id="844" w:name="_Toc213597486"/>
      <w:bookmarkStart w:id="845" w:name="_Toc213600832"/>
      <w:r>
        <w:rPr>
          <w:lang w:val="nl-NL"/>
        </w:rPr>
        <w:t>Hình 3.77. Diễn biến hàm lượng TSS trong nước biển ven bờ</w:t>
      </w:r>
      <w:bookmarkEnd w:id="843"/>
      <w:bookmarkEnd w:id="844"/>
      <w:bookmarkEnd w:id="845"/>
    </w:p>
    <w:p w14:paraId="17B1859E"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105FC728" w14:textId="77777777" w:rsidR="00085789" w:rsidRDefault="00000000">
      <w:pPr>
        <w:widowControl w:val="0"/>
        <w:spacing w:before="120" w:line="240" w:lineRule="auto"/>
        <w:ind w:firstLine="709"/>
        <w:jc w:val="both"/>
        <w:rPr>
          <w:noProof/>
          <w:sz w:val="26"/>
          <w:szCs w:val="26"/>
          <w:lang w:val="nl-NL"/>
        </w:rPr>
      </w:pPr>
      <w:r>
        <w:rPr>
          <w:noProof/>
          <w:spacing w:val="-2"/>
          <w:sz w:val="26"/>
          <w:szCs w:val="26"/>
          <w:lang w:val="nl-NL"/>
        </w:rPr>
        <w:t xml:space="preserve">- Năm 2021-2022: Từ năm 2021 đến năm 2022, hàm lượng TSS trong nước biển </w:t>
      </w:r>
      <w:r>
        <w:rPr>
          <w:noProof/>
          <w:sz w:val="26"/>
          <w:szCs w:val="26"/>
          <w:lang w:val="nl-NL"/>
        </w:rPr>
        <w:t>ven bờ ở tất cả các vị trí quan trắc tại các bãi tắm và các khu vực khác đều đạt giá trị giới hạn theo QCVN 10-MT:2015/BTNMT.</w:t>
      </w:r>
    </w:p>
    <w:p w14:paraId="45680B51" w14:textId="77777777" w:rsidR="00085789" w:rsidRDefault="00000000">
      <w:pPr>
        <w:spacing w:before="120" w:line="240" w:lineRule="auto"/>
        <w:ind w:firstLine="709"/>
        <w:jc w:val="both"/>
        <w:rPr>
          <w:noProof/>
          <w:sz w:val="26"/>
          <w:szCs w:val="26"/>
          <w:lang w:val="nl-NL"/>
        </w:rPr>
      </w:pPr>
      <w:r>
        <w:rPr>
          <w:noProof/>
          <w:sz w:val="26"/>
          <w:szCs w:val="26"/>
          <w:lang w:val="nl-NL"/>
        </w:rPr>
        <w:t>- Năm 2023-Quý II/2025: Từ năm 2021 đến Quý II/2025, hàm lượng TSS trong nước biển ven bờ ở tất cả các vị trí quan trắc tại các bãi tắm và các khu vực khác đều đạt giá trị giới hạn theo QCVN 10:2023/BTNMT.</w:t>
      </w:r>
    </w:p>
    <w:p w14:paraId="43870EB3"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(4) Diễn biến hàm lượng Coliform trong nước biển ven bờ </w:t>
      </w:r>
      <w:r>
        <w:rPr>
          <w:b/>
          <w:noProof/>
          <w:spacing w:val="-4"/>
          <w:sz w:val="26"/>
          <w:szCs w:val="26"/>
          <w:lang w:val="pt-BR"/>
        </w:rPr>
        <w:t>từ năm 2021-Quý II/2025</w:t>
      </w:r>
      <w:r>
        <w:rPr>
          <w:b/>
          <w:noProof/>
          <w:spacing w:val="-4"/>
          <w:sz w:val="26"/>
          <w:szCs w:val="26"/>
          <w:lang w:val="nl-NL"/>
        </w:rPr>
        <w:t>:</w:t>
      </w:r>
    </w:p>
    <w:p w14:paraId="2F4BAE90"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538F0DF6" wp14:editId="321781E4">
            <wp:extent cx="5761990" cy="1893570"/>
            <wp:effectExtent l="0" t="0" r="10160" b="11430"/>
            <wp:docPr id="2094612612" name="Chart 1">
              <a:extLst xmlns:a="http://schemas.openxmlformats.org/drawingml/2006/main">
                <a:ext uri="{FF2B5EF4-FFF2-40B4-BE49-F238E27FC236}">
                  <a16:creationId xmlns:a16="http://schemas.microsoft.com/office/drawing/2014/main" id="{91DD2C43-24D8-4316-96D0-36120DA6E7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0574935F" w14:textId="77777777" w:rsidR="00085789" w:rsidRDefault="00000000">
      <w:pPr>
        <w:pStyle w:val="-bac4"/>
        <w:spacing w:before="120" w:after="0" w:line="240" w:lineRule="auto"/>
        <w:rPr>
          <w:lang w:val="nl-NL"/>
        </w:rPr>
      </w:pPr>
      <w:bookmarkStart w:id="846" w:name="_Toc205915792"/>
      <w:bookmarkStart w:id="847" w:name="_Toc213597487"/>
      <w:bookmarkStart w:id="848" w:name="_Toc213600833"/>
      <w:r>
        <w:rPr>
          <w:lang w:val="nl-NL"/>
        </w:rPr>
        <w:t>Hình 3.78. Diễn biến hàm lượng Coliform trong nước biển ven bờ</w:t>
      </w:r>
      <w:bookmarkEnd w:id="846"/>
      <w:bookmarkEnd w:id="847"/>
      <w:bookmarkEnd w:id="848"/>
    </w:p>
    <w:p w14:paraId="64465ACF"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A1692FC"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2021-2022: </w:t>
      </w:r>
    </w:p>
    <w:p w14:paraId="4F11BAF1"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Năm 2021, hàm lượng Tổng Coliform trong nước biển ven bờ ở tất cả các vị trí quan trắc đều đạt giá trị giới hạn theo QCVN 10-MT:2015/BTNMT. Năm 2022, hàm lượng hàm lượng Tổng Coliform trong nước biển ven bờ ở bãi tắm Xuân Hải và bãi tắm Thạch Hải trước đây vượt giá trị giới hạn theo QCVN 10-MT:2015/BTNMT từ 1,7-2,74 lần; các vị trí còn lại đang nằm trong giới hạn cho phép theo quy chuẩn.</w:t>
      </w:r>
    </w:p>
    <w:p w14:paraId="763D90E1"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các vùng khác: Năm 2021, hàm lượng Tổng Coliform trong nước biển ven bờ ở tất cả các vị trí quan trắc đều đạt giá trị giới hạn theo QCVN 10-MT:2015/BTNMT. Năm 2022, hàm lượng Tổng Coliform trong nước biển ven bờ ở Cửa Sót, Cẩm Hòa trước đây, Cửa Khẩu vượt giá trị giới hạn theo QCVN 10-MT:2015/BTNMT từ 1,04-1,88 lần; các vị trí còn lại đang nằm trong giới hạn cho phép </w:t>
      </w:r>
      <w:r>
        <w:rPr>
          <w:noProof/>
          <w:sz w:val="26"/>
          <w:szCs w:val="26"/>
          <w:lang w:val="nl-NL"/>
        </w:rPr>
        <w:lastRenderedPageBreak/>
        <w:t>theo quy chuẩn.</w:t>
      </w:r>
    </w:p>
    <w:p w14:paraId="32EC0612"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w:t>
      </w:r>
    </w:p>
    <w:p w14:paraId="23B19D9C"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Năm 2023, hàm lượng Tổng Coliform trong nước biển ven bờ ở bãi tắm Xuân Thành, Kỳ Xuân và Mũi Đao trước đây đạt giá trị giới hạn theo QCVN 10:2023/BTNMT; các vị trí còn lại vượt giá trị giới hạn cho phép theo quy chuẩn từ 1,003-1,53 lần. Năm 2024, hàm lượng Tổng Coliform trong nước biển ven bờ ở bãi tắm Thạch Hải vượt giá trị giới hạn theo QCVN 10:2023/BTNMT 1,58 lần; các vị trí còn lại đang nằm trong giới hạn cho phép theo quy chuẩn. Quý II/2025, hàm lượng Tổng Coliform trong nước biển ven bờ ở tất cả các vị trí quan trắc đều đạt giá trị giới hạn theo QCVN 10:2023/BTNMT.</w:t>
      </w:r>
    </w:p>
    <w:p w14:paraId="6FF81E92" w14:textId="77777777" w:rsidR="00085789" w:rsidRDefault="00000000">
      <w:pPr>
        <w:spacing w:before="120" w:line="240" w:lineRule="auto"/>
        <w:ind w:firstLine="709"/>
        <w:jc w:val="both"/>
        <w:rPr>
          <w:noProof/>
          <w:sz w:val="26"/>
          <w:szCs w:val="26"/>
          <w:lang w:val="nl-NL"/>
        </w:rPr>
      </w:pPr>
      <w:r>
        <w:rPr>
          <w:noProof/>
          <w:sz w:val="26"/>
          <w:szCs w:val="26"/>
          <w:lang w:val="nl-NL"/>
        </w:rPr>
        <w:t>+ Đối với nước biển ven bờ các vùng khác: Năm 2023, hàm lượng Tổng Coliform trong nước biển ven bờ Cửa Hội, Cửa Nhượng, Vũng Môn và Vũng Áng đạt giá trị giới hạn theo QCVN 10:2023/BTNMT; các vị trí còn lại vượt giá trị giới hạn cho phép theo quy chuẩn từ 1,02-2,17 lần. Năm 2024, hàm lượng Tổng Coliform trong nước biển ven bờ Cửa Hội, Cửa Nhượng, Cẩm Hòa vượt giá trị giới hạn theo QCVN 10:2023/BTNMT từ 1,64-2,31 lần; các vị trí còn lại đang nằm trong giới hạn cho phép theo quy chuẩn. Quý II/2025, hàm lượng Tổng Coliform trong nước biển ven bờ Cửa Nhượng, Cẩm Hòa trước đây vượt giá trị giới hạn theo QCVN 10:2023/BTNMT từ 1,2-1,5 lần; các vị trí còn lại đang nằm trong giới hạn cho phép theo quy chuẩn.</w:t>
      </w:r>
    </w:p>
    <w:p w14:paraId="1CB9AA06" w14:textId="77777777" w:rsidR="00085789" w:rsidRDefault="00000000">
      <w:pPr>
        <w:spacing w:before="120" w:line="240" w:lineRule="auto"/>
        <w:ind w:firstLine="709"/>
        <w:jc w:val="both"/>
        <w:rPr>
          <w:noProof/>
          <w:sz w:val="26"/>
          <w:szCs w:val="26"/>
          <w:lang w:val="nl-NL"/>
        </w:rPr>
      </w:pPr>
      <w:r>
        <w:rPr>
          <w:noProof/>
          <w:sz w:val="26"/>
          <w:szCs w:val="26"/>
          <w:lang w:val="nl-NL"/>
        </w:rPr>
        <w:t>=&gt; Như vậy, các vị trí có hàm lượng Tổng Coliform cao thường ở các vị trí có hoạt động NTTS với mật độ lớn.</w:t>
      </w:r>
    </w:p>
    <w:p w14:paraId="19BC59B6"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hàm lượng Amoni trong nước biển ven bờ </w:t>
      </w:r>
      <w:r>
        <w:rPr>
          <w:b/>
          <w:noProof/>
          <w:spacing w:val="-4"/>
          <w:sz w:val="26"/>
          <w:szCs w:val="26"/>
          <w:lang w:val="pt-BR"/>
        </w:rPr>
        <w:t>từ năm 2021-Quý II/2025</w:t>
      </w:r>
      <w:r>
        <w:rPr>
          <w:b/>
          <w:noProof/>
          <w:spacing w:val="-4"/>
          <w:sz w:val="26"/>
          <w:szCs w:val="26"/>
          <w:lang w:val="nl-NL"/>
        </w:rPr>
        <w:t>:</w:t>
      </w:r>
    </w:p>
    <w:p w14:paraId="69CA5110"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4ADED468" wp14:editId="618765AF">
            <wp:extent cx="5761990" cy="2190044"/>
            <wp:effectExtent l="0" t="0" r="0" b="0"/>
            <wp:docPr id="900629713" name="Chart 1">
              <a:extLst xmlns:a="http://schemas.openxmlformats.org/drawingml/2006/main">
                <a:ext uri="{FF2B5EF4-FFF2-40B4-BE49-F238E27FC236}">
                  <a16:creationId xmlns:a16="http://schemas.microsoft.com/office/drawing/2014/main" id="{AC164DDC-2AD4-4ED1-9D75-1668A05068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1194CAA0" w14:textId="77777777" w:rsidR="00085789" w:rsidRDefault="00000000">
      <w:pPr>
        <w:pStyle w:val="-bac4"/>
        <w:rPr>
          <w:lang w:val="nl-NL"/>
        </w:rPr>
      </w:pPr>
      <w:bookmarkStart w:id="849" w:name="_Toc205915793"/>
      <w:bookmarkStart w:id="850" w:name="_Toc213597488"/>
      <w:bookmarkStart w:id="851" w:name="_Toc213600834"/>
      <w:r>
        <w:rPr>
          <w:lang w:val="nl-NL"/>
        </w:rPr>
        <w:t>Hình 3.79. Diễn biến hàm lượng Amoni trong nước biển ven bờ</w:t>
      </w:r>
      <w:bookmarkEnd w:id="849"/>
      <w:bookmarkEnd w:id="850"/>
      <w:bookmarkEnd w:id="851"/>
    </w:p>
    <w:p w14:paraId="142E209D" w14:textId="77777777" w:rsidR="00085789" w:rsidRDefault="00000000">
      <w:pPr>
        <w:widowControl w:val="0"/>
        <w:spacing w:line="360" w:lineRule="exact"/>
        <w:ind w:firstLine="709"/>
        <w:jc w:val="both"/>
        <w:rPr>
          <w:noProof/>
          <w:sz w:val="26"/>
          <w:szCs w:val="26"/>
          <w:u w:val="single"/>
          <w:lang w:val="nl-NL"/>
        </w:rPr>
      </w:pPr>
      <w:r>
        <w:rPr>
          <w:i/>
          <w:noProof/>
          <w:sz w:val="26"/>
          <w:szCs w:val="26"/>
          <w:u w:val="single"/>
          <w:lang w:val="nl-NL"/>
        </w:rPr>
        <w:t>Nhận xét:</w:t>
      </w:r>
    </w:p>
    <w:p w14:paraId="48A5DB43"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2021-2022: </w:t>
      </w:r>
    </w:p>
    <w:p w14:paraId="1DD963F9"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khu vực bãi tắm: Từ năm 2021 đến năm 2022, hàm lượng </w:t>
      </w:r>
      <w:r>
        <w:rPr>
          <w:lang w:val="nl-NL"/>
        </w:rPr>
        <w:t>Amoni</w:t>
      </w:r>
      <w:r>
        <w:rPr>
          <w:noProof/>
          <w:sz w:val="26"/>
          <w:szCs w:val="26"/>
          <w:lang w:val="nl-NL"/>
        </w:rPr>
        <w:t xml:space="preserve"> trong nước biển ven bờ ở tất cả các vị trí quan trắc đều đạt giá trị giới hạn theo QCVN 10-MT:2015/BTNMT.</w:t>
      </w:r>
    </w:p>
    <w:p w14:paraId="37DCF7A3"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các vùng khác: Từ năm 2021 đến năm 2022, hàm lượng </w:t>
      </w:r>
      <w:r>
        <w:rPr>
          <w:lang w:val="nl-NL"/>
        </w:rPr>
        <w:t>Amoni</w:t>
      </w:r>
      <w:r>
        <w:rPr>
          <w:noProof/>
          <w:sz w:val="26"/>
          <w:szCs w:val="26"/>
          <w:lang w:val="nl-NL"/>
        </w:rPr>
        <w:t xml:space="preserve"> trong nước biển ven bờ ở tất cả các vị trí quan trắc đều đạt giá trị giới hạn theo QCVN 10-MT:2015/BTNMT.</w:t>
      </w:r>
    </w:p>
    <w:p w14:paraId="3314FA30" w14:textId="77777777" w:rsidR="00085789" w:rsidRDefault="00000000">
      <w:pPr>
        <w:spacing w:before="120" w:line="240" w:lineRule="auto"/>
        <w:ind w:firstLine="709"/>
        <w:jc w:val="both"/>
        <w:rPr>
          <w:noProof/>
          <w:sz w:val="26"/>
          <w:szCs w:val="26"/>
          <w:lang w:val="nl-NL"/>
        </w:rPr>
      </w:pPr>
      <w:r>
        <w:rPr>
          <w:noProof/>
          <w:sz w:val="26"/>
          <w:szCs w:val="26"/>
          <w:lang w:val="nl-NL"/>
        </w:rPr>
        <w:lastRenderedPageBreak/>
        <w:t xml:space="preserve">- Năm 2023-Quý II/2025: </w:t>
      </w:r>
    </w:p>
    <w:p w14:paraId="46CED256" w14:textId="77777777" w:rsidR="00085789" w:rsidRDefault="00000000">
      <w:pPr>
        <w:widowControl w:val="0"/>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khu vực bãi tắm: </w:t>
      </w:r>
      <w:r>
        <w:rPr>
          <w:noProof/>
          <w:sz w:val="26"/>
          <w:szCs w:val="26"/>
          <w:lang w:val="nl-NL"/>
        </w:rPr>
        <w:t xml:space="preserve">Từ năm 2021 đến Quý II/2025, hàm lượng </w:t>
      </w:r>
      <w:r>
        <w:rPr>
          <w:lang w:val="nl-NL"/>
        </w:rPr>
        <w:t>Amoni</w:t>
      </w:r>
      <w:r>
        <w:rPr>
          <w:noProof/>
          <w:sz w:val="26"/>
          <w:szCs w:val="26"/>
          <w:lang w:val="nl-NL"/>
        </w:rPr>
        <w:t xml:space="preserve">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0768115A" w14:textId="77777777" w:rsidR="00085789" w:rsidRDefault="00000000">
      <w:pPr>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các vùng khác: </w:t>
      </w:r>
      <w:r>
        <w:rPr>
          <w:noProof/>
          <w:sz w:val="26"/>
          <w:szCs w:val="26"/>
          <w:lang w:val="nl-NL"/>
        </w:rPr>
        <w:t xml:space="preserve">Từ năm 2021 đến Quý II/2025, hàm lượng </w:t>
      </w:r>
      <w:r>
        <w:rPr>
          <w:lang w:val="nl-NL"/>
        </w:rPr>
        <w:t>Amoni</w:t>
      </w:r>
      <w:r>
        <w:rPr>
          <w:noProof/>
          <w:sz w:val="26"/>
          <w:szCs w:val="26"/>
          <w:lang w:val="nl-NL"/>
        </w:rPr>
        <w:t xml:space="preserve">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3E6E5095" w14:textId="77777777" w:rsidR="00085789" w:rsidRDefault="00000000">
      <w:pPr>
        <w:widowControl w:val="0"/>
        <w:spacing w:before="120" w:line="240" w:lineRule="auto"/>
        <w:ind w:firstLine="709"/>
        <w:jc w:val="both"/>
        <w:rPr>
          <w:rFonts w:ascii="Times New Roman Bold" w:hAnsi="Times New Roman Bold"/>
          <w:b/>
          <w:noProof/>
          <w:spacing w:val="-6"/>
          <w:sz w:val="26"/>
          <w:szCs w:val="26"/>
          <w:lang w:val="nl-NL"/>
        </w:rPr>
      </w:pPr>
      <w:r>
        <w:rPr>
          <w:rFonts w:ascii="Times New Roman Bold" w:hAnsi="Times New Roman Bold"/>
          <w:b/>
          <w:noProof/>
          <w:spacing w:val="-6"/>
          <w:sz w:val="26"/>
          <w:szCs w:val="26"/>
          <w:lang w:val="nl-NL"/>
        </w:rPr>
        <w:t xml:space="preserve">(6) Diễn biến hàm lượng Phosphat trong nước biển ven bờ </w:t>
      </w:r>
      <w:r>
        <w:rPr>
          <w:rFonts w:ascii="Times New Roman Bold" w:hAnsi="Times New Roman Bold"/>
          <w:b/>
          <w:noProof/>
          <w:spacing w:val="-6"/>
          <w:sz w:val="26"/>
          <w:szCs w:val="26"/>
          <w:lang w:val="pt-BR"/>
        </w:rPr>
        <w:t>từ năm 2021-Quý II/2025</w:t>
      </w:r>
      <w:r>
        <w:rPr>
          <w:rFonts w:ascii="Times New Roman Bold" w:hAnsi="Times New Roman Bold"/>
          <w:b/>
          <w:noProof/>
          <w:spacing w:val="-6"/>
          <w:sz w:val="26"/>
          <w:szCs w:val="26"/>
          <w:lang w:val="nl-NL"/>
        </w:rPr>
        <w:t>:</w:t>
      </w:r>
    </w:p>
    <w:p w14:paraId="29164862" w14:textId="77777777" w:rsidR="00085789" w:rsidRDefault="00000000">
      <w:pPr>
        <w:widowControl w:val="0"/>
        <w:spacing w:before="120" w:line="240" w:lineRule="auto"/>
        <w:jc w:val="both"/>
        <w:rPr>
          <w:b/>
          <w:noProof/>
          <w:spacing w:val="-4"/>
          <w:sz w:val="26"/>
          <w:szCs w:val="26"/>
          <w:lang w:val="nl-NL"/>
        </w:rPr>
      </w:pPr>
      <w:r>
        <w:rPr>
          <w:noProof/>
        </w:rPr>
        <w:drawing>
          <wp:inline distT="0" distB="0" distL="0" distR="0" wp14:anchorId="2254C47E" wp14:editId="2902C80D">
            <wp:extent cx="5761990" cy="1974796"/>
            <wp:effectExtent l="0" t="0" r="0" b="0"/>
            <wp:docPr id="1679648002" name="Chart 1">
              <a:extLst xmlns:a="http://schemas.openxmlformats.org/drawingml/2006/main">
                <a:ext uri="{FF2B5EF4-FFF2-40B4-BE49-F238E27FC236}">
                  <a16:creationId xmlns:a16="http://schemas.microsoft.com/office/drawing/2014/main" id="{BB4A81FC-43E3-4D0E-BB0D-778766F0C8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56E3B2CA" w14:textId="77777777" w:rsidR="00085789" w:rsidRDefault="00000000">
      <w:pPr>
        <w:pStyle w:val="-bac4"/>
        <w:rPr>
          <w:lang w:val="nl-NL"/>
        </w:rPr>
      </w:pPr>
      <w:bookmarkStart w:id="852" w:name="_Toc205915794"/>
      <w:bookmarkStart w:id="853" w:name="_Toc213597489"/>
      <w:bookmarkStart w:id="854" w:name="_Toc213600835"/>
      <w:r>
        <w:rPr>
          <w:lang w:val="nl-NL"/>
        </w:rPr>
        <w:t>Hình 3.80. Diễn biến hàm lượng Phosphat trong nước biển ven bờ</w:t>
      </w:r>
      <w:bookmarkEnd w:id="852"/>
      <w:bookmarkEnd w:id="853"/>
      <w:bookmarkEnd w:id="854"/>
    </w:p>
    <w:p w14:paraId="784ECB64"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1DDBDA2"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w:t>
      </w:r>
    </w:p>
    <w:p w14:paraId="32C09E8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Từ năm 2021 đến năm 2022, hàm lượng Phosphat trong nước biển ven bờ ở tất cả các vị trí quan trắc đều đạt giá trị giới hạn theo QCVN 10-MT:2015/BTNMT.</w:t>
      </w:r>
    </w:p>
    <w:p w14:paraId="228EA778"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Đối với nước biển ven bờ các vùng khác: Từ năm 2021 đến năm 2022, hàm lượng Phosphat trong nước biển ven bờ ở tất cả các vị trí quan trắc đều đạt giá trị giới hạn theo QCVN 10-MT:2015/BTNMT.</w:t>
      </w:r>
    </w:p>
    <w:p w14:paraId="55BB6BD4"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w:t>
      </w:r>
    </w:p>
    <w:p w14:paraId="12247790" w14:textId="77777777" w:rsidR="00085789" w:rsidRDefault="00000000">
      <w:pPr>
        <w:widowControl w:val="0"/>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khu vực bãi tắm: </w:t>
      </w:r>
      <w:r>
        <w:rPr>
          <w:noProof/>
          <w:sz w:val="26"/>
          <w:szCs w:val="26"/>
          <w:lang w:val="nl-NL"/>
        </w:rPr>
        <w:t xml:space="preserve">Từ năm 2021 đến Quý II/2025, hàm lượng Phosphat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1C0B9719" w14:textId="77777777" w:rsidR="00085789" w:rsidRDefault="00000000">
      <w:pPr>
        <w:spacing w:before="120" w:line="240" w:lineRule="auto"/>
        <w:ind w:firstLine="709"/>
        <w:jc w:val="both"/>
        <w:rPr>
          <w:noProof/>
          <w:sz w:val="26"/>
          <w:szCs w:val="26"/>
          <w:lang w:val="nl-NL"/>
        </w:rPr>
      </w:pPr>
      <w:r>
        <w:rPr>
          <w:noProof/>
          <w:spacing w:val="-4"/>
          <w:sz w:val="26"/>
          <w:szCs w:val="26"/>
          <w:lang w:val="nl-NL"/>
        </w:rPr>
        <w:t xml:space="preserve">+ Đối với nước biển ven bờ các vùng khác: </w:t>
      </w:r>
      <w:r>
        <w:rPr>
          <w:noProof/>
          <w:sz w:val="26"/>
          <w:szCs w:val="26"/>
          <w:lang w:val="nl-NL"/>
        </w:rPr>
        <w:t xml:space="preserve">Từ năm 2021 đến Quý II/2025, hàm lượng Phosphat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03B04E03"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(7) Diễn biến hàm lượng Florua trong nước biển ven bờ </w:t>
      </w:r>
      <w:r>
        <w:rPr>
          <w:b/>
          <w:noProof/>
          <w:spacing w:val="-4"/>
          <w:sz w:val="26"/>
          <w:szCs w:val="26"/>
          <w:lang w:val="pt-BR"/>
        </w:rPr>
        <w:t>từ năm 2021-Quý II/2025</w:t>
      </w:r>
      <w:r>
        <w:rPr>
          <w:b/>
          <w:noProof/>
          <w:spacing w:val="-4"/>
          <w:sz w:val="26"/>
          <w:szCs w:val="26"/>
          <w:lang w:val="nl-NL"/>
        </w:rPr>
        <w:t>:</w:t>
      </w:r>
    </w:p>
    <w:p w14:paraId="1DAD77D9" w14:textId="77777777" w:rsidR="00085789" w:rsidRDefault="00000000">
      <w:pPr>
        <w:widowControl w:val="0"/>
        <w:spacing w:before="120" w:line="240" w:lineRule="auto"/>
        <w:jc w:val="both"/>
        <w:rPr>
          <w:b/>
          <w:noProof/>
          <w:spacing w:val="-4"/>
          <w:sz w:val="26"/>
          <w:szCs w:val="26"/>
          <w:lang w:val="nl-NL"/>
        </w:rPr>
      </w:pPr>
      <w:r>
        <w:rPr>
          <w:noProof/>
        </w:rPr>
        <w:lastRenderedPageBreak/>
        <w:drawing>
          <wp:inline distT="0" distB="0" distL="0" distR="0" wp14:anchorId="6AC16FFD" wp14:editId="19F231E0">
            <wp:extent cx="5761990" cy="2472267"/>
            <wp:effectExtent l="0" t="0" r="0" b="0"/>
            <wp:docPr id="87739309" name="Chart 1">
              <a:extLst xmlns:a="http://schemas.openxmlformats.org/drawingml/2006/main">
                <a:ext uri="{FF2B5EF4-FFF2-40B4-BE49-F238E27FC236}">
                  <a16:creationId xmlns:a16="http://schemas.microsoft.com/office/drawing/2014/main" id="{002AA37E-1299-4762-995D-A36F81D6F9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22DB807F" w14:textId="77777777" w:rsidR="00085789" w:rsidRDefault="00000000">
      <w:pPr>
        <w:pStyle w:val="-bac4"/>
        <w:rPr>
          <w:lang w:val="nl-NL"/>
        </w:rPr>
      </w:pPr>
      <w:bookmarkStart w:id="855" w:name="_Toc205915795"/>
      <w:bookmarkStart w:id="856" w:name="_Toc213597490"/>
      <w:bookmarkStart w:id="857" w:name="_Toc213600836"/>
      <w:r>
        <w:rPr>
          <w:lang w:val="nl-NL"/>
        </w:rPr>
        <w:t>Hình 3.81. Diễn biến hàm lượng Florua trong nước biển ven bờ</w:t>
      </w:r>
      <w:bookmarkEnd w:id="855"/>
      <w:bookmarkEnd w:id="856"/>
      <w:bookmarkEnd w:id="857"/>
    </w:p>
    <w:p w14:paraId="59DD589C"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1B9D35A9"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Năm 2021-2022:</w:t>
      </w:r>
    </w:p>
    <w:p w14:paraId="792057D4"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Đối với nước biển ven bờ khu vực bãi tắm: Năm 2021, hàm lượng Florua trong nước biển ven bờ ở tất cả các vị trí quan trắc đều vượt giá trị giới hạn theo QCVN 10-MT:2015/BTNMT từ 1,12-1,3 lần. Năm 2022, hàm lượng Florua trong nước biển ven bờ ở bãi tắm Xuân Thành, Thạch Hải, Kỳ Xuân trước đây vượt giá trị giới hạn theo QCVN 10-MT:2015/BTNMT nhưng ở mức nhỏ từ 1,008-1,07 lần; các vị trí còn lại nằm trong quy chuẩn cho phép.</w:t>
      </w:r>
    </w:p>
    <w:p w14:paraId="68D64C23"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Đối với nước biển ven bờ các vùng khác: Năm 2021, hàm lượng Florua trong nước biển ven bờ ở Cửa Hội đạt giá trị giới hạn theo QCVN 10-MT:2015/BTNMT; các </w:t>
      </w:r>
      <w:r>
        <w:rPr>
          <w:noProof/>
          <w:spacing w:val="-4"/>
          <w:sz w:val="26"/>
          <w:szCs w:val="26"/>
          <w:lang w:val="nl-NL"/>
        </w:rPr>
        <w:t>vị trí còn lại vượt giá trị giới hạn từ 1,07-1,32 lần. Năm 2021, hàm lượng Florua trong nước biển ven bờ ở Cửa Hội, Cửa Sót, Cửa Nhượng, Cửa Khẩu đạt giá trị giới hạn theo QCVN 10-MT:2015/BTNMT; các vị trí còn lại vượt giá trị giới hạn ở mức nhỏ từ 1,04-1,08 lần.</w:t>
      </w:r>
    </w:p>
    <w:p w14:paraId="0033B8C1"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w:t>
      </w:r>
    </w:p>
    <w:p w14:paraId="5B437604" w14:textId="77777777" w:rsidR="00085789" w:rsidRDefault="00000000">
      <w:pPr>
        <w:widowControl w:val="0"/>
        <w:spacing w:before="120" w:line="240" w:lineRule="auto"/>
        <w:ind w:firstLine="709"/>
        <w:jc w:val="both"/>
        <w:rPr>
          <w:noProof/>
          <w:spacing w:val="-4"/>
          <w:sz w:val="26"/>
          <w:szCs w:val="26"/>
          <w:lang w:val="nl-NL"/>
        </w:rPr>
      </w:pPr>
      <w:r>
        <w:rPr>
          <w:noProof/>
          <w:spacing w:val="-4"/>
          <w:sz w:val="26"/>
          <w:szCs w:val="26"/>
          <w:lang w:val="nl-NL"/>
        </w:rPr>
        <w:t xml:space="preserve">+ Đối với nước biển ven bờ khu vực bãi tắm: </w:t>
      </w:r>
      <w:r>
        <w:rPr>
          <w:noProof/>
          <w:sz w:val="26"/>
          <w:szCs w:val="26"/>
          <w:lang w:val="nl-NL"/>
        </w:rPr>
        <w:t xml:space="preserve">Từ năm 2021 đến Quý II/2025, hàm lượng Florua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4613503F" w14:textId="77777777" w:rsidR="00085789" w:rsidRDefault="00000000">
      <w:pPr>
        <w:spacing w:before="120" w:line="240" w:lineRule="auto"/>
        <w:ind w:firstLine="709"/>
        <w:jc w:val="both"/>
        <w:rPr>
          <w:noProof/>
          <w:sz w:val="26"/>
          <w:szCs w:val="26"/>
          <w:lang w:val="nl-NL"/>
        </w:rPr>
      </w:pPr>
      <w:r>
        <w:rPr>
          <w:noProof/>
          <w:spacing w:val="-4"/>
          <w:sz w:val="26"/>
          <w:szCs w:val="26"/>
          <w:lang w:val="nl-NL"/>
        </w:rPr>
        <w:t xml:space="preserve">+ Đối với nước biển ven bờ các vùng khác: </w:t>
      </w:r>
      <w:r>
        <w:rPr>
          <w:noProof/>
          <w:sz w:val="26"/>
          <w:szCs w:val="26"/>
          <w:lang w:val="nl-NL"/>
        </w:rPr>
        <w:t xml:space="preserve">Từ năm 2021 đến Quý II/2025, hàm lượng Florua trong nước biển ven bờ ở tất cả các vị trí quan trắc đều đạt giá trị giới hạn theo </w:t>
      </w:r>
      <w:r>
        <w:rPr>
          <w:noProof/>
          <w:spacing w:val="-4"/>
          <w:sz w:val="26"/>
          <w:szCs w:val="26"/>
          <w:lang w:val="nl-NL"/>
        </w:rPr>
        <w:t>QCVN 10:2023/BTNMT</w:t>
      </w:r>
      <w:r>
        <w:rPr>
          <w:noProof/>
          <w:sz w:val="26"/>
          <w:szCs w:val="26"/>
          <w:lang w:val="nl-NL"/>
        </w:rPr>
        <w:t>.</w:t>
      </w:r>
    </w:p>
    <w:p w14:paraId="6DFA4C1D" w14:textId="77777777" w:rsidR="00085789" w:rsidRDefault="00000000">
      <w:pPr>
        <w:pStyle w:val="bac2"/>
        <w:spacing w:before="120" w:after="0" w:line="240" w:lineRule="auto"/>
        <w:rPr>
          <w:smallCaps/>
          <w:lang w:val="nl-NL"/>
        </w:rPr>
      </w:pPr>
      <w:bookmarkStart w:id="858" w:name="_Toc214311246"/>
      <w:r>
        <w:rPr>
          <w:lang w:val="nl-NL"/>
        </w:rPr>
        <w:t>3.3.3. Các vấn đề môi trường biển ven bờ</w:t>
      </w:r>
      <w:bookmarkEnd w:id="858"/>
      <w:r>
        <w:rPr>
          <w:lang w:val="nl-NL"/>
        </w:rPr>
        <w:t xml:space="preserve"> </w:t>
      </w:r>
    </w:p>
    <w:p w14:paraId="3646DC76" w14:textId="77777777" w:rsidR="00085789" w:rsidRDefault="00000000">
      <w:pPr>
        <w:widowControl w:val="0"/>
        <w:spacing w:before="120" w:line="240" w:lineRule="auto"/>
        <w:ind w:firstLine="709"/>
        <w:jc w:val="both"/>
        <w:rPr>
          <w:sz w:val="26"/>
          <w:szCs w:val="26"/>
          <w:lang w:val="nl-NL"/>
        </w:rPr>
      </w:pPr>
      <w:r>
        <w:rPr>
          <w:sz w:val="26"/>
          <w:szCs w:val="26"/>
          <w:lang w:val="nl-NL"/>
        </w:rPr>
        <w:t xml:space="preserve">Hà Tĩnh là một trong nhiều địa phương có đường bờ biển dài, dọc theo bờ biển có 04 cửa sông lớn (Cửa Hội, Cửa Sót, Cửa Nhượng và Cửa Khẩu) mang dòng chảy từ khu vực đất liền chảy ra mỗi khi thủy triều xuống; nước biển ven bờ chịu nhiều tác động bởi địa hình, yếu tố tự nhiên và các họat động phát triển KT-XH. </w:t>
      </w:r>
    </w:p>
    <w:p w14:paraId="5784724F" w14:textId="77777777" w:rsidR="00085789" w:rsidRDefault="00000000">
      <w:pPr>
        <w:widowControl w:val="0"/>
        <w:spacing w:before="120" w:line="240" w:lineRule="auto"/>
        <w:ind w:firstLine="709"/>
        <w:jc w:val="both"/>
        <w:rPr>
          <w:sz w:val="26"/>
          <w:szCs w:val="26"/>
          <w:lang w:val="nl-NL"/>
        </w:rPr>
      </w:pPr>
      <w:r>
        <w:rPr>
          <w:sz w:val="26"/>
          <w:szCs w:val="26"/>
          <w:lang w:val="nl-NL"/>
        </w:rPr>
        <w:t>Ngoài ra, vùng ven biển hiện nay là khu vực được một số người dân đầu tư nuôi tôm thẻ với quy mô và phạm vi lớn, tạo ra nguồn nước thải lớn. Từ năm 2021 đến nay, về cơ bản môi trường biển ven bờ của Hà Tĩnh ít có vấn đề nổi cộm, tuy nhiên, vẫn còn một số tình trạng xả nước thải gây ô nhiễm cục bộ, cụ thể:</w:t>
      </w:r>
    </w:p>
    <w:p w14:paraId="0F221991" w14:textId="77777777" w:rsidR="00085789" w:rsidRDefault="00000000">
      <w:pPr>
        <w:widowControl w:val="0"/>
        <w:spacing w:before="120" w:line="240" w:lineRule="auto"/>
        <w:ind w:firstLine="709"/>
        <w:jc w:val="both"/>
        <w:rPr>
          <w:spacing w:val="-4"/>
          <w:sz w:val="26"/>
          <w:szCs w:val="26"/>
          <w:shd w:val="clear" w:color="auto" w:fill="FFFFFF" w:themeFill="background1"/>
          <w:lang w:val="nl-NL"/>
        </w:rPr>
      </w:pPr>
      <w:r>
        <w:rPr>
          <w:spacing w:val="-4"/>
          <w:sz w:val="26"/>
          <w:szCs w:val="26"/>
          <w:shd w:val="clear" w:color="auto" w:fill="FFFFFF"/>
          <w:lang w:val="nl-NL"/>
        </w:rPr>
        <w:lastRenderedPageBreak/>
        <w:t xml:space="preserve">Năm 2021 cơ sở nuôi tôm tại thôn Xuân Phú, xã Kỳ Xuân có xả nước thải trực tiếp ra môi trường biển gây ô nhiễm cục bộ nguồn nước biển tại khu vực này, cụ thể: Theo </w:t>
      </w:r>
      <w:r>
        <w:rPr>
          <w:spacing w:val="-4"/>
          <w:sz w:val="26"/>
          <w:szCs w:val="26"/>
          <w:shd w:val="clear" w:color="auto" w:fill="FFFFFF" w:themeFill="background1"/>
          <w:lang w:val="nl-NL"/>
        </w:rPr>
        <w:t xml:space="preserve">phản ánh của người dân về việc Khu nuôi tôm trên cát tại thôn Xuân Phú đã xả chất thải có màu xanh đen, bốc mùi hôi, gây ô nhiễm môi trường. Ngoài ra nơi đây, khi du khách hay người dân đi tắm biển còn có hiện tượng bị mẩn ngứa và sưng đỏ. </w:t>
      </w:r>
    </w:p>
    <w:p w14:paraId="2A3B937D" w14:textId="77777777" w:rsidR="00085789" w:rsidRDefault="00000000">
      <w:pPr>
        <w:widowControl w:val="0"/>
        <w:spacing w:before="120" w:line="240" w:lineRule="auto"/>
        <w:ind w:firstLine="709"/>
        <w:jc w:val="both"/>
        <w:rPr>
          <w:spacing w:val="-4"/>
          <w:sz w:val="26"/>
          <w:szCs w:val="26"/>
          <w:shd w:val="clear" w:color="auto" w:fill="FFFFFF" w:themeFill="background1"/>
          <w:lang w:val="nl-NL"/>
        </w:rPr>
      </w:pPr>
      <w:r>
        <w:rPr>
          <w:color w:val="000000" w:themeColor="text1"/>
          <w:sz w:val="26"/>
          <w:szCs w:val="26"/>
          <w:lang w:val="nl-NL"/>
        </w:rPr>
        <w:t>UBND xã Kỳ Xuân đã kiểm tra, xử lý và không còn tình trạng báo phán ánh nêu trên, đồng thời UBND xã đã rà soát để thực hiện thông báo chấm dứt hoạt động của hợp tác xã Bảo An Phú và các hộ liên kết trong hợp tác xã để thu hồi quỹ đất do vi phạm pháp luật về đất đai để quản lý nhằm thực hiện có hiệu quả quy hoạch phân khu du lịch biển và phát triển dịch vụ thương mại, du lịch biển đảm bảo môi trường trong cộng đồng dân cư và phát triển bền vững trên địa bàn xã Kỳ Xuân</w:t>
      </w:r>
      <w:r>
        <w:rPr>
          <w:spacing w:val="-4"/>
          <w:sz w:val="26"/>
          <w:szCs w:val="26"/>
          <w:shd w:val="clear" w:color="auto" w:fill="FFFFFF" w:themeFill="background1"/>
          <w:lang w:val="nl-NL"/>
        </w:rPr>
        <w:t>.</w:t>
      </w:r>
    </w:p>
    <w:p w14:paraId="4A95E4A5" w14:textId="77777777" w:rsidR="00085789" w:rsidRDefault="00000000">
      <w:pPr>
        <w:widowControl w:val="0"/>
        <w:spacing w:before="120" w:line="240" w:lineRule="auto"/>
        <w:ind w:firstLine="709"/>
        <w:jc w:val="both"/>
        <w:rPr>
          <w:spacing w:val="-4"/>
          <w:sz w:val="26"/>
          <w:szCs w:val="26"/>
          <w:shd w:val="clear" w:color="auto" w:fill="FFFFFF" w:themeFill="background1"/>
          <w:lang w:val="nl-NL"/>
        </w:rPr>
      </w:pPr>
      <w:r>
        <w:rPr>
          <w:spacing w:val="-4"/>
          <w:sz w:val="26"/>
          <w:szCs w:val="26"/>
          <w:shd w:val="clear" w:color="auto" w:fill="FFFFFF" w:themeFill="background1"/>
          <w:lang w:val="nl-NL"/>
        </w:rPr>
        <w:t>Năm 2025, một số cơ sở nuôi tôm tại xã Cổ Đạm xả nước thải vượt quy chuẩn cho phép ra môi trường, Phòng Cảnh sát kinh tế - Công an tỉnh đã xử lý vi phạm hành chính, đến nay các đơn vị đã khắc phục.</w:t>
      </w:r>
    </w:p>
    <w:p w14:paraId="73717DA8" w14:textId="77777777" w:rsidR="00085789" w:rsidRDefault="00000000">
      <w:pPr>
        <w:spacing w:before="60" w:line="240" w:lineRule="auto"/>
        <w:ind w:firstLine="709"/>
        <w:jc w:val="both"/>
        <w:rPr>
          <w:i/>
          <w:sz w:val="26"/>
          <w:szCs w:val="26"/>
          <w:lang w:val="pt-BR"/>
        </w:rPr>
      </w:pPr>
      <w:r>
        <w:rPr>
          <w:i/>
          <w:sz w:val="26"/>
          <w:szCs w:val="26"/>
          <w:lang w:val="pt-BR"/>
        </w:rPr>
        <w:t xml:space="preserve">Nhìn chung, chất lượng các thành phần môi trường tự nhiên trên địa bàn tỉnh qua các năm (từ năm 2021 đến 2025) không có nhiều biến động. Phần lớn các thông số quan trắc đều ở ngưỡng thấp và nằm trong ngưỡng giới hạn cho phép tương ứng. Một số thông số có ngưỡng cao hơn giá trị giới hạn cho phép tuy nhiên vẫn chưa ở mức đáng báo động. Những vị trí quan trắc chất lượng nước mặt và nước dưới đất có các thông số vượt giá trị giới hạn là những điểm ô nhiễm cục bộ từ các hoạt động công nghiệp, sản xuất kinh doanh, chăn nuôi, sinh hoạt, những khu vực có cấu trúc địa chất và thời tiết diễn biến bất thường như nắng nóng kéo dài, mưa lũ. Chất lượng môi trường nước biển tại các điểm quan trắc khá ổn định; rải rác một số vị trí có các thông số: amoni, sắt, coliform vượt ngưỡng giới hạn (tập trung tại các khu vực cửa biển, cửa sông, bãi tắm). Những vị trí chịu ảnh hưởng từ hoạt động công nghiệp (khu vực Vũng Áng) không có sự biến động rõ rệt và hầu hết các thông số phân tích đều đang nằm trong ngưỡng giá trị giới hạn cho phép. </w:t>
      </w:r>
    </w:p>
    <w:p w14:paraId="63EE8F90" w14:textId="77777777" w:rsidR="00085789" w:rsidRDefault="00085789">
      <w:pPr>
        <w:widowControl w:val="0"/>
        <w:spacing w:before="120" w:line="240" w:lineRule="auto"/>
        <w:ind w:firstLine="709"/>
        <w:jc w:val="both"/>
        <w:rPr>
          <w:color w:val="000000" w:themeColor="text1"/>
          <w:sz w:val="26"/>
          <w:szCs w:val="26"/>
          <w:lang w:val="nl-NL"/>
        </w:rPr>
      </w:pPr>
    </w:p>
    <w:p w14:paraId="52067921" w14:textId="77777777" w:rsidR="00085789" w:rsidRDefault="00000000">
      <w:pPr>
        <w:widowControl w:val="0"/>
        <w:spacing w:line="360" w:lineRule="exact"/>
        <w:ind w:firstLine="709"/>
        <w:jc w:val="both"/>
        <w:rPr>
          <w:sz w:val="26"/>
          <w:szCs w:val="26"/>
          <w:lang w:val="nl-NL"/>
        </w:rPr>
      </w:pPr>
      <w:r>
        <w:rPr>
          <w:lang w:val="nl-NL"/>
        </w:rPr>
        <w:t xml:space="preserve"> </w:t>
      </w:r>
    </w:p>
    <w:p w14:paraId="5D61BD74" w14:textId="77777777" w:rsidR="00085789" w:rsidRDefault="00085789">
      <w:pPr>
        <w:spacing w:line="240" w:lineRule="auto"/>
        <w:ind w:firstLine="709"/>
        <w:jc w:val="both"/>
        <w:rPr>
          <w:lang w:val="nl-NL"/>
        </w:rPr>
        <w:sectPr w:rsidR="00085789">
          <w:pgSz w:w="11909" w:h="16834" w:code="9"/>
          <w:pgMar w:top="1134" w:right="1134" w:bottom="1134" w:left="1701" w:header="567" w:footer="340" w:gutter="0"/>
          <w:cols w:space="720"/>
          <w:docGrid w:linePitch="381"/>
        </w:sectPr>
      </w:pPr>
    </w:p>
    <w:p w14:paraId="09ADFC83" w14:textId="77777777" w:rsidR="00085789" w:rsidRDefault="00000000">
      <w:pPr>
        <w:pStyle w:val="H1"/>
        <w:spacing w:before="0" w:after="0" w:line="240" w:lineRule="auto"/>
        <w:rPr>
          <w:lang w:val="nl-NL"/>
        </w:rPr>
      </w:pPr>
      <w:bookmarkStart w:id="859" w:name="_Toc214311247"/>
      <w:r>
        <w:rPr>
          <w:lang w:val="nl-NL"/>
        </w:rPr>
        <w:lastRenderedPageBreak/>
        <w:t>CHƯƠNG IV</w:t>
      </w:r>
      <w:bookmarkEnd w:id="859"/>
    </w:p>
    <w:p w14:paraId="72BCDA3F" w14:textId="77777777" w:rsidR="00085789" w:rsidRDefault="00000000">
      <w:pPr>
        <w:pStyle w:val="H1"/>
        <w:spacing w:before="0" w:after="0" w:line="240" w:lineRule="auto"/>
        <w:rPr>
          <w:lang w:val="nl-NL"/>
        </w:rPr>
      </w:pPr>
      <w:r>
        <w:rPr>
          <w:lang w:val="nl-NL"/>
        </w:rPr>
        <w:t>HIỆN TRẠNG MÔI TRƯỜNG KHÔNG KHÍ</w:t>
      </w:r>
    </w:p>
    <w:p w14:paraId="520D869E" w14:textId="77777777" w:rsidR="00085789" w:rsidRDefault="00085789">
      <w:pPr>
        <w:pStyle w:val="H1"/>
        <w:spacing w:before="0" w:after="0" w:line="240" w:lineRule="auto"/>
        <w:rPr>
          <w:lang w:val="nl-NL"/>
        </w:rPr>
      </w:pPr>
    </w:p>
    <w:p w14:paraId="6BF22C3E" w14:textId="77777777" w:rsidR="00085789" w:rsidRDefault="00000000">
      <w:pPr>
        <w:pStyle w:val="bac2"/>
        <w:spacing w:after="0" w:line="240" w:lineRule="auto"/>
        <w:rPr>
          <w:smallCaps/>
          <w:lang w:val="nl-NL"/>
        </w:rPr>
      </w:pPr>
      <w:bookmarkStart w:id="860" w:name="_Toc214311248"/>
      <w:r>
        <w:rPr>
          <w:lang w:val="nl-NL"/>
        </w:rPr>
        <w:t>4.1. Khái quát diễn biến môi trường không khí</w:t>
      </w:r>
      <w:bookmarkEnd w:id="860"/>
      <w:r>
        <w:rPr>
          <w:lang w:val="nl-NL"/>
        </w:rPr>
        <w:t xml:space="preserve"> </w:t>
      </w:r>
    </w:p>
    <w:p w14:paraId="4498465A" w14:textId="77777777" w:rsidR="00085789" w:rsidRDefault="00000000">
      <w:pPr>
        <w:pStyle w:val="bac2"/>
        <w:spacing w:after="0" w:line="240" w:lineRule="auto"/>
        <w:rPr>
          <w:smallCaps/>
          <w:lang w:val="nl-NL"/>
        </w:rPr>
      </w:pPr>
      <w:bookmarkStart w:id="861" w:name="_Toc214311249"/>
      <w:r>
        <w:rPr>
          <w:lang w:val="nl-NL"/>
        </w:rPr>
        <w:t>4.1.1. Kh</w:t>
      </w:r>
      <w:r>
        <w:rPr>
          <w:rFonts w:hint="eastAsia"/>
          <w:lang w:val="nl-NL"/>
        </w:rPr>
        <w:t>á</w:t>
      </w:r>
      <w:r>
        <w:rPr>
          <w:lang w:val="nl-NL"/>
        </w:rPr>
        <w:t>i quát diễn biến chất lượng không khí theo các thông số đặc trưng</w:t>
      </w:r>
      <w:bookmarkEnd w:id="861"/>
      <w:r>
        <w:rPr>
          <w:lang w:val="nl-NL"/>
        </w:rPr>
        <w:t xml:space="preserve"> </w:t>
      </w:r>
    </w:p>
    <w:p w14:paraId="20CFC00A" w14:textId="77777777" w:rsidR="00085789" w:rsidRDefault="00000000">
      <w:pPr>
        <w:spacing w:before="60" w:line="240" w:lineRule="auto"/>
        <w:ind w:firstLine="720"/>
        <w:jc w:val="both"/>
        <w:rPr>
          <w:sz w:val="26"/>
          <w:szCs w:val="26"/>
          <w:lang w:val="nl-NL"/>
        </w:rPr>
      </w:pPr>
      <w:r>
        <w:rPr>
          <w:sz w:val="26"/>
          <w:szCs w:val="26"/>
          <w:lang w:val="nl-NL"/>
        </w:rPr>
        <w:t>Môi trường không khí chịu nhiều tác động bởi các hoạt động phát triển kinh tế, xã hội của con người; đặc biệt là các hoạt động liên quan đến vận tải (phục vụ vận chuyển vật liệu xây dựng, hàng hóa), phát triển công nghiệp, phát triển nông nghiệp theo quy mô công nghiệp; tốc độ đô thị hóa phát sinh tiếng ồn, độ rung, bụi và các chất SO</w:t>
      </w:r>
      <w:r>
        <w:rPr>
          <w:sz w:val="26"/>
          <w:szCs w:val="26"/>
          <w:vertAlign w:val="subscript"/>
          <w:lang w:val="nl-NL"/>
        </w:rPr>
        <w:t>2</w:t>
      </w:r>
      <w:r>
        <w:rPr>
          <w:sz w:val="26"/>
          <w:szCs w:val="26"/>
          <w:lang w:val="nl-NL"/>
        </w:rPr>
        <w:t>, CO, NO</w:t>
      </w:r>
      <w:r>
        <w:rPr>
          <w:sz w:val="26"/>
          <w:szCs w:val="26"/>
          <w:vertAlign w:val="subscript"/>
          <w:lang w:val="nl-NL"/>
        </w:rPr>
        <w:t>2</w:t>
      </w:r>
      <w:r>
        <w:rPr>
          <w:sz w:val="26"/>
          <w:szCs w:val="26"/>
          <w:lang w:val="nl-NL"/>
        </w:rPr>
        <w:t>, C</w:t>
      </w:r>
      <w:r>
        <w:rPr>
          <w:sz w:val="26"/>
          <w:szCs w:val="26"/>
          <w:vertAlign w:val="subscript"/>
          <w:lang w:val="nl-NL"/>
        </w:rPr>
        <w:t>m</w:t>
      </w:r>
      <w:r>
        <w:rPr>
          <w:sz w:val="26"/>
          <w:szCs w:val="26"/>
          <w:lang w:val="nl-NL"/>
        </w:rPr>
        <w:t>H</w:t>
      </w:r>
      <w:r>
        <w:rPr>
          <w:sz w:val="26"/>
          <w:szCs w:val="26"/>
          <w:vertAlign w:val="subscript"/>
          <w:lang w:val="nl-NL"/>
        </w:rPr>
        <w:t>n</w:t>
      </w:r>
      <w:r>
        <w:rPr>
          <w:sz w:val="26"/>
          <w:szCs w:val="26"/>
          <w:lang w:val="nl-NL"/>
        </w:rPr>
        <w:t>,.... Do đó, việc đánh giá hiện trạng môi trường không khí theo từng giai đoạn là nội dung quan trọng, nhằm đánh giá hiện trạng tổng thể môi trường không khí trên địa bàn tỉnh.</w:t>
      </w:r>
    </w:p>
    <w:p w14:paraId="5D071533" w14:textId="77777777" w:rsidR="00085789" w:rsidRDefault="00000000">
      <w:pPr>
        <w:spacing w:before="60" w:line="240" w:lineRule="auto"/>
        <w:ind w:firstLine="720"/>
        <w:jc w:val="both"/>
        <w:rPr>
          <w:spacing w:val="-4"/>
          <w:sz w:val="26"/>
          <w:szCs w:val="26"/>
          <w:lang w:val="nl-NL"/>
        </w:rPr>
      </w:pPr>
      <w:r>
        <w:rPr>
          <w:spacing w:val="-4"/>
          <w:sz w:val="26"/>
          <w:szCs w:val="26"/>
          <w:lang w:val="nl-NL"/>
        </w:rPr>
        <w:t xml:space="preserve">Căn cứ theo chương trình quan trắc mạng lưới tỉnh đã được phê duyệt, trên địa bàn tỉnh có 56 điểm quan trắc, </w:t>
      </w:r>
      <w:r>
        <w:rPr>
          <w:sz w:val="26"/>
          <w:szCs w:val="26"/>
          <w:lang w:val="nl-NL"/>
        </w:rPr>
        <w:t>các thông số được lựa chọn để đánh giá chất lượng môi trường không khí, tiếng ồn và độ rung là 12 thông số gồm có: Nhiệt độ, áp suất, độ ẩm, tốc độ gió, hướng gió, tiếng ồn (mức âm tương đương), tiếng ồn (mức âm cực đại), độ rung (gia tốc rung), tổng bụi lơ lửng (TSP), NO</w:t>
      </w:r>
      <w:r>
        <w:rPr>
          <w:sz w:val="26"/>
          <w:szCs w:val="26"/>
          <w:vertAlign w:val="subscript"/>
          <w:lang w:val="nl-NL"/>
        </w:rPr>
        <w:t>2</w:t>
      </w:r>
      <w:r>
        <w:rPr>
          <w:sz w:val="26"/>
          <w:szCs w:val="26"/>
          <w:lang w:val="nl-NL"/>
        </w:rPr>
        <w:t>, SO</w:t>
      </w:r>
      <w:r>
        <w:rPr>
          <w:sz w:val="26"/>
          <w:szCs w:val="26"/>
          <w:vertAlign w:val="subscript"/>
          <w:lang w:val="nl-NL"/>
        </w:rPr>
        <w:t>2</w:t>
      </w:r>
      <w:r>
        <w:rPr>
          <w:sz w:val="26"/>
          <w:szCs w:val="26"/>
          <w:lang w:val="nl-NL"/>
        </w:rPr>
        <w:t>, CO. So sánh kết quả quan trắc với các quy chuẩn tương ứng (QCVN 05:2013/BTNMT - Quy chuẩn kỹ thuật quốc gia về chất lượng không khí xung quanh (giai đoạn 2021-2022), Quy chuẩn 05:2023/BTNMT - Quy chuẩn kỹ thuật quốc gia về chất lượng không khí (giai đoạn 2023 đến nay), QCVN 26:2010/BTNMT - Quy chuẩn kỹ thuật quốc gia về tiếng ồn, QCVN 27:2010/BTNMT - Quy chuẩn kỹ thuật quốc gia về độ rung cho thấy: Các thông số khí tượng (nhiệt độ, áp suất, độ ẩm, tốc độ gió, hướng gió) là các thông số môi trường không khí cơ bản có tác động đến quá trình phát tán của các thông số TSP, CO, NO</w:t>
      </w:r>
      <w:r>
        <w:rPr>
          <w:sz w:val="26"/>
          <w:szCs w:val="26"/>
          <w:vertAlign w:val="subscript"/>
          <w:lang w:val="nl-NL"/>
        </w:rPr>
        <w:t>2</w:t>
      </w:r>
      <w:r>
        <w:rPr>
          <w:sz w:val="26"/>
          <w:szCs w:val="26"/>
          <w:lang w:val="nl-NL"/>
        </w:rPr>
        <w:t>, SO</w:t>
      </w:r>
      <w:r>
        <w:rPr>
          <w:sz w:val="26"/>
          <w:szCs w:val="26"/>
          <w:vertAlign w:val="subscript"/>
          <w:lang w:val="nl-NL"/>
        </w:rPr>
        <w:t>2</w:t>
      </w:r>
      <w:r>
        <w:rPr>
          <w:sz w:val="26"/>
          <w:szCs w:val="26"/>
          <w:lang w:val="nl-NL"/>
        </w:rPr>
        <w:t>, tiếng ồn và độ rung. Kết quả đo cho thấy sự biến thiên các thông số khí tượng trong những thời điểm quan trắc ở các đợt quan trắc trong các năm khác nhau phù hợp với quy luật biến thiên thời tiết tại Hà Tĩnh.</w:t>
      </w:r>
    </w:p>
    <w:p w14:paraId="73C52FFF" w14:textId="77777777" w:rsidR="00085789" w:rsidRDefault="00000000">
      <w:pPr>
        <w:pStyle w:val="bac2"/>
        <w:spacing w:after="0" w:line="240" w:lineRule="auto"/>
        <w:rPr>
          <w:smallCaps/>
          <w:lang w:val="nl-NL"/>
        </w:rPr>
      </w:pPr>
      <w:bookmarkStart w:id="862" w:name="_Toc214311250"/>
      <w:r>
        <w:rPr>
          <w:lang w:val="nl-NL"/>
        </w:rPr>
        <w:t>4.1.2. Khái quát mức tiếng ồn và độ rung tại các khu vực trên địa bàn tỉnh</w:t>
      </w:r>
      <w:bookmarkEnd w:id="862"/>
    </w:p>
    <w:p w14:paraId="6ECF4E1B" w14:textId="77777777" w:rsidR="00085789" w:rsidRDefault="00000000">
      <w:pPr>
        <w:widowControl w:val="0"/>
        <w:spacing w:before="60" w:line="240" w:lineRule="auto"/>
        <w:ind w:firstLine="720"/>
        <w:jc w:val="both"/>
        <w:rPr>
          <w:sz w:val="26"/>
          <w:szCs w:val="26"/>
          <w:lang w:val="nl-NL"/>
        </w:rPr>
      </w:pPr>
      <w:r>
        <w:rPr>
          <w:sz w:val="26"/>
          <w:szCs w:val="26"/>
          <w:lang w:val="nl-NL"/>
        </w:rPr>
        <w:t xml:space="preserve">Trên địa bàn tỉnh hiện có 81.894 xe ô tô các loại và có 741.409 mô tô, xe máy (không tính xe ô tô điện, xe máy điện). Về số lượng phương tiện có đăng ký hoạt động kinh doanh vận tải: Hiện có 3.484 xe ô tô hoạt động kinh doanh vận tải (1.055 xe vận tải hành khách và 1.720 vận tải hàng hóa) đều đang dùng nhiên liệu hóa thạch. Số lượng phương tiện giao thông đặc biệt là các phương tiện cá nhân ngày càng nhiều kéo theo sự phát thải bụi, khí thải vào môi trường không khí ngày càng tăng. Ô nhiễm không khí do hoạt động giao thông xảy ra chủ yếu tại khu vực đô thị nơi có mật độ tham gia giao thông lớn và các khu vực/vùng có hoạt động công nghiệp, khai thác khoáng sản với mật độ cao. </w:t>
      </w:r>
      <w:r>
        <w:rPr>
          <w:spacing w:val="-4"/>
          <w:sz w:val="26"/>
          <w:szCs w:val="26"/>
          <w:lang w:val="nl-NL"/>
        </w:rPr>
        <w:t xml:space="preserve">Ngoài ra, hàng năm có hàng trăm dự án xây dựng (nhà cửa, hạ tầng, nhà máy, xí nghiệp,...), đặc biệt là hạ tầng giao thông sẽ phát sinh nhiều yếu tố ảnh hưởng đến môi trường không khí, hạ tầng dân sinh hiện trạng như: tiếng ồn, độ rung, bụi,.... </w:t>
      </w:r>
      <w:r>
        <w:rPr>
          <w:sz w:val="26"/>
          <w:szCs w:val="26"/>
          <w:lang w:val="nl-NL"/>
        </w:rPr>
        <w:t>Nhìn chung tiếng ồn quan trắc được qua các năm có sự biến động theo xu hướng tăng lên về số lượng các vị trí cũng như giá trị quan trắc ở các vị trí.</w:t>
      </w:r>
    </w:p>
    <w:p w14:paraId="21F46768" w14:textId="77777777" w:rsidR="00085789" w:rsidRDefault="00000000">
      <w:pPr>
        <w:pStyle w:val="bac2"/>
        <w:spacing w:after="0" w:line="240" w:lineRule="auto"/>
        <w:rPr>
          <w:smallCaps/>
          <w:lang w:val="nl-NL"/>
        </w:rPr>
      </w:pPr>
      <w:bookmarkStart w:id="863" w:name="_Toc214311251"/>
      <w:r>
        <w:rPr>
          <w:lang w:val="nl-NL"/>
        </w:rPr>
        <w:t>4.2. Diễn biến chất lượng môi trường không khí</w:t>
      </w:r>
      <w:bookmarkEnd w:id="863"/>
    </w:p>
    <w:p w14:paraId="382FD587" w14:textId="77777777" w:rsidR="00085789" w:rsidRDefault="00000000">
      <w:pPr>
        <w:spacing w:before="120" w:line="240" w:lineRule="auto"/>
        <w:ind w:firstLine="720"/>
        <w:jc w:val="both"/>
        <w:rPr>
          <w:spacing w:val="-4"/>
          <w:sz w:val="26"/>
          <w:szCs w:val="26"/>
          <w:lang w:val="nl-NL"/>
        </w:rPr>
      </w:pPr>
      <w:r>
        <w:rPr>
          <w:spacing w:val="-4"/>
          <w:sz w:val="26"/>
          <w:szCs w:val="26"/>
          <w:lang w:val="nl-NL"/>
        </w:rPr>
        <w:t xml:space="preserve">Căn cứ theo chương trình quan trắc mạng lưới trên địa bàn tỉnh phục vụ tổng hợp, đánh giá và xác định diễn biến môi trường không khí trên địa bàn tỉnh tại 56 điểm, tổng hợp thông tin các vị trí quan trắc </w:t>
      </w:r>
      <w:r>
        <w:rPr>
          <w:sz w:val="26"/>
          <w:szCs w:val="26"/>
          <w:lang w:val="nl-NL"/>
        </w:rPr>
        <w:t>môi trường không khí khu vực chịu sức ép từ hoạt động phát triển KT-XH trên địa bàn tỉnh như sau:</w:t>
      </w:r>
    </w:p>
    <w:p w14:paraId="1E1F603B" w14:textId="77777777" w:rsidR="00085789" w:rsidRDefault="00000000">
      <w:pPr>
        <w:pStyle w:val="-bac4"/>
        <w:spacing w:before="120" w:after="0" w:line="240" w:lineRule="auto"/>
        <w:ind w:hanging="142"/>
        <w:rPr>
          <w:lang w:val="nl-NL"/>
        </w:rPr>
      </w:pPr>
      <w:bookmarkStart w:id="864" w:name="_Toc205915804"/>
      <w:bookmarkStart w:id="865" w:name="_Toc213597497"/>
      <w:bookmarkStart w:id="866" w:name="_Toc213600837"/>
      <w:r>
        <w:rPr>
          <w:lang w:val="nl-NL"/>
        </w:rPr>
        <w:lastRenderedPageBreak/>
        <w:t>Bảng 4.1. Thông tin các điểm quan trắc môi trường không khí khu vực chịu sức ép từ hoạt động phát triển KT-XH trên địa bàn tỉnh Hà Tĩnh</w:t>
      </w:r>
      <w:bookmarkEnd w:id="864"/>
      <w:bookmarkEnd w:id="865"/>
      <w:bookmarkEnd w:id="866"/>
    </w:p>
    <w:p w14:paraId="34BB7626" w14:textId="77777777" w:rsidR="00085789" w:rsidRDefault="00085789">
      <w:pPr>
        <w:pStyle w:val="-bac4"/>
        <w:spacing w:before="0" w:after="0" w:line="240" w:lineRule="auto"/>
        <w:ind w:hanging="142"/>
        <w:rPr>
          <w:sz w:val="14"/>
          <w:szCs w:val="12"/>
          <w:lang w:val="nl-NL"/>
        </w:rPr>
      </w:pPr>
    </w:p>
    <w:tbl>
      <w:tblPr>
        <w:tblW w:w="9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914"/>
        <w:gridCol w:w="2550"/>
        <w:gridCol w:w="2156"/>
      </w:tblGrid>
      <w:tr w:rsidR="00085789" w14:paraId="10AA3EAE" w14:textId="77777777">
        <w:trPr>
          <w:trHeight w:val="315"/>
          <w:tblHeader/>
          <w:jc w:val="center"/>
        </w:trPr>
        <w:tc>
          <w:tcPr>
            <w:tcW w:w="626" w:type="dxa"/>
            <w:vAlign w:val="center"/>
          </w:tcPr>
          <w:p w14:paraId="16B06AEC" w14:textId="77777777" w:rsidR="00085789" w:rsidRDefault="00000000">
            <w:pPr>
              <w:spacing w:before="20" w:after="40" w:line="240" w:lineRule="auto"/>
              <w:ind w:left="-45" w:right="-57"/>
              <w:jc w:val="center"/>
              <w:rPr>
                <w:rFonts w:asciiTheme="majorHAnsi" w:hAnsiTheme="majorHAnsi" w:cstheme="majorHAnsi"/>
                <w:b/>
                <w:sz w:val="24"/>
                <w:szCs w:val="24"/>
              </w:rPr>
            </w:pPr>
            <w:bookmarkStart w:id="867" w:name="_Hlk205368844"/>
            <w:r>
              <w:rPr>
                <w:rFonts w:asciiTheme="majorHAnsi" w:hAnsiTheme="majorHAnsi" w:cstheme="majorHAnsi"/>
                <w:b/>
                <w:sz w:val="24"/>
                <w:szCs w:val="24"/>
              </w:rPr>
              <w:t>STT</w:t>
            </w:r>
          </w:p>
        </w:tc>
        <w:tc>
          <w:tcPr>
            <w:tcW w:w="3914" w:type="dxa"/>
            <w:vAlign w:val="center"/>
          </w:tcPr>
          <w:p w14:paraId="09028E6B" w14:textId="77777777" w:rsidR="00085789" w:rsidRDefault="00000000">
            <w:pPr>
              <w:spacing w:before="20" w:after="4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điểm quan trắc mạng lưới</w:t>
            </w:r>
          </w:p>
        </w:tc>
        <w:tc>
          <w:tcPr>
            <w:tcW w:w="2550" w:type="dxa"/>
            <w:vAlign w:val="center"/>
          </w:tcPr>
          <w:p w14:paraId="421E5891" w14:textId="77777777" w:rsidR="00085789" w:rsidRDefault="00000000">
            <w:pPr>
              <w:spacing w:before="20" w:after="4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phân tích trong báo cáo</w:t>
            </w:r>
          </w:p>
        </w:tc>
        <w:tc>
          <w:tcPr>
            <w:tcW w:w="2156" w:type="dxa"/>
            <w:vAlign w:val="center"/>
          </w:tcPr>
          <w:p w14:paraId="21388746" w14:textId="77777777" w:rsidR="00085789" w:rsidRDefault="00000000">
            <w:pPr>
              <w:spacing w:before="20" w:after="40" w:line="240" w:lineRule="auto"/>
              <w:ind w:left="-119" w:right="-105"/>
              <w:jc w:val="center"/>
              <w:rPr>
                <w:rFonts w:asciiTheme="majorHAnsi" w:hAnsiTheme="majorHAnsi" w:cstheme="majorHAnsi"/>
                <w:b/>
                <w:sz w:val="24"/>
                <w:szCs w:val="24"/>
              </w:rPr>
            </w:pPr>
            <w:r>
              <w:rPr>
                <w:rFonts w:asciiTheme="majorHAnsi" w:hAnsiTheme="majorHAnsi" w:cstheme="majorHAnsi"/>
                <w:b/>
                <w:sz w:val="24"/>
                <w:szCs w:val="24"/>
              </w:rPr>
              <w:t>Tên địa danh hành chính mới</w:t>
            </w:r>
            <w:r>
              <w:rPr>
                <w:rStyle w:val="FootnoteReference"/>
                <w:rFonts w:asciiTheme="majorHAnsi" w:hAnsiTheme="majorHAnsi" w:cstheme="majorHAnsi"/>
                <w:b/>
                <w:sz w:val="24"/>
                <w:szCs w:val="24"/>
              </w:rPr>
              <w:footnoteReference w:id="40"/>
            </w:r>
          </w:p>
        </w:tc>
      </w:tr>
      <w:tr w:rsidR="00085789" w14:paraId="628D3EC8" w14:textId="77777777">
        <w:trPr>
          <w:trHeight w:val="315"/>
          <w:jc w:val="center"/>
        </w:trPr>
        <w:tc>
          <w:tcPr>
            <w:tcW w:w="626" w:type="dxa"/>
            <w:vAlign w:val="center"/>
          </w:tcPr>
          <w:p w14:paraId="6E33602A" w14:textId="77777777" w:rsidR="00085789" w:rsidRDefault="00000000">
            <w:pPr>
              <w:spacing w:before="20" w:after="40" w:line="240" w:lineRule="auto"/>
              <w:jc w:val="center"/>
              <w:rPr>
                <w:rFonts w:asciiTheme="majorHAnsi" w:hAnsiTheme="majorHAnsi" w:cstheme="majorHAnsi"/>
                <w:b/>
                <w:sz w:val="24"/>
                <w:szCs w:val="24"/>
              </w:rPr>
            </w:pPr>
            <w:r>
              <w:rPr>
                <w:rFonts w:asciiTheme="majorHAnsi" w:hAnsiTheme="majorHAnsi" w:cstheme="majorHAnsi"/>
                <w:b/>
                <w:sz w:val="24"/>
                <w:szCs w:val="24"/>
              </w:rPr>
              <w:t>I</w:t>
            </w:r>
          </w:p>
        </w:tc>
        <w:tc>
          <w:tcPr>
            <w:tcW w:w="8620" w:type="dxa"/>
            <w:gridSpan w:val="3"/>
            <w:vAlign w:val="center"/>
          </w:tcPr>
          <w:p w14:paraId="43FD2BFC" w14:textId="77777777" w:rsidR="00085789" w:rsidRDefault="00000000">
            <w:pPr>
              <w:spacing w:before="20" w:after="40" w:line="240" w:lineRule="auto"/>
              <w:ind w:left="-119" w:right="-105"/>
              <w:jc w:val="center"/>
              <w:rPr>
                <w:rFonts w:asciiTheme="majorHAnsi" w:hAnsiTheme="majorHAnsi" w:cstheme="majorHAnsi"/>
                <w:b/>
                <w:spacing w:val="-4"/>
                <w:sz w:val="24"/>
                <w:szCs w:val="24"/>
              </w:rPr>
            </w:pPr>
            <w:r>
              <w:rPr>
                <w:rFonts w:asciiTheme="majorHAnsi" w:hAnsiTheme="majorHAnsi" w:cstheme="majorHAnsi"/>
                <w:b/>
                <w:spacing w:val="-4"/>
                <w:sz w:val="24"/>
                <w:szCs w:val="24"/>
              </w:rPr>
              <w:t>Thông tin vị trí quan trắc môi trường không khí khu vực đô thị</w:t>
            </w:r>
          </w:p>
        </w:tc>
      </w:tr>
      <w:tr w:rsidR="00085789" w14:paraId="0D87EDBE" w14:textId="77777777">
        <w:trPr>
          <w:trHeight w:val="53"/>
          <w:jc w:val="center"/>
        </w:trPr>
        <w:tc>
          <w:tcPr>
            <w:tcW w:w="626" w:type="dxa"/>
            <w:vAlign w:val="center"/>
          </w:tcPr>
          <w:p w14:paraId="5FAE6F7F"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w:t>
            </w:r>
          </w:p>
        </w:tc>
        <w:tc>
          <w:tcPr>
            <w:tcW w:w="3914" w:type="dxa"/>
            <w:vAlign w:val="center"/>
          </w:tcPr>
          <w:p w14:paraId="41F84A1B"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Cổng chợ Hà Tĩnh (cổng số 2), P. Nam Hà, thành phố Hà Tĩnh</w:t>
            </w:r>
          </w:p>
        </w:tc>
        <w:tc>
          <w:tcPr>
            <w:tcW w:w="2550" w:type="dxa"/>
            <w:vAlign w:val="center"/>
          </w:tcPr>
          <w:p w14:paraId="6D3FC805"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vực cổng chợ P. Nam Hà</w:t>
            </w:r>
          </w:p>
        </w:tc>
        <w:tc>
          <w:tcPr>
            <w:tcW w:w="2156" w:type="dxa"/>
            <w:vAlign w:val="center"/>
          </w:tcPr>
          <w:p w14:paraId="42E95C54"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Thành Sen</w:t>
            </w:r>
          </w:p>
        </w:tc>
      </w:tr>
      <w:tr w:rsidR="00085789" w14:paraId="277C6B8C" w14:textId="77777777">
        <w:trPr>
          <w:trHeight w:val="315"/>
          <w:jc w:val="center"/>
        </w:trPr>
        <w:tc>
          <w:tcPr>
            <w:tcW w:w="626" w:type="dxa"/>
            <w:vAlign w:val="center"/>
          </w:tcPr>
          <w:p w14:paraId="32B842BA"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w:t>
            </w:r>
          </w:p>
        </w:tc>
        <w:tc>
          <w:tcPr>
            <w:tcW w:w="3914" w:type="dxa"/>
            <w:vAlign w:val="center"/>
          </w:tcPr>
          <w:p w14:paraId="61E4B5F5" w14:textId="77777777" w:rsidR="00085789" w:rsidRDefault="00000000">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 xml:space="preserve">Trước cổng UBND tỉnh, P. Tân Giang, thành phố Hà Tĩnh </w:t>
            </w:r>
          </w:p>
        </w:tc>
        <w:tc>
          <w:tcPr>
            <w:tcW w:w="2550" w:type="dxa"/>
            <w:vAlign w:val="center"/>
          </w:tcPr>
          <w:p w14:paraId="1E25506C" w14:textId="77777777" w:rsidR="00085789" w:rsidRDefault="00000000">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Khu vực cổng UBND tỉnh, P. Tân Giang</w:t>
            </w:r>
          </w:p>
        </w:tc>
        <w:tc>
          <w:tcPr>
            <w:tcW w:w="2156" w:type="dxa"/>
            <w:vAlign w:val="center"/>
          </w:tcPr>
          <w:p w14:paraId="188AFF9A"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Thành Sen</w:t>
            </w:r>
          </w:p>
        </w:tc>
      </w:tr>
      <w:tr w:rsidR="00085789" w14:paraId="4917B696" w14:textId="77777777">
        <w:trPr>
          <w:trHeight w:val="262"/>
          <w:jc w:val="center"/>
        </w:trPr>
        <w:tc>
          <w:tcPr>
            <w:tcW w:w="626" w:type="dxa"/>
            <w:vAlign w:val="center"/>
          </w:tcPr>
          <w:p w14:paraId="6B36A0F7"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3</w:t>
            </w:r>
          </w:p>
        </w:tc>
        <w:tc>
          <w:tcPr>
            <w:tcW w:w="3914" w:type="dxa"/>
            <w:vAlign w:val="center"/>
          </w:tcPr>
          <w:p w14:paraId="29CA0C08" w14:textId="77777777" w:rsidR="00085789" w:rsidRDefault="00000000">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tư Trần Phú giao với Hàm Nghi đoạn trước KS Vincom, P. Hà Huy Tập</w:t>
            </w:r>
          </w:p>
        </w:tc>
        <w:tc>
          <w:tcPr>
            <w:tcW w:w="2550" w:type="dxa"/>
            <w:vAlign w:val="center"/>
          </w:tcPr>
          <w:p w14:paraId="473C62C0"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spacing w:val="-6"/>
                <w:sz w:val="24"/>
                <w:szCs w:val="24"/>
              </w:rPr>
              <w:t>Cổng KS Vincom, P. Hà Huy Tập</w:t>
            </w:r>
          </w:p>
        </w:tc>
        <w:tc>
          <w:tcPr>
            <w:tcW w:w="2156" w:type="dxa"/>
            <w:vAlign w:val="center"/>
          </w:tcPr>
          <w:p w14:paraId="72A54367"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Thành Sen</w:t>
            </w:r>
          </w:p>
        </w:tc>
      </w:tr>
      <w:tr w:rsidR="00085789" w14:paraId="5E728398" w14:textId="77777777">
        <w:trPr>
          <w:trHeight w:val="315"/>
          <w:jc w:val="center"/>
        </w:trPr>
        <w:tc>
          <w:tcPr>
            <w:tcW w:w="626" w:type="dxa"/>
            <w:vAlign w:val="center"/>
          </w:tcPr>
          <w:p w14:paraId="2DC46F30"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4</w:t>
            </w:r>
          </w:p>
        </w:tc>
        <w:tc>
          <w:tcPr>
            <w:tcW w:w="3914" w:type="dxa"/>
            <w:vAlign w:val="center"/>
          </w:tcPr>
          <w:p w14:paraId="63EA3DFB" w14:textId="77777777" w:rsidR="00085789" w:rsidRDefault="00000000">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ba Đồng Lộc, thị trấn Đồng Lộc</w:t>
            </w:r>
          </w:p>
        </w:tc>
        <w:tc>
          <w:tcPr>
            <w:tcW w:w="2550" w:type="dxa"/>
            <w:vAlign w:val="center"/>
          </w:tcPr>
          <w:p w14:paraId="2C58B335" w14:textId="77777777" w:rsidR="00085789" w:rsidRDefault="00000000">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ba Đồng Lộc, TT. Đồng Lộc</w:t>
            </w:r>
          </w:p>
        </w:tc>
        <w:tc>
          <w:tcPr>
            <w:tcW w:w="2156" w:type="dxa"/>
            <w:vAlign w:val="center"/>
          </w:tcPr>
          <w:p w14:paraId="61DFB6BE"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Đồng Lộc</w:t>
            </w:r>
          </w:p>
        </w:tc>
      </w:tr>
      <w:tr w:rsidR="00085789" w14:paraId="5F441436" w14:textId="77777777">
        <w:trPr>
          <w:trHeight w:val="315"/>
          <w:jc w:val="center"/>
        </w:trPr>
        <w:tc>
          <w:tcPr>
            <w:tcW w:w="626" w:type="dxa"/>
            <w:vAlign w:val="center"/>
          </w:tcPr>
          <w:p w14:paraId="6A2F3FA0"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5</w:t>
            </w:r>
          </w:p>
        </w:tc>
        <w:tc>
          <w:tcPr>
            <w:tcW w:w="3914" w:type="dxa"/>
            <w:vAlign w:val="center"/>
          </w:tcPr>
          <w:p w14:paraId="31A8BC0F" w14:textId="77777777" w:rsidR="00085789" w:rsidRDefault="00000000">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tư Đậu Liêu, phường Đậu Liêu</w:t>
            </w:r>
          </w:p>
        </w:tc>
        <w:tc>
          <w:tcPr>
            <w:tcW w:w="2550" w:type="dxa"/>
            <w:vAlign w:val="center"/>
          </w:tcPr>
          <w:p w14:paraId="31436A9C" w14:textId="77777777" w:rsidR="00085789" w:rsidRDefault="00000000">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tư Đậu Liêu, P. Đậu Liêu</w:t>
            </w:r>
          </w:p>
        </w:tc>
        <w:tc>
          <w:tcPr>
            <w:tcW w:w="2156" w:type="dxa"/>
            <w:vAlign w:val="center"/>
          </w:tcPr>
          <w:p w14:paraId="025DB060"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Nam Hồng Lĩnh</w:t>
            </w:r>
          </w:p>
        </w:tc>
      </w:tr>
      <w:tr w:rsidR="00085789" w14:paraId="75967643" w14:textId="77777777">
        <w:trPr>
          <w:trHeight w:val="315"/>
          <w:jc w:val="center"/>
        </w:trPr>
        <w:tc>
          <w:tcPr>
            <w:tcW w:w="626" w:type="dxa"/>
            <w:vAlign w:val="center"/>
          </w:tcPr>
          <w:p w14:paraId="51C84472"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6</w:t>
            </w:r>
          </w:p>
        </w:tc>
        <w:tc>
          <w:tcPr>
            <w:tcW w:w="3914" w:type="dxa"/>
            <w:vAlign w:val="center"/>
          </w:tcPr>
          <w:p w14:paraId="0AF69851" w14:textId="77777777" w:rsidR="00085789" w:rsidRDefault="00000000">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ba Bãi Vọt, phường Bắc Hồng</w:t>
            </w:r>
          </w:p>
        </w:tc>
        <w:tc>
          <w:tcPr>
            <w:tcW w:w="2550" w:type="dxa"/>
            <w:vAlign w:val="center"/>
          </w:tcPr>
          <w:p w14:paraId="313E192B" w14:textId="77777777" w:rsidR="00085789" w:rsidRDefault="00000000">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ba Bãi Vọt, P. Bắc Hồng</w:t>
            </w:r>
          </w:p>
        </w:tc>
        <w:tc>
          <w:tcPr>
            <w:tcW w:w="2156" w:type="dxa"/>
            <w:vAlign w:val="center"/>
          </w:tcPr>
          <w:p w14:paraId="365853E0"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 Bắc Hồng Lĩnh</w:t>
            </w:r>
          </w:p>
        </w:tc>
      </w:tr>
      <w:tr w:rsidR="00085789" w14:paraId="2BD08A06" w14:textId="77777777">
        <w:trPr>
          <w:trHeight w:val="315"/>
          <w:jc w:val="center"/>
        </w:trPr>
        <w:tc>
          <w:tcPr>
            <w:tcW w:w="626" w:type="dxa"/>
            <w:vAlign w:val="center"/>
          </w:tcPr>
          <w:p w14:paraId="2843E9E5"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7</w:t>
            </w:r>
          </w:p>
        </w:tc>
        <w:tc>
          <w:tcPr>
            <w:tcW w:w="3914" w:type="dxa"/>
            <w:vAlign w:val="center"/>
          </w:tcPr>
          <w:p w14:paraId="5070ABEA" w14:textId="77777777" w:rsidR="00085789" w:rsidRDefault="00000000">
            <w:pPr>
              <w:spacing w:before="20" w:after="40" w:line="240" w:lineRule="auto"/>
              <w:jc w:val="both"/>
              <w:rPr>
                <w:rFonts w:asciiTheme="majorHAnsi" w:hAnsiTheme="majorHAnsi" w:cstheme="majorHAnsi"/>
                <w:bCs/>
                <w:spacing w:val="-4"/>
                <w:sz w:val="24"/>
                <w:szCs w:val="24"/>
              </w:rPr>
            </w:pPr>
            <w:r>
              <w:rPr>
                <w:rFonts w:asciiTheme="majorHAnsi" w:hAnsiTheme="majorHAnsi" w:cstheme="majorHAnsi"/>
                <w:spacing w:val="-4"/>
                <w:sz w:val="24"/>
                <w:szCs w:val="24"/>
              </w:rPr>
              <w:t>Ngã tư quán Bà Viên, thị trấn Đức Thọ</w:t>
            </w:r>
          </w:p>
        </w:tc>
        <w:tc>
          <w:tcPr>
            <w:tcW w:w="2550" w:type="dxa"/>
            <w:vAlign w:val="center"/>
          </w:tcPr>
          <w:p w14:paraId="0D8012EB" w14:textId="77777777" w:rsidR="00085789" w:rsidRDefault="00000000">
            <w:pPr>
              <w:spacing w:before="20" w:after="40" w:line="240" w:lineRule="auto"/>
              <w:rPr>
                <w:rFonts w:asciiTheme="majorHAnsi" w:hAnsiTheme="majorHAnsi" w:cstheme="majorHAnsi"/>
                <w:bCs/>
                <w:spacing w:val="-4"/>
                <w:sz w:val="24"/>
                <w:szCs w:val="24"/>
              </w:rPr>
            </w:pPr>
            <w:r>
              <w:rPr>
                <w:rFonts w:asciiTheme="majorHAnsi" w:hAnsiTheme="majorHAnsi" w:cstheme="majorHAnsi"/>
                <w:spacing w:val="-4"/>
                <w:sz w:val="24"/>
                <w:szCs w:val="24"/>
              </w:rPr>
              <w:t>Ngã 4 quán Bà Viên, TT. Đức Thọ</w:t>
            </w:r>
          </w:p>
        </w:tc>
        <w:tc>
          <w:tcPr>
            <w:tcW w:w="2156" w:type="dxa"/>
            <w:vAlign w:val="center"/>
          </w:tcPr>
          <w:p w14:paraId="05626BDC"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Đức Thọ</w:t>
            </w:r>
          </w:p>
        </w:tc>
      </w:tr>
      <w:tr w:rsidR="00085789" w14:paraId="2063AEE8" w14:textId="77777777">
        <w:trPr>
          <w:trHeight w:val="315"/>
          <w:jc w:val="center"/>
        </w:trPr>
        <w:tc>
          <w:tcPr>
            <w:tcW w:w="626" w:type="dxa"/>
            <w:vAlign w:val="center"/>
          </w:tcPr>
          <w:p w14:paraId="7A4BDD5F"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8</w:t>
            </w:r>
          </w:p>
        </w:tc>
        <w:tc>
          <w:tcPr>
            <w:tcW w:w="3914" w:type="dxa"/>
            <w:vAlign w:val="center"/>
          </w:tcPr>
          <w:p w14:paraId="4B787382"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Gia Lách, thị trấn Xuân An</w:t>
            </w:r>
          </w:p>
        </w:tc>
        <w:tc>
          <w:tcPr>
            <w:tcW w:w="2550" w:type="dxa"/>
            <w:vAlign w:val="center"/>
          </w:tcPr>
          <w:p w14:paraId="66F40E94"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Gia Lách, TT. Xuân An</w:t>
            </w:r>
          </w:p>
        </w:tc>
        <w:tc>
          <w:tcPr>
            <w:tcW w:w="2156" w:type="dxa"/>
            <w:vAlign w:val="center"/>
          </w:tcPr>
          <w:p w14:paraId="3BE02120"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Nghi Xuân</w:t>
            </w:r>
          </w:p>
        </w:tc>
      </w:tr>
      <w:tr w:rsidR="00085789" w14:paraId="1B1A23B8" w14:textId="77777777">
        <w:trPr>
          <w:trHeight w:val="315"/>
          <w:jc w:val="center"/>
        </w:trPr>
        <w:tc>
          <w:tcPr>
            <w:tcW w:w="626" w:type="dxa"/>
            <w:vAlign w:val="center"/>
          </w:tcPr>
          <w:p w14:paraId="2B39AB70"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9</w:t>
            </w:r>
          </w:p>
        </w:tc>
        <w:tc>
          <w:tcPr>
            <w:tcW w:w="3914" w:type="dxa"/>
            <w:vAlign w:val="center"/>
          </w:tcPr>
          <w:p w14:paraId="5E72A128"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Quảng trường khu di tích Nguyễn Du, thị trấn Tiên Điền</w:t>
            </w:r>
          </w:p>
        </w:tc>
        <w:tc>
          <w:tcPr>
            <w:tcW w:w="2550" w:type="dxa"/>
            <w:vAlign w:val="center"/>
          </w:tcPr>
          <w:p w14:paraId="6E9D6195"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lang w:val="sv-SE"/>
              </w:rPr>
              <w:t xml:space="preserve">Quảng Trường Nguyễn Du, TT. </w:t>
            </w:r>
            <w:r>
              <w:rPr>
                <w:rFonts w:asciiTheme="majorHAnsi" w:hAnsiTheme="majorHAnsi" w:cstheme="majorHAnsi"/>
                <w:spacing w:val="-4"/>
                <w:sz w:val="24"/>
                <w:szCs w:val="24"/>
              </w:rPr>
              <w:t>Tiên Điền</w:t>
            </w:r>
          </w:p>
        </w:tc>
        <w:tc>
          <w:tcPr>
            <w:tcW w:w="2156" w:type="dxa"/>
            <w:vAlign w:val="center"/>
          </w:tcPr>
          <w:p w14:paraId="26B57A1B"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Tiên Điền</w:t>
            </w:r>
          </w:p>
        </w:tc>
      </w:tr>
      <w:tr w:rsidR="00085789" w14:paraId="7411DC91" w14:textId="77777777">
        <w:trPr>
          <w:trHeight w:val="315"/>
          <w:jc w:val="center"/>
        </w:trPr>
        <w:tc>
          <w:tcPr>
            <w:tcW w:w="626" w:type="dxa"/>
            <w:vAlign w:val="center"/>
          </w:tcPr>
          <w:p w14:paraId="54D90F60"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10</w:t>
            </w:r>
          </w:p>
        </w:tc>
        <w:tc>
          <w:tcPr>
            <w:tcW w:w="3914" w:type="dxa"/>
            <w:vAlign w:val="center"/>
          </w:tcPr>
          <w:p w14:paraId="262FC54C"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thị trấn Lộc Hà (đường xuống UBND huyện)</w:t>
            </w:r>
          </w:p>
        </w:tc>
        <w:tc>
          <w:tcPr>
            <w:tcW w:w="2550" w:type="dxa"/>
            <w:vAlign w:val="center"/>
          </w:tcPr>
          <w:p w14:paraId="11B0ABE9"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TT Lộc Hà</w:t>
            </w:r>
          </w:p>
        </w:tc>
        <w:tc>
          <w:tcPr>
            <w:tcW w:w="2156" w:type="dxa"/>
            <w:vAlign w:val="center"/>
          </w:tcPr>
          <w:p w14:paraId="41BFBF12"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Lộc Hà</w:t>
            </w:r>
          </w:p>
        </w:tc>
      </w:tr>
      <w:tr w:rsidR="00085789" w14:paraId="47FEEE62" w14:textId="77777777">
        <w:trPr>
          <w:trHeight w:val="315"/>
          <w:jc w:val="center"/>
        </w:trPr>
        <w:tc>
          <w:tcPr>
            <w:tcW w:w="626" w:type="dxa"/>
            <w:vAlign w:val="center"/>
          </w:tcPr>
          <w:p w14:paraId="6C47AE5E"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11</w:t>
            </w:r>
          </w:p>
        </w:tc>
        <w:tc>
          <w:tcPr>
            <w:tcW w:w="3914" w:type="dxa"/>
            <w:vAlign w:val="center"/>
          </w:tcPr>
          <w:p w14:paraId="14F94A8E" w14:textId="77777777" w:rsidR="00085789" w:rsidRDefault="00000000">
            <w:pPr>
              <w:spacing w:before="20" w:after="40" w:line="240" w:lineRule="auto"/>
              <w:jc w:val="both"/>
              <w:rPr>
                <w:rFonts w:asciiTheme="majorHAnsi" w:hAnsiTheme="majorHAnsi" w:cstheme="majorHAnsi"/>
                <w:spacing w:val="-8"/>
                <w:sz w:val="24"/>
                <w:szCs w:val="24"/>
              </w:rPr>
            </w:pPr>
            <w:r>
              <w:rPr>
                <w:rFonts w:asciiTheme="majorHAnsi" w:hAnsiTheme="majorHAnsi" w:cstheme="majorHAnsi"/>
                <w:spacing w:val="-8"/>
                <w:sz w:val="24"/>
                <w:szCs w:val="24"/>
              </w:rPr>
              <w:t>Cổng A cửa khẩu quốc tế Cầu Treo, xã Sơn Kim 1, (trước sân trạm biên phòng).</w:t>
            </w:r>
          </w:p>
        </w:tc>
        <w:tc>
          <w:tcPr>
            <w:tcW w:w="2550" w:type="dxa"/>
            <w:vAlign w:val="center"/>
          </w:tcPr>
          <w:p w14:paraId="3AADED8C"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Cổng A CKQT Cầu Treo, xã Sơn Kim 1</w:t>
            </w:r>
          </w:p>
        </w:tc>
        <w:tc>
          <w:tcPr>
            <w:tcW w:w="2156" w:type="dxa"/>
            <w:vAlign w:val="center"/>
          </w:tcPr>
          <w:p w14:paraId="3D7EE408"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Sơn Kim 1</w:t>
            </w:r>
          </w:p>
        </w:tc>
      </w:tr>
      <w:tr w:rsidR="00085789" w14:paraId="6AE3DACC" w14:textId="77777777">
        <w:trPr>
          <w:trHeight w:val="315"/>
          <w:jc w:val="center"/>
        </w:trPr>
        <w:tc>
          <w:tcPr>
            <w:tcW w:w="626" w:type="dxa"/>
            <w:vAlign w:val="center"/>
          </w:tcPr>
          <w:p w14:paraId="1A0BF986"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12</w:t>
            </w:r>
          </w:p>
        </w:tc>
        <w:tc>
          <w:tcPr>
            <w:tcW w:w="3914" w:type="dxa"/>
            <w:vAlign w:val="center"/>
          </w:tcPr>
          <w:p w14:paraId="58704DF0"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thị trấn Phố Châu (trước cổng Bưu điện)</w:t>
            </w:r>
          </w:p>
        </w:tc>
        <w:tc>
          <w:tcPr>
            <w:tcW w:w="2550" w:type="dxa"/>
            <w:vAlign w:val="center"/>
          </w:tcPr>
          <w:p w14:paraId="676ADC3B"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TT. Phố Châu</w:t>
            </w:r>
          </w:p>
        </w:tc>
        <w:tc>
          <w:tcPr>
            <w:tcW w:w="2156" w:type="dxa"/>
            <w:vAlign w:val="center"/>
          </w:tcPr>
          <w:p w14:paraId="098FC0CB"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Hương Sơn</w:t>
            </w:r>
          </w:p>
        </w:tc>
      </w:tr>
      <w:tr w:rsidR="00085789" w14:paraId="2FB85D80" w14:textId="77777777">
        <w:trPr>
          <w:trHeight w:val="315"/>
          <w:jc w:val="center"/>
        </w:trPr>
        <w:tc>
          <w:tcPr>
            <w:tcW w:w="626" w:type="dxa"/>
            <w:vAlign w:val="center"/>
          </w:tcPr>
          <w:p w14:paraId="424DC702"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13</w:t>
            </w:r>
          </w:p>
        </w:tc>
        <w:tc>
          <w:tcPr>
            <w:tcW w:w="3914" w:type="dxa"/>
            <w:vAlign w:val="center"/>
          </w:tcPr>
          <w:p w14:paraId="3CD87E27"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thị trấn Tây Sơn (trước Trung tâm thương mại)</w:t>
            </w:r>
          </w:p>
        </w:tc>
        <w:tc>
          <w:tcPr>
            <w:tcW w:w="2550" w:type="dxa"/>
            <w:vAlign w:val="center"/>
          </w:tcPr>
          <w:p w14:paraId="586C839F"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TT. Tây Sơn</w:t>
            </w:r>
          </w:p>
        </w:tc>
        <w:tc>
          <w:tcPr>
            <w:tcW w:w="2156" w:type="dxa"/>
            <w:vAlign w:val="center"/>
          </w:tcPr>
          <w:p w14:paraId="5602425A"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Sơn Tây</w:t>
            </w:r>
          </w:p>
        </w:tc>
      </w:tr>
      <w:tr w:rsidR="00085789" w14:paraId="595C56A6" w14:textId="77777777">
        <w:trPr>
          <w:trHeight w:val="315"/>
          <w:jc w:val="center"/>
        </w:trPr>
        <w:tc>
          <w:tcPr>
            <w:tcW w:w="626" w:type="dxa"/>
            <w:vAlign w:val="center"/>
          </w:tcPr>
          <w:p w14:paraId="4EE7B311"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14</w:t>
            </w:r>
          </w:p>
        </w:tc>
        <w:tc>
          <w:tcPr>
            <w:tcW w:w="3914" w:type="dxa"/>
            <w:vAlign w:val="center"/>
          </w:tcPr>
          <w:p w14:paraId="29CD7C87"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trước Bưu điện huyện Hương Khê, thị trấn Hương Khê</w:t>
            </w:r>
          </w:p>
        </w:tc>
        <w:tc>
          <w:tcPr>
            <w:tcW w:w="2550" w:type="dxa"/>
            <w:vAlign w:val="center"/>
          </w:tcPr>
          <w:p w14:paraId="4B2F095B"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bưu điện, TT. Hương Khê</w:t>
            </w:r>
          </w:p>
        </w:tc>
        <w:tc>
          <w:tcPr>
            <w:tcW w:w="2156" w:type="dxa"/>
            <w:vAlign w:val="center"/>
          </w:tcPr>
          <w:p w14:paraId="6686B861"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Hương Khê</w:t>
            </w:r>
          </w:p>
        </w:tc>
      </w:tr>
      <w:tr w:rsidR="00085789" w14:paraId="21B98418" w14:textId="77777777">
        <w:trPr>
          <w:trHeight w:val="315"/>
          <w:jc w:val="center"/>
        </w:trPr>
        <w:tc>
          <w:tcPr>
            <w:tcW w:w="626" w:type="dxa"/>
            <w:vAlign w:val="center"/>
          </w:tcPr>
          <w:p w14:paraId="46751058"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15</w:t>
            </w:r>
          </w:p>
        </w:tc>
        <w:tc>
          <w:tcPr>
            <w:tcW w:w="3914" w:type="dxa"/>
            <w:vAlign w:val="center"/>
          </w:tcPr>
          <w:p w14:paraId="1400EB58"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trước công viên thị trấn Vũ Quang</w:t>
            </w:r>
          </w:p>
        </w:tc>
        <w:tc>
          <w:tcPr>
            <w:tcW w:w="2550" w:type="dxa"/>
            <w:vAlign w:val="center"/>
          </w:tcPr>
          <w:p w14:paraId="02514D9D"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trước công viên TT. Vũ Quang</w:t>
            </w:r>
          </w:p>
        </w:tc>
        <w:tc>
          <w:tcPr>
            <w:tcW w:w="2156" w:type="dxa"/>
            <w:vAlign w:val="center"/>
          </w:tcPr>
          <w:p w14:paraId="041B2DD2"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Vũ Quang</w:t>
            </w:r>
          </w:p>
        </w:tc>
      </w:tr>
      <w:tr w:rsidR="00085789" w14:paraId="748FF4BD" w14:textId="77777777">
        <w:trPr>
          <w:trHeight w:val="315"/>
          <w:jc w:val="center"/>
        </w:trPr>
        <w:tc>
          <w:tcPr>
            <w:tcW w:w="626" w:type="dxa"/>
            <w:vAlign w:val="center"/>
          </w:tcPr>
          <w:p w14:paraId="650D5D08"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16</w:t>
            </w:r>
          </w:p>
        </w:tc>
        <w:tc>
          <w:tcPr>
            <w:tcW w:w="3914" w:type="dxa"/>
            <w:vAlign w:val="center"/>
          </w:tcPr>
          <w:p w14:paraId="4CB6E212"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du lịch Thiên Cầm đoạn trước khách sạn Công Đoàn</w:t>
            </w:r>
          </w:p>
        </w:tc>
        <w:tc>
          <w:tcPr>
            <w:tcW w:w="2550" w:type="dxa"/>
            <w:vAlign w:val="center"/>
          </w:tcPr>
          <w:p w14:paraId="1F0BACC0"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Khu du lịch Thiên Cầm</w:t>
            </w:r>
          </w:p>
        </w:tc>
        <w:tc>
          <w:tcPr>
            <w:tcW w:w="2156" w:type="dxa"/>
            <w:vAlign w:val="center"/>
          </w:tcPr>
          <w:p w14:paraId="1DEEFDEB"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Thiên Cầm</w:t>
            </w:r>
          </w:p>
        </w:tc>
      </w:tr>
      <w:tr w:rsidR="00085789" w14:paraId="273D7D08" w14:textId="77777777">
        <w:trPr>
          <w:trHeight w:val="315"/>
          <w:jc w:val="center"/>
        </w:trPr>
        <w:tc>
          <w:tcPr>
            <w:tcW w:w="626" w:type="dxa"/>
            <w:vAlign w:val="center"/>
          </w:tcPr>
          <w:p w14:paraId="51ACE4BB"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17</w:t>
            </w:r>
          </w:p>
        </w:tc>
        <w:tc>
          <w:tcPr>
            <w:tcW w:w="3914" w:type="dxa"/>
            <w:vAlign w:val="center"/>
          </w:tcPr>
          <w:p w14:paraId="70CFAD53"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thị trấn Cẩm Xuyên (Giao quốc lộ 1A và ĐT.551)</w:t>
            </w:r>
          </w:p>
        </w:tc>
        <w:tc>
          <w:tcPr>
            <w:tcW w:w="2550" w:type="dxa"/>
            <w:vAlign w:val="center"/>
          </w:tcPr>
          <w:p w14:paraId="6A394FB9"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TT. Cẩm Xuyên</w:t>
            </w:r>
          </w:p>
        </w:tc>
        <w:tc>
          <w:tcPr>
            <w:tcW w:w="2156" w:type="dxa"/>
            <w:vAlign w:val="center"/>
          </w:tcPr>
          <w:p w14:paraId="33B44EBD"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Cẩm Xuyên</w:t>
            </w:r>
          </w:p>
        </w:tc>
      </w:tr>
      <w:tr w:rsidR="00085789" w14:paraId="6AFD9134" w14:textId="77777777">
        <w:trPr>
          <w:trHeight w:val="315"/>
          <w:jc w:val="center"/>
        </w:trPr>
        <w:tc>
          <w:tcPr>
            <w:tcW w:w="626" w:type="dxa"/>
            <w:vAlign w:val="center"/>
          </w:tcPr>
          <w:p w14:paraId="7CF2639C"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18</w:t>
            </w:r>
          </w:p>
        </w:tc>
        <w:tc>
          <w:tcPr>
            <w:tcW w:w="3914" w:type="dxa"/>
            <w:vAlign w:val="center"/>
          </w:tcPr>
          <w:p w14:paraId="79E4515A"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Việt Lào, phường Hưng Trí</w:t>
            </w:r>
          </w:p>
        </w:tc>
        <w:tc>
          <w:tcPr>
            <w:tcW w:w="2550" w:type="dxa"/>
            <w:vAlign w:val="center"/>
          </w:tcPr>
          <w:p w14:paraId="4711E94C"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Việt Lào, P. Hưng Trí</w:t>
            </w:r>
          </w:p>
        </w:tc>
        <w:tc>
          <w:tcPr>
            <w:tcW w:w="2156" w:type="dxa"/>
            <w:vAlign w:val="center"/>
          </w:tcPr>
          <w:p w14:paraId="152FEF57"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Sông Trí</w:t>
            </w:r>
          </w:p>
        </w:tc>
      </w:tr>
      <w:tr w:rsidR="00085789" w14:paraId="247A0053" w14:textId="77777777">
        <w:trPr>
          <w:trHeight w:val="315"/>
          <w:jc w:val="center"/>
        </w:trPr>
        <w:tc>
          <w:tcPr>
            <w:tcW w:w="626" w:type="dxa"/>
            <w:vAlign w:val="center"/>
          </w:tcPr>
          <w:p w14:paraId="1CB8655D"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19</w:t>
            </w:r>
          </w:p>
        </w:tc>
        <w:tc>
          <w:tcPr>
            <w:tcW w:w="3914" w:type="dxa"/>
            <w:vAlign w:val="center"/>
          </w:tcPr>
          <w:p w14:paraId="691562CB"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di tích Nguyễn Thị Bích Châu, xã Kỳ Ninh</w:t>
            </w:r>
          </w:p>
        </w:tc>
        <w:tc>
          <w:tcPr>
            <w:tcW w:w="2550" w:type="dxa"/>
            <w:vAlign w:val="center"/>
          </w:tcPr>
          <w:p w14:paraId="747C06EB"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Di tích Ng. Thị Bích Châu, xã Kỳ Ninh</w:t>
            </w:r>
          </w:p>
        </w:tc>
        <w:tc>
          <w:tcPr>
            <w:tcW w:w="2156" w:type="dxa"/>
            <w:vAlign w:val="center"/>
          </w:tcPr>
          <w:p w14:paraId="55226B44"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Hải Ninh</w:t>
            </w:r>
          </w:p>
        </w:tc>
      </w:tr>
      <w:tr w:rsidR="00085789" w14:paraId="18EB1C24" w14:textId="77777777">
        <w:trPr>
          <w:trHeight w:val="315"/>
          <w:jc w:val="center"/>
        </w:trPr>
        <w:tc>
          <w:tcPr>
            <w:tcW w:w="626" w:type="dxa"/>
            <w:vAlign w:val="center"/>
          </w:tcPr>
          <w:p w14:paraId="776B23DA"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lastRenderedPageBreak/>
              <w:t>20</w:t>
            </w:r>
          </w:p>
        </w:tc>
        <w:tc>
          <w:tcPr>
            <w:tcW w:w="3914" w:type="dxa"/>
            <w:vAlign w:val="center"/>
          </w:tcPr>
          <w:p w14:paraId="644B48C5"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dân cư Tây Yên gần giáo xứ Dũ Yên, xã Kỳ Lợi</w:t>
            </w:r>
          </w:p>
        </w:tc>
        <w:tc>
          <w:tcPr>
            <w:tcW w:w="2550" w:type="dxa"/>
            <w:vAlign w:val="center"/>
          </w:tcPr>
          <w:p w14:paraId="3733A108"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dân cư Tây Yên, xã Kỳ Lợi</w:t>
            </w:r>
          </w:p>
        </w:tc>
        <w:tc>
          <w:tcPr>
            <w:tcW w:w="2156" w:type="dxa"/>
            <w:vAlign w:val="center"/>
          </w:tcPr>
          <w:p w14:paraId="52B58639"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Vũng Áng</w:t>
            </w:r>
          </w:p>
        </w:tc>
      </w:tr>
      <w:tr w:rsidR="00085789" w14:paraId="6AE464B6" w14:textId="77777777">
        <w:trPr>
          <w:trHeight w:val="315"/>
          <w:jc w:val="center"/>
        </w:trPr>
        <w:tc>
          <w:tcPr>
            <w:tcW w:w="626" w:type="dxa"/>
            <w:vAlign w:val="center"/>
          </w:tcPr>
          <w:p w14:paraId="0EA345FB"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21</w:t>
            </w:r>
          </w:p>
        </w:tc>
        <w:tc>
          <w:tcPr>
            <w:tcW w:w="3914" w:type="dxa"/>
            <w:vAlign w:val="center"/>
          </w:tcPr>
          <w:p w14:paraId="28C06ACD"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Cổng trường tiểu học Kỳ Phương cũ, phường Kỳ Phương</w:t>
            </w:r>
          </w:p>
        </w:tc>
        <w:tc>
          <w:tcPr>
            <w:tcW w:w="2550" w:type="dxa"/>
            <w:vAlign w:val="center"/>
          </w:tcPr>
          <w:p w14:paraId="78CE1249"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Cổng trường TH Kỳ Phương cũ</w:t>
            </w:r>
          </w:p>
        </w:tc>
        <w:tc>
          <w:tcPr>
            <w:tcW w:w="2156" w:type="dxa"/>
            <w:vAlign w:val="center"/>
          </w:tcPr>
          <w:p w14:paraId="14A0763B"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Hoành Sơn</w:t>
            </w:r>
          </w:p>
        </w:tc>
      </w:tr>
      <w:tr w:rsidR="00085789" w14:paraId="37742E5B" w14:textId="77777777">
        <w:trPr>
          <w:trHeight w:val="315"/>
          <w:jc w:val="center"/>
        </w:trPr>
        <w:tc>
          <w:tcPr>
            <w:tcW w:w="626" w:type="dxa"/>
            <w:vAlign w:val="center"/>
          </w:tcPr>
          <w:p w14:paraId="56F88B8F"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22</w:t>
            </w:r>
          </w:p>
        </w:tc>
        <w:tc>
          <w:tcPr>
            <w:tcW w:w="3914" w:type="dxa"/>
            <w:vAlign w:val="center"/>
          </w:tcPr>
          <w:p w14:paraId="180EC717"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tái định cư xã Kỳ Lợi tại phường Kỳ Trinh</w:t>
            </w:r>
          </w:p>
        </w:tc>
        <w:tc>
          <w:tcPr>
            <w:tcW w:w="2550" w:type="dxa"/>
            <w:vAlign w:val="center"/>
          </w:tcPr>
          <w:p w14:paraId="09F8848A"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TĐC tại P. Kỳ Trinh</w:t>
            </w:r>
          </w:p>
        </w:tc>
        <w:tc>
          <w:tcPr>
            <w:tcW w:w="2156" w:type="dxa"/>
            <w:vAlign w:val="center"/>
          </w:tcPr>
          <w:p w14:paraId="1E016B0A"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Sông Trí</w:t>
            </w:r>
          </w:p>
        </w:tc>
      </w:tr>
      <w:tr w:rsidR="00085789" w14:paraId="574AA46F" w14:textId="77777777">
        <w:trPr>
          <w:trHeight w:val="315"/>
          <w:jc w:val="center"/>
        </w:trPr>
        <w:tc>
          <w:tcPr>
            <w:tcW w:w="626" w:type="dxa"/>
            <w:vAlign w:val="center"/>
          </w:tcPr>
          <w:p w14:paraId="7F233D16"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23</w:t>
            </w:r>
          </w:p>
        </w:tc>
        <w:tc>
          <w:tcPr>
            <w:tcW w:w="3914" w:type="dxa"/>
            <w:vAlign w:val="center"/>
          </w:tcPr>
          <w:p w14:paraId="05EB61A4"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Đường trục dọc phía trước cổng trạm điện 110KV, phường Kỳ Thịnh</w:t>
            </w:r>
          </w:p>
        </w:tc>
        <w:tc>
          <w:tcPr>
            <w:tcW w:w="2550" w:type="dxa"/>
            <w:vAlign w:val="center"/>
          </w:tcPr>
          <w:p w14:paraId="320D92BE"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Trước trạm BA 110kV, P. Kỳ Thịnh</w:t>
            </w:r>
          </w:p>
        </w:tc>
        <w:tc>
          <w:tcPr>
            <w:tcW w:w="2156" w:type="dxa"/>
            <w:vAlign w:val="center"/>
          </w:tcPr>
          <w:p w14:paraId="4DC34569"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Vũng Áng</w:t>
            </w:r>
          </w:p>
        </w:tc>
      </w:tr>
      <w:tr w:rsidR="00085789" w14:paraId="5DCCB97B" w14:textId="77777777">
        <w:trPr>
          <w:trHeight w:val="53"/>
          <w:jc w:val="center"/>
        </w:trPr>
        <w:tc>
          <w:tcPr>
            <w:tcW w:w="626" w:type="dxa"/>
            <w:vAlign w:val="center"/>
          </w:tcPr>
          <w:p w14:paraId="6593279D"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24</w:t>
            </w:r>
          </w:p>
        </w:tc>
        <w:tc>
          <w:tcPr>
            <w:tcW w:w="3914" w:type="dxa"/>
            <w:vAlign w:val="center"/>
          </w:tcPr>
          <w:p w14:paraId="5963A473"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Khu dân cư thôn Nam Xuân Sơn, xã Kỳ Tân</w:t>
            </w:r>
          </w:p>
        </w:tc>
        <w:tc>
          <w:tcPr>
            <w:tcW w:w="2550" w:type="dxa"/>
            <w:vAlign w:val="center"/>
          </w:tcPr>
          <w:p w14:paraId="5EA8B7A0"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Khu dân cư xã Kỳ Tân</w:t>
            </w:r>
          </w:p>
        </w:tc>
        <w:tc>
          <w:tcPr>
            <w:tcW w:w="2156" w:type="dxa"/>
            <w:vAlign w:val="center"/>
          </w:tcPr>
          <w:p w14:paraId="09996BE4"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Kỳ Hoa</w:t>
            </w:r>
          </w:p>
        </w:tc>
      </w:tr>
      <w:tr w:rsidR="00085789" w14:paraId="1B9409DC" w14:textId="77777777">
        <w:trPr>
          <w:trHeight w:val="315"/>
          <w:jc w:val="center"/>
        </w:trPr>
        <w:tc>
          <w:tcPr>
            <w:tcW w:w="626" w:type="dxa"/>
            <w:vAlign w:val="center"/>
          </w:tcPr>
          <w:p w14:paraId="11F4919B"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25</w:t>
            </w:r>
          </w:p>
        </w:tc>
        <w:tc>
          <w:tcPr>
            <w:tcW w:w="3914" w:type="dxa"/>
            <w:vAlign w:val="center"/>
          </w:tcPr>
          <w:p w14:paraId="6E82ACB1"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ba thị tứ Voi, xã Kỳ Phong</w:t>
            </w:r>
          </w:p>
        </w:tc>
        <w:tc>
          <w:tcPr>
            <w:tcW w:w="2550" w:type="dxa"/>
            <w:vAlign w:val="center"/>
          </w:tcPr>
          <w:p w14:paraId="2627E3C9"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3 TT. Voi, xã Kỳ Phong</w:t>
            </w:r>
          </w:p>
        </w:tc>
        <w:tc>
          <w:tcPr>
            <w:tcW w:w="2156" w:type="dxa"/>
            <w:vAlign w:val="center"/>
          </w:tcPr>
          <w:p w14:paraId="635A55A2"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Kỳ Xuân</w:t>
            </w:r>
          </w:p>
        </w:tc>
      </w:tr>
      <w:tr w:rsidR="00085789" w14:paraId="017ADE8B" w14:textId="77777777">
        <w:trPr>
          <w:trHeight w:val="315"/>
          <w:jc w:val="center"/>
        </w:trPr>
        <w:tc>
          <w:tcPr>
            <w:tcW w:w="626" w:type="dxa"/>
            <w:vAlign w:val="center"/>
          </w:tcPr>
          <w:p w14:paraId="194B06E1" w14:textId="77777777" w:rsidR="00085789" w:rsidRDefault="00000000">
            <w:pPr>
              <w:spacing w:before="20" w:after="40" w:line="240" w:lineRule="auto"/>
              <w:jc w:val="center"/>
              <w:rPr>
                <w:rFonts w:asciiTheme="majorHAnsi" w:hAnsiTheme="majorHAnsi" w:cstheme="majorHAnsi"/>
                <w:bCs/>
                <w:sz w:val="24"/>
                <w:szCs w:val="24"/>
              </w:rPr>
            </w:pPr>
            <w:r>
              <w:rPr>
                <w:rFonts w:asciiTheme="majorHAnsi" w:hAnsiTheme="majorHAnsi" w:cstheme="majorHAnsi"/>
                <w:bCs/>
                <w:sz w:val="24"/>
                <w:szCs w:val="24"/>
              </w:rPr>
              <w:t>26</w:t>
            </w:r>
          </w:p>
        </w:tc>
        <w:tc>
          <w:tcPr>
            <w:tcW w:w="3914" w:type="dxa"/>
            <w:vAlign w:val="center"/>
          </w:tcPr>
          <w:p w14:paraId="6E53A3ED" w14:textId="77777777" w:rsidR="00085789" w:rsidRDefault="00000000">
            <w:pPr>
              <w:spacing w:before="20" w:after="40" w:line="240" w:lineRule="auto"/>
              <w:jc w:val="both"/>
              <w:rPr>
                <w:rFonts w:asciiTheme="majorHAnsi" w:hAnsiTheme="majorHAnsi" w:cstheme="majorHAnsi"/>
                <w:spacing w:val="-4"/>
                <w:sz w:val="24"/>
                <w:szCs w:val="24"/>
              </w:rPr>
            </w:pPr>
            <w:r>
              <w:rPr>
                <w:rFonts w:asciiTheme="majorHAnsi" w:hAnsiTheme="majorHAnsi" w:cstheme="majorHAnsi"/>
                <w:spacing w:val="-4"/>
                <w:sz w:val="24"/>
                <w:szCs w:val="24"/>
              </w:rPr>
              <w:t>Ngã tư đường 70 và đường vào UBND huyện Kỳ Anh, xã Kỳ Đồng</w:t>
            </w:r>
          </w:p>
        </w:tc>
        <w:tc>
          <w:tcPr>
            <w:tcW w:w="2550" w:type="dxa"/>
            <w:vAlign w:val="center"/>
          </w:tcPr>
          <w:p w14:paraId="19C4B229"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Ngã 4 đường 70, xã Kỳ Đồng</w:t>
            </w:r>
          </w:p>
        </w:tc>
        <w:tc>
          <w:tcPr>
            <w:tcW w:w="2156" w:type="dxa"/>
            <w:vAlign w:val="center"/>
          </w:tcPr>
          <w:p w14:paraId="29F39A80"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Kỳ Anh</w:t>
            </w:r>
          </w:p>
        </w:tc>
      </w:tr>
      <w:tr w:rsidR="00085789" w14:paraId="1344E78A" w14:textId="77777777">
        <w:trPr>
          <w:trHeight w:val="315"/>
          <w:jc w:val="center"/>
        </w:trPr>
        <w:tc>
          <w:tcPr>
            <w:tcW w:w="626" w:type="dxa"/>
            <w:vAlign w:val="center"/>
          </w:tcPr>
          <w:p w14:paraId="61B83D41"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w:t>
            </w:r>
          </w:p>
        </w:tc>
        <w:tc>
          <w:tcPr>
            <w:tcW w:w="8620" w:type="dxa"/>
            <w:gridSpan w:val="3"/>
            <w:vAlign w:val="center"/>
          </w:tcPr>
          <w:p w14:paraId="7412E0BF" w14:textId="77777777" w:rsidR="00085789" w:rsidRDefault="00000000">
            <w:pPr>
              <w:spacing w:before="20" w:after="40" w:line="240" w:lineRule="auto"/>
              <w:jc w:val="center"/>
              <w:rPr>
                <w:rFonts w:asciiTheme="majorHAnsi" w:hAnsiTheme="majorHAnsi" w:cstheme="majorHAnsi"/>
                <w:bCs/>
                <w:spacing w:val="-4"/>
                <w:sz w:val="24"/>
                <w:szCs w:val="24"/>
                <w:lang w:val="sv-SE"/>
              </w:rPr>
            </w:pPr>
            <w:r>
              <w:rPr>
                <w:rFonts w:asciiTheme="majorHAnsi" w:hAnsiTheme="majorHAnsi" w:cstheme="majorHAnsi"/>
                <w:b/>
                <w:spacing w:val="-4"/>
                <w:sz w:val="24"/>
                <w:szCs w:val="24"/>
                <w:lang w:val="sv-SE"/>
              </w:rPr>
              <w:t>Thông tin vị trí quan trắc môi trường không khí khu vực đường giao thông chính</w:t>
            </w:r>
          </w:p>
        </w:tc>
      </w:tr>
      <w:tr w:rsidR="00085789" w14:paraId="34994192" w14:textId="77777777">
        <w:trPr>
          <w:trHeight w:val="315"/>
          <w:jc w:val="center"/>
        </w:trPr>
        <w:tc>
          <w:tcPr>
            <w:tcW w:w="626" w:type="dxa"/>
            <w:vAlign w:val="center"/>
          </w:tcPr>
          <w:p w14:paraId="55735F31"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w:t>
            </w:r>
          </w:p>
        </w:tc>
        <w:tc>
          <w:tcPr>
            <w:tcW w:w="3914" w:type="dxa"/>
            <w:vAlign w:val="center"/>
          </w:tcPr>
          <w:p w14:paraId="4617AE45"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Xô Viết Nghệ Tĩnh (Tượng đài Trần Phú), phường Nguyễn Du</w:t>
            </w:r>
          </w:p>
        </w:tc>
        <w:tc>
          <w:tcPr>
            <w:tcW w:w="2550" w:type="dxa"/>
            <w:vAlign w:val="bottom"/>
          </w:tcPr>
          <w:p w14:paraId="1585743F"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Xô viết Nghệ Tĩnh, P. Nguyễn Du</w:t>
            </w:r>
          </w:p>
        </w:tc>
        <w:tc>
          <w:tcPr>
            <w:tcW w:w="2156" w:type="dxa"/>
            <w:vAlign w:val="center"/>
          </w:tcPr>
          <w:p w14:paraId="3BC94CEF"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Thành Sen</w:t>
            </w:r>
          </w:p>
        </w:tc>
      </w:tr>
      <w:tr w:rsidR="00085789" w14:paraId="03CFDCA5" w14:textId="77777777">
        <w:trPr>
          <w:trHeight w:val="315"/>
          <w:jc w:val="center"/>
        </w:trPr>
        <w:tc>
          <w:tcPr>
            <w:tcW w:w="626" w:type="dxa"/>
            <w:vAlign w:val="center"/>
          </w:tcPr>
          <w:p w14:paraId="76754239"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2</w:t>
            </w:r>
          </w:p>
        </w:tc>
        <w:tc>
          <w:tcPr>
            <w:tcW w:w="3914" w:type="dxa"/>
            <w:vAlign w:val="center"/>
          </w:tcPr>
          <w:p w14:paraId="0B7A69CA"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Gần bến xe Hà Tĩnh mới (đoạn giao đường Hàm Nghi và đường tránh thành phố Hà Tĩnh), xã Thạch Đài</w:t>
            </w:r>
          </w:p>
        </w:tc>
        <w:tc>
          <w:tcPr>
            <w:tcW w:w="2550" w:type="dxa"/>
            <w:vAlign w:val="bottom"/>
          </w:tcPr>
          <w:p w14:paraId="72391F34"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Hàm Nghi giao Đ tránh QL1A, xã Thạch Đài</w:t>
            </w:r>
          </w:p>
        </w:tc>
        <w:tc>
          <w:tcPr>
            <w:tcW w:w="2156" w:type="dxa"/>
            <w:vAlign w:val="center"/>
          </w:tcPr>
          <w:p w14:paraId="146F1045"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Hà Huy Tập</w:t>
            </w:r>
          </w:p>
        </w:tc>
      </w:tr>
      <w:tr w:rsidR="00085789" w14:paraId="49F0AD11" w14:textId="77777777">
        <w:trPr>
          <w:trHeight w:val="315"/>
          <w:jc w:val="center"/>
        </w:trPr>
        <w:tc>
          <w:tcPr>
            <w:tcW w:w="626" w:type="dxa"/>
            <w:vAlign w:val="center"/>
          </w:tcPr>
          <w:p w14:paraId="5850548C"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3</w:t>
            </w:r>
          </w:p>
        </w:tc>
        <w:tc>
          <w:tcPr>
            <w:tcW w:w="3914" w:type="dxa"/>
            <w:vAlign w:val="center"/>
          </w:tcPr>
          <w:p w14:paraId="1CC857F4"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tránh thành phố Hà Tĩnh tại xã Thạch Long</w:t>
            </w:r>
          </w:p>
        </w:tc>
        <w:tc>
          <w:tcPr>
            <w:tcW w:w="2550" w:type="dxa"/>
            <w:vAlign w:val="bottom"/>
          </w:tcPr>
          <w:p w14:paraId="4CE2DDFE"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Đ. tránh TP HT qua xã Thạch Long</w:t>
            </w:r>
          </w:p>
        </w:tc>
        <w:tc>
          <w:tcPr>
            <w:tcW w:w="2156" w:type="dxa"/>
            <w:vAlign w:val="center"/>
          </w:tcPr>
          <w:p w14:paraId="366B3583"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Thạch Hà</w:t>
            </w:r>
          </w:p>
        </w:tc>
      </w:tr>
      <w:tr w:rsidR="00085789" w14:paraId="227B9B06" w14:textId="77777777">
        <w:trPr>
          <w:trHeight w:val="315"/>
          <w:jc w:val="center"/>
        </w:trPr>
        <w:tc>
          <w:tcPr>
            <w:tcW w:w="626" w:type="dxa"/>
            <w:vAlign w:val="center"/>
          </w:tcPr>
          <w:p w14:paraId="312C5425"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4</w:t>
            </w:r>
          </w:p>
        </w:tc>
        <w:tc>
          <w:tcPr>
            <w:tcW w:w="3914" w:type="dxa"/>
            <w:vAlign w:val="center"/>
          </w:tcPr>
          <w:p w14:paraId="0CA4E9A9"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Thạch Khê, xã Thạch Khê</w:t>
            </w:r>
          </w:p>
        </w:tc>
        <w:tc>
          <w:tcPr>
            <w:tcW w:w="2550" w:type="dxa"/>
            <w:vAlign w:val="bottom"/>
          </w:tcPr>
          <w:p w14:paraId="2DA4A02F"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QL15B Ngã tư Thạch Khê, xã Thạch Khê</w:t>
            </w:r>
          </w:p>
        </w:tc>
        <w:tc>
          <w:tcPr>
            <w:tcW w:w="2156" w:type="dxa"/>
            <w:vAlign w:val="center"/>
          </w:tcPr>
          <w:p w14:paraId="1FA1EFDC"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Thạch Khê</w:t>
            </w:r>
          </w:p>
        </w:tc>
      </w:tr>
      <w:tr w:rsidR="00085789" w14:paraId="40B80175" w14:textId="77777777">
        <w:trPr>
          <w:trHeight w:val="315"/>
          <w:jc w:val="center"/>
        </w:trPr>
        <w:tc>
          <w:tcPr>
            <w:tcW w:w="626" w:type="dxa"/>
            <w:vAlign w:val="center"/>
          </w:tcPr>
          <w:p w14:paraId="7AF6EF52"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5</w:t>
            </w:r>
          </w:p>
        </w:tc>
        <w:tc>
          <w:tcPr>
            <w:tcW w:w="3914" w:type="dxa"/>
            <w:vAlign w:val="center"/>
          </w:tcPr>
          <w:p w14:paraId="6E481B31"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Thị trấn Nghèn (đoạn giao giữa quốc lộ 1A và ĐT.548)</w:t>
            </w:r>
          </w:p>
        </w:tc>
        <w:tc>
          <w:tcPr>
            <w:tcW w:w="2550" w:type="dxa"/>
            <w:vAlign w:val="bottom"/>
          </w:tcPr>
          <w:p w14:paraId="5F48111F" w14:textId="77777777" w:rsidR="00085789" w:rsidRDefault="00000000">
            <w:pPr>
              <w:spacing w:before="2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Đ. Quốc lộ 1A giao ĐT 548, TT Nghèn</w:t>
            </w:r>
          </w:p>
        </w:tc>
        <w:tc>
          <w:tcPr>
            <w:tcW w:w="2156" w:type="dxa"/>
            <w:vAlign w:val="center"/>
          </w:tcPr>
          <w:p w14:paraId="6AC5C8DF"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Can Lộc</w:t>
            </w:r>
          </w:p>
        </w:tc>
      </w:tr>
      <w:tr w:rsidR="00085789" w14:paraId="5F66B49D" w14:textId="77777777">
        <w:trPr>
          <w:trHeight w:val="315"/>
          <w:jc w:val="center"/>
        </w:trPr>
        <w:tc>
          <w:tcPr>
            <w:tcW w:w="626" w:type="dxa"/>
            <w:vAlign w:val="center"/>
          </w:tcPr>
          <w:p w14:paraId="6E1CB573"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6</w:t>
            </w:r>
          </w:p>
        </w:tc>
        <w:tc>
          <w:tcPr>
            <w:tcW w:w="3914" w:type="dxa"/>
            <w:vAlign w:val="center"/>
          </w:tcPr>
          <w:p w14:paraId="5E69F5B6"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Hạ Vàng (đoạn giao Quốc lộ 1A và đường An Vượng), xã Thiên Lộc</w:t>
            </w:r>
          </w:p>
        </w:tc>
        <w:tc>
          <w:tcPr>
            <w:tcW w:w="2550" w:type="dxa"/>
            <w:vAlign w:val="bottom"/>
          </w:tcPr>
          <w:p w14:paraId="2204278D" w14:textId="77777777" w:rsidR="00085789" w:rsidRDefault="00000000">
            <w:pPr>
              <w:spacing w:before="20" w:after="40" w:line="240" w:lineRule="auto"/>
              <w:rPr>
                <w:rFonts w:asciiTheme="majorHAnsi" w:hAnsiTheme="majorHAnsi" w:cstheme="majorHAnsi"/>
                <w:spacing w:val="-6"/>
                <w:sz w:val="24"/>
                <w:szCs w:val="24"/>
              </w:rPr>
            </w:pPr>
            <w:r>
              <w:rPr>
                <w:rFonts w:asciiTheme="majorHAnsi" w:hAnsiTheme="majorHAnsi" w:cstheme="majorHAnsi"/>
                <w:spacing w:val="-6"/>
                <w:sz w:val="24"/>
                <w:szCs w:val="24"/>
              </w:rPr>
              <w:t>Đ. Quốc lộ 1A giao Đ. An Vượng, xã Thiên Lộc</w:t>
            </w:r>
          </w:p>
        </w:tc>
        <w:tc>
          <w:tcPr>
            <w:tcW w:w="2156" w:type="dxa"/>
            <w:vAlign w:val="center"/>
          </w:tcPr>
          <w:p w14:paraId="146E1D4C" w14:textId="77777777" w:rsidR="00085789" w:rsidRDefault="00000000">
            <w:pPr>
              <w:spacing w:before="2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Can Lộc</w:t>
            </w:r>
          </w:p>
        </w:tc>
      </w:tr>
      <w:tr w:rsidR="00085789" w14:paraId="72C86608" w14:textId="77777777">
        <w:trPr>
          <w:trHeight w:val="315"/>
          <w:jc w:val="center"/>
        </w:trPr>
        <w:tc>
          <w:tcPr>
            <w:tcW w:w="626" w:type="dxa"/>
            <w:vAlign w:val="center"/>
          </w:tcPr>
          <w:p w14:paraId="022BDA3C"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7</w:t>
            </w:r>
          </w:p>
        </w:tc>
        <w:tc>
          <w:tcPr>
            <w:tcW w:w="3914" w:type="dxa"/>
            <w:vAlign w:val="center"/>
          </w:tcPr>
          <w:p w14:paraId="675FD230"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sắt Bắc Nam đi qua xã Tùng Châu</w:t>
            </w:r>
          </w:p>
        </w:tc>
        <w:tc>
          <w:tcPr>
            <w:tcW w:w="2550" w:type="dxa"/>
            <w:vAlign w:val="bottom"/>
          </w:tcPr>
          <w:p w14:paraId="620F6397"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sắt Bắc Nam qua xã Tùng Châu</w:t>
            </w:r>
          </w:p>
        </w:tc>
        <w:tc>
          <w:tcPr>
            <w:tcW w:w="2156" w:type="dxa"/>
            <w:vAlign w:val="center"/>
          </w:tcPr>
          <w:p w14:paraId="036C74C5"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Đức Minh</w:t>
            </w:r>
          </w:p>
        </w:tc>
      </w:tr>
      <w:tr w:rsidR="00085789" w14:paraId="4430295E" w14:textId="77777777">
        <w:trPr>
          <w:trHeight w:val="315"/>
          <w:jc w:val="center"/>
        </w:trPr>
        <w:tc>
          <w:tcPr>
            <w:tcW w:w="626" w:type="dxa"/>
            <w:vAlign w:val="center"/>
          </w:tcPr>
          <w:p w14:paraId="0CFF3127"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8</w:t>
            </w:r>
          </w:p>
        </w:tc>
        <w:tc>
          <w:tcPr>
            <w:tcW w:w="3914" w:type="dxa"/>
            <w:vAlign w:val="center"/>
          </w:tcPr>
          <w:p w14:paraId="350D5C8A"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Hồ Chí Minh đoạn qua cầu Khe Cò, xã Sơn Tiến</w:t>
            </w:r>
          </w:p>
        </w:tc>
        <w:tc>
          <w:tcPr>
            <w:tcW w:w="2550" w:type="dxa"/>
            <w:vAlign w:val="bottom"/>
          </w:tcPr>
          <w:p w14:paraId="5CA3FCE3"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Hồ Chí Minh, xã Sơn Tiến</w:t>
            </w:r>
          </w:p>
        </w:tc>
        <w:tc>
          <w:tcPr>
            <w:tcW w:w="2156" w:type="dxa"/>
            <w:vAlign w:val="center"/>
          </w:tcPr>
          <w:p w14:paraId="1A2979BE"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Sơn Tiến</w:t>
            </w:r>
          </w:p>
        </w:tc>
      </w:tr>
      <w:tr w:rsidR="00085789" w14:paraId="4D7669AE" w14:textId="77777777">
        <w:trPr>
          <w:trHeight w:val="315"/>
          <w:jc w:val="center"/>
        </w:trPr>
        <w:tc>
          <w:tcPr>
            <w:tcW w:w="626" w:type="dxa"/>
            <w:vAlign w:val="center"/>
          </w:tcPr>
          <w:p w14:paraId="06AFCF99"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9</w:t>
            </w:r>
          </w:p>
        </w:tc>
        <w:tc>
          <w:tcPr>
            <w:tcW w:w="3914" w:type="dxa"/>
            <w:vAlign w:val="center"/>
          </w:tcPr>
          <w:p w14:paraId="21BBC8E5"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Hồ Chí Minh tại cầu La Khê, xã Hương Trạch</w:t>
            </w:r>
          </w:p>
        </w:tc>
        <w:tc>
          <w:tcPr>
            <w:tcW w:w="2550" w:type="dxa"/>
            <w:vAlign w:val="bottom"/>
          </w:tcPr>
          <w:p w14:paraId="3C16C864"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Hồ Chí Minh, xã Hương Trạch</w:t>
            </w:r>
          </w:p>
        </w:tc>
        <w:tc>
          <w:tcPr>
            <w:tcW w:w="2156" w:type="dxa"/>
            <w:vAlign w:val="center"/>
          </w:tcPr>
          <w:p w14:paraId="51127DF1"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Phúc Trạch</w:t>
            </w:r>
          </w:p>
        </w:tc>
      </w:tr>
      <w:tr w:rsidR="00085789" w14:paraId="7C3D09FA" w14:textId="77777777">
        <w:trPr>
          <w:trHeight w:val="315"/>
          <w:jc w:val="center"/>
        </w:trPr>
        <w:tc>
          <w:tcPr>
            <w:tcW w:w="626" w:type="dxa"/>
            <w:vAlign w:val="center"/>
          </w:tcPr>
          <w:p w14:paraId="52C11DF6"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10</w:t>
            </w:r>
          </w:p>
        </w:tc>
        <w:tc>
          <w:tcPr>
            <w:tcW w:w="3914" w:type="dxa"/>
            <w:vAlign w:val="center"/>
          </w:tcPr>
          <w:p w14:paraId="55A759D5"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Phúc Đồng giao Quốc lộ 15 và đường Hồ Chí Minh</w:t>
            </w:r>
          </w:p>
        </w:tc>
        <w:tc>
          <w:tcPr>
            <w:tcW w:w="2550" w:type="dxa"/>
            <w:vAlign w:val="bottom"/>
          </w:tcPr>
          <w:p w14:paraId="102E16B3"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Quốc lộ 15 giao Đ. Hồ Chí Minh</w:t>
            </w:r>
          </w:p>
        </w:tc>
        <w:tc>
          <w:tcPr>
            <w:tcW w:w="2156" w:type="dxa"/>
            <w:vAlign w:val="center"/>
          </w:tcPr>
          <w:p w14:paraId="53298E18"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Hương Bình</w:t>
            </w:r>
          </w:p>
        </w:tc>
      </w:tr>
      <w:tr w:rsidR="00085789" w14:paraId="373B2CE4" w14:textId="77777777">
        <w:trPr>
          <w:trHeight w:val="315"/>
          <w:jc w:val="center"/>
        </w:trPr>
        <w:tc>
          <w:tcPr>
            <w:tcW w:w="626" w:type="dxa"/>
            <w:vAlign w:val="center"/>
          </w:tcPr>
          <w:p w14:paraId="4CB4C52A"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11</w:t>
            </w:r>
          </w:p>
        </w:tc>
        <w:tc>
          <w:tcPr>
            <w:tcW w:w="3914" w:type="dxa"/>
            <w:vAlign w:val="center"/>
          </w:tcPr>
          <w:p w14:paraId="4DFCB426"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Quốc lộ 1A và đường tránh thành phố Hà Tĩnh tại xã Cẩm Vịnh</w:t>
            </w:r>
          </w:p>
        </w:tc>
        <w:tc>
          <w:tcPr>
            <w:tcW w:w="2550" w:type="dxa"/>
            <w:vAlign w:val="bottom"/>
          </w:tcPr>
          <w:p w14:paraId="7297F21D"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QL1A giao đường tránh, xã Cẩm Vịnh</w:t>
            </w:r>
          </w:p>
        </w:tc>
        <w:tc>
          <w:tcPr>
            <w:tcW w:w="2156" w:type="dxa"/>
            <w:vAlign w:val="center"/>
          </w:tcPr>
          <w:p w14:paraId="4A303A58"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Cẩm Bình</w:t>
            </w:r>
          </w:p>
        </w:tc>
      </w:tr>
      <w:tr w:rsidR="00085789" w14:paraId="468CB833" w14:textId="77777777">
        <w:trPr>
          <w:trHeight w:val="315"/>
          <w:jc w:val="center"/>
        </w:trPr>
        <w:tc>
          <w:tcPr>
            <w:tcW w:w="626" w:type="dxa"/>
            <w:vAlign w:val="center"/>
          </w:tcPr>
          <w:p w14:paraId="74360862"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12</w:t>
            </w:r>
          </w:p>
        </w:tc>
        <w:tc>
          <w:tcPr>
            <w:tcW w:w="3914" w:type="dxa"/>
            <w:vAlign w:val="center"/>
          </w:tcPr>
          <w:p w14:paraId="57EC8479" w14:textId="77777777" w:rsidR="00085789" w:rsidRDefault="00000000">
            <w:pPr>
              <w:spacing w:before="2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đường vào hầm Đèo Ngang và đường lên núi Đèo Ngang, xã Kỳ Nam</w:t>
            </w:r>
          </w:p>
        </w:tc>
        <w:tc>
          <w:tcPr>
            <w:tcW w:w="2550" w:type="dxa"/>
            <w:vAlign w:val="bottom"/>
          </w:tcPr>
          <w:p w14:paraId="27A2ECF3"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Lên hầm Đèo Ngang, xã Kỳ Nam</w:t>
            </w:r>
          </w:p>
        </w:tc>
        <w:tc>
          <w:tcPr>
            <w:tcW w:w="2156" w:type="dxa"/>
            <w:vAlign w:val="center"/>
          </w:tcPr>
          <w:p w14:paraId="3068FBB2"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Hoành Sơn</w:t>
            </w:r>
          </w:p>
        </w:tc>
      </w:tr>
      <w:tr w:rsidR="00085789" w14:paraId="4FFA2210" w14:textId="77777777">
        <w:trPr>
          <w:trHeight w:val="315"/>
          <w:jc w:val="center"/>
        </w:trPr>
        <w:tc>
          <w:tcPr>
            <w:tcW w:w="626" w:type="dxa"/>
            <w:vAlign w:val="center"/>
          </w:tcPr>
          <w:p w14:paraId="1F8362E2"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13</w:t>
            </w:r>
          </w:p>
        </w:tc>
        <w:tc>
          <w:tcPr>
            <w:tcW w:w="3914" w:type="dxa"/>
            <w:vAlign w:val="center"/>
          </w:tcPr>
          <w:p w14:paraId="0E75303A" w14:textId="77777777" w:rsidR="00085789" w:rsidRDefault="00000000">
            <w:pPr>
              <w:spacing w:before="20" w:after="40" w:line="240" w:lineRule="auto"/>
              <w:jc w:val="both"/>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Ngã ba đường xuống cảng Vũng Áng và đường vào cảng Sơn Dương, xã Kỳ Lợi</w:t>
            </w:r>
          </w:p>
        </w:tc>
        <w:tc>
          <w:tcPr>
            <w:tcW w:w="2550" w:type="dxa"/>
            <w:vAlign w:val="bottom"/>
          </w:tcPr>
          <w:p w14:paraId="40C7D66B" w14:textId="77777777" w:rsidR="00085789" w:rsidRDefault="00000000">
            <w:pPr>
              <w:spacing w:before="2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 xml:space="preserve">Đ. vào cảng Sơn Dương, xã Kỳ Lợi </w:t>
            </w:r>
          </w:p>
        </w:tc>
        <w:tc>
          <w:tcPr>
            <w:tcW w:w="2156" w:type="dxa"/>
            <w:vAlign w:val="center"/>
          </w:tcPr>
          <w:p w14:paraId="4D79AD4C" w14:textId="77777777" w:rsidR="00085789" w:rsidRDefault="00000000">
            <w:pPr>
              <w:spacing w:before="2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Vũng Áng</w:t>
            </w:r>
          </w:p>
        </w:tc>
      </w:tr>
      <w:tr w:rsidR="00085789" w14:paraId="5B73B3F7" w14:textId="77777777">
        <w:trPr>
          <w:trHeight w:val="315"/>
          <w:jc w:val="center"/>
        </w:trPr>
        <w:tc>
          <w:tcPr>
            <w:tcW w:w="626" w:type="dxa"/>
            <w:vAlign w:val="center"/>
          </w:tcPr>
          <w:p w14:paraId="49F99767"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14</w:t>
            </w:r>
          </w:p>
        </w:tc>
        <w:tc>
          <w:tcPr>
            <w:tcW w:w="3914" w:type="dxa"/>
            <w:vAlign w:val="center"/>
          </w:tcPr>
          <w:p w14:paraId="07323139"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giao Quốc lộ 1A và đường bao phía Tây, thôn Ba Đồng, P. Kỳ Phương</w:t>
            </w:r>
          </w:p>
        </w:tc>
        <w:tc>
          <w:tcPr>
            <w:tcW w:w="2550" w:type="dxa"/>
            <w:vAlign w:val="bottom"/>
          </w:tcPr>
          <w:p w14:paraId="2B971347" w14:textId="77777777" w:rsidR="00085789" w:rsidRDefault="00000000">
            <w:pPr>
              <w:spacing w:before="4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Đ. QL1A giao đường bao, P. Kỳ Phương</w:t>
            </w:r>
          </w:p>
        </w:tc>
        <w:tc>
          <w:tcPr>
            <w:tcW w:w="2156" w:type="dxa"/>
            <w:vAlign w:val="center"/>
          </w:tcPr>
          <w:p w14:paraId="5DCB4DC7" w14:textId="77777777" w:rsidR="00085789" w:rsidRDefault="00000000">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Hoành Sơn</w:t>
            </w:r>
          </w:p>
        </w:tc>
      </w:tr>
      <w:tr w:rsidR="00085789" w14:paraId="549DC924" w14:textId="77777777">
        <w:trPr>
          <w:trHeight w:val="315"/>
          <w:jc w:val="center"/>
        </w:trPr>
        <w:tc>
          <w:tcPr>
            <w:tcW w:w="626" w:type="dxa"/>
            <w:vAlign w:val="center"/>
          </w:tcPr>
          <w:p w14:paraId="00CC016C"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lastRenderedPageBreak/>
              <w:t>15</w:t>
            </w:r>
          </w:p>
        </w:tc>
        <w:tc>
          <w:tcPr>
            <w:tcW w:w="3914" w:type="dxa"/>
            <w:vAlign w:val="center"/>
          </w:tcPr>
          <w:p w14:paraId="2D5F34EC"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ba Kỳ Văn (giao Quốc lộ 1A và đường tránh thị xã Kỳ Anh), xã Kỳ Văn</w:t>
            </w:r>
          </w:p>
        </w:tc>
        <w:tc>
          <w:tcPr>
            <w:tcW w:w="2550" w:type="dxa"/>
            <w:vAlign w:val="bottom"/>
          </w:tcPr>
          <w:p w14:paraId="387E0D6A"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 QL 1A giao đường tránh, xã Kỳ Văn</w:t>
            </w:r>
          </w:p>
        </w:tc>
        <w:tc>
          <w:tcPr>
            <w:tcW w:w="2156" w:type="dxa"/>
            <w:vAlign w:val="center"/>
          </w:tcPr>
          <w:p w14:paraId="56D56C04"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Kỳ Văn</w:t>
            </w:r>
          </w:p>
        </w:tc>
      </w:tr>
      <w:tr w:rsidR="00085789" w14:paraId="1EDD5606" w14:textId="77777777">
        <w:trPr>
          <w:trHeight w:val="315"/>
          <w:jc w:val="center"/>
        </w:trPr>
        <w:tc>
          <w:tcPr>
            <w:tcW w:w="626" w:type="dxa"/>
            <w:vAlign w:val="center"/>
          </w:tcPr>
          <w:p w14:paraId="443A554D"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w:t>
            </w:r>
          </w:p>
        </w:tc>
        <w:tc>
          <w:tcPr>
            <w:tcW w:w="8620" w:type="dxa"/>
            <w:gridSpan w:val="3"/>
            <w:vAlign w:val="center"/>
          </w:tcPr>
          <w:p w14:paraId="0CE7420B" w14:textId="77777777" w:rsidR="00085789" w:rsidRDefault="00000000">
            <w:pPr>
              <w:spacing w:before="40" w:after="40" w:line="240" w:lineRule="auto"/>
              <w:jc w:val="center"/>
              <w:rPr>
                <w:rFonts w:asciiTheme="majorHAnsi" w:hAnsiTheme="majorHAnsi" w:cstheme="majorHAnsi"/>
                <w:bCs/>
                <w:spacing w:val="-8"/>
                <w:sz w:val="24"/>
                <w:szCs w:val="24"/>
                <w:lang w:val="sv-SE"/>
              </w:rPr>
            </w:pPr>
            <w:r>
              <w:rPr>
                <w:rFonts w:asciiTheme="majorHAnsi" w:hAnsiTheme="majorHAnsi" w:cstheme="majorHAnsi"/>
                <w:b/>
                <w:spacing w:val="-8"/>
                <w:sz w:val="24"/>
                <w:szCs w:val="24"/>
                <w:lang w:val="sv-SE"/>
              </w:rPr>
              <w:t>Thông tin vị trí quan trắc môi trường không khí khu vực hoạt động SX công nghiệp</w:t>
            </w:r>
          </w:p>
        </w:tc>
      </w:tr>
      <w:tr w:rsidR="00085789" w14:paraId="0C61FAD9" w14:textId="77777777">
        <w:trPr>
          <w:trHeight w:val="315"/>
          <w:jc w:val="center"/>
        </w:trPr>
        <w:tc>
          <w:tcPr>
            <w:tcW w:w="626" w:type="dxa"/>
            <w:vAlign w:val="center"/>
          </w:tcPr>
          <w:p w14:paraId="2C39D63C"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w:t>
            </w:r>
          </w:p>
        </w:tc>
        <w:tc>
          <w:tcPr>
            <w:tcW w:w="3914" w:type="dxa"/>
            <w:vAlign w:val="center"/>
          </w:tcPr>
          <w:p w14:paraId="41DC7C29"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Cụm công nghiệp Yên Huy, thôn Tràng Sơn, xã Khánh Vĩnh Yên</w:t>
            </w:r>
          </w:p>
        </w:tc>
        <w:tc>
          <w:tcPr>
            <w:tcW w:w="2550" w:type="dxa"/>
            <w:vAlign w:val="center"/>
          </w:tcPr>
          <w:p w14:paraId="42940BDC" w14:textId="77777777" w:rsidR="00085789" w:rsidRDefault="00000000">
            <w:pPr>
              <w:spacing w:before="40" w:after="40" w:line="240" w:lineRule="auto"/>
              <w:ind w:right="-163"/>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CCN Yên Huy, xã Khánh Vĩnh Yên</w:t>
            </w:r>
          </w:p>
        </w:tc>
        <w:tc>
          <w:tcPr>
            <w:tcW w:w="2156" w:type="dxa"/>
            <w:vAlign w:val="center"/>
          </w:tcPr>
          <w:p w14:paraId="4497BE07" w14:textId="77777777" w:rsidR="00085789" w:rsidRDefault="00000000">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Gia Hanh</w:t>
            </w:r>
          </w:p>
        </w:tc>
      </w:tr>
      <w:tr w:rsidR="00085789" w14:paraId="5F5034AC" w14:textId="77777777">
        <w:trPr>
          <w:trHeight w:val="315"/>
          <w:jc w:val="center"/>
        </w:trPr>
        <w:tc>
          <w:tcPr>
            <w:tcW w:w="626" w:type="dxa"/>
            <w:vAlign w:val="center"/>
          </w:tcPr>
          <w:p w14:paraId="25E10451"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2</w:t>
            </w:r>
          </w:p>
        </w:tc>
        <w:tc>
          <w:tcPr>
            <w:tcW w:w="3914" w:type="dxa"/>
            <w:vAlign w:val="center"/>
          </w:tcPr>
          <w:p w14:paraId="446F54B8"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Cụm tiểu thủ công nghiệp Cổng Khánh</w:t>
            </w:r>
          </w:p>
        </w:tc>
        <w:tc>
          <w:tcPr>
            <w:tcW w:w="2550" w:type="dxa"/>
            <w:vAlign w:val="center"/>
          </w:tcPr>
          <w:p w14:paraId="7E11E0A5" w14:textId="77777777" w:rsidR="00085789" w:rsidRDefault="00000000">
            <w:pPr>
              <w:spacing w:before="40" w:after="40" w:line="240" w:lineRule="auto"/>
              <w:ind w:right="-163"/>
              <w:rPr>
                <w:rFonts w:asciiTheme="majorHAnsi" w:hAnsiTheme="majorHAnsi" w:cstheme="majorHAnsi"/>
                <w:spacing w:val="-6"/>
                <w:sz w:val="24"/>
                <w:szCs w:val="24"/>
                <w:lang w:val="sv-SE"/>
              </w:rPr>
            </w:pPr>
            <w:r>
              <w:rPr>
                <w:rFonts w:asciiTheme="majorHAnsi" w:hAnsiTheme="majorHAnsi" w:cstheme="majorHAnsi"/>
                <w:spacing w:val="-6"/>
                <w:sz w:val="24"/>
                <w:szCs w:val="24"/>
              </w:rPr>
              <w:t>Cụm TTCN Cổng Khánh</w:t>
            </w:r>
          </w:p>
        </w:tc>
        <w:tc>
          <w:tcPr>
            <w:tcW w:w="2156" w:type="dxa"/>
            <w:vAlign w:val="center"/>
          </w:tcPr>
          <w:p w14:paraId="0EE416ED" w14:textId="77777777" w:rsidR="00085789" w:rsidRDefault="00000000">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Nam Hồng Lĩnh</w:t>
            </w:r>
          </w:p>
        </w:tc>
      </w:tr>
      <w:tr w:rsidR="00085789" w14:paraId="5A145F37" w14:textId="77777777">
        <w:trPr>
          <w:trHeight w:val="315"/>
          <w:jc w:val="center"/>
        </w:trPr>
        <w:tc>
          <w:tcPr>
            <w:tcW w:w="626" w:type="dxa"/>
            <w:vAlign w:val="center"/>
          </w:tcPr>
          <w:p w14:paraId="23019BA1"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3</w:t>
            </w:r>
          </w:p>
        </w:tc>
        <w:tc>
          <w:tcPr>
            <w:tcW w:w="3914" w:type="dxa"/>
            <w:vAlign w:val="center"/>
          </w:tcPr>
          <w:p w14:paraId="0FBC2D9B"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Làng nghề Trung Lương, phường Trung Lương</w:t>
            </w:r>
          </w:p>
        </w:tc>
        <w:tc>
          <w:tcPr>
            <w:tcW w:w="2550" w:type="dxa"/>
            <w:vAlign w:val="center"/>
          </w:tcPr>
          <w:p w14:paraId="412E5D0A" w14:textId="77777777" w:rsidR="00085789" w:rsidRDefault="00000000">
            <w:pPr>
              <w:spacing w:before="40" w:after="40" w:line="240" w:lineRule="auto"/>
              <w:ind w:right="-21"/>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Làng nghề Trung Lương, P. Trung Lương</w:t>
            </w:r>
          </w:p>
        </w:tc>
        <w:tc>
          <w:tcPr>
            <w:tcW w:w="2156" w:type="dxa"/>
            <w:vAlign w:val="center"/>
          </w:tcPr>
          <w:p w14:paraId="2AB41849"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Bắc Hồng Lĩnh</w:t>
            </w:r>
          </w:p>
        </w:tc>
      </w:tr>
      <w:tr w:rsidR="00085789" w14:paraId="2543A10F" w14:textId="77777777">
        <w:trPr>
          <w:trHeight w:val="315"/>
          <w:jc w:val="center"/>
        </w:trPr>
        <w:tc>
          <w:tcPr>
            <w:tcW w:w="626" w:type="dxa"/>
            <w:vAlign w:val="center"/>
          </w:tcPr>
          <w:p w14:paraId="5A95B1BF"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4</w:t>
            </w:r>
          </w:p>
        </w:tc>
        <w:tc>
          <w:tcPr>
            <w:tcW w:w="3914" w:type="dxa"/>
            <w:vAlign w:val="center"/>
          </w:tcPr>
          <w:p w14:paraId="3BD0D463"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Cụm Công nghiệp Nam Hồng (đoạn trước nhà máy sợi)</w:t>
            </w:r>
          </w:p>
        </w:tc>
        <w:tc>
          <w:tcPr>
            <w:tcW w:w="2550" w:type="dxa"/>
            <w:vAlign w:val="center"/>
          </w:tcPr>
          <w:p w14:paraId="5570B84C" w14:textId="77777777" w:rsidR="00085789" w:rsidRDefault="00000000">
            <w:pPr>
              <w:spacing w:before="4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CCN Nam Hồng, P. Nam Hồng</w:t>
            </w:r>
          </w:p>
        </w:tc>
        <w:tc>
          <w:tcPr>
            <w:tcW w:w="2156" w:type="dxa"/>
            <w:vAlign w:val="center"/>
          </w:tcPr>
          <w:p w14:paraId="605B2FBF" w14:textId="77777777" w:rsidR="00085789" w:rsidRDefault="00000000">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Phường Nam Hồng Lĩnh</w:t>
            </w:r>
          </w:p>
        </w:tc>
      </w:tr>
      <w:tr w:rsidR="00085789" w14:paraId="205DC66F" w14:textId="77777777">
        <w:trPr>
          <w:trHeight w:val="315"/>
          <w:jc w:val="center"/>
        </w:trPr>
        <w:tc>
          <w:tcPr>
            <w:tcW w:w="626" w:type="dxa"/>
            <w:vAlign w:val="center"/>
          </w:tcPr>
          <w:p w14:paraId="2E867ACA"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5</w:t>
            </w:r>
          </w:p>
        </w:tc>
        <w:tc>
          <w:tcPr>
            <w:tcW w:w="3914" w:type="dxa"/>
            <w:vAlign w:val="center"/>
          </w:tcPr>
          <w:p w14:paraId="78217604"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vào làng nghề Thái Yên, xã Thanh Bình Thịnh (cụm sản xuất tiểu thủ công nghiệp tập trung Thái Yên)</w:t>
            </w:r>
          </w:p>
        </w:tc>
        <w:tc>
          <w:tcPr>
            <w:tcW w:w="2550" w:type="dxa"/>
            <w:vAlign w:val="center"/>
          </w:tcPr>
          <w:p w14:paraId="36B9611A"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CCN nghề Thái Yên, xã Thanh Bình Thịnh</w:t>
            </w:r>
          </w:p>
        </w:tc>
        <w:tc>
          <w:tcPr>
            <w:tcW w:w="2156" w:type="dxa"/>
            <w:vAlign w:val="center"/>
          </w:tcPr>
          <w:p w14:paraId="00CF00C9"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Đức Thịnh</w:t>
            </w:r>
          </w:p>
        </w:tc>
      </w:tr>
      <w:tr w:rsidR="00085789" w14:paraId="06EDE6D3" w14:textId="77777777">
        <w:trPr>
          <w:trHeight w:val="315"/>
          <w:jc w:val="center"/>
        </w:trPr>
        <w:tc>
          <w:tcPr>
            <w:tcW w:w="626" w:type="dxa"/>
            <w:vAlign w:val="center"/>
          </w:tcPr>
          <w:p w14:paraId="489258A2"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6</w:t>
            </w:r>
          </w:p>
        </w:tc>
        <w:tc>
          <w:tcPr>
            <w:tcW w:w="3914" w:type="dxa"/>
            <w:vAlign w:val="center"/>
          </w:tcPr>
          <w:p w14:paraId="315F08B2"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Khu công nghiệp Gia Lách, thị trấn Xuân An</w:t>
            </w:r>
          </w:p>
        </w:tc>
        <w:tc>
          <w:tcPr>
            <w:tcW w:w="2550" w:type="dxa"/>
            <w:vAlign w:val="center"/>
          </w:tcPr>
          <w:p w14:paraId="25DD5B8C" w14:textId="77777777" w:rsidR="00085789" w:rsidRDefault="00000000">
            <w:pPr>
              <w:spacing w:before="40" w:after="40" w:line="240" w:lineRule="auto"/>
              <w:rPr>
                <w:rFonts w:asciiTheme="majorHAnsi" w:hAnsiTheme="majorHAnsi" w:cstheme="majorHAnsi"/>
                <w:spacing w:val="-4"/>
                <w:sz w:val="24"/>
                <w:szCs w:val="24"/>
              </w:rPr>
            </w:pPr>
            <w:r>
              <w:rPr>
                <w:rFonts w:asciiTheme="majorHAnsi" w:hAnsiTheme="majorHAnsi" w:cstheme="majorHAnsi"/>
                <w:spacing w:val="-4"/>
                <w:sz w:val="24"/>
                <w:szCs w:val="24"/>
              </w:rPr>
              <w:t>KCN Gia Lách, TT. Xuân An</w:t>
            </w:r>
          </w:p>
        </w:tc>
        <w:tc>
          <w:tcPr>
            <w:tcW w:w="2156" w:type="dxa"/>
            <w:vAlign w:val="center"/>
          </w:tcPr>
          <w:p w14:paraId="380DDD41" w14:textId="77777777" w:rsidR="00085789" w:rsidRDefault="00000000">
            <w:pPr>
              <w:spacing w:before="40" w:after="4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Xã Nghi Xuân</w:t>
            </w:r>
          </w:p>
        </w:tc>
      </w:tr>
      <w:tr w:rsidR="00085789" w14:paraId="61C2FB39" w14:textId="77777777">
        <w:trPr>
          <w:trHeight w:val="315"/>
          <w:jc w:val="center"/>
        </w:trPr>
        <w:tc>
          <w:tcPr>
            <w:tcW w:w="626" w:type="dxa"/>
            <w:vAlign w:val="center"/>
          </w:tcPr>
          <w:p w14:paraId="6FBCE8D1"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7</w:t>
            </w:r>
          </w:p>
        </w:tc>
        <w:tc>
          <w:tcPr>
            <w:tcW w:w="3914" w:type="dxa"/>
            <w:vAlign w:val="center"/>
          </w:tcPr>
          <w:p w14:paraId="3D3C94A9"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Chợ cá Thạch Kim, xã Thạch Kim</w:t>
            </w:r>
          </w:p>
        </w:tc>
        <w:tc>
          <w:tcPr>
            <w:tcW w:w="2550" w:type="dxa"/>
            <w:vAlign w:val="center"/>
          </w:tcPr>
          <w:p w14:paraId="581FDF40"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Cảng cá Thạch Kim, xã Thạch Kim</w:t>
            </w:r>
          </w:p>
        </w:tc>
        <w:tc>
          <w:tcPr>
            <w:tcW w:w="2156" w:type="dxa"/>
            <w:vAlign w:val="center"/>
          </w:tcPr>
          <w:p w14:paraId="59C47B81"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Lộc Hà</w:t>
            </w:r>
          </w:p>
        </w:tc>
      </w:tr>
      <w:tr w:rsidR="00085789" w14:paraId="4B4E5DC8" w14:textId="77777777">
        <w:trPr>
          <w:trHeight w:val="315"/>
          <w:jc w:val="center"/>
        </w:trPr>
        <w:tc>
          <w:tcPr>
            <w:tcW w:w="626" w:type="dxa"/>
            <w:vAlign w:val="center"/>
          </w:tcPr>
          <w:p w14:paraId="102CA11C"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8</w:t>
            </w:r>
          </w:p>
        </w:tc>
        <w:tc>
          <w:tcPr>
            <w:tcW w:w="3914" w:type="dxa"/>
            <w:vAlign w:val="center"/>
          </w:tcPr>
          <w:p w14:paraId="1B2D7C20"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Khu vực xây dựng Khu công nghiệp Đại Kim, xã Sơn Kim 1</w:t>
            </w:r>
          </w:p>
        </w:tc>
        <w:tc>
          <w:tcPr>
            <w:tcW w:w="2550" w:type="dxa"/>
            <w:vAlign w:val="center"/>
          </w:tcPr>
          <w:p w14:paraId="3AFFA002"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KCN Đại Kim, xã Sơn Kim 1</w:t>
            </w:r>
          </w:p>
        </w:tc>
        <w:tc>
          <w:tcPr>
            <w:tcW w:w="2156" w:type="dxa"/>
            <w:vAlign w:val="center"/>
          </w:tcPr>
          <w:p w14:paraId="7BAA3208"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Sơn Kim 1</w:t>
            </w:r>
          </w:p>
        </w:tc>
      </w:tr>
      <w:tr w:rsidR="00085789" w14:paraId="11E91216" w14:textId="77777777">
        <w:trPr>
          <w:trHeight w:val="315"/>
          <w:jc w:val="center"/>
        </w:trPr>
        <w:tc>
          <w:tcPr>
            <w:tcW w:w="626" w:type="dxa"/>
            <w:vAlign w:val="center"/>
          </w:tcPr>
          <w:p w14:paraId="1870ABAF"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9</w:t>
            </w:r>
          </w:p>
        </w:tc>
        <w:tc>
          <w:tcPr>
            <w:tcW w:w="3914" w:type="dxa"/>
            <w:vAlign w:val="center"/>
          </w:tcPr>
          <w:p w14:paraId="35770CE0"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 xml:space="preserve">Cụm CN Vũ Quang (thôn 1, xã Thọ Điền) </w:t>
            </w:r>
          </w:p>
        </w:tc>
        <w:tc>
          <w:tcPr>
            <w:tcW w:w="2550" w:type="dxa"/>
            <w:vAlign w:val="center"/>
          </w:tcPr>
          <w:p w14:paraId="3335BEF9"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CCN Vũ Quang, xã Thọ Điền</w:t>
            </w:r>
          </w:p>
        </w:tc>
        <w:tc>
          <w:tcPr>
            <w:tcW w:w="2156" w:type="dxa"/>
            <w:vAlign w:val="center"/>
          </w:tcPr>
          <w:p w14:paraId="2FEC28E1"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Vũ Quang</w:t>
            </w:r>
          </w:p>
        </w:tc>
      </w:tr>
      <w:tr w:rsidR="00085789" w14:paraId="4F973060" w14:textId="77777777">
        <w:trPr>
          <w:trHeight w:val="315"/>
          <w:jc w:val="center"/>
        </w:trPr>
        <w:tc>
          <w:tcPr>
            <w:tcW w:w="626" w:type="dxa"/>
            <w:vAlign w:val="center"/>
          </w:tcPr>
          <w:p w14:paraId="3567A15F"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10</w:t>
            </w:r>
          </w:p>
        </w:tc>
        <w:tc>
          <w:tcPr>
            <w:tcW w:w="3914" w:type="dxa"/>
            <w:vAlign w:val="center"/>
          </w:tcPr>
          <w:p w14:paraId="63A68902"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vào Nhà máy xử lý rác Cẩm Quan, xã Cẩm Quan</w:t>
            </w:r>
          </w:p>
        </w:tc>
        <w:tc>
          <w:tcPr>
            <w:tcW w:w="2550" w:type="dxa"/>
            <w:vAlign w:val="center"/>
          </w:tcPr>
          <w:p w14:paraId="06E30738"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vào NM XLRSH Cẩm Quan</w:t>
            </w:r>
          </w:p>
        </w:tc>
        <w:tc>
          <w:tcPr>
            <w:tcW w:w="2156" w:type="dxa"/>
            <w:vAlign w:val="center"/>
          </w:tcPr>
          <w:p w14:paraId="4E989BA0"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Xã Cẩm Xuyên</w:t>
            </w:r>
          </w:p>
        </w:tc>
      </w:tr>
      <w:tr w:rsidR="00085789" w14:paraId="245A5FCC" w14:textId="77777777">
        <w:trPr>
          <w:trHeight w:val="315"/>
          <w:jc w:val="center"/>
        </w:trPr>
        <w:tc>
          <w:tcPr>
            <w:tcW w:w="626" w:type="dxa"/>
            <w:vAlign w:val="center"/>
          </w:tcPr>
          <w:p w14:paraId="7627B840"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11</w:t>
            </w:r>
          </w:p>
        </w:tc>
        <w:tc>
          <w:tcPr>
            <w:tcW w:w="3914" w:type="dxa"/>
            <w:vAlign w:val="center"/>
          </w:tcPr>
          <w:p w14:paraId="6CD4663C"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Vũng Áng, phường Kỳ Trinh</w:t>
            </w:r>
          </w:p>
        </w:tc>
        <w:tc>
          <w:tcPr>
            <w:tcW w:w="2550" w:type="dxa"/>
            <w:vAlign w:val="center"/>
          </w:tcPr>
          <w:p w14:paraId="2B62F6B9" w14:textId="77777777" w:rsidR="00085789" w:rsidRDefault="00000000">
            <w:pPr>
              <w:spacing w:before="40" w:after="40" w:line="240" w:lineRule="auto"/>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tư Vũng Áng, P. Kỳ Thịnh</w:t>
            </w:r>
          </w:p>
        </w:tc>
        <w:tc>
          <w:tcPr>
            <w:tcW w:w="2156" w:type="dxa"/>
            <w:vAlign w:val="center"/>
          </w:tcPr>
          <w:p w14:paraId="0E9FD27B"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Vũng Áng</w:t>
            </w:r>
          </w:p>
        </w:tc>
      </w:tr>
      <w:tr w:rsidR="00085789" w14:paraId="2F751366" w14:textId="77777777">
        <w:trPr>
          <w:trHeight w:val="315"/>
          <w:jc w:val="center"/>
        </w:trPr>
        <w:tc>
          <w:tcPr>
            <w:tcW w:w="626" w:type="dxa"/>
            <w:vAlign w:val="center"/>
          </w:tcPr>
          <w:p w14:paraId="3A19E7E8"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12</w:t>
            </w:r>
          </w:p>
        </w:tc>
        <w:tc>
          <w:tcPr>
            <w:tcW w:w="3914" w:type="dxa"/>
            <w:vAlign w:val="center"/>
          </w:tcPr>
          <w:p w14:paraId="0EE27E1C" w14:textId="77777777" w:rsidR="00085789" w:rsidRDefault="00000000">
            <w:pPr>
              <w:spacing w:before="40" w:after="40" w:line="240" w:lineRule="auto"/>
              <w:jc w:val="both"/>
              <w:rPr>
                <w:rFonts w:asciiTheme="majorHAnsi" w:hAnsiTheme="majorHAnsi" w:cstheme="majorHAnsi"/>
                <w:spacing w:val="-8"/>
                <w:sz w:val="24"/>
                <w:szCs w:val="24"/>
                <w:lang w:val="sv-SE"/>
              </w:rPr>
            </w:pPr>
            <w:r>
              <w:rPr>
                <w:rFonts w:asciiTheme="majorHAnsi" w:hAnsiTheme="majorHAnsi" w:cstheme="majorHAnsi"/>
                <w:spacing w:val="-8"/>
                <w:sz w:val="24"/>
                <w:szCs w:val="24"/>
                <w:lang w:val="sv-SE"/>
              </w:rPr>
              <w:t>Quốc lộ 1A giao với đường vào cổng chính Công ty Formosa; phường Kỳ Liên</w:t>
            </w:r>
          </w:p>
        </w:tc>
        <w:tc>
          <w:tcPr>
            <w:tcW w:w="2550" w:type="dxa"/>
            <w:vAlign w:val="center"/>
          </w:tcPr>
          <w:p w14:paraId="220CAEF2"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Cổng chính Formosa, P. Kỳ Liên</w:t>
            </w:r>
          </w:p>
        </w:tc>
        <w:tc>
          <w:tcPr>
            <w:tcW w:w="2156" w:type="dxa"/>
            <w:vAlign w:val="center"/>
          </w:tcPr>
          <w:p w14:paraId="5BA04B49"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Hoành Sơn</w:t>
            </w:r>
          </w:p>
        </w:tc>
      </w:tr>
      <w:tr w:rsidR="00085789" w14:paraId="5DA44041" w14:textId="77777777">
        <w:trPr>
          <w:trHeight w:val="315"/>
          <w:jc w:val="center"/>
        </w:trPr>
        <w:tc>
          <w:tcPr>
            <w:tcW w:w="626" w:type="dxa"/>
            <w:vAlign w:val="center"/>
          </w:tcPr>
          <w:p w14:paraId="39760EC4"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13</w:t>
            </w:r>
          </w:p>
        </w:tc>
        <w:tc>
          <w:tcPr>
            <w:tcW w:w="3914" w:type="dxa"/>
            <w:vAlign w:val="center"/>
          </w:tcPr>
          <w:p w14:paraId="01213F76"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Gần cổng chính vào cụm Công nghiệp Kỳ Hưng, phường Hưng Trí</w:t>
            </w:r>
          </w:p>
        </w:tc>
        <w:tc>
          <w:tcPr>
            <w:tcW w:w="2550" w:type="dxa"/>
            <w:vAlign w:val="center"/>
          </w:tcPr>
          <w:p w14:paraId="738C4591"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CCN Kỳ Hưng, P. Hưng Trí</w:t>
            </w:r>
          </w:p>
        </w:tc>
        <w:tc>
          <w:tcPr>
            <w:tcW w:w="2156" w:type="dxa"/>
            <w:vAlign w:val="center"/>
          </w:tcPr>
          <w:p w14:paraId="6755B240"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Sông Trí</w:t>
            </w:r>
          </w:p>
        </w:tc>
      </w:tr>
      <w:tr w:rsidR="00085789" w14:paraId="1AA95B1C" w14:textId="77777777">
        <w:trPr>
          <w:trHeight w:val="315"/>
          <w:jc w:val="center"/>
        </w:trPr>
        <w:tc>
          <w:tcPr>
            <w:tcW w:w="626" w:type="dxa"/>
            <w:vAlign w:val="center"/>
          </w:tcPr>
          <w:p w14:paraId="0141D2E3"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14</w:t>
            </w:r>
          </w:p>
        </w:tc>
        <w:tc>
          <w:tcPr>
            <w:tcW w:w="3914" w:type="dxa"/>
            <w:vAlign w:val="center"/>
          </w:tcPr>
          <w:p w14:paraId="5543F6B3"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Đường bao phía Tây tại điểm giao với đường nối Quốc lộ 1A (gần khu công nghiệp Phú Vinh), phường Kỳ Liên</w:t>
            </w:r>
          </w:p>
        </w:tc>
        <w:tc>
          <w:tcPr>
            <w:tcW w:w="2550" w:type="dxa"/>
            <w:vAlign w:val="center"/>
          </w:tcPr>
          <w:p w14:paraId="2B5C1FA0"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Điểm vào KCN Phú Vinh, P. Kỳ Liên</w:t>
            </w:r>
          </w:p>
        </w:tc>
        <w:tc>
          <w:tcPr>
            <w:tcW w:w="2156" w:type="dxa"/>
            <w:vAlign w:val="center"/>
          </w:tcPr>
          <w:p w14:paraId="0835FFF7"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Hoành Sơn</w:t>
            </w:r>
          </w:p>
        </w:tc>
      </w:tr>
      <w:tr w:rsidR="00085789" w14:paraId="027AF0D8" w14:textId="77777777">
        <w:trPr>
          <w:trHeight w:val="315"/>
          <w:jc w:val="center"/>
        </w:trPr>
        <w:tc>
          <w:tcPr>
            <w:tcW w:w="626" w:type="dxa"/>
            <w:vAlign w:val="center"/>
          </w:tcPr>
          <w:p w14:paraId="6E18F35F" w14:textId="77777777" w:rsidR="00085789" w:rsidRDefault="00000000">
            <w:pPr>
              <w:spacing w:before="20" w:after="4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15</w:t>
            </w:r>
          </w:p>
        </w:tc>
        <w:tc>
          <w:tcPr>
            <w:tcW w:w="3914" w:type="dxa"/>
            <w:vAlign w:val="center"/>
          </w:tcPr>
          <w:p w14:paraId="4E3D782D" w14:textId="77777777" w:rsidR="00085789" w:rsidRDefault="00000000">
            <w:pPr>
              <w:spacing w:before="40" w:after="40" w:line="240" w:lineRule="auto"/>
              <w:ind w:right="6"/>
              <w:jc w:val="both"/>
              <w:rPr>
                <w:rFonts w:asciiTheme="majorHAnsi" w:hAnsiTheme="majorHAnsi" w:cstheme="majorHAnsi"/>
                <w:spacing w:val="-6"/>
                <w:sz w:val="24"/>
                <w:szCs w:val="24"/>
                <w:lang w:val="sv-SE"/>
              </w:rPr>
            </w:pPr>
            <w:r>
              <w:rPr>
                <w:rFonts w:asciiTheme="majorHAnsi" w:hAnsiTheme="majorHAnsi" w:cstheme="majorHAnsi"/>
                <w:spacing w:val="-6"/>
                <w:sz w:val="24"/>
                <w:szCs w:val="24"/>
                <w:lang w:val="sv-SE"/>
              </w:rPr>
              <w:t>Tại ngã ba đường giữa Tổng kho khí hóa lỏng và cầu cảng xuất nhập xăng dầu, xã Kỳ Lợi</w:t>
            </w:r>
          </w:p>
        </w:tc>
        <w:tc>
          <w:tcPr>
            <w:tcW w:w="2550" w:type="dxa"/>
            <w:vAlign w:val="center"/>
          </w:tcPr>
          <w:p w14:paraId="27382925" w14:textId="77777777" w:rsidR="00085789" w:rsidRDefault="00000000">
            <w:pPr>
              <w:spacing w:before="40" w:after="40" w:line="240" w:lineRule="auto"/>
              <w:jc w:val="both"/>
              <w:rPr>
                <w:rFonts w:asciiTheme="majorHAnsi" w:hAnsiTheme="majorHAnsi" w:cstheme="majorHAnsi"/>
                <w:spacing w:val="-4"/>
                <w:sz w:val="24"/>
                <w:szCs w:val="24"/>
                <w:lang w:val="sv-SE"/>
              </w:rPr>
            </w:pPr>
            <w:r>
              <w:rPr>
                <w:rFonts w:asciiTheme="majorHAnsi" w:hAnsiTheme="majorHAnsi" w:cstheme="majorHAnsi"/>
                <w:spacing w:val="-4"/>
                <w:sz w:val="24"/>
                <w:szCs w:val="24"/>
                <w:lang w:val="sv-SE"/>
              </w:rPr>
              <w:t>Ngã 3 cầu cảng xăng dầu, xã Kỳ Lợi</w:t>
            </w:r>
          </w:p>
        </w:tc>
        <w:tc>
          <w:tcPr>
            <w:tcW w:w="2156" w:type="dxa"/>
            <w:vAlign w:val="center"/>
          </w:tcPr>
          <w:p w14:paraId="308F3F44" w14:textId="77777777" w:rsidR="00085789" w:rsidRDefault="00000000">
            <w:pPr>
              <w:spacing w:before="40" w:after="4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Phường Vũng Áng</w:t>
            </w:r>
          </w:p>
        </w:tc>
      </w:tr>
      <w:bookmarkEnd w:id="867"/>
    </w:tbl>
    <w:p w14:paraId="4176397A" w14:textId="77777777" w:rsidR="00085789" w:rsidRDefault="00085789">
      <w:pPr>
        <w:spacing w:line="320" w:lineRule="exact"/>
        <w:jc w:val="both"/>
        <w:rPr>
          <w:spacing w:val="-2"/>
          <w:sz w:val="20"/>
          <w:szCs w:val="20"/>
          <w:shd w:val="clear" w:color="auto" w:fill="FFFFFF"/>
          <w:lang w:val="sv-SE"/>
        </w:rPr>
      </w:pPr>
    </w:p>
    <w:p w14:paraId="6F87E133" w14:textId="77777777" w:rsidR="00085789" w:rsidRDefault="00000000">
      <w:pPr>
        <w:spacing w:line="240" w:lineRule="auto"/>
        <w:jc w:val="both"/>
        <w:rPr>
          <w:sz w:val="26"/>
          <w:szCs w:val="26"/>
          <w:lang w:val="sv-SE"/>
        </w:rPr>
      </w:pPr>
      <w:r>
        <w:rPr>
          <w:spacing w:val="-2"/>
          <w:sz w:val="26"/>
          <w:szCs w:val="26"/>
          <w:shd w:val="clear" w:color="auto" w:fill="FFFFFF"/>
          <w:lang w:val="sv-SE"/>
        </w:rPr>
        <w:tab/>
        <w:t>Diễn biến chất lượng môi trường không khí tại các điểm nóng của hoạt động phát triển KT-XH trên địa bàn tỉnh được tổng hợp chi tiết dưới đây:</w:t>
      </w:r>
    </w:p>
    <w:p w14:paraId="4AD7573D" w14:textId="77777777" w:rsidR="00085789" w:rsidRDefault="00085789">
      <w:pPr>
        <w:spacing w:line="240" w:lineRule="auto"/>
        <w:jc w:val="both"/>
        <w:rPr>
          <w:spacing w:val="-2"/>
          <w:sz w:val="26"/>
          <w:szCs w:val="26"/>
          <w:shd w:val="clear" w:color="auto" w:fill="FFFFFF"/>
          <w:lang w:val="nl-NL"/>
        </w:rPr>
        <w:sectPr w:rsidR="00085789">
          <w:pgSz w:w="11909" w:h="16834" w:code="9"/>
          <w:pgMar w:top="1134" w:right="1134" w:bottom="1134" w:left="1701" w:header="680" w:footer="340" w:gutter="0"/>
          <w:cols w:space="720"/>
          <w:docGrid w:linePitch="381"/>
        </w:sectPr>
      </w:pPr>
    </w:p>
    <w:p w14:paraId="423AA6C9" w14:textId="77777777" w:rsidR="00085789" w:rsidRDefault="00000000">
      <w:pPr>
        <w:pStyle w:val="bac2"/>
        <w:spacing w:before="120" w:after="0" w:line="240" w:lineRule="auto"/>
        <w:rPr>
          <w:smallCaps/>
          <w:lang w:val="nl-NL"/>
        </w:rPr>
      </w:pPr>
      <w:bookmarkStart w:id="868" w:name="_Toc214311252"/>
      <w:r>
        <w:rPr>
          <w:lang w:val="nl-NL"/>
        </w:rPr>
        <w:lastRenderedPageBreak/>
        <w:t>4.2.1. Diễn biến chất lượng môi trường không khí khu vực đô thị</w:t>
      </w:r>
      <w:bookmarkEnd w:id="868"/>
      <w:r>
        <w:rPr>
          <w:lang w:val="nl-NL"/>
        </w:rPr>
        <w:t xml:space="preserve"> </w:t>
      </w:r>
    </w:p>
    <w:p w14:paraId="5F1D4EE0" w14:textId="77777777" w:rsidR="00085789" w:rsidRDefault="00000000">
      <w:pPr>
        <w:spacing w:before="120" w:line="240" w:lineRule="auto"/>
        <w:ind w:firstLine="720"/>
        <w:jc w:val="both"/>
        <w:rPr>
          <w:sz w:val="26"/>
          <w:szCs w:val="26"/>
          <w:lang w:val="nl-NL"/>
        </w:rPr>
      </w:pPr>
      <w:r>
        <w:rPr>
          <w:sz w:val="26"/>
          <w:szCs w:val="26"/>
          <w:lang w:val="nl-NL"/>
        </w:rPr>
        <w:t>Hiện nay, tốc độ đô thị hóa trên địa bàn tỉnh diễn ra nhanh, kéo theo đó là những tác động tới môi trường không khí do mức độ bê tông hóa, lượng phương tiện di chuyển và các hoạt động phát triển KT-XH khác. Căn cứ vào số liệu đo đạc môi trường không khí tại 26 điểm khu vực đô thị, tập trung đông dân cư từ năm 2021 đến nay, xác định cụ thể diễn biến chất lượng môi trường không khí như sau:</w:t>
      </w:r>
    </w:p>
    <w:p w14:paraId="0267C9C3"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tổng bụi lơ lửng (TSP) trong môi trường không khí khu vực đô thị </w:t>
      </w:r>
      <w:r>
        <w:rPr>
          <w:b/>
          <w:noProof/>
          <w:spacing w:val="-4"/>
          <w:sz w:val="26"/>
          <w:szCs w:val="26"/>
          <w:lang w:val="pt-BR"/>
        </w:rPr>
        <w:t>từ năm 2021-Quý II/2025</w:t>
      </w:r>
      <w:r>
        <w:rPr>
          <w:b/>
          <w:noProof/>
          <w:spacing w:val="-4"/>
          <w:sz w:val="26"/>
          <w:szCs w:val="26"/>
          <w:lang w:val="nl-NL"/>
        </w:rPr>
        <w:t>:</w:t>
      </w:r>
    </w:p>
    <w:p w14:paraId="62B3DDE8" w14:textId="77777777" w:rsidR="00085789" w:rsidRDefault="00000000">
      <w:pPr>
        <w:spacing w:line="240" w:lineRule="auto"/>
        <w:jc w:val="both"/>
        <w:rPr>
          <w:noProof/>
          <w:sz w:val="26"/>
          <w:szCs w:val="26"/>
          <w:lang w:val="nl-NL"/>
        </w:rPr>
      </w:pPr>
      <w:r>
        <w:rPr>
          <w:noProof/>
        </w:rPr>
        <w:drawing>
          <wp:inline distT="0" distB="0" distL="0" distR="0" wp14:anchorId="7B70269A" wp14:editId="1885E60C">
            <wp:extent cx="9186545" cy="2484408"/>
            <wp:effectExtent l="0" t="0" r="14605" b="11430"/>
            <wp:docPr id="1512504965" name="Chart 1">
              <a:extLst xmlns:a="http://schemas.openxmlformats.org/drawingml/2006/main">
                <a:ext uri="{FF2B5EF4-FFF2-40B4-BE49-F238E27FC236}">
                  <a16:creationId xmlns:a16="http://schemas.microsoft.com/office/drawing/2014/main" id="{08D8D95A-8336-4F14-8F20-4CE687804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29550399" w14:textId="77777777" w:rsidR="00085789" w:rsidRDefault="00000000">
      <w:pPr>
        <w:pStyle w:val="-bac4"/>
        <w:rPr>
          <w:lang w:val="nl-NL"/>
        </w:rPr>
      </w:pPr>
      <w:bookmarkStart w:id="869" w:name="_Toc205915806"/>
      <w:bookmarkStart w:id="870" w:name="_Toc213597499"/>
      <w:bookmarkStart w:id="871" w:name="_Toc213600838"/>
      <w:r>
        <w:rPr>
          <w:lang w:val="nl-NL"/>
        </w:rPr>
        <w:t xml:space="preserve">Hình 4.1. Diễn biến tổng bụi lơ lửng (TSP) trong môi trường không khí khu vực đô thị </w:t>
      </w:r>
      <w:r>
        <w:rPr>
          <w:noProof/>
          <w:spacing w:val="-4"/>
          <w:lang w:val="pt-BR"/>
        </w:rPr>
        <w:t>từ năm 2021-Quý II/2025</w:t>
      </w:r>
      <w:bookmarkEnd w:id="869"/>
      <w:bookmarkEnd w:id="870"/>
      <w:bookmarkEnd w:id="871"/>
    </w:p>
    <w:p w14:paraId="3D77C7CB"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7388DF7"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Năm 2021, tổng bụi lơ lửng (TSP) trong môi trường không khí khu vực đô thị về cơ bản đáp ứng quy chuẩn cho phép theo QCVN 05:2013/BTNMT</w:t>
      </w:r>
      <w:r>
        <w:rPr>
          <w:noProof/>
          <w:spacing w:val="-2"/>
          <w:sz w:val="26"/>
          <w:szCs w:val="26"/>
          <w:lang w:val="nl-NL"/>
        </w:rPr>
        <w:t>, riêng khu vực Ngã ba Gia Lách vượt quy chuẩn nhưng mức rượt rất nhỏ (1,006) lần. Năm 2022, tổng bụi lơ lửng (TSP)</w:t>
      </w:r>
      <w:r>
        <w:rPr>
          <w:noProof/>
          <w:spacing w:val="-6"/>
          <w:sz w:val="26"/>
          <w:szCs w:val="26"/>
          <w:lang w:val="nl-NL"/>
        </w:rPr>
        <w:t xml:space="preserve"> trong môi trường không khí</w:t>
      </w:r>
      <w:r>
        <w:rPr>
          <w:noProof/>
          <w:spacing w:val="-2"/>
          <w:sz w:val="26"/>
          <w:szCs w:val="26"/>
          <w:lang w:val="nl-NL"/>
        </w:rPr>
        <w:t xml:space="preserve"> khu vực đô thị đều dưới ngưỡng cho phép theo QCVN 05:2013/BTNMT</w:t>
      </w:r>
      <w:r>
        <w:rPr>
          <w:noProof/>
          <w:sz w:val="26"/>
          <w:szCs w:val="26"/>
          <w:lang w:val="nl-NL"/>
        </w:rPr>
        <w:t>.</w:t>
      </w:r>
    </w:p>
    <w:p w14:paraId="0FAB00B2"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2"/>
          <w:sz w:val="26"/>
          <w:szCs w:val="26"/>
          <w:lang w:val="nl-NL"/>
        </w:rPr>
        <w:t xml:space="preserve">tổng bụi lơ lửng (TSP) </w:t>
      </w:r>
      <w:r>
        <w:rPr>
          <w:noProof/>
          <w:spacing w:val="-6"/>
          <w:sz w:val="26"/>
          <w:szCs w:val="26"/>
          <w:lang w:val="nl-NL"/>
        </w:rPr>
        <w:t xml:space="preserve">trong môi trường không khí </w:t>
      </w:r>
      <w:r>
        <w:rPr>
          <w:noProof/>
          <w:spacing w:val="-2"/>
          <w:sz w:val="26"/>
          <w:szCs w:val="26"/>
          <w:lang w:val="nl-NL"/>
        </w:rPr>
        <w:t>khu vực đô thị đều dưới ngưỡng cho phép theo QCVN 05:2023/BTNMT</w:t>
      </w:r>
      <w:r>
        <w:rPr>
          <w:noProof/>
          <w:sz w:val="26"/>
          <w:szCs w:val="26"/>
          <w:lang w:val="nl-NL"/>
        </w:rPr>
        <w:t>. Tuy nhiên, một số khu vực như cổng chợ tỉnh, ngã 4 Đậu Liêu, ngã 3 Bãi vọt, ngã 3 Việt Lào có TSP khá cao, điều này cho thấy các khu vực có hoạt động sinh hoạt, giao thông đô thị với mật độ cao thì TSP trong không khí ở mức cao. Khuyến cáo đeo khẩu trang trong các hoạt động công cộng những khu vực này.</w:t>
      </w:r>
    </w:p>
    <w:p w14:paraId="2E46567A"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(2) Diễn biến nồng độ lưu huỳnh dioxit (SO</w:t>
      </w:r>
      <w:r>
        <w:rPr>
          <w:b/>
          <w:noProof/>
          <w:spacing w:val="-4"/>
          <w:sz w:val="26"/>
          <w:szCs w:val="26"/>
          <w:vertAlign w:val="subscript"/>
          <w:lang w:val="nl-NL"/>
        </w:rPr>
        <w:t>2</w:t>
      </w:r>
      <w:r>
        <w:rPr>
          <w:b/>
          <w:noProof/>
          <w:spacing w:val="-4"/>
          <w:sz w:val="26"/>
          <w:szCs w:val="26"/>
          <w:lang w:val="nl-NL"/>
        </w:rPr>
        <w:t xml:space="preserve">) trong môi trường không khí khu vực đô thị </w:t>
      </w:r>
      <w:r>
        <w:rPr>
          <w:b/>
          <w:noProof/>
          <w:spacing w:val="-4"/>
          <w:sz w:val="26"/>
          <w:szCs w:val="26"/>
          <w:lang w:val="pt-BR"/>
        </w:rPr>
        <w:t>từ năm 2021-Quý II/2025</w:t>
      </w:r>
      <w:r>
        <w:rPr>
          <w:b/>
          <w:noProof/>
          <w:spacing w:val="-4"/>
          <w:sz w:val="26"/>
          <w:szCs w:val="26"/>
          <w:lang w:val="nl-NL"/>
        </w:rPr>
        <w:t>:</w:t>
      </w:r>
    </w:p>
    <w:p w14:paraId="5B70476F" w14:textId="77777777" w:rsidR="00085789" w:rsidRDefault="00000000">
      <w:pPr>
        <w:spacing w:line="240" w:lineRule="auto"/>
        <w:jc w:val="both"/>
        <w:rPr>
          <w:noProof/>
          <w:sz w:val="26"/>
          <w:szCs w:val="26"/>
          <w:lang w:val="nl-NL"/>
        </w:rPr>
      </w:pPr>
      <w:r>
        <w:rPr>
          <w:noProof/>
        </w:rPr>
        <w:lastRenderedPageBreak/>
        <w:drawing>
          <wp:inline distT="0" distB="0" distL="0" distR="0" wp14:anchorId="63D716D3" wp14:editId="4D938CE5">
            <wp:extent cx="9239250" cy="1992702"/>
            <wp:effectExtent l="0" t="0" r="0" b="7620"/>
            <wp:docPr id="1358227817" name="Chart 1">
              <a:extLst xmlns:a="http://schemas.openxmlformats.org/drawingml/2006/main">
                <a:ext uri="{FF2B5EF4-FFF2-40B4-BE49-F238E27FC236}">
                  <a16:creationId xmlns:a16="http://schemas.microsoft.com/office/drawing/2014/main" id="{55D900B5-9D5D-42D6-95D9-F9C62694696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7D71413E" w14:textId="77777777" w:rsidR="00085789" w:rsidRDefault="00000000">
      <w:pPr>
        <w:pStyle w:val="-bac4"/>
        <w:rPr>
          <w:lang w:val="nl-NL"/>
        </w:rPr>
      </w:pPr>
      <w:bookmarkStart w:id="872" w:name="_Toc205915807"/>
      <w:bookmarkStart w:id="873" w:name="_Toc213597500"/>
      <w:bookmarkStart w:id="874" w:name="_Toc213600839"/>
      <w:r>
        <w:rPr>
          <w:lang w:val="nl-NL"/>
        </w:rPr>
        <w:t>Hình 4.2. Diễn biến nồng độ SO</w:t>
      </w:r>
      <w:r>
        <w:rPr>
          <w:vertAlign w:val="subscript"/>
          <w:lang w:val="nl-NL"/>
        </w:rPr>
        <w:t>2</w:t>
      </w:r>
      <w:r>
        <w:rPr>
          <w:lang w:val="nl-NL"/>
        </w:rPr>
        <w:t xml:space="preserve"> trong môi trường không khí khu vực đô thị </w:t>
      </w:r>
      <w:r>
        <w:rPr>
          <w:noProof/>
          <w:spacing w:val="-4"/>
          <w:lang w:val="pt-BR"/>
        </w:rPr>
        <w:t>từ năm 2021-Quý II/2025</w:t>
      </w:r>
      <w:r>
        <w:rPr>
          <w:lang w:val="nl-NL"/>
        </w:rPr>
        <w:t>.</w:t>
      </w:r>
      <w:bookmarkEnd w:id="872"/>
      <w:bookmarkEnd w:id="873"/>
      <w:bookmarkEnd w:id="874"/>
    </w:p>
    <w:p w14:paraId="7CE0D225"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57EAC190"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SO</w:t>
      </w:r>
      <w:r>
        <w:rPr>
          <w:noProof/>
          <w:spacing w:val="-6"/>
          <w:sz w:val="26"/>
          <w:szCs w:val="26"/>
          <w:vertAlign w:val="subscript"/>
          <w:lang w:val="nl-NL"/>
        </w:rPr>
        <w:t>2</w:t>
      </w:r>
      <w:r>
        <w:rPr>
          <w:noProof/>
          <w:spacing w:val="-6"/>
          <w:sz w:val="26"/>
          <w:szCs w:val="26"/>
          <w:lang w:val="nl-NL"/>
        </w:rPr>
        <w:t xml:space="preserve"> trong môi trường không khí khu vực đô thị thấp hơn quy chuẩn cho phép theo QCVN 05:2013/BTNMT</w:t>
      </w:r>
      <w:r>
        <w:rPr>
          <w:noProof/>
          <w:sz w:val="26"/>
          <w:szCs w:val="26"/>
          <w:lang w:val="nl-NL"/>
        </w:rPr>
        <w:t>.</w:t>
      </w:r>
    </w:p>
    <w:p w14:paraId="64108F58"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6"/>
          <w:sz w:val="26"/>
          <w:szCs w:val="26"/>
          <w:lang w:val="nl-NL"/>
        </w:rPr>
        <w:t>nồng độ SO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đô thị đều dưới ngưỡng cho phép theo QCVN 05:2023/BTNMT</w:t>
      </w:r>
      <w:r>
        <w:rPr>
          <w:noProof/>
          <w:sz w:val="26"/>
          <w:szCs w:val="26"/>
          <w:lang w:val="nl-NL"/>
        </w:rPr>
        <w:t>.</w:t>
      </w:r>
    </w:p>
    <w:p w14:paraId="6A582198"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(3) Diễn biến nồng độ Nitơ Dioxide (NO</w:t>
      </w:r>
      <w:r>
        <w:rPr>
          <w:b/>
          <w:noProof/>
          <w:spacing w:val="-4"/>
          <w:sz w:val="26"/>
          <w:szCs w:val="26"/>
          <w:vertAlign w:val="subscript"/>
          <w:lang w:val="nl-NL"/>
        </w:rPr>
        <w:t>2</w:t>
      </w:r>
      <w:r>
        <w:rPr>
          <w:b/>
          <w:noProof/>
          <w:spacing w:val="-4"/>
          <w:sz w:val="26"/>
          <w:szCs w:val="26"/>
          <w:lang w:val="nl-NL"/>
        </w:rPr>
        <w:t xml:space="preserve">) trong môi trường không khí khu vực đô thị </w:t>
      </w:r>
      <w:r>
        <w:rPr>
          <w:b/>
          <w:noProof/>
          <w:spacing w:val="-4"/>
          <w:sz w:val="26"/>
          <w:szCs w:val="26"/>
          <w:lang w:val="pt-BR"/>
        </w:rPr>
        <w:t>từ năm 2021-Quý II/2025</w:t>
      </w:r>
      <w:r>
        <w:rPr>
          <w:b/>
          <w:noProof/>
          <w:spacing w:val="-4"/>
          <w:sz w:val="26"/>
          <w:szCs w:val="26"/>
          <w:lang w:val="nl-NL"/>
        </w:rPr>
        <w:t>:</w:t>
      </w:r>
    </w:p>
    <w:p w14:paraId="520DC35F" w14:textId="77777777" w:rsidR="00085789" w:rsidRDefault="00000000">
      <w:pPr>
        <w:spacing w:line="240" w:lineRule="auto"/>
        <w:jc w:val="both"/>
        <w:rPr>
          <w:noProof/>
          <w:sz w:val="26"/>
          <w:szCs w:val="26"/>
          <w:lang w:val="nl-NL"/>
        </w:rPr>
      </w:pPr>
      <w:r>
        <w:rPr>
          <w:noProof/>
        </w:rPr>
        <w:drawing>
          <wp:inline distT="0" distB="0" distL="0" distR="0" wp14:anchorId="30910AC7" wp14:editId="4757491D">
            <wp:extent cx="9255760" cy="1924334"/>
            <wp:effectExtent l="0" t="0" r="2540" b="0"/>
            <wp:docPr id="667635310" name="Chart 1">
              <a:extLst xmlns:a="http://schemas.openxmlformats.org/drawingml/2006/main">
                <a:ext uri="{FF2B5EF4-FFF2-40B4-BE49-F238E27FC236}">
                  <a16:creationId xmlns:a16="http://schemas.microsoft.com/office/drawing/2014/main" id="{0FA2A68A-C34D-412D-AC7C-278532F0CA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750CF6B7" w14:textId="77777777" w:rsidR="00085789" w:rsidRDefault="00000000">
      <w:pPr>
        <w:pStyle w:val="-bac4"/>
        <w:rPr>
          <w:lang w:val="nl-NL"/>
        </w:rPr>
      </w:pPr>
      <w:bookmarkStart w:id="875" w:name="_Toc205915808"/>
      <w:bookmarkStart w:id="876" w:name="_Toc213597501"/>
      <w:bookmarkStart w:id="877" w:name="_Toc213600840"/>
      <w:r>
        <w:rPr>
          <w:lang w:val="nl-NL"/>
        </w:rPr>
        <w:t>Hình 4.3. Diễn biến nồng độ NO</w:t>
      </w:r>
      <w:r>
        <w:rPr>
          <w:vertAlign w:val="subscript"/>
          <w:lang w:val="nl-NL"/>
        </w:rPr>
        <w:t>2</w:t>
      </w:r>
      <w:r>
        <w:rPr>
          <w:lang w:val="nl-NL"/>
        </w:rPr>
        <w:t xml:space="preserve"> trong môi trường không khí khu vực đô thị </w:t>
      </w:r>
      <w:r>
        <w:rPr>
          <w:noProof/>
          <w:spacing w:val="-4"/>
          <w:lang w:val="pt-BR"/>
        </w:rPr>
        <w:t>từ năm 2021-Quý II/2025</w:t>
      </w:r>
      <w:bookmarkEnd w:id="875"/>
      <w:bookmarkEnd w:id="876"/>
      <w:bookmarkEnd w:id="877"/>
    </w:p>
    <w:p w14:paraId="0D61B734"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lastRenderedPageBreak/>
        <w:t>Nhận xét:</w:t>
      </w:r>
    </w:p>
    <w:p w14:paraId="78BE0EF1"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NO</w:t>
      </w:r>
      <w:r>
        <w:rPr>
          <w:noProof/>
          <w:spacing w:val="-6"/>
          <w:sz w:val="26"/>
          <w:szCs w:val="26"/>
          <w:vertAlign w:val="subscript"/>
          <w:lang w:val="nl-NL"/>
        </w:rPr>
        <w:t>2</w:t>
      </w:r>
      <w:r>
        <w:rPr>
          <w:noProof/>
          <w:spacing w:val="-6"/>
          <w:sz w:val="26"/>
          <w:szCs w:val="26"/>
          <w:lang w:val="nl-NL"/>
        </w:rPr>
        <w:t xml:space="preserve"> trong môi trường không khí khu vực đô thị thấp hơn quy chuẩn cho phép theo QCVN 05:2013/BTNMT</w:t>
      </w:r>
      <w:r>
        <w:rPr>
          <w:noProof/>
          <w:sz w:val="26"/>
          <w:szCs w:val="26"/>
          <w:lang w:val="nl-NL"/>
        </w:rPr>
        <w:t>.</w:t>
      </w:r>
    </w:p>
    <w:p w14:paraId="2E503793"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6"/>
          <w:sz w:val="26"/>
          <w:szCs w:val="26"/>
          <w:lang w:val="nl-NL"/>
        </w:rPr>
        <w:t>nồng độ NO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đô thị đều dưới ngưỡng cho phép theo QCVN 05:2023/BTNMT</w:t>
      </w:r>
      <w:r>
        <w:rPr>
          <w:noProof/>
          <w:sz w:val="26"/>
          <w:szCs w:val="26"/>
          <w:lang w:val="nl-NL"/>
        </w:rPr>
        <w:t>.</w:t>
      </w:r>
    </w:p>
    <w:p w14:paraId="5670DE57"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(4) Diễn biến tiếng ồn trong môi trường không khí khu vực đô thị </w:t>
      </w:r>
      <w:r>
        <w:rPr>
          <w:b/>
          <w:noProof/>
          <w:spacing w:val="-4"/>
          <w:sz w:val="26"/>
          <w:szCs w:val="26"/>
          <w:lang w:val="pt-BR"/>
        </w:rPr>
        <w:t>từ năm 2021-Quý II/2025</w:t>
      </w:r>
      <w:r>
        <w:rPr>
          <w:b/>
          <w:noProof/>
          <w:spacing w:val="-4"/>
          <w:sz w:val="26"/>
          <w:szCs w:val="26"/>
          <w:lang w:val="nl-NL"/>
        </w:rPr>
        <w:t>:</w:t>
      </w:r>
    </w:p>
    <w:p w14:paraId="430E8493" w14:textId="77777777" w:rsidR="00085789" w:rsidRDefault="00000000">
      <w:pPr>
        <w:spacing w:line="240" w:lineRule="auto"/>
        <w:jc w:val="both"/>
        <w:rPr>
          <w:noProof/>
          <w:sz w:val="26"/>
          <w:szCs w:val="26"/>
          <w:lang w:val="nl-NL"/>
        </w:rPr>
      </w:pPr>
      <w:r>
        <w:rPr>
          <w:noProof/>
        </w:rPr>
        <w:drawing>
          <wp:inline distT="0" distB="0" distL="0" distR="0" wp14:anchorId="7A9CA8AF" wp14:editId="670048E5">
            <wp:extent cx="9238615" cy="2372264"/>
            <wp:effectExtent l="0" t="0" r="635" b="9525"/>
            <wp:docPr id="1227093966" name="Chart 1">
              <a:extLst xmlns:a="http://schemas.openxmlformats.org/drawingml/2006/main">
                <a:ext uri="{FF2B5EF4-FFF2-40B4-BE49-F238E27FC236}">
                  <a16:creationId xmlns:a16="http://schemas.microsoft.com/office/drawing/2014/main" id="{16C2F586-18B3-4F78-9FB4-C243D11994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14:paraId="1F00D47F" w14:textId="77777777" w:rsidR="00085789" w:rsidRDefault="00000000">
      <w:pPr>
        <w:pStyle w:val="-bac4"/>
        <w:rPr>
          <w:lang w:val="nl-NL"/>
        </w:rPr>
      </w:pPr>
      <w:bookmarkStart w:id="878" w:name="_Toc205915809"/>
      <w:bookmarkStart w:id="879" w:name="_Toc213597502"/>
      <w:bookmarkStart w:id="880" w:name="_Toc213600841"/>
      <w:r>
        <w:rPr>
          <w:lang w:val="nl-NL"/>
        </w:rPr>
        <w:t xml:space="preserve">Hình 4.4. Diễn biến tiếng ồn trong môi trường không khí khu vực đô thị </w:t>
      </w:r>
      <w:r>
        <w:rPr>
          <w:noProof/>
          <w:spacing w:val="-4"/>
          <w:lang w:val="pt-BR"/>
        </w:rPr>
        <w:t>từ năm 2021-Quý II/2025</w:t>
      </w:r>
      <w:bookmarkEnd w:id="878"/>
      <w:bookmarkEnd w:id="879"/>
      <w:bookmarkEnd w:id="880"/>
    </w:p>
    <w:p w14:paraId="7DE4BE7C"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4B6C9DA6"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 tiếng ồn tại các khu vực trước cổng Vincom tại phường Hà Huy Tập, ngã 4 phường Đậu Liêu, ngã 3 Gia Lách, ngã 3 thị trấn Cẩm Xuyên và Ngã 3 Việt Lào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1,002-1,024 lần); tiếng ồn các vị trí còn lại tại thời điểm quan trắc đang nằm trong giá trị giới hạn của quy chuẩn. </w:t>
      </w:r>
    </w:p>
    <w:p w14:paraId="20E8B3DC"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2022, tiếng ồn tại các khu vực trước cổng Vincom tại phường Hà Huy Tập, ngã 3 Gia Lách và Ngã 3 Việt Lào </w:t>
      </w:r>
      <w:r>
        <w:rPr>
          <w:noProof/>
          <w:sz w:val="26"/>
          <w:szCs w:val="26"/>
          <w:lang w:val="nl-NL"/>
        </w:rPr>
        <w:t xml:space="preserve">trước đây </w:t>
      </w:r>
      <w:r>
        <w:rPr>
          <w:noProof/>
          <w:spacing w:val="-6"/>
          <w:sz w:val="26"/>
          <w:szCs w:val="26"/>
          <w:lang w:val="nl-NL"/>
        </w:rPr>
        <w:t>vượt giá trị giới hạn tại QCVN 26:2010/BTNMT nhưng ở mức rất nhỏ (chỉ từ 1,007-1,01 lần); tiếng ồn các vị trí còn lại tại thời điểm quan trắc đang nằm trong giá trị giới hạn của quy chuẩn.</w:t>
      </w:r>
    </w:p>
    <w:p w14:paraId="1A48CE80" w14:textId="77777777" w:rsidR="00085789" w:rsidRDefault="00000000">
      <w:pPr>
        <w:widowControl w:val="0"/>
        <w:spacing w:before="120" w:line="240" w:lineRule="auto"/>
        <w:ind w:firstLine="709"/>
        <w:jc w:val="both"/>
        <w:rPr>
          <w:noProof/>
          <w:sz w:val="26"/>
          <w:szCs w:val="26"/>
          <w:lang w:val="nl-NL"/>
        </w:rPr>
      </w:pPr>
      <w:r>
        <w:rPr>
          <w:noProof/>
          <w:sz w:val="26"/>
          <w:szCs w:val="26"/>
          <w:lang w:val="nl-NL"/>
        </w:rPr>
        <w:t xml:space="preserve">- Năm 2023, tiếng ồn tại các khu vực trước cổng Vincom tại phường Hà Huy Tập và ngã 3 Gia Lách trước đây vượt giá trị giới hạn tại QCVN 26:2010/BTNMT nhưng ở mức rất nhỏ (chỉ từ 1,003-1,01 lần); tiếng ồn các vị trí còn lại tại thời điểm quan trắc đang nằm trong </w:t>
      </w:r>
      <w:r>
        <w:rPr>
          <w:noProof/>
          <w:sz w:val="26"/>
          <w:szCs w:val="26"/>
          <w:lang w:val="nl-NL"/>
        </w:rPr>
        <w:lastRenderedPageBreak/>
        <w:t>giá trị giới hạn của quy chuẩn.</w:t>
      </w:r>
    </w:p>
    <w:p w14:paraId="7626B43A"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2024, tiếng ồn tại các khu vực cổng chợ phường Nam Hà, ngã 3 Gia Lách và ngã 3 thị trấn Cẩm Xuyên </w:t>
      </w:r>
      <w:r>
        <w:rPr>
          <w:noProof/>
          <w:sz w:val="26"/>
          <w:szCs w:val="26"/>
          <w:lang w:val="nl-NL"/>
        </w:rPr>
        <w:t xml:space="preserve">trước đây </w:t>
      </w:r>
      <w:r>
        <w:rPr>
          <w:noProof/>
          <w:spacing w:val="-6"/>
          <w:sz w:val="26"/>
          <w:szCs w:val="26"/>
          <w:lang w:val="nl-NL"/>
        </w:rPr>
        <w:t xml:space="preserve">vượt giá trị giới hạn tại QCVN 26:2010/BTNMT nhưng ở mức rất nhỏ (chỉ từ 1,0005-1,013 lần); tiếng ồn các vị trí còn lại tại thời điểm quan trắc đang nằm trong giá trị giới hạn của quy chuẩn. </w:t>
      </w:r>
    </w:p>
    <w:p w14:paraId="45DD09F5"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Quý II/2025, tiếng ồn ở tất cả các khu vực đô thị tại thời điểm quan trắc đang nằm trong giá trị giới hạn tại QCVN 26:2010/BTNMT.</w:t>
      </w:r>
    </w:p>
    <w:p w14:paraId="4BD3E3A1"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độ rung trong môi trường không khí khu vực đô thị </w:t>
      </w:r>
      <w:r>
        <w:rPr>
          <w:b/>
          <w:noProof/>
          <w:spacing w:val="-4"/>
          <w:sz w:val="26"/>
          <w:szCs w:val="26"/>
          <w:lang w:val="pt-BR"/>
        </w:rPr>
        <w:t>từ năm 2021-Quý II/2025</w:t>
      </w:r>
      <w:r>
        <w:rPr>
          <w:b/>
          <w:noProof/>
          <w:spacing w:val="-4"/>
          <w:sz w:val="26"/>
          <w:szCs w:val="26"/>
          <w:lang w:val="nl-NL"/>
        </w:rPr>
        <w:t>:</w:t>
      </w:r>
    </w:p>
    <w:p w14:paraId="1AD07959" w14:textId="77777777" w:rsidR="00085789" w:rsidRDefault="00000000">
      <w:pPr>
        <w:spacing w:line="240" w:lineRule="auto"/>
        <w:jc w:val="both"/>
        <w:rPr>
          <w:noProof/>
          <w:sz w:val="26"/>
          <w:szCs w:val="26"/>
          <w:lang w:val="nl-NL"/>
        </w:rPr>
      </w:pPr>
      <w:r>
        <w:rPr>
          <w:noProof/>
        </w:rPr>
        <w:drawing>
          <wp:inline distT="0" distB="0" distL="0" distR="0" wp14:anchorId="10F954D5" wp14:editId="48382879">
            <wp:extent cx="9221470" cy="2501661"/>
            <wp:effectExtent l="0" t="0" r="17780" b="13335"/>
            <wp:docPr id="43277376" name="Chart 1">
              <a:extLst xmlns:a="http://schemas.openxmlformats.org/drawingml/2006/main">
                <a:ext uri="{FF2B5EF4-FFF2-40B4-BE49-F238E27FC236}">
                  <a16:creationId xmlns:a16="http://schemas.microsoft.com/office/drawing/2014/main" id="{2E0DA42A-142C-4DC8-8375-74E1BDCD37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4ACC0759" w14:textId="77777777" w:rsidR="00085789" w:rsidRDefault="00000000">
      <w:pPr>
        <w:pStyle w:val="-bac4"/>
        <w:rPr>
          <w:lang w:val="nl-NL"/>
        </w:rPr>
      </w:pPr>
      <w:bookmarkStart w:id="881" w:name="_Toc205915810"/>
      <w:bookmarkStart w:id="882" w:name="_Toc213597503"/>
      <w:bookmarkStart w:id="883" w:name="_Toc213600842"/>
      <w:r>
        <w:rPr>
          <w:lang w:val="nl-NL"/>
        </w:rPr>
        <w:t xml:space="preserve">Hình 4.5. Diễn biến độ rung trong môi trường không khí khu vực đô thị </w:t>
      </w:r>
      <w:r>
        <w:rPr>
          <w:noProof/>
          <w:spacing w:val="-4"/>
          <w:lang w:val="pt-BR"/>
        </w:rPr>
        <w:t>từ năm 2021-Quý II/2025</w:t>
      </w:r>
      <w:r>
        <w:rPr>
          <w:lang w:val="nl-NL"/>
        </w:rPr>
        <w:t>.</w:t>
      </w:r>
      <w:bookmarkEnd w:id="881"/>
      <w:bookmarkEnd w:id="882"/>
      <w:bookmarkEnd w:id="883"/>
    </w:p>
    <w:p w14:paraId="1042CE22"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DEA97EF"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Từ năm 2021 đến Quý II/2025, độ rung ở tất cả các khu vực đô thị tại thời điểm quan trắc đang nằm trong giá trị giới hạn tại QCVN 27:2010/BTNMT.</w:t>
      </w:r>
    </w:p>
    <w:p w14:paraId="5BD3A4C2" w14:textId="77777777" w:rsidR="00085789" w:rsidRDefault="00000000">
      <w:pPr>
        <w:pStyle w:val="bac2"/>
        <w:spacing w:before="120" w:after="0" w:line="240" w:lineRule="auto"/>
        <w:rPr>
          <w:smallCaps/>
          <w:lang w:val="nl-NL"/>
        </w:rPr>
      </w:pPr>
      <w:bookmarkStart w:id="884" w:name="_Toc214311253"/>
      <w:r>
        <w:rPr>
          <w:lang w:val="nl-NL"/>
        </w:rPr>
        <w:t>4.2.2. Diễn biến chất lượng môi trường không khí khu vực giao thông</w:t>
      </w:r>
      <w:bookmarkEnd w:id="884"/>
    </w:p>
    <w:p w14:paraId="616486E8" w14:textId="77777777" w:rsidR="00085789" w:rsidRDefault="00000000">
      <w:pPr>
        <w:spacing w:before="120" w:line="240" w:lineRule="auto"/>
        <w:ind w:firstLine="720"/>
        <w:jc w:val="both"/>
        <w:rPr>
          <w:sz w:val="26"/>
          <w:szCs w:val="26"/>
          <w:lang w:val="nl-NL"/>
        </w:rPr>
      </w:pPr>
      <w:r>
        <w:rPr>
          <w:sz w:val="26"/>
          <w:szCs w:val="26"/>
          <w:lang w:val="nl-NL"/>
        </w:rPr>
        <w:t>Chất lượng môi trường không khí hiện nay chịu tác động lớn bởi hoạt động giao thông vận tải, đặc biệt là giao thông đường bộ. Tỉnh Hà Tĩnh hiện đang là một trong nhiều địa phương có tốc độ phát triển kinh tế cao, điều đó kéo theo sự gia tăng của hoạt động giao thông vận tải. Để đánh giá hiện trạng môi trường không khí trong giai đoạn 5 năm vừa qua, căn cứ vào số liệu đo đạc môi trường không khí tại 15 điểm có mật độ giao thông cao trên địa bàn tỉnh từ năm 2021 đến nay, xác định cụ thể diễn biến chất lượng môi trường không khí như sau:</w:t>
      </w:r>
    </w:p>
    <w:p w14:paraId="689869B7"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lastRenderedPageBreak/>
        <w:t xml:space="preserve">(1) Diễn biến tổng bụi lơ lửng (TSP) trong môi trường không khí khu vực giao thông </w:t>
      </w:r>
      <w:r>
        <w:rPr>
          <w:b/>
          <w:noProof/>
          <w:spacing w:val="-4"/>
          <w:sz w:val="26"/>
          <w:szCs w:val="26"/>
          <w:lang w:val="pt-BR"/>
        </w:rPr>
        <w:t>từ năm 2021-Quý II/2025</w:t>
      </w:r>
      <w:r>
        <w:rPr>
          <w:b/>
          <w:noProof/>
          <w:spacing w:val="-4"/>
          <w:sz w:val="26"/>
          <w:szCs w:val="26"/>
          <w:lang w:val="nl-NL"/>
        </w:rPr>
        <w:t>:</w:t>
      </w:r>
    </w:p>
    <w:p w14:paraId="3A1C7FDA" w14:textId="77777777" w:rsidR="00085789" w:rsidRDefault="00000000">
      <w:pPr>
        <w:spacing w:line="240" w:lineRule="auto"/>
        <w:jc w:val="both"/>
        <w:rPr>
          <w:noProof/>
          <w:sz w:val="26"/>
          <w:szCs w:val="26"/>
          <w:lang w:val="nl-NL"/>
        </w:rPr>
      </w:pPr>
      <w:r>
        <w:rPr>
          <w:noProof/>
        </w:rPr>
        <w:drawing>
          <wp:inline distT="0" distB="0" distL="0" distR="0" wp14:anchorId="2D759388" wp14:editId="12A99FA0">
            <wp:extent cx="9238615" cy="2475781"/>
            <wp:effectExtent l="0" t="0" r="635" b="1270"/>
            <wp:docPr id="1694551812" name="Chart 1">
              <a:extLst xmlns:a="http://schemas.openxmlformats.org/drawingml/2006/main">
                <a:ext uri="{FF2B5EF4-FFF2-40B4-BE49-F238E27FC236}">
                  <a16:creationId xmlns:a16="http://schemas.microsoft.com/office/drawing/2014/main" id="{9400DF23-2BEB-4D10-A917-6E003FBE96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72619706" w14:textId="77777777" w:rsidR="00085789" w:rsidRDefault="00000000">
      <w:pPr>
        <w:pStyle w:val="-bac4"/>
        <w:rPr>
          <w:lang w:val="nl-NL"/>
        </w:rPr>
      </w:pPr>
      <w:bookmarkStart w:id="885" w:name="_Toc205915812"/>
      <w:bookmarkStart w:id="886" w:name="_Toc213597505"/>
      <w:bookmarkStart w:id="887" w:name="_Toc213600843"/>
      <w:r>
        <w:rPr>
          <w:lang w:val="nl-NL"/>
        </w:rPr>
        <w:t xml:space="preserve">Hình 4.6. Diễn biến tổng bụi lơ lửng (TSP) trong môi trường không khí khu vực giao thông </w:t>
      </w:r>
      <w:r>
        <w:rPr>
          <w:noProof/>
          <w:spacing w:val="-4"/>
          <w:lang w:val="pt-BR"/>
        </w:rPr>
        <w:t>từ năm 2021-Quý II/2025</w:t>
      </w:r>
      <w:bookmarkEnd w:id="885"/>
      <w:bookmarkEnd w:id="886"/>
      <w:bookmarkEnd w:id="887"/>
    </w:p>
    <w:p w14:paraId="24EBB04D"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0D73BD7"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xml:space="preserve">- Năm 2021-2022: Năm 2021, tổng bụi lơ lửng (TSP) trong môi trường không khí khu vực đường tránh giao QL 1A tại xã Thạch Long, QL 1A giao đường Tỉnh 548 tại thị trấn Nghèn và QL 1A giao đường tránh tại xã Cẩm Vịnh </w:t>
      </w:r>
      <w:r>
        <w:rPr>
          <w:noProof/>
          <w:sz w:val="26"/>
          <w:szCs w:val="26"/>
          <w:lang w:val="nl-NL"/>
        </w:rPr>
        <w:t xml:space="preserve">trước đây </w:t>
      </w:r>
      <w:r>
        <w:rPr>
          <w:noProof/>
          <w:spacing w:val="-6"/>
          <w:sz w:val="26"/>
          <w:szCs w:val="26"/>
          <w:lang w:val="nl-NL"/>
        </w:rPr>
        <w:t>vượt quy chuẩn cho phép theo QCVN 05:2013/BTNMT từ 1,03-1,07 lần</w:t>
      </w:r>
      <w:r>
        <w:rPr>
          <w:noProof/>
          <w:spacing w:val="-2"/>
          <w:sz w:val="26"/>
          <w:szCs w:val="26"/>
          <w:lang w:val="nl-NL"/>
        </w:rPr>
        <w:t xml:space="preserve">; tổng bụi lơ lửng (TSP) </w:t>
      </w:r>
      <w:r>
        <w:rPr>
          <w:noProof/>
          <w:spacing w:val="-6"/>
          <w:sz w:val="26"/>
          <w:szCs w:val="26"/>
          <w:lang w:val="nl-NL"/>
        </w:rPr>
        <w:t xml:space="preserve">trong môi trường không khí </w:t>
      </w:r>
      <w:r>
        <w:rPr>
          <w:noProof/>
          <w:spacing w:val="-2"/>
          <w:sz w:val="26"/>
          <w:szCs w:val="26"/>
          <w:lang w:val="nl-NL"/>
        </w:rPr>
        <w:t xml:space="preserve">khu vực còn lại đều dưới ngưỡng cho phép theo quy chuẩn. Năm 2022, </w:t>
      </w:r>
      <w:r>
        <w:rPr>
          <w:noProof/>
          <w:spacing w:val="-6"/>
          <w:sz w:val="26"/>
          <w:szCs w:val="26"/>
          <w:lang w:val="nl-NL"/>
        </w:rPr>
        <w:t xml:space="preserve">tổng bụi lơ lửng (TSP) trong môi trường không khí khu vực đường tránh giao QL 1A tại xã Thạch Long, QL 1A giao đường tránh tại xã Cẩm Vịnh và QL1A giao đường bao tại phường Kỳ Phương </w:t>
      </w:r>
      <w:r>
        <w:rPr>
          <w:noProof/>
          <w:sz w:val="26"/>
          <w:szCs w:val="26"/>
          <w:lang w:val="nl-NL"/>
        </w:rPr>
        <w:t xml:space="preserve">trước đây </w:t>
      </w:r>
      <w:r>
        <w:rPr>
          <w:noProof/>
          <w:spacing w:val="-6"/>
          <w:sz w:val="26"/>
          <w:szCs w:val="26"/>
          <w:lang w:val="nl-NL"/>
        </w:rPr>
        <w:t>vượt quy chuẩn cho phép theo QCVN 05:2013/BTNMT từ 1,02-1,07 lần</w:t>
      </w:r>
      <w:r>
        <w:rPr>
          <w:noProof/>
          <w:spacing w:val="-2"/>
          <w:sz w:val="26"/>
          <w:szCs w:val="26"/>
          <w:lang w:val="nl-NL"/>
        </w:rPr>
        <w:t xml:space="preserve">; tổng bụi lơ lửng (TSP) </w:t>
      </w:r>
      <w:r>
        <w:rPr>
          <w:noProof/>
          <w:spacing w:val="-6"/>
          <w:sz w:val="26"/>
          <w:szCs w:val="26"/>
          <w:lang w:val="nl-NL"/>
        </w:rPr>
        <w:t xml:space="preserve">trong môi trường không khí </w:t>
      </w:r>
      <w:r>
        <w:rPr>
          <w:noProof/>
          <w:spacing w:val="-2"/>
          <w:sz w:val="26"/>
          <w:szCs w:val="26"/>
          <w:lang w:val="nl-NL"/>
        </w:rPr>
        <w:t>khu vực còn lại đều dưới ngưỡng cho phép theo quy chuẩn</w:t>
      </w:r>
      <w:r>
        <w:rPr>
          <w:noProof/>
          <w:sz w:val="26"/>
          <w:szCs w:val="26"/>
          <w:lang w:val="nl-NL"/>
        </w:rPr>
        <w:t>.</w:t>
      </w:r>
    </w:p>
    <w:p w14:paraId="5C1F4D9E"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Năm 2023, </w:t>
      </w:r>
      <w:r>
        <w:rPr>
          <w:noProof/>
          <w:spacing w:val="-6"/>
          <w:sz w:val="26"/>
          <w:szCs w:val="26"/>
          <w:lang w:val="nl-NL"/>
        </w:rPr>
        <w:t xml:space="preserve">tổng bụi lơ lửng (TSP) trong môi trường không khí khu vực đường tránh giao QL 1A tại xã Thạch Long </w:t>
      </w:r>
      <w:r>
        <w:rPr>
          <w:noProof/>
          <w:sz w:val="26"/>
          <w:szCs w:val="26"/>
          <w:lang w:val="nl-NL"/>
        </w:rPr>
        <w:t xml:space="preserve">trước đây </w:t>
      </w:r>
      <w:r>
        <w:rPr>
          <w:noProof/>
          <w:spacing w:val="-6"/>
          <w:sz w:val="26"/>
          <w:szCs w:val="26"/>
          <w:lang w:val="nl-NL"/>
        </w:rPr>
        <w:t>vượt quy chuẩn cho phép theo QCVN 05:2023/BTNMT 1,002 lần</w:t>
      </w:r>
      <w:r>
        <w:rPr>
          <w:noProof/>
          <w:spacing w:val="-2"/>
          <w:sz w:val="26"/>
          <w:szCs w:val="26"/>
          <w:lang w:val="nl-NL"/>
        </w:rPr>
        <w:t xml:space="preserve">; tổng bụi lơ lửng (TSP) </w:t>
      </w:r>
      <w:r>
        <w:rPr>
          <w:noProof/>
          <w:spacing w:val="-6"/>
          <w:sz w:val="26"/>
          <w:szCs w:val="26"/>
          <w:lang w:val="nl-NL"/>
        </w:rPr>
        <w:t xml:space="preserve">trong môi trường không khí </w:t>
      </w:r>
      <w:r>
        <w:rPr>
          <w:noProof/>
          <w:spacing w:val="-2"/>
          <w:sz w:val="26"/>
          <w:szCs w:val="26"/>
          <w:lang w:val="nl-NL"/>
        </w:rPr>
        <w:t xml:space="preserve">khu vực còn lại đều dưới ngưỡng cho phép theo quy chuẩn. Từ năm 2024 đến nay, tổng bụi lơ lửng (TSP) </w:t>
      </w:r>
      <w:r>
        <w:rPr>
          <w:noProof/>
          <w:spacing w:val="-6"/>
          <w:sz w:val="26"/>
          <w:szCs w:val="26"/>
          <w:lang w:val="nl-NL"/>
        </w:rPr>
        <w:t xml:space="preserve">trong môi trường không khí </w:t>
      </w:r>
      <w:r>
        <w:rPr>
          <w:noProof/>
          <w:spacing w:val="-2"/>
          <w:sz w:val="26"/>
          <w:szCs w:val="26"/>
          <w:lang w:val="nl-NL"/>
        </w:rPr>
        <w:t>khu vực giao thông đều dưới ngưỡng cho phép theo QCVN 05:2023/BTNMT</w:t>
      </w:r>
      <w:r>
        <w:rPr>
          <w:noProof/>
          <w:sz w:val="26"/>
          <w:szCs w:val="26"/>
          <w:lang w:val="nl-NL"/>
        </w:rPr>
        <w:t xml:space="preserve">. </w:t>
      </w:r>
    </w:p>
    <w:p w14:paraId="37F18E2D" w14:textId="77777777" w:rsidR="00085789" w:rsidRDefault="00000000">
      <w:pPr>
        <w:spacing w:before="120" w:line="240" w:lineRule="auto"/>
        <w:ind w:firstLine="709"/>
        <w:jc w:val="both"/>
        <w:rPr>
          <w:noProof/>
          <w:sz w:val="26"/>
          <w:szCs w:val="26"/>
          <w:lang w:val="nl-NL"/>
        </w:rPr>
      </w:pPr>
      <w:r>
        <w:rPr>
          <w:noProof/>
          <w:sz w:val="26"/>
          <w:szCs w:val="26"/>
          <w:lang w:val="nl-NL"/>
        </w:rPr>
        <w:t xml:space="preserve">=&gt; Về cơ bản TSP tại các khu vực có mật độ giao thông cao trên địa bàn tỉnh đang nằm trong vùng kiểm soát. Tuy nhiên, một số khu vực đã có hiện tượng phát sinh bụi cao và thường xuyên tại các nút đường quốc lộ và đường tránh (như: </w:t>
      </w:r>
      <w:r>
        <w:rPr>
          <w:noProof/>
          <w:spacing w:val="-6"/>
          <w:sz w:val="26"/>
          <w:szCs w:val="26"/>
          <w:lang w:val="nl-NL"/>
        </w:rPr>
        <w:t>đường tránh giao QL 1A tại xã Thạch Long, QL 1A giao đường Tỉnh 548 tại thị trấn Nghèn, QL 1A giao đường tránh tại xã Cẩm Vịnh</w:t>
      </w:r>
      <w:r>
        <w:rPr>
          <w:noProof/>
          <w:sz w:val="26"/>
          <w:szCs w:val="26"/>
          <w:lang w:val="nl-NL"/>
        </w:rPr>
        <w:t xml:space="preserve"> trước đây</w:t>
      </w:r>
      <w:r>
        <w:rPr>
          <w:noProof/>
          <w:spacing w:val="-6"/>
          <w:sz w:val="26"/>
          <w:szCs w:val="26"/>
          <w:lang w:val="nl-NL"/>
        </w:rPr>
        <w:t>...).</w:t>
      </w:r>
    </w:p>
    <w:p w14:paraId="48E8293E"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lastRenderedPageBreak/>
        <w:t>(2) Diễn biến nồng độ lưu huỳnh dioxit (SO</w:t>
      </w:r>
      <w:r>
        <w:rPr>
          <w:b/>
          <w:noProof/>
          <w:spacing w:val="-4"/>
          <w:sz w:val="26"/>
          <w:szCs w:val="26"/>
          <w:vertAlign w:val="subscript"/>
          <w:lang w:val="nl-NL"/>
        </w:rPr>
        <w:t>2</w:t>
      </w:r>
      <w:r>
        <w:rPr>
          <w:b/>
          <w:noProof/>
          <w:spacing w:val="-4"/>
          <w:sz w:val="26"/>
          <w:szCs w:val="26"/>
          <w:lang w:val="nl-NL"/>
        </w:rPr>
        <w:t xml:space="preserve">) trong môi trường không khí </w:t>
      </w:r>
      <w:r>
        <w:rPr>
          <w:b/>
          <w:bCs/>
          <w:sz w:val="26"/>
          <w:lang w:val="nl-NL"/>
        </w:rPr>
        <w:t>khu vực giao thông</w:t>
      </w:r>
      <w:r>
        <w:rPr>
          <w:b/>
          <w:noProof/>
          <w:spacing w:val="-4"/>
          <w:sz w:val="26"/>
          <w:szCs w:val="26"/>
          <w:lang w:val="nl-NL"/>
        </w:rPr>
        <w:t xml:space="preserve"> </w:t>
      </w:r>
      <w:r>
        <w:rPr>
          <w:b/>
          <w:noProof/>
          <w:spacing w:val="-4"/>
          <w:sz w:val="26"/>
          <w:szCs w:val="26"/>
          <w:lang w:val="pt-BR"/>
        </w:rPr>
        <w:t>từ năm 2021-Quý II/2025</w:t>
      </w:r>
      <w:r>
        <w:rPr>
          <w:b/>
          <w:noProof/>
          <w:spacing w:val="-4"/>
          <w:sz w:val="26"/>
          <w:szCs w:val="26"/>
          <w:lang w:val="nl-NL"/>
        </w:rPr>
        <w:t>:</w:t>
      </w:r>
    </w:p>
    <w:p w14:paraId="0D8301A6" w14:textId="77777777" w:rsidR="00085789" w:rsidRDefault="00000000">
      <w:pPr>
        <w:spacing w:line="240" w:lineRule="auto"/>
        <w:jc w:val="both"/>
        <w:rPr>
          <w:noProof/>
          <w:sz w:val="26"/>
          <w:szCs w:val="26"/>
          <w:lang w:val="nl-NL"/>
        </w:rPr>
      </w:pPr>
      <w:r>
        <w:rPr>
          <w:noProof/>
        </w:rPr>
        <w:drawing>
          <wp:inline distT="0" distB="0" distL="0" distR="0" wp14:anchorId="105D8117" wp14:editId="6E2DF92A">
            <wp:extent cx="9264650" cy="1828800"/>
            <wp:effectExtent l="0" t="0" r="12700" b="0"/>
            <wp:docPr id="352085471" name="Chart 1">
              <a:extLst xmlns:a="http://schemas.openxmlformats.org/drawingml/2006/main">
                <a:ext uri="{FF2B5EF4-FFF2-40B4-BE49-F238E27FC236}">
                  <a16:creationId xmlns:a16="http://schemas.microsoft.com/office/drawing/2014/main" id="{0E838E8D-7E04-4BC1-B4AC-F8F0EA14CB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75E2F3C6" w14:textId="77777777" w:rsidR="00085789" w:rsidRDefault="00000000">
      <w:pPr>
        <w:pStyle w:val="-bac4"/>
        <w:rPr>
          <w:lang w:val="nl-NL"/>
        </w:rPr>
      </w:pPr>
      <w:bookmarkStart w:id="888" w:name="_Toc205915813"/>
      <w:bookmarkStart w:id="889" w:name="_Toc213597506"/>
      <w:bookmarkStart w:id="890" w:name="_Toc213600844"/>
      <w:r>
        <w:rPr>
          <w:lang w:val="nl-NL"/>
        </w:rPr>
        <w:t>Hình 4.7. Diễn biến nồng độ SO</w:t>
      </w:r>
      <w:r>
        <w:rPr>
          <w:vertAlign w:val="subscript"/>
          <w:lang w:val="nl-NL"/>
        </w:rPr>
        <w:t>2</w:t>
      </w:r>
      <w:r>
        <w:rPr>
          <w:lang w:val="nl-NL"/>
        </w:rPr>
        <w:t xml:space="preserve"> trong môi trường không khí khu vực giao thông </w:t>
      </w:r>
      <w:r>
        <w:rPr>
          <w:noProof/>
          <w:spacing w:val="-4"/>
          <w:lang w:val="pt-BR"/>
        </w:rPr>
        <w:t>từ năm 2021-Quý II/2025</w:t>
      </w:r>
      <w:bookmarkEnd w:id="888"/>
      <w:bookmarkEnd w:id="889"/>
      <w:bookmarkEnd w:id="890"/>
    </w:p>
    <w:p w14:paraId="1EAEF528"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8FFCDAF"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SO</w:t>
      </w:r>
      <w:r>
        <w:rPr>
          <w:noProof/>
          <w:spacing w:val="-6"/>
          <w:sz w:val="26"/>
          <w:szCs w:val="26"/>
          <w:vertAlign w:val="subscript"/>
          <w:lang w:val="nl-NL"/>
        </w:rPr>
        <w:t>2</w:t>
      </w:r>
      <w:r>
        <w:rPr>
          <w:noProof/>
          <w:spacing w:val="-6"/>
          <w:sz w:val="26"/>
          <w:szCs w:val="26"/>
          <w:lang w:val="nl-NL"/>
        </w:rPr>
        <w:t xml:space="preserve"> trong môi trường không khí khu vực giao thông thấp hơn quy chuẩn cho phép theo QCVN 05:2013/BTNMT</w:t>
      </w:r>
      <w:r>
        <w:rPr>
          <w:noProof/>
          <w:sz w:val="26"/>
          <w:szCs w:val="26"/>
          <w:lang w:val="nl-NL"/>
        </w:rPr>
        <w:t>.</w:t>
      </w:r>
    </w:p>
    <w:p w14:paraId="4882775C"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SO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giao thông đều dưới ngưỡng cho phép theo QCVN 05:2023/BTNMT</w:t>
      </w:r>
      <w:r>
        <w:rPr>
          <w:noProof/>
          <w:sz w:val="26"/>
          <w:szCs w:val="26"/>
          <w:lang w:val="nl-NL"/>
        </w:rPr>
        <w:t>.</w:t>
      </w:r>
    </w:p>
    <w:p w14:paraId="5029D485"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(3) Diễn biến nồng độ Nitơ Dioxide (NO</w:t>
      </w:r>
      <w:r>
        <w:rPr>
          <w:b/>
          <w:noProof/>
          <w:spacing w:val="-4"/>
          <w:sz w:val="26"/>
          <w:szCs w:val="26"/>
          <w:vertAlign w:val="subscript"/>
          <w:lang w:val="nl-NL"/>
        </w:rPr>
        <w:t>2</w:t>
      </w:r>
      <w:r>
        <w:rPr>
          <w:b/>
          <w:noProof/>
          <w:spacing w:val="-4"/>
          <w:sz w:val="26"/>
          <w:szCs w:val="26"/>
          <w:lang w:val="nl-NL"/>
        </w:rPr>
        <w:t xml:space="preserve">) trong môi trường không khí khu vực giao thông </w:t>
      </w:r>
      <w:r>
        <w:rPr>
          <w:b/>
          <w:noProof/>
          <w:spacing w:val="-4"/>
          <w:sz w:val="26"/>
          <w:szCs w:val="26"/>
          <w:lang w:val="pt-BR"/>
        </w:rPr>
        <w:t>từ năm 2021-Quý II/2025</w:t>
      </w:r>
      <w:r>
        <w:rPr>
          <w:b/>
          <w:noProof/>
          <w:spacing w:val="-4"/>
          <w:sz w:val="26"/>
          <w:szCs w:val="26"/>
          <w:lang w:val="nl-NL"/>
        </w:rPr>
        <w:t>:</w:t>
      </w:r>
    </w:p>
    <w:p w14:paraId="6FCAD2D2" w14:textId="77777777" w:rsidR="00085789" w:rsidRDefault="00000000">
      <w:pPr>
        <w:spacing w:line="240" w:lineRule="auto"/>
        <w:jc w:val="both"/>
        <w:rPr>
          <w:noProof/>
          <w:sz w:val="26"/>
          <w:szCs w:val="26"/>
          <w:lang w:val="nl-NL"/>
        </w:rPr>
      </w:pPr>
      <w:r>
        <w:rPr>
          <w:noProof/>
        </w:rPr>
        <w:drawing>
          <wp:inline distT="0" distB="0" distL="0" distR="0" wp14:anchorId="74BCA7BB" wp14:editId="047BAB4C">
            <wp:extent cx="9264650" cy="1959429"/>
            <wp:effectExtent l="0" t="0" r="0" b="0"/>
            <wp:docPr id="1611581055" name="Chart 1">
              <a:extLst xmlns:a="http://schemas.openxmlformats.org/drawingml/2006/main">
                <a:ext uri="{FF2B5EF4-FFF2-40B4-BE49-F238E27FC236}">
                  <a16:creationId xmlns:a16="http://schemas.microsoft.com/office/drawing/2014/main" id="{B1F8D466-4EA7-47C3-BA78-44ECEE3BCC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5306C0B1" w14:textId="77777777" w:rsidR="00085789" w:rsidRDefault="00000000">
      <w:pPr>
        <w:pStyle w:val="-bac4"/>
        <w:rPr>
          <w:lang w:val="nl-NL"/>
        </w:rPr>
      </w:pPr>
      <w:bookmarkStart w:id="891" w:name="_Toc205915814"/>
      <w:bookmarkStart w:id="892" w:name="_Toc213597507"/>
      <w:bookmarkStart w:id="893" w:name="_Toc213600845"/>
      <w:r>
        <w:rPr>
          <w:lang w:val="nl-NL"/>
        </w:rPr>
        <w:t>Hình 4.8. Diễn biến nồng độ NO</w:t>
      </w:r>
      <w:r>
        <w:rPr>
          <w:vertAlign w:val="subscript"/>
          <w:lang w:val="nl-NL"/>
        </w:rPr>
        <w:t>2</w:t>
      </w:r>
      <w:r>
        <w:rPr>
          <w:lang w:val="nl-NL"/>
        </w:rPr>
        <w:t xml:space="preserve"> trong môi trường không khí khu vực giao thông </w:t>
      </w:r>
      <w:r>
        <w:rPr>
          <w:noProof/>
          <w:spacing w:val="-4"/>
          <w:lang w:val="pt-BR"/>
        </w:rPr>
        <w:t>từ năm 2021-Quý II/2025</w:t>
      </w:r>
      <w:bookmarkEnd w:id="891"/>
      <w:bookmarkEnd w:id="892"/>
      <w:bookmarkEnd w:id="893"/>
    </w:p>
    <w:p w14:paraId="451B30A0" w14:textId="77777777" w:rsidR="00085789" w:rsidRDefault="00000000">
      <w:pPr>
        <w:widowControl w:val="0"/>
        <w:spacing w:before="120" w:line="340" w:lineRule="exact"/>
        <w:ind w:firstLine="709"/>
        <w:jc w:val="both"/>
        <w:rPr>
          <w:noProof/>
          <w:sz w:val="26"/>
          <w:szCs w:val="26"/>
          <w:u w:val="single"/>
          <w:lang w:val="nl-NL"/>
        </w:rPr>
      </w:pPr>
      <w:r>
        <w:rPr>
          <w:i/>
          <w:noProof/>
          <w:sz w:val="26"/>
          <w:szCs w:val="26"/>
          <w:u w:val="single"/>
          <w:lang w:val="nl-NL"/>
        </w:rPr>
        <w:lastRenderedPageBreak/>
        <w:t>Nhận xét:</w:t>
      </w:r>
    </w:p>
    <w:p w14:paraId="3F253A4C" w14:textId="77777777" w:rsidR="00085789" w:rsidRDefault="00000000">
      <w:pPr>
        <w:widowControl w:val="0"/>
        <w:spacing w:line="340" w:lineRule="exact"/>
        <w:ind w:firstLine="709"/>
        <w:jc w:val="both"/>
        <w:rPr>
          <w:noProof/>
          <w:sz w:val="26"/>
          <w:szCs w:val="26"/>
          <w:lang w:val="nl-NL"/>
        </w:rPr>
      </w:pPr>
      <w:r>
        <w:rPr>
          <w:noProof/>
          <w:spacing w:val="-6"/>
          <w:sz w:val="26"/>
          <w:szCs w:val="26"/>
          <w:lang w:val="nl-NL"/>
        </w:rPr>
        <w:t>- Năm 2021-2022: Từ năm 2021 đến năm 2022, nồng độ NO</w:t>
      </w:r>
      <w:r>
        <w:rPr>
          <w:noProof/>
          <w:spacing w:val="-6"/>
          <w:sz w:val="26"/>
          <w:szCs w:val="26"/>
          <w:vertAlign w:val="subscript"/>
          <w:lang w:val="nl-NL"/>
        </w:rPr>
        <w:t>2</w:t>
      </w:r>
      <w:r>
        <w:rPr>
          <w:noProof/>
          <w:spacing w:val="-6"/>
          <w:sz w:val="26"/>
          <w:szCs w:val="26"/>
          <w:lang w:val="nl-NL"/>
        </w:rPr>
        <w:t xml:space="preserve"> trong môi trường không khí khu vực giao thông thấp hơn quy chuẩn cho phép theo QCVN 05:2013/BTNMT</w:t>
      </w:r>
      <w:r>
        <w:rPr>
          <w:noProof/>
          <w:sz w:val="26"/>
          <w:szCs w:val="26"/>
          <w:lang w:val="nl-NL"/>
        </w:rPr>
        <w:t>.</w:t>
      </w:r>
    </w:p>
    <w:p w14:paraId="123A5D17" w14:textId="77777777" w:rsidR="00085789" w:rsidRDefault="00000000">
      <w:pPr>
        <w:spacing w:line="240" w:lineRule="auto"/>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NO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giao thông đều dưới ngưỡng cho phép theo QCVN 05:2023/BTNMT</w:t>
      </w:r>
      <w:r>
        <w:rPr>
          <w:noProof/>
          <w:sz w:val="26"/>
          <w:szCs w:val="26"/>
          <w:lang w:val="nl-NL"/>
        </w:rPr>
        <w:t>.</w:t>
      </w:r>
    </w:p>
    <w:p w14:paraId="6411E8E9"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(4) Diễn biến tiếng ồn trong môi trường không khí khu vực giao thông </w:t>
      </w:r>
      <w:r>
        <w:rPr>
          <w:b/>
          <w:noProof/>
          <w:spacing w:val="-4"/>
          <w:sz w:val="26"/>
          <w:szCs w:val="26"/>
          <w:lang w:val="pt-BR"/>
        </w:rPr>
        <w:t>từ năm 2021-Quý II/2025</w:t>
      </w:r>
      <w:r>
        <w:rPr>
          <w:b/>
          <w:noProof/>
          <w:spacing w:val="-4"/>
          <w:sz w:val="26"/>
          <w:szCs w:val="26"/>
          <w:lang w:val="nl-NL"/>
        </w:rPr>
        <w:t>:</w:t>
      </w:r>
    </w:p>
    <w:p w14:paraId="1E211D45" w14:textId="77777777" w:rsidR="00085789" w:rsidRDefault="00000000">
      <w:pPr>
        <w:spacing w:line="240" w:lineRule="auto"/>
        <w:jc w:val="both"/>
        <w:rPr>
          <w:noProof/>
          <w:sz w:val="26"/>
          <w:szCs w:val="26"/>
          <w:lang w:val="nl-NL"/>
        </w:rPr>
      </w:pPr>
      <w:r>
        <w:rPr>
          <w:noProof/>
        </w:rPr>
        <w:drawing>
          <wp:inline distT="0" distB="0" distL="0" distR="0" wp14:anchorId="1767278D" wp14:editId="6B6514C0">
            <wp:extent cx="9212580" cy="2035534"/>
            <wp:effectExtent l="0" t="0" r="7620" b="3175"/>
            <wp:docPr id="1566016566" name="Chart 1">
              <a:extLst xmlns:a="http://schemas.openxmlformats.org/drawingml/2006/main">
                <a:ext uri="{FF2B5EF4-FFF2-40B4-BE49-F238E27FC236}">
                  <a16:creationId xmlns:a16="http://schemas.microsoft.com/office/drawing/2014/main" id="{F66222D4-0C03-4DDF-8BBB-B2D7CE1346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776CA5BF" w14:textId="77777777" w:rsidR="00085789" w:rsidRDefault="00000000">
      <w:pPr>
        <w:pStyle w:val="-bac4"/>
        <w:rPr>
          <w:lang w:val="nl-NL"/>
        </w:rPr>
      </w:pPr>
      <w:bookmarkStart w:id="894" w:name="_Toc205915815"/>
      <w:bookmarkStart w:id="895" w:name="_Toc213597508"/>
      <w:bookmarkStart w:id="896" w:name="_Toc213600846"/>
      <w:r>
        <w:rPr>
          <w:lang w:val="nl-NL"/>
        </w:rPr>
        <w:t xml:space="preserve">Hình 4.9. Diễn biến tiếng ồn trong môi trường không khí khu vực giao thông </w:t>
      </w:r>
      <w:r>
        <w:rPr>
          <w:noProof/>
          <w:spacing w:val="-4"/>
          <w:lang w:val="pt-BR"/>
        </w:rPr>
        <w:t>từ năm 2021-Quý II/2025</w:t>
      </w:r>
      <w:bookmarkEnd w:id="894"/>
      <w:bookmarkEnd w:id="895"/>
      <w:bookmarkEnd w:id="896"/>
    </w:p>
    <w:p w14:paraId="1E1F8DBF"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B8D8784"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 tiếng ồn tại các khu vực đường Hàm Nghi giao đường tránh QL1A tại xã Thạch Đài, đường tránh thành phố tại xã Thạch Long, đường QL1A giao đường tỉnh 548 tại thị trấn Nghèn, đường QL1A giao đường An Vượng tại xã Thiên Lộc, đường QL1A giao đường tránh tại xã Cẩm Vịnh, đường QL1A giao đường tránh tại xã Kỳ Văn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1,01-1,03 lần); tiếng ồn các vị trí còn lại tại thời điểm quan trắc đang nằm trong giá trị giới hạn của quy chuẩn. </w:t>
      </w:r>
    </w:p>
    <w:p w14:paraId="3F94B675"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Năm 2022, tiếng ồn tại các khu vực đường tránh thành phố tại xã Thạch Long, đường QL1A giao đường An Vượng tại xã Thiên Lộc, đường QL1A giao đường tránh tại xã Cẩm Vịnh, đường QL1A giao đường bao Kỳ Phương, đường QL1A giao đường tránh tại xã Kỳ Văn</w:t>
      </w:r>
      <w:r>
        <w:rPr>
          <w:noProof/>
          <w:sz w:val="26"/>
          <w:szCs w:val="26"/>
          <w:lang w:val="nl-NL"/>
        </w:rPr>
        <w:t xml:space="preserve"> trước đây</w:t>
      </w:r>
      <w:r>
        <w:rPr>
          <w:noProof/>
          <w:spacing w:val="-6"/>
          <w:sz w:val="26"/>
          <w:szCs w:val="26"/>
          <w:lang w:val="nl-NL"/>
        </w:rPr>
        <w:t xml:space="preserve"> tại thời điểm quan trắc vượt giá trị giới hạn tại QCVN 26:2010/BTNMT nhưng ở mức rất nhỏ (chỉ từ 1,003-1,023 lần); tiếng ồn các vị trí còn lại tại thời điểm quan trắc đang nằm trong giá trị giới hạn của quy chuẩn.</w:t>
      </w:r>
    </w:p>
    <w:p w14:paraId="472888BC"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2023, tiếng ồn tại các khu vực đường Hàm Nghi giao đường tránh QL1A tại xã Thạch Đài và đường QL1A giao đường bao Kỳ Phương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1,004-1,02 lần); tiếng ồn các vị trí </w:t>
      </w:r>
      <w:r>
        <w:rPr>
          <w:noProof/>
          <w:spacing w:val="-6"/>
          <w:sz w:val="26"/>
          <w:szCs w:val="26"/>
          <w:lang w:val="nl-NL"/>
        </w:rPr>
        <w:lastRenderedPageBreak/>
        <w:t>còn lại tại thời điểm quan trắc đang nằm trong giá trị giới hạn của quy chuẩn.</w:t>
      </w:r>
    </w:p>
    <w:p w14:paraId="79127327"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2024, tiếng ồn tại các khu vực đường Hàm Nghi giao đường tránh QL1A tại xã Thạch Đài, đường tránh thành phố tại xã Thạch Long, đường QL1A giao đường tỉnh 548 tại thị trấn Nghèn, đường QL1A giao đường An Vượng tại xã Thiên Lộc, đường QL1A giao đường tránh tại xã Cẩm Vịnh, đường QL1A giao đường tránh tại xã Kỳ Văn </w:t>
      </w:r>
      <w:r>
        <w:rPr>
          <w:noProof/>
          <w:sz w:val="26"/>
          <w:szCs w:val="26"/>
          <w:lang w:val="nl-NL"/>
        </w:rPr>
        <w:t xml:space="preserve">trước đây </w:t>
      </w:r>
      <w:r>
        <w:rPr>
          <w:noProof/>
          <w:spacing w:val="-6"/>
          <w:sz w:val="26"/>
          <w:szCs w:val="26"/>
          <w:lang w:val="nl-NL"/>
        </w:rPr>
        <w:t>tại thời điểm quan trắc vượt giá trị giới hạn tại QCVN 26:2010/BTNMT nhưng ở mức rất nhỏ (chỉ từ 1,01-1,03 lần); tiếng ồn các vị trí còn lại tại thời điểm quan trắc đang nằm trong giá trị giới hạn của quy chuẩn.</w:t>
      </w:r>
    </w:p>
    <w:p w14:paraId="53D89DB9"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Quý II/2025, tiếng ồn ở tất cả các khu vực giao thông tại thời điểm quan trắc đang nằm trong giá trị giới hạn tại QCVN 26:2010/BTNMT.</w:t>
      </w:r>
    </w:p>
    <w:p w14:paraId="3827941B"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độ rung trong môi trường không khí khu vực giao thông </w:t>
      </w:r>
      <w:r>
        <w:rPr>
          <w:b/>
          <w:noProof/>
          <w:spacing w:val="-4"/>
          <w:sz w:val="26"/>
          <w:szCs w:val="26"/>
          <w:lang w:val="pt-BR"/>
        </w:rPr>
        <w:t>từ năm 2021-Quý II/2025</w:t>
      </w:r>
      <w:r>
        <w:rPr>
          <w:b/>
          <w:noProof/>
          <w:spacing w:val="-4"/>
          <w:sz w:val="26"/>
          <w:szCs w:val="26"/>
          <w:lang w:val="nl-NL"/>
        </w:rPr>
        <w:t>:</w:t>
      </w:r>
    </w:p>
    <w:p w14:paraId="616997BD" w14:textId="77777777" w:rsidR="00085789" w:rsidRDefault="00000000">
      <w:pPr>
        <w:spacing w:line="240" w:lineRule="auto"/>
        <w:jc w:val="both"/>
        <w:rPr>
          <w:noProof/>
          <w:sz w:val="26"/>
          <w:szCs w:val="26"/>
          <w:lang w:val="nl-NL"/>
        </w:rPr>
      </w:pPr>
      <w:r>
        <w:rPr>
          <w:noProof/>
        </w:rPr>
        <w:drawing>
          <wp:inline distT="0" distB="0" distL="0" distR="0" wp14:anchorId="1FDA035C" wp14:editId="09BFB2C6">
            <wp:extent cx="9207500" cy="2186609"/>
            <wp:effectExtent l="0" t="0" r="12700" b="4445"/>
            <wp:docPr id="131381438" name="Chart 1">
              <a:extLst xmlns:a="http://schemas.openxmlformats.org/drawingml/2006/main">
                <a:ext uri="{FF2B5EF4-FFF2-40B4-BE49-F238E27FC236}">
                  <a16:creationId xmlns:a16="http://schemas.microsoft.com/office/drawing/2014/main" id="{B7314722-1EC0-4CDD-9C6D-6A2C799E33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2AEF15E3" w14:textId="77777777" w:rsidR="00085789" w:rsidRDefault="00000000">
      <w:pPr>
        <w:pStyle w:val="-bac4"/>
        <w:rPr>
          <w:lang w:val="nl-NL"/>
        </w:rPr>
      </w:pPr>
      <w:bookmarkStart w:id="897" w:name="_Toc205915816"/>
      <w:bookmarkStart w:id="898" w:name="_Toc213597509"/>
      <w:bookmarkStart w:id="899" w:name="_Toc213600847"/>
      <w:r>
        <w:rPr>
          <w:lang w:val="nl-NL"/>
        </w:rPr>
        <w:t xml:space="preserve">Hình 4.10. Diễn biến độ rung trong môi trường không khí khu vực giao thông </w:t>
      </w:r>
      <w:r>
        <w:rPr>
          <w:noProof/>
          <w:spacing w:val="-4"/>
          <w:lang w:val="pt-BR"/>
        </w:rPr>
        <w:t>từ năm 2021-Quý II/2025</w:t>
      </w:r>
      <w:bookmarkEnd w:id="897"/>
      <w:bookmarkEnd w:id="898"/>
      <w:bookmarkEnd w:id="899"/>
    </w:p>
    <w:p w14:paraId="31277258"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515A5B61" w14:textId="77777777" w:rsidR="00085789" w:rsidRDefault="00000000">
      <w:pPr>
        <w:spacing w:before="120" w:line="240" w:lineRule="auto"/>
        <w:ind w:firstLine="709"/>
        <w:jc w:val="both"/>
        <w:rPr>
          <w:noProof/>
          <w:spacing w:val="-6"/>
          <w:sz w:val="26"/>
          <w:szCs w:val="26"/>
          <w:lang w:val="nl-NL"/>
        </w:rPr>
      </w:pPr>
      <w:r>
        <w:rPr>
          <w:noProof/>
          <w:spacing w:val="-6"/>
          <w:sz w:val="26"/>
          <w:szCs w:val="26"/>
          <w:lang w:val="nl-NL"/>
        </w:rPr>
        <w:t>- Từ năm 2021 đến Quý II/2025, độ rung ở tất cả các khu vực giao thông tại thời điểm quan trắc đang nằm trong giá trị giới hạn tại QCVN 27:2010/BTNMT.</w:t>
      </w:r>
    </w:p>
    <w:p w14:paraId="12708809" w14:textId="77777777" w:rsidR="00085789" w:rsidRDefault="00000000">
      <w:pPr>
        <w:pStyle w:val="bac2"/>
        <w:spacing w:before="120" w:after="0" w:line="240" w:lineRule="auto"/>
        <w:rPr>
          <w:smallCaps/>
          <w:lang w:val="nl-NL"/>
        </w:rPr>
      </w:pPr>
      <w:bookmarkStart w:id="900" w:name="_Toc214311254"/>
      <w:r>
        <w:rPr>
          <w:lang w:val="nl-NL"/>
        </w:rPr>
        <w:t>4.2.3. Diễn biến chất lượng môi trường không khí khu vực sản xuất công nghiệp</w:t>
      </w:r>
      <w:bookmarkEnd w:id="900"/>
    </w:p>
    <w:p w14:paraId="021F750D" w14:textId="77777777" w:rsidR="00085789" w:rsidRDefault="00000000">
      <w:pPr>
        <w:widowControl w:val="0"/>
        <w:spacing w:before="120" w:line="240" w:lineRule="auto"/>
        <w:ind w:firstLine="720"/>
        <w:jc w:val="both"/>
        <w:rPr>
          <w:sz w:val="26"/>
          <w:szCs w:val="26"/>
          <w:lang w:val="nl-NL"/>
        </w:rPr>
      </w:pPr>
      <w:r>
        <w:rPr>
          <w:sz w:val="26"/>
          <w:szCs w:val="26"/>
          <w:lang w:val="nl-NL"/>
        </w:rPr>
        <w:t>Hà Tĩnh là địa phương có tốc độ phát triển công nghiệp mạnh mẽ, tập trung nhiều khu vực đồng bằng và vùng ven biển, trong đó khu vực thị xã Kỳ Anh (</w:t>
      </w:r>
      <w:r>
        <w:rPr>
          <w:noProof/>
          <w:sz w:val="26"/>
          <w:szCs w:val="26"/>
          <w:lang w:val="nl-NL"/>
        </w:rPr>
        <w:t xml:space="preserve">trước đây) </w:t>
      </w:r>
      <w:r>
        <w:rPr>
          <w:sz w:val="26"/>
          <w:szCs w:val="26"/>
          <w:lang w:val="nl-NL"/>
        </w:rPr>
        <w:t xml:space="preserve">là đầu tàu trong hoạt động sản xuất công nghiệp. Do đó, việc kiểm soát chất lượng không khí hàng năm tại các vị trí có hoạt động sản xuất công nghiệp là nội dung rất cần thiết, trong những năm qua tỉnh đã có chương trình quan trắc mạng lưới rộng trên khắp các khu vực, trong đó có quan trắc môi trường không khí tại các địa điểm có hoạt động sản xuất công nghiệp, tiểu thủ công nghiệp, làng nghề. Để đánh giá hiện trạng môi trường không khí trong giai đoạn 5 năm vừa qua, căn cứ vào số liệu đo đạc môi trường không khí tại </w:t>
      </w:r>
      <w:r>
        <w:rPr>
          <w:sz w:val="26"/>
          <w:szCs w:val="26"/>
          <w:lang w:val="nl-NL"/>
        </w:rPr>
        <w:lastRenderedPageBreak/>
        <w:t>15 điểm gần các khu vực có hoạt động sản xuất công nghiệp tập trung trên địa bàn tỉnh từ năm 2021 đến nay, xác định cụ thể diễn biến chất lượng môi trường không khí như sau:</w:t>
      </w:r>
    </w:p>
    <w:p w14:paraId="0BDA148B"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(1) Diễn biến tổng bụi lơ lửng (TSP) trong môi trường không khí khu vực sản xuất công nghiệp tập trung </w:t>
      </w:r>
      <w:r>
        <w:rPr>
          <w:b/>
          <w:noProof/>
          <w:spacing w:val="-4"/>
          <w:sz w:val="26"/>
          <w:szCs w:val="26"/>
          <w:lang w:val="pt-BR"/>
        </w:rPr>
        <w:t>từ năm 2021-Quý II/2025</w:t>
      </w:r>
      <w:r>
        <w:rPr>
          <w:b/>
          <w:noProof/>
          <w:spacing w:val="-4"/>
          <w:sz w:val="26"/>
          <w:szCs w:val="26"/>
          <w:lang w:val="nl-NL"/>
        </w:rPr>
        <w:t>:</w:t>
      </w:r>
    </w:p>
    <w:p w14:paraId="4852E167" w14:textId="77777777" w:rsidR="00085789" w:rsidRDefault="00000000">
      <w:pPr>
        <w:spacing w:line="240" w:lineRule="auto"/>
        <w:jc w:val="both"/>
        <w:rPr>
          <w:noProof/>
          <w:sz w:val="26"/>
          <w:szCs w:val="26"/>
          <w:lang w:val="nl-NL"/>
        </w:rPr>
      </w:pPr>
      <w:r>
        <w:rPr>
          <w:noProof/>
        </w:rPr>
        <w:drawing>
          <wp:inline distT="0" distB="0" distL="0" distR="0" wp14:anchorId="1A39FAF2" wp14:editId="3D5CE56A">
            <wp:extent cx="9186545" cy="1440612"/>
            <wp:effectExtent l="0" t="0" r="14605" b="7620"/>
            <wp:docPr id="746644929" name="Chart 1">
              <a:extLst xmlns:a="http://schemas.openxmlformats.org/drawingml/2006/main">
                <a:ext uri="{FF2B5EF4-FFF2-40B4-BE49-F238E27FC236}">
                  <a16:creationId xmlns:a16="http://schemas.microsoft.com/office/drawing/2014/main" id="{D345B57C-74D2-4BB9-AAF9-74AC34BC9F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2E9E1323" w14:textId="77777777" w:rsidR="00085789" w:rsidRDefault="00000000">
      <w:pPr>
        <w:pStyle w:val="-bac4"/>
        <w:rPr>
          <w:lang w:val="nl-NL"/>
        </w:rPr>
      </w:pPr>
      <w:bookmarkStart w:id="901" w:name="_Toc205915818"/>
      <w:bookmarkStart w:id="902" w:name="_Toc213597511"/>
      <w:bookmarkStart w:id="903" w:name="_Toc213600848"/>
      <w:r>
        <w:rPr>
          <w:lang w:val="nl-NL"/>
        </w:rPr>
        <w:t xml:space="preserve">Hình 4.11. Diễn biến TSP trong môi trường không khí khu vực </w:t>
      </w:r>
      <w:r>
        <w:rPr>
          <w:noProof/>
          <w:spacing w:val="-4"/>
          <w:lang w:val="nl-NL"/>
        </w:rPr>
        <w:t xml:space="preserve">sản xuất công nghiệp tập trung </w:t>
      </w:r>
      <w:r>
        <w:rPr>
          <w:noProof/>
          <w:spacing w:val="-4"/>
          <w:lang w:val="pt-BR"/>
        </w:rPr>
        <w:t>từ năm 2021- Quý II/2025</w:t>
      </w:r>
      <w:bookmarkEnd w:id="901"/>
      <w:bookmarkEnd w:id="902"/>
      <w:bookmarkEnd w:id="903"/>
    </w:p>
    <w:p w14:paraId="0150F166" w14:textId="77777777" w:rsidR="00085789" w:rsidRDefault="00000000">
      <w:pPr>
        <w:widowControl w:val="0"/>
        <w:spacing w:before="60" w:line="240" w:lineRule="auto"/>
        <w:ind w:firstLine="709"/>
        <w:jc w:val="both"/>
        <w:rPr>
          <w:noProof/>
          <w:sz w:val="26"/>
          <w:szCs w:val="26"/>
          <w:u w:val="single"/>
          <w:lang w:val="nl-NL"/>
        </w:rPr>
      </w:pPr>
      <w:r>
        <w:rPr>
          <w:i/>
          <w:noProof/>
          <w:sz w:val="26"/>
          <w:szCs w:val="26"/>
          <w:u w:val="single"/>
          <w:lang w:val="nl-NL"/>
        </w:rPr>
        <w:t>Nhận xét:</w:t>
      </w:r>
    </w:p>
    <w:p w14:paraId="194974B4" w14:textId="77777777" w:rsidR="00085789" w:rsidRDefault="00000000">
      <w:pPr>
        <w:widowControl w:val="0"/>
        <w:spacing w:before="60" w:line="240" w:lineRule="auto"/>
        <w:ind w:firstLine="709"/>
        <w:jc w:val="both"/>
        <w:rPr>
          <w:noProof/>
          <w:spacing w:val="-2"/>
          <w:sz w:val="26"/>
          <w:szCs w:val="26"/>
          <w:lang w:val="nl-NL"/>
        </w:rPr>
      </w:pPr>
      <w:r>
        <w:rPr>
          <w:noProof/>
          <w:spacing w:val="-2"/>
          <w:sz w:val="26"/>
          <w:szCs w:val="26"/>
          <w:lang w:val="nl-NL"/>
        </w:rPr>
        <w:t>- Năm 2021-2022: Từ năm 2021 đến năm 2022, tổng bụi lơ lửng (TSP) trong môi trường không khí tại thời điểm quan trắc ở tất cả các khu vực có hoạt động sản xuất công nghiệp đang nằm trong giới hạn quy chuẩn cho phép theo QCVN 05:2013/BTNMT.</w:t>
      </w:r>
    </w:p>
    <w:p w14:paraId="320EDC08" w14:textId="77777777" w:rsidR="00085789" w:rsidRDefault="00000000">
      <w:pPr>
        <w:spacing w:before="60" w:line="240" w:lineRule="auto"/>
        <w:ind w:firstLine="709"/>
        <w:jc w:val="both"/>
        <w:rPr>
          <w:noProof/>
          <w:sz w:val="26"/>
          <w:szCs w:val="26"/>
          <w:lang w:val="nl-NL"/>
        </w:rPr>
      </w:pPr>
      <w:r>
        <w:rPr>
          <w:noProof/>
          <w:sz w:val="26"/>
          <w:szCs w:val="26"/>
          <w:lang w:val="nl-NL"/>
        </w:rPr>
        <w:t xml:space="preserve">- Năm 2023-Quý II/2025: Từ năm 2023 đến Quý II/2025, </w:t>
      </w:r>
      <w:r>
        <w:rPr>
          <w:noProof/>
          <w:spacing w:val="-2"/>
          <w:sz w:val="26"/>
          <w:szCs w:val="26"/>
          <w:lang w:val="nl-NL"/>
        </w:rPr>
        <w:t>tổng bụi lơ lửng (TSP) trong môi trường không khí tại thời điểm quan trắc ở tất cả các khu vực có hoạt động sản xuất công nghiệp đang nằm trong giới hạn quy chuẩn cho phép theo QCVN 05:2023/BTNMT</w:t>
      </w:r>
      <w:r>
        <w:rPr>
          <w:noProof/>
          <w:sz w:val="26"/>
          <w:szCs w:val="26"/>
          <w:lang w:val="nl-NL"/>
        </w:rPr>
        <w:t xml:space="preserve">. </w:t>
      </w:r>
    </w:p>
    <w:p w14:paraId="7F1BFE8C" w14:textId="77777777" w:rsidR="00085789" w:rsidRDefault="00000000">
      <w:pPr>
        <w:spacing w:before="60" w:line="240" w:lineRule="auto"/>
        <w:ind w:firstLine="709"/>
        <w:jc w:val="both"/>
        <w:rPr>
          <w:noProof/>
          <w:sz w:val="26"/>
          <w:szCs w:val="26"/>
          <w:lang w:val="nl-NL"/>
        </w:rPr>
      </w:pPr>
      <w:r>
        <w:rPr>
          <w:noProof/>
          <w:sz w:val="26"/>
          <w:szCs w:val="26"/>
          <w:lang w:val="nl-NL"/>
        </w:rPr>
        <w:t xml:space="preserve">=&gt; Về cơ bản, tổng bụi lơ lửng (TSP) tại các khu vực có hoạt động sản xuất công nghiệp trên địa bàn tỉnh đang nằm trong vùng kiểm soát. Tuy nhiên, một số khu vực có hoạt động giao thông phục vụ sản xuất công nghiệp trọng điểm tại Kỳ Anh có tổng bụi lơ lửng khá cao. </w:t>
      </w:r>
    </w:p>
    <w:p w14:paraId="70014F08" w14:textId="77777777" w:rsidR="00085789" w:rsidRDefault="00000000">
      <w:pPr>
        <w:widowControl w:val="0"/>
        <w:spacing w:before="120" w:line="240" w:lineRule="auto"/>
        <w:ind w:firstLine="709"/>
        <w:jc w:val="both"/>
        <w:rPr>
          <w:rFonts w:ascii="Times New Roman Bold" w:hAnsi="Times New Roman Bold"/>
          <w:b/>
          <w:noProof/>
          <w:spacing w:val="-4"/>
          <w:sz w:val="26"/>
          <w:szCs w:val="26"/>
          <w:lang w:val="nl-NL"/>
        </w:rPr>
      </w:pPr>
      <w:r>
        <w:rPr>
          <w:rFonts w:ascii="Times New Roman Bold" w:hAnsi="Times New Roman Bold"/>
          <w:b/>
          <w:noProof/>
          <w:spacing w:val="-4"/>
          <w:sz w:val="26"/>
          <w:szCs w:val="26"/>
          <w:lang w:val="nl-NL"/>
        </w:rPr>
        <w:t>(2) Diễn biến nồng độ SO</w:t>
      </w:r>
      <w:r>
        <w:rPr>
          <w:rFonts w:ascii="Times New Roman Bold" w:hAnsi="Times New Roman Bold"/>
          <w:b/>
          <w:noProof/>
          <w:spacing w:val="-4"/>
          <w:sz w:val="26"/>
          <w:szCs w:val="26"/>
          <w:vertAlign w:val="subscript"/>
          <w:lang w:val="nl-NL"/>
        </w:rPr>
        <w:t>2</w:t>
      </w:r>
      <w:r>
        <w:rPr>
          <w:rFonts w:ascii="Times New Roman Bold" w:hAnsi="Times New Roman Bold"/>
          <w:b/>
          <w:noProof/>
          <w:spacing w:val="-4"/>
          <w:sz w:val="26"/>
          <w:szCs w:val="26"/>
          <w:lang w:val="nl-NL"/>
        </w:rPr>
        <w:t xml:space="preserve"> trong môi trường không khí </w:t>
      </w:r>
      <w:r>
        <w:rPr>
          <w:rFonts w:ascii="Times New Roman Bold" w:hAnsi="Times New Roman Bold"/>
          <w:b/>
          <w:bCs/>
          <w:spacing w:val="-4"/>
          <w:sz w:val="26"/>
          <w:lang w:val="nl-NL"/>
        </w:rPr>
        <w:t xml:space="preserve">khu vực </w:t>
      </w:r>
      <w:r>
        <w:rPr>
          <w:rFonts w:ascii="Times New Roman Bold" w:hAnsi="Times New Roman Bold"/>
          <w:b/>
          <w:bCs/>
          <w:noProof/>
          <w:spacing w:val="-4"/>
          <w:sz w:val="26"/>
          <w:lang w:val="nl-NL"/>
        </w:rPr>
        <w:t>sản xuất công nghiệp tập trung</w:t>
      </w:r>
      <w:r>
        <w:rPr>
          <w:rFonts w:ascii="Times New Roman Bold" w:hAnsi="Times New Roman Bold"/>
          <w:b/>
          <w:noProof/>
          <w:spacing w:val="-4"/>
          <w:sz w:val="26"/>
          <w:szCs w:val="26"/>
          <w:lang w:val="nl-NL"/>
        </w:rPr>
        <w:t xml:space="preserve"> </w:t>
      </w:r>
      <w:r>
        <w:rPr>
          <w:b/>
          <w:noProof/>
          <w:spacing w:val="-4"/>
          <w:sz w:val="26"/>
          <w:szCs w:val="26"/>
          <w:lang w:val="pt-BR"/>
        </w:rPr>
        <w:t>từ năm 2021-Quý II/2025</w:t>
      </w:r>
      <w:r>
        <w:rPr>
          <w:rFonts w:ascii="Times New Roman Bold" w:hAnsi="Times New Roman Bold"/>
          <w:b/>
          <w:noProof/>
          <w:spacing w:val="-4"/>
          <w:sz w:val="26"/>
          <w:szCs w:val="26"/>
          <w:lang w:val="nl-NL"/>
        </w:rPr>
        <w:t>:</w:t>
      </w:r>
    </w:p>
    <w:p w14:paraId="7D41EC66" w14:textId="77777777" w:rsidR="00085789" w:rsidRDefault="00000000">
      <w:pPr>
        <w:spacing w:line="240" w:lineRule="auto"/>
        <w:jc w:val="both"/>
        <w:rPr>
          <w:noProof/>
          <w:sz w:val="26"/>
          <w:szCs w:val="26"/>
          <w:lang w:val="nl-NL"/>
        </w:rPr>
      </w:pPr>
      <w:r>
        <w:rPr>
          <w:noProof/>
        </w:rPr>
        <w:drawing>
          <wp:inline distT="0" distB="0" distL="0" distR="0" wp14:anchorId="2FD9E2A2" wp14:editId="54D8337F">
            <wp:extent cx="9255125" cy="1682151"/>
            <wp:effectExtent l="0" t="0" r="3175" b="13335"/>
            <wp:docPr id="425835515" name="Chart 1">
              <a:extLst xmlns:a="http://schemas.openxmlformats.org/drawingml/2006/main">
                <a:ext uri="{FF2B5EF4-FFF2-40B4-BE49-F238E27FC236}">
                  <a16:creationId xmlns:a16="http://schemas.microsoft.com/office/drawing/2014/main" id="{B4E638E8-6C21-4B42-AE0D-47B41C8320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6517070E" w14:textId="77777777" w:rsidR="00085789" w:rsidRDefault="00000000">
      <w:pPr>
        <w:pStyle w:val="-bac4"/>
        <w:rPr>
          <w:lang w:val="nl-NL"/>
        </w:rPr>
      </w:pPr>
      <w:bookmarkStart w:id="904" w:name="_Toc205915819"/>
      <w:bookmarkStart w:id="905" w:name="_Toc213597512"/>
      <w:bookmarkStart w:id="906" w:name="_Toc213600849"/>
      <w:r>
        <w:rPr>
          <w:lang w:val="nl-NL"/>
        </w:rPr>
        <w:t>Hình 4.12. Diễn biến nồng độ SO</w:t>
      </w:r>
      <w:r>
        <w:rPr>
          <w:vertAlign w:val="subscript"/>
          <w:lang w:val="nl-NL"/>
        </w:rPr>
        <w:t>2</w:t>
      </w:r>
      <w:r>
        <w:rPr>
          <w:lang w:val="nl-NL"/>
        </w:rPr>
        <w:t xml:space="preserve"> trong môi trường không khí khu vực sản xuất công nghiệp tập trung </w:t>
      </w:r>
      <w:r>
        <w:rPr>
          <w:noProof/>
          <w:spacing w:val="-4"/>
          <w:lang w:val="pt-BR"/>
        </w:rPr>
        <w:t>từ năm 2021-Quý II/2025</w:t>
      </w:r>
      <w:bookmarkEnd w:id="904"/>
      <w:bookmarkEnd w:id="905"/>
      <w:bookmarkEnd w:id="906"/>
    </w:p>
    <w:p w14:paraId="3F76839F" w14:textId="77777777" w:rsidR="00085789" w:rsidRDefault="00000000">
      <w:pPr>
        <w:widowControl w:val="0"/>
        <w:spacing w:before="120" w:line="340" w:lineRule="exact"/>
        <w:ind w:firstLine="709"/>
        <w:jc w:val="both"/>
        <w:rPr>
          <w:noProof/>
          <w:sz w:val="26"/>
          <w:szCs w:val="26"/>
          <w:u w:val="single"/>
          <w:lang w:val="nl-NL"/>
        </w:rPr>
      </w:pPr>
      <w:r>
        <w:rPr>
          <w:i/>
          <w:noProof/>
          <w:sz w:val="26"/>
          <w:szCs w:val="26"/>
          <w:u w:val="single"/>
          <w:lang w:val="nl-NL"/>
        </w:rPr>
        <w:lastRenderedPageBreak/>
        <w:t>Nhận xét:</w:t>
      </w:r>
    </w:p>
    <w:p w14:paraId="40A434F1" w14:textId="77777777" w:rsidR="00085789" w:rsidRDefault="00000000">
      <w:pPr>
        <w:widowControl w:val="0"/>
        <w:spacing w:line="340" w:lineRule="exact"/>
        <w:ind w:firstLine="709"/>
        <w:jc w:val="both"/>
        <w:rPr>
          <w:noProof/>
          <w:sz w:val="26"/>
          <w:szCs w:val="26"/>
          <w:lang w:val="nl-NL"/>
        </w:rPr>
      </w:pPr>
      <w:r>
        <w:rPr>
          <w:noProof/>
          <w:spacing w:val="-6"/>
          <w:sz w:val="26"/>
          <w:szCs w:val="26"/>
          <w:lang w:val="nl-NL"/>
        </w:rPr>
        <w:t>- Năm 2021-2022: Từ năm 2021 đến năm 2022, nồng độ SO</w:t>
      </w:r>
      <w:r>
        <w:rPr>
          <w:noProof/>
          <w:spacing w:val="-6"/>
          <w:sz w:val="26"/>
          <w:szCs w:val="26"/>
          <w:vertAlign w:val="subscript"/>
          <w:lang w:val="nl-NL"/>
        </w:rPr>
        <w:t>2</w:t>
      </w:r>
      <w:r>
        <w:rPr>
          <w:noProof/>
          <w:spacing w:val="-6"/>
          <w:sz w:val="26"/>
          <w:szCs w:val="26"/>
          <w:lang w:val="nl-NL"/>
        </w:rPr>
        <w:t xml:space="preserve"> trong môi trường không khí khu vực có hoạt động sản xuất công nghiệp tập trung thấp hơn quy chuẩn cho phép theo QCVN 05:2013/BTNMT</w:t>
      </w:r>
      <w:r>
        <w:rPr>
          <w:noProof/>
          <w:sz w:val="26"/>
          <w:szCs w:val="26"/>
          <w:lang w:val="nl-NL"/>
        </w:rPr>
        <w:t>.</w:t>
      </w:r>
    </w:p>
    <w:p w14:paraId="768FD4A5" w14:textId="77777777" w:rsidR="00085789" w:rsidRDefault="00000000">
      <w:pPr>
        <w:spacing w:line="340" w:lineRule="exact"/>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SO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w:t>
      </w:r>
      <w:r>
        <w:rPr>
          <w:noProof/>
          <w:spacing w:val="-6"/>
          <w:sz w:val="26"/>
          <w:szCs w:val="26"/>
          <w:lang w:val="nl-NL"/>
        </w:rPr>
        <w:t>hoạt động sản xuất công nghiệp tập trung</w:t>
      </w:r>
      <w:r>
        <w:rPr>
          <w:noProof/>
          <w:spacing w:val="-2"/>
          <w:sz w:val="26"/>
          <w:szCs w:val="26"/>
          <w:lang w:val="nl-NL"/>
        </w:rPr>
        <w:t xml:space="preserve"> đều dưới ngưỡng cho phép theo QCVN 05:2023/BTNMT</w:t>
      </w:r>
      <w:r>
        <w:rPr>
          <w:noProof/>
          <w:sz w:val="26"/>
          <w:szCs w:val="26"/>
          <w:lang w:val="nl-NL"/>
        </w:rPr>
        <w:t>.</w:t>
      </w:r>
    </w:p>
    <w:p w14:paraId="06DDA8A5"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t>(3) Diễn biến nồng độ Nitơ Dioxide (NO</w:t>
      </w:r>
      <w:r>
        <w:rPr>
          <w:b/>
          <w:noProof/>
          <w:spacing w:val="-4"/>
          <w:sz w:val="26"/>
          <w:szCs w:val="26"/>
          <w:vertAlign w:val="subscript"/>
          <w:lang w:val="nl-NL"/>
        </w:rPr>
        <w:t>2</w:t>
      </w:r>
      <w:r>
        <w:rPr>
          <w:b/>
          <w:noProof/>
          <w:spacing w:val="-4"/>
          <w:sz w:val="26"/>
          <w:szCs w:val="26"/>
          <w:lang w:val="nl-NL"/>
        </w:rPr>
        <w:t xml:space="preserve">) trong môi trường không khí khu vực sản xuất công nghiệp tập trung </w:t>
      </w:r>
      <w:r>
        <w:rPr>
          <w:b/>
          <w:noProof/>
          <w:spacing w:val="-4"/>
          <w:sz w:val="26"/>
          <w:szCs w:val="26"/>
          <w:lang w:val="pt-BR"/>
        </w:rPr>
        <w:t>từ năm 2021-Quý II/2025</w:t>
      </w:r>
      <w:r>
        <w:rPr>
          <w:b/>
          <w:noProof/>
          <w:spacing w:val="-4"/>
          <w:sz w:val="26"/>
          <w:szCs w:val="26"/>
          <w:lang w:val="nl-NL"/>
        </w:rPr>
        <w:t>:</w:t>
      </w:r>
    </w:p>
    <w:p w14:paraId="009B683C" w14:textId="77777777" w:rsidR="00085789" w:rsidRDefault="00085789">
      <w:pPr>
        <w:widowControl w:val="0"/>
        <w:spacing w:line="240" w:lineRule="exact"/>
        <w:ind w:firstLine="709"/>
        <w:jc w:val="both"/>
        <w:rPr>
          <w:b/>
          <w:noProof/>
          <w:spacing w:val="-4"/>
          <w:sz w:val="10"/>
          <w:szCs w:val="10"/>
          <w:lang w:val="nl-NL"/>
        </w:rPr>
      </w:pPr>
    </w:p>
    <w:p w14:paraId="64FA724D" w14:textId="77777777" w:rsidR="00085789" w:rsidRDefault="00000000">
      <w:pPr>
        <w:spacing w:line="240" w:lineRule="auto"/>
        <w:jc w:val="both"/>
        <w:rPr>
          <w:noProof/>
          <w:sz w:val="26"/>
          <w:szCs w:val="26"/>
          <w:lang w:val="nl-NL"/>
        </w:rPr>
      </w:pPr>
      <w:r>
        <w:rPr>
          <w:noProof/>
        </w:rPr>
        <w:drawing>
          <wp:inline distT="0" distB="0" distL="0" distR="0" wp14:anchorId="053C7664" wp14:editId="7B969957">
            <wp:extent cx="9230995" cy="1871932"/>
            <wp:effectExtent l="0" t="0" r="8255" b="14605"/>
            <wp:docPr id="1016460777" name="Chart 1">
              <a:extLst xmlns:a="http://schemas.openxmlformats.org/drawingml/2006/main">
                <a:ext uri="{FF2B5EF4-FFF2-40B4-BE49-F238E27FC236}">
                  <a16:creationId xmlns:a16="http://schemas.microsoft.com/office/drawing/2014/main" id="{59B8933C-D919-423F-85FD-4ABE98E90A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76FFF021" w14:textId="77777777" w:rsidR="00085789" w:rsidRDefault="00000000">
      <w:pPr>
        <w:pStyle w:val="-bac4"/>
        <w:spacing w:before="120" w:after="0" w:line="240" w:lineRule="auto"/>
        <w:rPr>
          <w:lang w:val="nl-NL"/>
        </w:rPr>
      </w:pPr>
      <w:bookmarkStart w:id="907" w:name="_Toc205915820"/>
      <w:bookmarkStart w:id="908" w:name="_Toc213597513"/>
      <w:bookmarkStart w:id="909" w:name="_Toc213600850"/>
      <w:r>
        <w:rPr>
          <w:lang w:val="nl-NL"/>
        </w:rPr>
        <w:t>Hình 4.13. Diễn biến nồng độ NO</w:t>
      </w:r>
      <w:r>
        <w:rPr>
          <w:vertAlign w:val="subscript"/>
          <w:lang w:val="nl-NL"/>
        </w:rPr>
        <w:t>2</w:t>
      </w:r>
      <w:r>
        <w:rPr>
          <w:lang w:val="nl-NL"/>
        </w:rPr>
        <w:t xml:space="preserve"> trong môi trường không khí khu vực sản xuất công nghiệp </w:t>
      </w:r>
      <w:r>
        <w:rPr>
          <w:noProof/>
          <w:spacing w:val="-4"/>
          <w:lang w:val="pt-BR"/>
        </w:rPr>
        <w:t>từ năm 2021-Quý II/2025</w:t>
      </w:r>
      <w:bookmarkEnd w:id="907"/>
      <w:bookmarkEnd w:id="908"/>
      <w:bookmarkEnd w:id="909"/>
    </w:p>
    <w:p w14:paraId="53AC0677"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0980F367"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nồng độ NO</w:t>
      </w:r>
      <w:r>
        <w:rPr>
          <w:noProof/>
          <w:spacing w:val="-6"/>
          <w:sz w:val="26"/>
          <w:szCs w:val="26"/>
          <w:vertAlign w:val="subscript"/>
          <w:lang w:val="nl-NL"/>
        </w:rPr>
        <w:t>2</w:t>
      </w:r>
      <w:r>
        <w:rPr>
          <w:noProof/>
          <w:spacing w:val="-6"/>
          <w:sz w:val="26"/>
          <w:szCs w:val="26"/>
          <w:lang w:val="nl-NL"/>
        </w:rPr>
        <w:t xml:space="preserve"> trong môi trường không khí khu vực sản xuất công nghiệp tập trung thấp hơn quy chuẩn cho phép theo QCVN 05:2013/BTNMT</w:t>
      </w:r>
      <w:r>
        <w:rPr>
          <w:noProof/>
          <w:sz w:val="26"/>
          <w:szCs w:val="26"/>
          <w:lang w:val="nl-NL"/>
        </w:rPr>
        <w:t>.</w:t>
      </w:r>
    </w:p>
    <w:p w14:paraId="330666AC"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Từ năm 2021 đến Quý II/2025, </w:t>
      </w:r>
      <w:r>
        <w:rPr>
          <w:noProof/>
          <w:spacing w:val="-6"/>
          <w:sz w:val="26"/>
          <w:szCs w:val="26"/>
          <w:lang w:val="nl-NL"/>
        </w:rPr>
        <w:t>nồng độ NO</w:t>
      </w:r>
      <w:r>
        <w:rPr>
          <w:noProof/>
          <w:spacing w:val="-6"/>
          <w:sz w:val="26"/>
          <w:szCs w:val="26"/>
          <w:vertAlign w:val="subscript"/>
          <w:lang w:val="nl-NL"/>
        </w:rPr>
        <w:t>2</w:t>
      </w:r>
      <w:r>
        <w:rPr>
          <w:noProof/>
          <w:spacing w:val="-6"/>
          <w:sz w:val="26"/>
          <w:szCs w:val="26"/>
          <w:lang w:val="nl-NL"/>
        </w:rPr>
        <w:t xml:space="preserve"> trong môi trường không khí</w:t>
      </w:r>
      <w:r>
        <w:rPr>
          <w:noProof/>
          <w:spacing w:val="-2"/>
          <w:sz w:val="26"/>
          <w:szCs w:val="26"/>
          <w:lang w:val="nl-NL"/>
        </w:rPr>
        <w:t xml:space="preserve"> khu vực </w:t>
      </w:r>
      <w:r>
        <w:rPr>
          <w:noProof/>
          <w:spacing w:val="-6"/>
          <w:sz w:val="26"/>
          <w:szCs w:val="26"/>
          <w:lang w:val="nl-NL"/>
        </w:rPr>
        <w:t>sản xuất công nghiệp tập trung</w:t>
      </w:r>
      <w:r>
        <w:rPr>
          <w:noProof/>
          <w:spacing w:val="-2"/>
          <w:sz w:val="26"/>
          <w:szCs w:val="26"/>
          <w:lang w:val="nl-NL"/>
        </w:rPr>
        <w:t xml:space="preserve"> đều dưới ngưỡng cho phép theo QCVN 05:2023/BTNMT</w:t>
      </w:r>
      <w:r>
        <w:rPr>
          <w:noProof/>
          <w:sz w:val="26"/>
          <w:szCs w:val="26"/>
          <w:lang w:val="nl-NL"/>
        </w:rPr>
        <w:t>.</w:t>
      </w:r>
    </w:p>
    <w:p w14:paraId="179DAD6D"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(4) Diễn biến tiếng ồn trong môi trường không khí khu vực </w:t>
      </w:r>
      <w:r>
        <w:rPr>
          <w:b/>
          <w:bCs/>
          <w:sz w:val="26"/>
          <w:lang w:val="nl-NL"/>
        </w:rPr>
        <w:t>sản xuất công nghiệp</w:t>
      </w:r>
      <w:r>
        <w:rPr>
          <w:b/>
          <w:noProof/>
          <w:spacing w:val="-4"/>
          <w:sz w:val="26"/>
          <w:szCs w:val="26"/>
          <w:lang w:val="nl-NL"/>
        </w:rPr>
        <w:t xml:space="preserve"> </w:t>
      </w:r>
      <w:r>
        <w:rPr>
          <w:b/>
          <w:noProof/>
          <w:spacing w:val="-4"/>
          <w:sz w:val="26"/>
          <w:szCs w:val="26"/>
          <w:lang w:val="pt-BR"/>
        </w:rPr>
        <w:t>từ năm 2021-Quý II/2025</w:t>
      </w:r>
      <w:r>
        <w:rPr>
          <w:b/>
          <w:noProof/>
          <w:spacing w:val="-4"/>
          <w:sz w:val="26"/>
          <w:szCs w:val="26"/>
          <w:lang w:val="nl-NL"/>
        </w:rPr>
        <w:t>:</w:t>
      </w:r>
    </w:p>
    <w:p w14:paraId="1712F961" w14:textId="77777777" w:rsidR="00085789" w:rsidRDefault="00000000">
      <w:pPr>
        <w:spacing w:line="240" w:lineRule="auto"/>
        <w:jc w:val="both"/>
        <w:rPr>
          <w:noProof/>
          <w:sz w:val="26"/>
          <w:szCs w:val="26"/>
          <w:lang w:val="nl-NL"/>
        </w:rPr>
      </w:pPr>
      <w:r>
        <w:rPr>
          <w:noProof/>
        </w:rPr>
        <w:lastRenderedPageBreak/>
        <w:drawing>
          <wp:inline distT="0" distB="0" distL="0" distR="0" wp14:anchorId="5B859597" wp14:editId="2EC8ACC8">
            <wp:extent cx="9239250" cy="2406770"/>
            <wp:effectExtent l="0" t="0" r="0" b="12700"/>
            <wp:docPr id="339611259" name="Chart 1">
              <a:extLst xmlns:a="http://schemas.openxmlformats.org/drawingml/2006/main">
                <a:ext uri="{FF2B5EF4-FFF2-40B4-BE49-F238E27FC236}">
                  <a16:creationId xmlns:a16="http://schemas.microsoft.com/office/drawing/2014/main" id="{B78ADD29-C6DC-4548-9A3F-7BA14510B9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14:paraId="4DF5BC5A" w14:textId="77777777" w:rsidR="00085789" w:rsidRDefault="00000000">
      <w:pPr>
        <w:pStyle w:val="-bac4"/>
        <w:rPr>
          <w:lang w:val="nl-NL"/>
        </w:rPr>
      </w:pPr>
      <w:bookmarkStart w:id="910" w:name="_Toc205915821"/>
      <w:bookmarkStart w:id="911" w:name="_Toc213597514"/>
      <w:bookmarkStart w:id="912" w:name="_Toc213600851"/>
      <w:r>
        <w:rPr>
          <w:lang w:val="nl-NL"/>
        </w:rPr>
        <w:t xml:space="preserve">Hình 4.14. Diễn biến tiếng ồn trong môi trường không khí khu vực sản xuất công nghiệp </w:t>
      </w:r>
      <w:r>
        <w:rPr>
          <w:noProof/>
          <w:spacing w:val="-4"/>
          <w:lang w:val="pt-BR"/>
        </w:rPr>
        <w:t>từ năm 2021-Quý II/2025</w:t>
      </w:r>
      <w:bookmarkEnd w:id="910"/>
      <w:bookmarkEnd w:id="911"/>
      <w:bookmarkEnd w:id="912"/>
    </w:p>
    <w:p w14:paraId="6747B8C9" w14:textId="77777777" w:rsidR="00085789" w:rsidRDefault="00000000">
      <w:pPr>
        <w:widowControl w:val="0"/>
        <w:spacing w:before="40" w:line="240" w:lineRule="auto"/>
        <w:ind w:firstLine="709"/>
        <w:jc w:val="both"/>
        <w:rPr>
          <w:noProof/>
          <w:sz w:val="26"/>
          <w:szCs w:val="26"/>
          <w:u w:val="single"/>
          <w:lang w:val="nl-NL"/>
        </w:rPr>
      </w:pPr>
      <w:r>
        <w:rPr>
          <w:i/>
          <w:noProof/>
          <w:sz w:val="26"/>
          <w:szCs w:val="26"/>
          <w:u w:val="single"/>
          <w:lang w:val="nl-NL"/>
        </w:rPr>
        <w:t>Nhận xét:</w:t>
      </w:r>
    </w:p>
    <w:p w14:paraId="4588ED08"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xml:space="preserve">- Năm 2021, tiếng ồn tại các khu vực Ngã 4 Vũng Áng tại phường Kỳ Thịnh và điểm vào KCN Phú Vinh tại phường Kỳ Liên </w:t>
      </w:r>
      <w:r>
        <w:rPr>
          <w:noProof/>
          <w:sz w:val="26"/>
          <w:szCs w:val="26"/>
          <w:lang w:val="nl-NL"/>
        </w:rPr>
        <w:t xml:space="preserve">trước đây </w:t>
      </w:r>
      <w:r>
        <w:rPr>
          <w:noProof/>
          <w:spacing w:val="-6"/>
          <w:sz w:val="26"/>
          <w:szCs w:val="26"/>
          <w:lang w:val="nl-NL"/>
        </w:rPr>
        <w:t xml:space="preserve">tại thời điểm quan trắc vượt giá trị giới hạn tại QCVN 26:2010/BTNMT nhưng ở mức rất nhỏ (chỉ từ 1,01-1,02 lần); tiếng ồn các vị trí còn lại tại thời điểm quan trắc đang nằm trong giá trị giới hạn của quy chuẩn. </w:t>
      </w:r>
    </w:p>
    <w:p w14:paraId="30FA28F8"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Năm 2022, tiếng ồn tại các khu vực Ngã 4 Vũng Áng tại phường Kỳ Thịnh</w:t>
      </w:r>
      <w:r>
        <w:rPr>
          <w:noProof/>
          <w:sz w:val="26"/>
          <w:szCs w:val="26"/>
          <w:lang w:val="nl-NL"/>
        </w:rPr>
        <w:t xml:space="preserve"> trước đây</w:t>
      </w:r>
      <w:r>
        <w:rPr>
          <w:noProof/>
          <w:spacing w:val="-6"/>
          <w:sz w:val="26"/>
          <w:szCs w:val="26"/>
          <w:lang w:val="nl-NL"/>
        </w:rPr>
        <w:t xml:space="preserve"> tại thời điểm quan trắc vượt giá trị giới hạn tại QCVN 26:2010/BTNMT nhưng ở mức rất nhỏ (1,006 lần); tiếng ồn các vị trí còn lại tại thời điểm quan trắc đang nằm trong giá trị giới hạn của quy chuẩn.</w:t>
      </w:r>
    </w:p>
    <w:p w14:paraId="08027C80"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Năm 2023, tiếng ồn tại các khu vực Ngã 4 Vũng Áng tại phường Kỳ Thịnh và điểm vào KCN Phú Vinh tại phường Kỳ Liên</w:t>
      </w:r>
      <w:r>
        <w:rPr>
          <w:noProof/>
          <w:sz w:val="26"/>
          <w:szCs w:val="26"/>
          <w:lang w:val="nl-NL"/>
        </w:rPr>
        <w:t xml:space="preserve"> trước đây</w:t>
      </w:r>
      <w:r>
        <w:rPr>
          <w:noProof/>
          <w:spacing w:val="-6"/>
          <w:sz w:val="26"/>
          <w:szCs w:val="26"/>
          <w:lang w:val="nl-NL"/>
        </w:rPr>
        <w:t xml:space="preserve"> tại thời điểm quan trắc vượt giá trị giới hạn tại QCVN 26:2010/BTNMT nhưng ở mức rất nhỏ (chỉ từ 1,005-1,009 lần); tiếng ồn các vị trí còn lại tại thời điểm quan trắc đang nằm trong giá trị giới hạn của quy chuẩn.</w:t>
      </w:r>
    </w:p>
    <w:p w14:paraId="626EFC23" w14:textId="77777777" w:rsidR="00085789" w:rsidRDefault="00000000">
      <w:pPr>
        <w:widowControl w:val="0"/>
        <w:spacing w:before="120" w:line="240" w:lineRule="auto"/>
        <w:ind w:firstLine="709"/>
        <w:jc w:val="both"/>
        <w:rPr>
          <w:noProof/>
          <w:spacing w:val="-6"/>
          <w:sz w:val="26"/>
          <w:szCs w:val="26"/>
          <w:lang w:val="nl-NL"/>
        </w:rPr>
      </w:pPr>
      <w:r>
        <w:rPr>
          <w:noProof/>
          <w:spacing w:val="-6"/>
          <w:sz w:val="26"/>
          <w:szCs w:val="26"/>
          <w:lang w:val="nl-NL"/>
        </w:rPr>
        <w:t>- Từ năm 2024 đến Quý II/2025, tiếng ồn ở tất cả các khu vực có hoạt động sản xuất công nghiệp tập trung tại thời điểm quan trắc đang nằm trong giá trị giới hạn tại QCVN 26:2010/BTNMT.</w:t>
      </w:r>
    </w:p>
    <w:p w14:paraId="56CBA90C" w14:textId="77777777" w:rsidR="00085789" w:rsidRDefault="00000000">
      <w:pPr>
        <w:spacing w:before="120" w:line="240" w:lineRule="auto"/>
        <w:rPr>
          <w:b/>
          <w:noProof/>
          <w:spacing w:val="-4"/>
          <w:sz w:val="26"/>
          <w:szCs w:val="26"/>
          <w:lang w:val="nl-NL"/>
        </w:rPr>
      </w:pPr>
      <w:r>
        <w:rPr>
          <w:b/>
          <w:noProof/>
          <w:spacing w:val="-4"/>
          <w:sz w:val="26"/>
          <w:szCs w:val="26"/>
          <w:lang w:val="nl-NL"/>
        </w:rPr>
        <w:br w:type="page"/>
      </w:r>
    </w:p>
    <w:p w14:paraId="5E21257F"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lastRenderedPageBreak/>
        <w:t xml:space="preserve">(5) Diễn biến độ rung trong môi trường không khí khu vực hoạt động sản xuất công nghiệp tập trung </w:t>
      </w:r>
      <w:r>
        <w:rPr>
          <w:b/>
          <w:noProof/>
          <w:spacing w:val="-4"/>
          <w:sz w:val="26"/>
          <w:szCs w:val="26"/>
          <w:lang w:val="pt-BR"/>
        </w:rPr>
        <w:t>từ năm 2021-Quý II/2025</w:t>
      </w:r>
      <w:r>
        <w:rPr>
          <w:b/>
          <w:noProof/>
          <w:spacing w:val="-4"/>
          <w:sz w:val="26"/>
          <w:szCs w:val="26"/>
          <w:lang w:val="nl-NL"/>
        </w:rPr>
        <w:t>:</w:t>
      </w:r>
    </w:p>
    <w:p w14:paraId="38A867CE" w14:textId="77777777" w:rsidR="00085789" w:rsidRDefault="00000000">
      <w:pPr>
        <w:spacing w:line="240" w:lineRule="auto"/>
        <w:jc w:val="both"/>
        <w:rPr>
          <w:noProof/>
          <w:sz w:val="26"/>
          <w:szCs w:val="26"/>
          <w:lang w:val="nl-NL"/>
        </w:rPr>
      </w:pPr>
      <w:r>
        <w:rPr>
          <w:noProof/>
        </w:rPr>
        <w:drawing>
          <wp:inline distT="0" distB="0" distL="0" distR="0" wp14:anchorId="63992FD9" wp14:editId="06CD84B5">
            <wp:extent cx="9230995" cy="1578634"/>
            <wp:effectExtent l="0" t="0" r="8255" b="2540"/>
            <wp:docPr id="1714418665" name="Chart 1">
              <a:extLst xmlns:a="http://schemas.openxmlformats.org/drawingml/2006/main">
                <a:ext uri="{FF2B5EF4-FFF2-40B4-BE49-F238E27FC236}">
                  <a16:creationId xmlns:a16="http://schemas.microsoft.com/office/drawing/2014/main" id="{FA84A75D-14E2-4109-A995-2600533BD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14:paraId="2FA32E8A" w14:textId="77777777" w:rsidR="00085789" w:rsidRDefault="00000000">
      <w:pPr>
        <w:pStyle w:val="-bac4"/>
        <w:spacing w:before="120" w:after="0" w:line="240" w:lineRule="auto"/>
        <w:rPr>
          <w:lang w:val="nl-NL"/>
        </w:rPr>
      </w:pPr>
      <w:bookmarkStart w:id="913" w:name="_Toc205915822"/>
      <w:bookmarkStart w:id="914" w:name="_Toc213597515"/>
      <w:bookmarkStart w:id="915" w:name="_Toc213600852"/>
      <w:r>
        <w:rPr>
          <w:lang w:val="nl-NL"/>
        </w:rPr>
        <w:t xml:space="preserve">Hình 4.15. Diễn biến độ rung trong môi trường không khí khu vực sản xuất công nghiệp </w:t>
      </w:r>
      <w:r>
        <w:rPr>
          <w:noProof/>
          <w:spacing w:val="-4"/>
          <w:lang w:val="pt-BR"/>
        </w:rPr>
        <w:t>từ năm 2021-Quý II/2025</w:t>
      </w:r>
      <w:bookmarkEnd w:id="913"/>
      <w:bookmarkEnd w:id="914"/>
      <w:bookmarkEnd w:id="915"/>
    </w:p>
    <w:p w14:paraId="223D42C5"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233742DB" w14:textId="77777777" w:rsidR="00085789" w:rsidRDefault="00000000">
      <w:pPr>
        <w:spacing w:before="120" w:line="240" w:lineRule="auto"/>
        <w:ind w:firstLine="709"/>
        <w:jc w:val="both"/>
        <w:rPr>
          <w:noProof/>
          <w:spacing w:val="-6"/>
          <w:sz w:val="26"/>
          <w:szCs w:val="26"/>
          <w:lang w:val="nl-NL"/>
        </w:rPr>
      </w:pPr>
      <w:r>
        <w:rPr>
          <w:noProof/>
          <w:spacing w:val="-6"/>
          <w:sz w:val="26"/>
          <w:szCs w:val="26"/>
          <w:lang w:val="nl-NL"/>
        </w:rPr>
        <w:t>Từ năm 2021 đến Quý II/2025, độ rung ở tất cả các khu vực sản xuất công nghiệp tại thời điểm quan trắc đang nằm trong giá trị giới hạn tại QCVN 27:2010/BTNMT.</w:t>
      </w:r>
    </w:p>
    <w:p w14:paraId="1A0C8362" w14:textId="77777777" w:rsidR="00085789" w:rsidRDefault="00085789">
      <w:pPr>
        <w:spacing w:line="240" w:lineRule="auto"/>
        <w:ind w:firstLine="709"/>
        <w:jc w:val="both"/>
        <w:rPr>
          <w:noProof/>
          <w:sz w:val="26"/>
          <w:szCs w:val="26"/>
          <w:lang w:val="nl-NL"/>
        </w:rPr>
      </w:pPr>
    </w:p>
    <w:p w14:paraId="6D190670" w14:textId="77777777" w:rsidR="00085789" w:rsidRDefault="00085789">
      <w:pPr>
        <w:spacing w:line="240" w:lineRule="auto"/>
        <w:ind w:firstLine="709"/>
        <w:jc w:val="both"/>
        <w:rPr>
          <w:noProof/>
          <w:sz w:val="26"/>
          <w:szCs w:val="26"/>
          <w:lang w:val="nl-NL"/>
        </w:rPr>
      </w:pPr>
    </w:p>
    <w:p w14:paraId="7418ED99" w14:textId="77777777" w:rsidR="00085789" w:rsidRDefault="00085789">
      <w:pPr>
        <w:spacing w:line="240" w:lineRule="auto"/>
        <w:ind w:firstLine="709"/>
        <w:jc w:val="both"/>
        <w:rPr>
          <w:noProof/>
          <w:sz w:val="26"/>
          <w:szCs w:val="26"/>
          <w:lang w:val="nl-NL"/>
        </w:rPr>
      </w:pPr>
    </w:p>
    <w:p w14:paraId="7B5FEA9C" w14:textId="77777777" w:rsidR="00085789" w:rsidRDefault="00000000">
      <w:pPr>
        <w:spacing w:line="240" w:lineRule="auto"/>
        <w:rPr>
          <w:noProof/>
          <w:sz w:val="26"/>
          <w:szCs w:val="26"/>
          <w:lang w:val="nl-NL"/>
        </w:rPr>
      </w:pPr>
      <w:r>
        <w:rPr>
          <w:noProof/>
          <w:sz w:val="26"/>
          <w:szCs w:val="26"/>
          <w:lang w:val="nl-NL"/>
        </w:rPr>
        <w:br w:type="page"/>
      </w:r>
    </w:p>
    <w:p w14:paraId="29B84F65" w14:textId="77777777" w:rsidR="00085789" w:rsidRDefault="00085789">
      <w:pPr>
        <w:spacing w:line="240" w:lineRule="auto"/>
        <w:ind w:firstLine="709"/>
        <w:jc w:val="both"/>
        <w:rPr>
          <w:noProof/>
          <w:sz w:val="26"/>
          <w:szCs w:val="26"/>
          <w:lang w:val="nl-NL"/>
        </w:rPr>
        <w:sectPr w:rsidR="00085789">
          <w:pgSz w:w="16834" w:h="11909" w:orient="landscape" w:code="9"/>
          <w:pgMar w:top="1134" w:right="1134" w:bottom="1134" w:left="1134" w:header="680" w:footer="340" w:gutter="0"/>
          <w:cols w:space="720"/>
          <w:docGrid w:linePitch="381"/>
        </w:sectPr>
      </w:pPr>
    </w:p>
    <w:p w14:paraId="1ECA9EC0" w14:textId="77777777" w:rsidR="00085789" w:rsidRDefault="00000000">
      <w:pPr>
        <w:pStyle w:val="bac2"/>
        <w:spacing w:before="120" w:after="0" w:line="240" w:lineRule="auto"/>
        <w:rPr>
          <w:smallCaps/>
          <w:lang w:val="nl-NL"/>
        </w:rPr>
      </w:pPr>
      <w:bookmarkStart w:id="916" w:name="_Toc214311255"/>
      <w:r>
        <w:rPr>
          <w:lang w:val="nl-NL"/>
        </w:rPr>
        <w:lastRenderedPageBreak/>
        <w:t>4.3. Các vấn đề môi trường không khí, kiểm kê phát thải, đánh giá chất lượng môi trường không khí</w:t>
      </w:r>
      <w:bookmarkEnd w:id="916"/>
      <w:r>
        <w:rPr>
          <w:lang w:val="nl-NL"/>
        </w:rPr>
        <w:t xml:space="preserve"> </w:t>
      </w:r>
    </w:p>
    <w:p w14:paraId="5E38E30C" w14:textId="77777777" w:rsidR="00085789" w:rsidRDefault="00000000">
      <w:pPr>
        <w:pStyle w:val="bac2"/>
        <w:spacing w:before="120" w:after="0" w:line="240" w:lineRule="auto"/>
        <w:rPr>
          <w:smallCaps/>
          <w:lang w:val="nl-NL"/>
        </w:rPr>
      </w:pPr>
      <w:bookmarkStart w:id="917" w:name="_Toc214311256"/>
      <w:r>
        <w:rPr>
          <w:lang w:val="nl-NL"/>
        </w:rPr>
        <w:t>4.3.1. C</w:t>
      </w:r>
      <w:r>
        <w:rPr>
          <w:rFonts w:hint="eastAsia"/>
          <w:lang w:val="nl-NL"/>
        </w:rPr>
        <w:t>á</w:t>
      </w:r>
      <w:r>
        <w:rPr>
          <w:lang w:val="nl-NL"/>
        </w:rPr>
        <w:t>c vấn đề môi trường không khí</w:t>
      </w:r>
      <w:bookmarkEnd w:id="917"/>
    </w:p>
    <w:p w14:paraId="476B1F25" w14:textId="0837434B" w:rsidR="00085789" w:rsidRDefault="00000000">
      <w:pPr>
        <w:widowControl w:val="0"/>
        <w:spacing w:before="120" w:line="240" w:lineRule="auto"/>
        <w:ind w:firstLine="709"/>
        <w:jc w:val="both"/>
        <w:rPr>
          <w:spacing w:val="2"/>
          <w:sz w:val="26"/>
          <w:szCs w:val="26"/>
          <w:lang w:val="nl-NL"/>
        </w:rPr>
      </w:pPr>
      <w:r>
        <w:rPr>
          <w:sz w:val="26"/>
          <w:szCs w:val="26"/>
          <w:lang w:val="nl-NL"/>
        </w:rPr>
        <w:t xml:space="preserve">- Đốt rơm rạ và chất thải: Việc đốt rơm rạ và chất thải nông nghiệp không đúng cách là nguyên nhân gây ô </w:t>
      </w:r>
      <w:r>
        <w:rPr>
          <w:spacing w:val="2"/>
          <w:sz w:val="26"/>
          <w:szCs w:val="26"/>
          <w:lang w:val="nl-NL"/>
        </w:rPr>
        <w:t xml:space="preserve">nhiễm không khí, gây nguy hiểm trực tiếp đến người đốt, trong kỹ thuật canh tác, đốt rơm rạ trên đồng sẽ dễ làm chai đất, đất sẽ nhanh chóng bị bạc màu, thoái hóa. Thời gian qua mặc dù tác hại của việc đốt rơm ra đã được Sở Nông nghiệp và Môi trường phối hợp chính quyền địa phương, các tổ chức chính trị xã hội tuyên truyền, và hướng dẫn người dân thực hiện xử lý phế phẩm từ nông nghiệp theo đúng quy định, tuy nhiên do phong tục, tập quán của người dân nên tình trạng trạng đốt rơm rạ và chất thải không đúng nơi quy định vẫn còn diễn ra ở một số điểm trên địa bàn tỉnh. </w:t>
      </w:r>
    </w:p>
    <w:p w14:paraId="7396BBD5" w14:textId="77777777" w:rsidR="00085789" w:rsidRDefault="00000000">
      <w:pPr>
        <w:widowControl w:val="0"/>
        <w:spacing w:before="120" w:line="240" w:lineRule="auto"/>
        <w:ind w:firstLine="709"/>
        <w:jc w:val="both"/>
        <w:rPr>
          <w:sz w:val="26"/>
          <w:szCs w:val="26"/>
          <w:lang w:val="nl-NL"/>
        </w:rPr>
      </w:pPr>
      <w:r>
        <w:rPr>
          <w:spacing w:val="-2"/>
          <w:sz w:val="26"/>
          <w:szCs w:val="26"/>
          <w:lang w:val="nl-NL"/>
        </w:rPr>
        <w:t>- Hoạt động giao thông: Lượng phương tiện giao thông gia tăng cũng góp phần làm tăng ô nhiễm</w:t>
      </w:r>
      <w:r>
        <w:rPr>
          <w:spacing w:val="2"/>
          <w:sz w:val="26"/>
          <w:szCs w:val="26"/>
          <w:lang w:val="nl-NL"/>
        </w:rPr>
        <w:t xml:space="preserve"> không khí, đặc biệt là ở các khu vực đô thị. Tốc độ đô thị hóa và gia tăng </w:t>
      </w:r>
      <w:r>
        <w:rPr>
          <w:sz w:val="26"/>
          <w:szCs w:val="26"/>
          <w:lang w:val="nl-NL"/>
        </w:rPr>
        <w:t>phương</w:t>
      </w:r>
      <w:r>
        <w:rPr>
          <w:spacing w:val="2"/>
          <w:sz w:val="26"/>
          <w:szCs w:val="26"/>
          <w:lang w:val="nl-NL"/>
        </w:rPr>
        <w:t xml:space="preserve"> </w:t>
      </w:r>
      <w:r>
        <w:rPr>
          <w:sz w:val="26"/>
          <w:szCs w:val="26"/>
          <w:lang w:val="nl-NL"/>
        </w:rPr>
        <w:t xml:space="preserve">tiện giao thông cá nhân cũng góp phần làm tăng lượng khí thải gây ô nhiễm. Tình trạng xe chở đá gây ô nhiễm khói bụi, ảnh hưởng đến dân cư hai bên đường và người dân lưu thông trên các trục </w:t>
      </w:r>
      <w:r>
        <w:rPr>
          <w:bCs/>
          <w:color w:val="000000" w:themeColor="text1"/>
          <w:sz w:val="26"/>
          <w:szCs w:val="26"/>
          <w:lang w:val="nl-NL"/>
        </w:rPr>
        <w:t>đường.</w:t>
      </w:r>
    </w:p>
    <w:p w14:paraId="78B0E212" w14:textId="77777777" w:rsidR="00085789" w:rsidRDefault="00000000">
      <w:pPr>
        <w:pStyle w:val="Heading2"/>
        <w:ind w:firstLine="709"/>
        <w:rPr>
          <w:rFonts w:asciiTheme="majorHAnsi" w:hAnsiTheme="majorHAnsi" w:cstheme="majorHAnsi"/>
          <w:smallCaps/>
          <w:szCs w:val="26"/>
          <w:lang w:val="nl-NL"/>
        </w:rPr>
      </w:pPr>
      <w:r>
        <w:rPr>
          <w:rFonts w:asciiTheme="majorHAnsi" w:hAnsiTheme="majorHAnsi" w:cstheme="majorHAnsi"/>
          <w:spacing w:val="-4"/>
          <w:sz w:val="26"/>
          <w:szCs w:val="26"/>
          <w:lang w:val="nl-NL"/>
        </w:rPr>
        <w:t>4.3.2. Kiểm k</w:t>
      </w:r>
      <w:r>
        <w:rPr>
          <w:rFonts w:asciiTheme="majorHAnsi" w:hAnsiTheme="majorHAnsi" w:cstheme="majorHAnsi" w:hint="eastAsia"/>
          <w:spacing w:val="-4"/>
          <w:sz w:val="26"/>
          <w:szCs w:val="26"/>
          <w:lang w:val="nl-NL"/>
        </w:rPr>
        <w:t>ê</w:t>
      </w:r>
      <w:r>
        <w:rPr>
          <w:rFonts w:asciiTheme="majorHAnsi" w:hAnsiTheme="majorHAnsi" w:cstheme="majorHAnsi"/>
          <w:spacing w:val="-4"/>
          <w:sz w:val="26"/>
          <w:szCs w:val="26"/>
          <w:lang w:val="nl-NL"/>
        </w:rPr>
        <w:t xml:space="preserve"> ph</w:t>
      </w:r>
      <w:r>
        <w:rPr>
          <w:rFonts w:asciiTheme="majorHAnsi" w:hAnsiTheme="majorHAnsi" w:cstheme="majorHAnsi" w:hint="eastAsia"/>
          <w:spacing w:val="-4"/>
          <w:sz w:val="26"/>
          <w:szCs w:val="26"/>
          <w:lang w:val="nl-NL"/>
        </w:rPr>
        <w:t>á</w:t>
      </w:r>
      <w:r>
        <w:rPr>
          <w:rFonts w:asciiTheme="majorHAnsi" w:hAnsiTheme="majorHAnsi" w:cstheme="majorHAnsi"/>
          <w:spacing w:val="-4"/>
          <w:sz w:val="26"/>
          <w:szCs w:val="26"/>
          <w:lang w:val="nl-NL"/>
        </w:rPr>
        <w:t>t thải v</w:t>
      </w:r>
      <w:r>
        <w:rPr>
          <w:rFonts w:asciiTheme="majorHAnsi" w:hAnsiTheme="majorHAnsi" w:cstheme="majorHAnsi" w:hint="eastAsia"/>
          <w:spacing w:val="-4"/>
          <w:sz w:val="26"/>
          <w:szCs w:val="26"/>
          <w:lang w:val="nl-NL"/>
        </w:rPr>
        <w:t>à</w:t>
      </w:r>
      <w:r>
        <w:rPr>
          <w:rFonts w:asciiTheme="majorHAnsi" w:hAnsiTheme="majorHAnsi" w:cstheme="majorHAnsi"/>
          <w:spacing w:val="-4"/>
          <w:sz w:val="26"/>
          <w:szCs w:val="26"/>
          <w:lang w:val="nl-NL"/>
        </w:rPr>
        <w:t xml:space="preserve"> </w:t>
      </w:r>
      <w:r>
        <w:rPr>
          <w:rFonts w:asciiTheme="majorHAnsi" w:hAnsiTheme="majorHAnsi" w:cstheme="majorHAnsi" w:hint="eastAsia"/>
          <w:spacing w:val="-4"/>
          <w:sz w:val="26"/>
          <w:szCs w:val="26"/>
          <w:lang w:val="nl-NL"/>
        </w:rPr>
        <w:t>đá</w:t>
      </w:r>
      <w:r>
        <w:rPr>
          <w:rFonts w:asciiTheme="majorHAnsi" w:hAnsiTheme="majorHAnsi" w:cstheme="majorHAnsi"/>
          <w:spacing w:val="-4"/>
          <w:sz w:val="26"/>
          <w:szCs w:val="26"/>
          <w:lang w:val="nl-NL"/>
        </w:rPr>
        <w:t>nh gi</w:t>
      </w:r>
      <w:r>
        <w:rPr>
          <w:rFonts w:asciiTheme="majorHAnsi" w:hAnsiTheme="majorHAnsi" w:cstheme="majorHAnsi" w:hint="eastAsia"/>
          <w:spacing w:val="-4"/>
          <w:sz w:val="26"/>
          <w:szCs w:val="26"/>
          <w:lang w:val="nl-NL"/>
        </w:rPr>
        <w:t>á</w:t>
      </w:r>
      <w:r>
        <w:rPr>
          <w:rFonts w:asciiTheme="majorHAnsi" w:hAnsiTheme="majorHAnsi" w:cstheme="majorHAnsi"/>
          <w:spacing w:val="-4"/>
          <w:sz w:val="26"/>
          <w:szCs w:val="26"/>
          <w:lang w:val="nl-NL"/>
        </w:rPr>
        <w:t xml:space="preserve"> chất l</w:t>
      </w:r>
      <w:r>
        <w:rPr>
          <w:rFonts w:asciiTheme="majorHAnsi" w:hAnsiTheme="majorHAnsi" w:cstheme="majorHAnsi" w:hint="eastAsia"/>
          <w:spacing w:val="-4"/>
          <w:sz w:val="26"/>
          <w:szCs w:val="26"/>
          <w:lang w:val="nl-NL"/>
        </w:rPr>
        <w:t>ư</w:t>
      </w:r>
      <w:r>
        <w:rPr>
          <w:rFonts w:asciiTheme="majorHAnsi" w:hAnsiTheme="majorHAnsi" w:cstheme="majorHAnsi"/>
          <w:spacing w:val="-4"/>
          <w:sz w:val="26"/>
          <w:szCs w:val="26"/>
          <w:lang w:val="nl-NL"/>
        </w:rPr>
        <w:t>ợng m</w:t>
      </w:r>
      <w:r>
        <w:rPr>
          <w:rFonts w:asciiTheme="majorHAnsi" w:hAnsiTheme="majorHAnsi" w:cstheme="majorHAnsi" w:hint="eastAsia"/>
          <w:spacing w:val="-4"/>
          <w:sz w:val="26"/>
          <w:szCs w:val="26"/>
          <w:lang w:val="nl-NL"/>
        </w:rPr>
        <w:t>ô</w:t>
      </w:r>
      <w:r>
        <w:rPr>
          <w:rFonts w:asciiTheme="majorHAnsi" w:hAnsiTheme="majorHAnsi" w:cstheme="majorHAnsi"/>
          <w:spacing w:val="-4"/>
          <w:sz w:val="26"/>
          <w:szCs w:val="26"/>
          <w:lang w:val="nl-NL"/>
        </w:rPr>
        <w:t>i tr</w:t>
      </w:r>
      <w:r>
        <w:rPr>
          <w:rFonts w:asciiTheme="majorHAnsi" w:hAnsiTheme="majorHAnsi" w:cstheme="majorHAnsi" w:hint="eastAsia"/>
          <w:spacing w:val="-4"/>
          <w:sz w:val="26"/>
          <w:szCs w:val="26"/>
          <w:lang w:val="nl-NL"/>
        </w:rPr>
        <w:t>ư</w:t>
      </w:r>
      <w:r>
        <w:rPr>
          <w:rFonts w:asciiTheme="majorHAnsi" w:hAnsiTheme="majorHAnsi" w:cstheme="majorHAnsi"/>
          <w:spacing w:val="-4"/>
          <w:sz w:val="26"/>
          <w:szCs w:val="26"/>
          <w:lang w:val="nl-NL"/>
        </w:rPr>
        <w:t>ờng kh</w:t>
      </w:r>
      <w:r>
        <w:rPr>
          <w:rFonts w:asciiTheme="majorHAnsi" w:hAnsiTheme="majorHAnsi" w:cstheme="majorHAnsi" w:hint="eastAsia"/>
          <w:spacing w:val="-4"/>
          <w:sz w:val="26"/>
          <w:szCs w:val="26"/>
          <w:lang w:val="nl-NL"/>
        </w:rPr>
        <w:t>ô</w:t>
      </w:r>
      <w:r>
        <w:rPr>
          <w:rFonts w:asciiTheme="majorHAnsi" w:hAnsiTheme="majorHAnsi" w:cstheme="majorHAnsi"/>
          <w:spacing w:val="-4"/>
          <w:sz w:val="26"/>
          <w:szCs w:val="26"/>
          <w:lang w:val="nl-NL"/>
        </w:rPr>
        <w:t>ng kh</w:t>
      </w:r>
      <w:r>
        <w:rPr>
          <w:rFonts w:asciiTheme="majorHAnsi" w:hAnsiTheme="majorHAnsi" w:cstheme="majorHAnsi" w:hint="eastAsia"/>
          <w:spacing w:val="-4"/>
          <w:sz w:val="26"/>
          <w:szCs w:val="26"/>
          <w:lang w:val="nl-NL"/>
        </w:rPr>
        <w:t>í</w:t>
      </w:r>
    </w:p>
    <w:p w14:paraId="34DDCAF2" w14:textId="77777777" w:rsidR="00085789" w:rsidRDefault="00000000">
      <w:pPr>
        <w:spacing w:before="120" w:line="240" w:lineRule="auto"/>
        <w:ind w:firstLine="709"/>
        <w:rPr>
          <w:b/>
          <w:bCs/>
          <w:i/>
          <w:iCs/>
          <w:sz w:val="26"/>
          <w:szCs w:val="26"/>
          <w:lang w:val="nl-NL"/>
        </w:rPr>
      </w:pPr>
      <w:r>
        <w:rPr>
          <w:b/>
          <w:bCs/>
          <w:i/>
          <w:iCs/>
          <w:sz w:val="26"/>
          <w:szCs w:val="26"/>
          <w:lang w:val="nl-NL"/>
        </w:rPr>
        <w:t xml:space="preserve">a) Kiểm kê phát thải:  </w:t>
      </w:r>
    </w:p>
    <w:p w14:paraId="3BBF69E0" w14:textId="77777777" w:rsidR="00085789" w:rsidRDefault="00000000">
      <w:pPr>
        <w:spacing w:before="120" w:line="240" w:lineRule="auto"/>
        <w:ind w:firstLine="709"/>
        <w:jc w:val="both"/>
        <w:rPr>
          <w:b/>
          <w:bCs/>
          <w:i/>
          <w:iCs/>
          <w:sz w:val="26"/>
          <w:szCs w:val="26"/>
          <w:lang w:val="nl-NL"/>
        </w:rPr>
      </w:pPr>
      <w:r>
        <w:rPr>
          <w:sz w:val="26"/>
          <w:szCs w:val="26"/>
          <w:lang w:val="nl-NL"/>
        </w:rPr>
        <w:t xml:space="preserve">Nội dung kiểm kê phát thải khí thải trên địa bàn tỉnh đang triển khai thực hiện. Mục tiêu của việc thực hiện nhiệm vụ là xác định được các nguồn khí thải chính; đánh giá diễn biến chất lượng môi trường không khí trên địa bàn tỉnh; trên cơ sở đó, đề xuất các giải pháp ưu tiên bảo vệ môi trường không khí và xây dựng nhiệm vụ Kế hoạch quản lý chất lượng môi trường không khí tỉnh Hà Tĩnh giai đoạn 2025-2030. </w:t>
      </w:r>
    </w:p>
    <w:p w14:paraId="394D868D" w14:textId="77777777" w:rsidR="00085789" w:rsidRDefault="00000000">
      <w:pPr>
        <w:spacing w:before="120" w:line="240" w:lineRule="auto"/>
        <w:ind w:firstLine="709"/>
        <w:rPr>
          <w:b/>
          <w:bCs/>
          <w:i/>
          <w:iCs/>
          <w:sz w:val="26"/>
          <w:szCs w:val="26"/>
          <w:lang w:val="nl-NL"/>
        </w:rPr>
      </w:pPr>
      <w:r>
        <w:rPr>
          <w:b/>
          <w:bCs/>
          <w:i/>
          <w:iCs/>
          <w:sz w:val="26"/>
          <w:szCs w:val="26"/>
          <w:lang w:val="nl-NL"/>
        </w:rPr>
        <w:t xml:space="preserve">b) Đánh giá chất lượng môi trường không khí trên địa bàn tỉnh:  </w:t>
      </w:r>
    </w:p>
    <w:p w14:paraId="6E2F9055" w14:textId="77777777" w:rsidR="00085789" w:rsidRDefault="00000000">
      <w:pPr>
        <w:spacing w:before="120" w:line="240" w:lineRule="auto"/>
        <w:ind w:firstLine="720"/>
        <w:jc w:val="both"/>
        <w:rPr>
          <w:sz w:val="26"/>
          <w:szCs w:val="26"/>
          <w:lang w:val="nl-NL"/>
        </w:rPr>
      </w:pPr>
      <w:r>
        <w:rPr>
          <w:sz w:val="26"/>
          <w:szCs w:val="26"/>
          <w:lang w:val="nl-NL"/>
        </w:rPr>
        <w:t>Căn cứ vào kết quả quan trắc theo chương trình quan trắc môi trường không khí tại 56 điểm quan trắc mạng lưới là các vị trí đại diện cho các điểm nóng trong phát triển KT-XH. Trong đó, có 26 điểm quan trắc trong hoạt động tại khu vực đô thị đông dân cư, 15 điểm quan trắc trong hoạt động giao thông vận tải và 15 điểm quan trắc khu vực có mật độ sản xuất công nghiệp cao, kết quả như sau:</w:t>
      </w:r>
    </w:p>
    <w:p w14:paraId="31C1072A" w14:textId="77777777" w:rsidR="00085789" w:rsidRDefault="00000000">
      <w:pPr>
        <w:spacing w:before="120" w:line="240" w:lineRule="auto"/>
        <w:ind w:firstLine="720"/>
        <w:jc w:val="both"/>
        <w:rPr>
          <w:spacing w:val="-4"/>
          <w:sz w:val="26"/>
          <w:szCs w:val="26"/>
          <w:lang w:val="nl-NL"/>
        </w:rPr>
      </w:pPr>
      <w:r>
        <w:rPr>
          <w:spacing w:val="-4"/>
          <w:sz w:val="26"/>
          <w:szCs w:val="26"/>
          <w:lang w:val="nl-NL"/>
        </w:rPr>
        <w:t xml:space="preserve">- </w:t>
      </w:r>
      <w:r>
        <w:rPr>
          <w:spacing w:val="-4"/>
          <w:sz w:val="26"/>
          <w:szCs w:val="26"/>
          <w:lang w:val="vi-VN"/>
        </w:rPr>
        <w:t>Các thông số khí tượng</w:t>
      </w:r>
      <w:r>
        <w:rPr>
          <w:spacing w:val="-4"/>
          <w:sz w:val="26"/>
          <w:szCs w:val="26"/>
          <w:lang w:val="pt-BR"/>
        </w:rPr>
        <w:t xml:space="preserve"> (nhiệt độ, độ ẩm, áp suất, tốc độ gió, hướng gió): </w:t>
      </w:r>
      <w:r>
        <w:rPr>
          <w:spacing w:val="-4"/>
          <w:sz w:val="26"/>
          <w:szCs w:val="26"/>
          <w:lang w:val="vi-VN"/>
        </w:rPr>
        <w:t>Các thông số quan trắc</w:t>
      </w:r>
      <w:r>
        <w:rPr>
          <w:spacing w:val="-4"/>
          <w:sz w:val="26"/>
          <w:szCs w:val="26"/>
        </w:rPr>
        <w:t xml:space="preserve"> </w:t>
      </w:r>
      <w:r>
        <w:rPr>
          <w:spacing w:val="-4"/>
          <w:sz w:val="26"/>
          <w:szCs w:val="26"/>
          <w:lang w:val="vi-VN"/>
        </w:rPr>
        <w:t>nhiệt độ, độ ẩm, áp suất, tốc độ gió và hướng gió trong QCVN 05:20</w:t>
      </w:r>
      <w:r>
        <w:rPr>
          <w:spacing w:val="-4"/>
          <w:sz w:val="26"/>
          <w:szCs w:val="26"/>
          <w:lang w:val="nl-NL"/>
        </w:rPr>
        <w:t>1</w:t>
      </w:r>
      <w:r>
        <w:rPr>
          <w:spacing w:val="-4"/>
          <w:sz w:val="26"/>
          <w:szCs w:val="26"/>
          <w:lang w:val="vi-VN"/>
        </w:rPr>
        <w:t>3/BTNMT</w:t>
      </w:r>
      <w:r>
        <w:rPr>
          <w:spacing w:val="-4"/>
          <w:sz w:val="26"/>
          <w:szCs w:val="26"/>
          <w:lang w:val="nl-NL"/>
        </w:rPr>
        <w:t xml:space="preserve"> (đánh giá trong giai đoạn 2021-2022) và QCVN</w:t>
      </w:r>
      <w:r>
        <w:rPr>
          <w:spacing w:val="-4"/>
          <w:sz w:val="26"/>
          <w:szCs w:val="26"/>
          <w:lang w:val="vi-VN"/>
        </w:rPr>
        <w:t xml:space="preserve"> 05:2023/BTNMT </w:t>
      </w:r>
      <w:r>
        <w:rPr>
          <w:spacing w:val="-4"/>
          <w:sz w:val="26"/>
          <w:szCs w:val="26"/>
          <w:lang w:val="nl-NL"/>
        </w:rPr>
        <w:t xml:space="preserve">(đánh giá trong giai đoạn </w:t>
      </w:r>
      <w:r>
        <w:rPr>
          <w:spacing w:val="-2"/>
          <w:sz w:val="26"/>
          <w:szCs w:val="26"/>
          <w:lang w:val="nl-NL"/>
        </w:rPr>
        <w:t xml:space="preserve">2023-2025) </w:t>
      </w:r>
      <w:r>
        <w:rPr>
          <w:spacing w:val="-2"/>
          <w:sz w:val="26"/>
          <w:szCs w:val="26"/>
          <w:lang w:val="vi-VN"/>
        </w:rPr>
        <w:t>không quy định nhưng có tác động đến quá trình phát tán của các thông số bụi lơ lửng (TSP), CO, NO</w:t>
      </w:r>
      <w:r>
        <w:rPr>
          <w:spacing w:val="-2"/>
          <w:sz w:val="26"/>
          <w:szCs w:val="26"/>
          <w:vertAlign w:val="subscript"/>
          <w:lang w:val="vi-VN"/>
        </w:rPr>
        <w:t>2</w:t>
      </w:r>
      <w:r>
        <w:rPr>
          <w:spacing w:val="-2"/>
          <w:sz w:val="26"/>
          <w:szCs w:val="26"/>
          <w:lang w:val="vi-VN"/>
        </w:rPr>
        <w:t>, SO</w:t>
      </w:r>
      <w:r>
        <w:rPr>
          <w:spacing w:val="-2"/>
          <w:sz w:val="26"/>
          <w:szCs w:val="26"/>
          <w:vertAlign w:val="subscript"/>
          <w:lang w:val="vi-VN"/>
        </w:rPr>
        <w:t>2</w:t>
      </w:r>
      <w:r>
        <w:rPr>
          <w:spacing w:val="-2"/>
          <w:sz w:val="26"/>
          <w:szCs w:val="26"/>
          <w:lang w:val="vi-VN"/>
        </w:rPr>
        <w:t xml:space="preserve">. Kết quả quan trắc cho thấy sự biến thiên các thông số khí tượng tại những thời điểm quan trắc của các đợt </w:t>
      </w:r>
      <w:r>
        <w:rPr>
          <w:spacing w:val="-2"/>
          <w:sz w:val="26"/>
          <w:szCs w:val="26"/>
        </w:rPr>
        <w:t>từ năm 2021-2025</w:t>
      </w:r>
      <w:r>
        <w:rPr>
          <w:spacing w:val="-2"/>
          <w:sz w:val="26"/>
          <w:szCs w:val="26"/>
          <w:lang w:val="es-MX"/>
        </w:rPr>
        <w:t xml:space="preserve"> </w:t>
      </w:r>
      <w:r>
        <w:rPr>
          <w:spacing w:val="-2"/>
          <w:sz w:val="26"/>
          <w:szCs w:val="26"/>
          <w:lang w:val="vi-VN"/>
        </w:rPr>
        <w:t>phù hợp với quy luật biến thiên thời tiết tại Hà Tĩnh</w:t>
      </w:r>
      <w:r>
        <w:rPr>
          <w:spacing w:val="-2"/>
          <w:sz w:val="26"/>
          <w:szCs w:val="26"/>
          <w:lang w:val="es-MX"/>
        </w:rPr>
        <w:t>.</w:t>
      </w:r>
    </w:p>
    <w:p w14:paraId="553C9A84" w14:textId="77777777" w:rsidR="00085789" w:rsidRDefault="00000000">
      <w:pPr>
        <w:pStyle w:val="Title2"/>
        <w:spacing w:after="0" w:line="240" w:lineRule="auto"/>
        <w:ind w:firstLine="720"/>
        <w:jc w:val="both"/>
        <w:rPr>
          <w:b w:val="0"/>
          <w:bCs/>
          <w:sz w:val="26"/>
          <w:szCs w:val="26"/>
          <w:lang w:val="nl-NL"/>
        </w:rPr>
      </w:pPr>
      <w:r>
        <w:rPr>
          <w:b w:val="0"/>
          <w:bCs/>
          <w:sz w:val="26"/>
          <w:szCs w:val="26"/>
          <w:lang w:val="nl-NL"/>
        </w:rPr>
        <w:t>-</w:t>
      </w:r>
      <w:r>
        <w:rPr>
          <w:sz w:val="26"/>
          <w:szCs w:val="26"/>
          <w:lang w:val="nl-NL"/>
        </w:rPr>
        <w:t xml:space="preserve"> </w:t>
      </w:r>
      <w:r>
        <w:rPr>
          <w:b w:val="0"/>
          <w:sz w:val="26"/>
          <w:szCs w:val="26"/>
        </w:rPr>
        <w:t>Tổng bụi lơ lửng tổng số (TSP):</w:t>
      </w:r>
      <w:bookmarkStart w:id="918" w:name="_Hlk186395825"/>
      <w:r>
        <w:rPr>
          <w:b w:val="0"/>
          <w:i/>
          <w:iCs/>
          <w:sz w:val="26"/>
          <w:szCs w:val="26"/>
        </w:rPr>
        <w:t xml:space="preserve"> </w:t>
      </w:r>
      <w:r>
        <w:rPr>
          <w:b w:val="0"/>
          <w:bCs/>
          <w:spacing w:val="-2"/>
          <w:sz w:val="26"/>
          <w:szCs w:val="26"/>
        </w:rPr>
        <w:t>Kết quả trung</w:t>
      </w:r>
      <w:r>
        <w:rPr>
          <w:b w:val="0"/>
          <w:bCs/>
          <w:spacing w:val="-2"/>
          <w:sz w:val="26"/>
          <w:szCs w:val="26"/>
          <w:lang w:val="vi-VN"/>
        </w:rPr>
        <w:t xml:space="preserve"> bình</w:t>
      </w:r>
      <w:r>
        <w:rPr>
          <w:b w:val="0"/>
          <w:bCs/>
          <w:spacing w:val="-2"/>
          <w:sz w:val="26"/>
          <w:szCs w:val="26"/>
        </w:rPr>
        <w:t xml:space="preserve"> năm cho thấy, hàm lượng TSP trung bình giờ tại các vị trí quan trắc dao động từ (144</w:t>
      </w:r>
      <w:r>
        <w:rPr>
          <w:b w:val="0"/>
          <w:bCs/>
          <w:spacing w:val="-2"/>
          <w:sz w:val="26"/>
          <w:szCs w:val="26"/>
          <w:lang w:val="vi-VN"/>
        </w:rPr>
        <w:t>,2</w:t>
      </w:r>
      <w:r>
        <w:rPr>
          <w:b w:val="0"/>
          <w:bCs/>
          <w:spacing w:val="-2"/>
          <w:sz w:val="26"/>
          <w:szCs w:val="26"/>
        </w:rPr>
        <w:t xml:space="preserve"> ÷ 290) µg/m</w:t>
      </w:r>
      <w:r>
        <w:rPr>
          <w:b w:val="0"/>
          <w:bCs/>
          <w:spacing w:val="-2"/>
          <w:sz w:val="26"/>
          <w:szCs w:val="26"/>
          <w:vertAlign w:val="superscript"/>
        </w:rPr>
        <w:t>3</w:t>
      </w:r>
      <w:r>
        <w:rPr>
          <w:b w:val="0"/>
          <w:bCs/>
          <w:spacing w:val="-2"/>
          <w:sz w:val="26"/>
          <w:szCs w:val="26"/>
        </w:rPr>
        <w:t>. Hàm lượng TSP trung bình giờ qua</w:t>
      </w:r>
      <w:r>
        <w:rPr>
          <w:b w:val="0"/>
          <w:bCs/>
          <w:spacing w:val="-2"/>
          <w:sz w:val="26"/>
          <w:szCs w:val="26"/>
          <w:lang w:val="vi-VN"/>
        </w:rPr>
        <w:t xml:space="preserve"> các đợt quan trắc có sự gia tăng tại một số vị trí như </w:t>
      </w:r>
      <w:r>
        <w:rPr>
          <w:b w:val="0"/>
          <w:bCs/>
          <w:sz w:val="26"/>
          <w:szCs w:val="26"/>
        </w:rPr>
        <w:t>cổng chợ Hà Tĩnh</w:t>
      </w:r>
      <w:r>
        <w:rPr>
          <w:b w:val="0"/>
          <w:bCs/>
          <w:sz w:val="26"/>
          <w:szCs w:val="26"/>
          <w:lang w:val="vi-VN"/>
        </w:rPr>
        <w:t>,</w:t>
      </w:r>
      <w:r>
        <w:rPr>
          <w:b w:val="0"/>
          <w:bCs/>
          <w:sz w:val="26"/>
          <w:szCs w:val="26"/>
        </w:rPr>
        <w:t xml:space="preserve"> ngã tư Trần Phú, gần bến xe Hà Tĩnh mới, </w:t>
      </w:r>
      <w:r>
        <w:rPr>
          <w:b w:val="0"/>
          <w:bCs/>
          <w:spacing w:val="-2"/>
          <w:sz w:val="26"/>
          <w:szCs w:val="26"/>
        </w:rPr>
        <w:t xml:space="preserve">đường tránh thành phố Hà Tĩnh tại xã Thạch Long, thị trấn Nghèn, </w:t>
      </w:r>
      <w:r>
        <w:rPr>
          <w:b w:val="0"/>
          <w:bCs/>
          <w:sz w:val="26"/>
          <w:szCs w:val="26"/>
        </w:rPr>
        <w:t xml:space="preserve">ngã ba Gia Lách, </w:t>
      </w:r>
      <w:r>
        <w:rPr>
          <w:b w:val="0"/>
          <w:bCs/>
          <w:sz w:val="26"/>
          <w:szCs w:val="26"/>
          <w:lang w:val="vi-VN"/>
        </w:rPr>
        <w:t>ngã ba Việt Lào</w:t>
      </w:r>
      <w:r>
        <w:rPr>
          <w:b w:val="0"/>
          <w:bCs/>
          <w:sz w:val="26"/>
          <w:szCs w:val="26"/>
        </w:rPr>
        <w:t>, ngã tư Vũng Áng, gần</w:t>
      </w:r>
      <w:r>
        <w:rPr>
          <w:b w:val="0"/>
          <w:bCs/>
          <w:sz w:val="26"/>
          <w:szCs w:val="26"/>
          <w:lang w:val="vi-VN"/>
        </w:rPr>
        <w:t xml:space="preserve"> khu công nghiệp Phú Vinh, </w:t>
      </w:r>
      <w:r>
        <w:rPr>
          <w:b w:val="0"/>
          <w:bCs/>
          <w:sz w:val="26"/>
          <w:szCs w:val="26"/>
        </w:rPr>
        <w:t>ngã ba Kỳ Văn đoạn</w:t>
      </w:r>
      <w:r>
        <w:rPr>
          <w:b w:val="0"/>
          <w:bCs/>
          <w:sz w:val="26"/>
          <w:szCs w:val="26"/>
          <w:lang w:val="vi-VN"/>
        </w:rPr>
        <w:t xml:space="preserve"> </w:t>
      </w:r>
      <w:r>
        <w:rPr>
          <w:b w:val="0"/>
          <w:bCs/>
          <w:sz w:val="26"/>
          <w:szCs w:val="26"/>
        </w:rPr>
        <w:t>giao Quốc lộ 1A và đường tránh thị xã Kỳ Anh</w:t>
      </w:r>
      <w:r>
        <w:rPr>
          <w:b w:val="0"/>
          <w:bCs/>
          <w:noProof/>
          <w:sz w:val="26"/>
          <w:szCs w:val="26"/>
          <w:lang w:val="nl-NL"/>
        </w:rPr>
        <w:t xml:space="preserve"> trước đây</w:t>
      </w:r>
      <w:r>
        <w:rPr>
          <w:b w:val="0"/>
          <w:bCs/>
          <w:sz w:val="26"/>
          <w:szCs w:val="26"/>
          <w:lang w:val="vi-VN"/>
        </w:rPr>
        <w:t>.</w:t>
      </w:r>
      <w:r>
        <w:rPr>
          <w:b w:val="0"/>
          <w:bCs/>
          <w:spacing w:val="-2"/>
          <w:sz w:val="26"/>
          <w:szCs w:val="26"/>
          <w:lang w:val="vi-VN"/>
        </w:rPr>
        <w:t xml:space="preserve"> </w:t>
      </w:r>
      <w:bookmarkEnd w:id="918"/>
      <w:r>
        <w:rPr>
          <w:rFonts w:eastAsia="Calibri"/>
          <w:b w:val="0"/>
          <w:bCs/>
          <w:sz w:val="26"/>
          <w:szCs w:val="26"/>
          <w:lang w:val="pt-BR"/>
        </w:rPr>
        <w:t xml:space="preserve">Nguyên nhân các khu vực này có nồng độ bụi vượt giới hạn cho phép </w:t>
      </w:r>
      <w:r>
        <w:rPr>
          <w:rFonts w:eastAsia="Calibri"/>
          <w:b w:val="0"/>
          <w:bCs/>
          <w:sz w:val="26"/>
          <w:szCs w:val="26"/>
          <w:lang w:val="pt-BR"/>
        </w:rPr>
        <w:lastRenderedPageBreak/>
        <w:t>do các khu vực này có mật độ phương tiện tham gia giao thông lớn, chủ yếu là xe vận chuyển vật liệu xây dựng đi qua làm phát sinh lượng lớn bụi. Ngoài ra một phần do chất lượng đường kém, bề mặt đường có nhiều vật liệu xây dựng như cát, sỏi,....</w:t>
      </w:r>
    </w:p>
    <w:p w14:paraId="1100A601" w14:textId="77777777" w:rsidR="00085789" w:rsidRDefault="00000000">
      <w:pPr>
        <w:spacing w:before="120" w:line="240" w:lineRule="auto"/>
        <w:ind w:firstLine="720"/>
        <w:jc w:val="both"/>
        <w:rPr>
          <w:bCs/>
          <w:iCs/>
          <w:spacing w:val="-2"/>
          <w:sz w:val="26"/>
          <w:szCs w:val="26"/>
          <w:lang w:val="nl-NL"/>
        </w:rPr>
      </w:pPr>
      <w:r>
        <w:rPr>
          <w:iCs/>
          <w:spacing w:val="-2"/>
          <w:sz w:val="26"/>
          <w:szCs w:val="26"/>
          <w:lang w:val="es-MX"/>
        </w:rPr>
        <w:t>- Tiếng ồn:</w:t>
      </w:r>
      <w:r>
        <w:rPr>
          <w:iCs/>
          <w:spacing w:val="-2"/>
          <w:sz w:val="26"/>
          <w:szCs w:val="26"/>
          <w:lang w:val="pt-BR"/>
        </w:rPr>
        <w:t xml:space="preserve"> Tiếng ồn trung</w:t>
      </w:r>
      <w:r>
        <w:rPr>
          <w:iCs/>
          <w:spacing w:val="-2"/>
          <w:sz w:val="26"/>
          <w:szCs w:val="26"/>
          <w:lang w:val="vi-VN"/>
        </w:rPr>
        <w:t xml:space="preserve"> bình năm </w:t>
      </w:r>
      <w:r>
        <w:rPr>
          <w:iCs/>
          <w:spacing w:val="-2"/>
          <w:sz w:val="26"/>
          <w:szCs w:val="26"/>
          <w:lang w:val="pt-BR"/>
        </w:rPr>
        <w:t>dao động từ (61</w:t>
      </w:r>
      <w:r>
        <w:rPr>
          <w:iCs/>
          <w:spacing w:val="-2"/>
          <w:sz w:val="26"/>
          <w:szCs w:val="26"/>
          <w:lang w:val="vi-VN"/>
        </w:rPr>
        <w:t>,8</w:t>
      </w:r>
      <w:r>
        <w:rPr>
          <w:iCs/>
          <w:spacing w:val="-2"/>
          <w:sz w:val="26"/>
          <w:szCs w:val="26"/>
          <w:lang w:val="pt-BR"/>
        </w:rPr>
        <w:t xml:space="preserve"> ÷ 70</w:t>
      </w:r>
      <w:r>
        <w:rPr>
          <w:iCs/>
          <w:spacing w:val="-2"/>
          <w:sz w:val="26"/>
          <w:szCs w:val="26"/>
          <w:lang w:val="vi-VN"/>
        </w:rPr>
        <w:t>,9</w:t>
      </w:r>
      <w:r>
        <w:rPr>
          <w:iCs/>
          <w:spacing w:val="-2"/>
          <w:sz w:val="26"/>
          <w:szCs w:val="26"/>
          <w:lang w:val="pt-BR"/>
        </w:rPr>
        <w:t>) dBA</w:t>
      </w:r>
      <w:r>
        <w:rPr>
          <w:iCs/>
          <w:spacing w:val="-2"/>
          <w:sz w:val="26"/>
          <w:szCs w:val="26"/>
          <w:lang w:val="vi-VN"/>
        </w:rPr>
        <w:t xml:space="preserve"> và hầu hết đều đang nằm trong </w:t>
      </w:r>
      <w:r>
        <w:rPr>
          <w:iCs/>
          <w:spacing w:val="-2"/>
          <w:sz w:val="26"/>
          <w:szCs w:val="26"/>
          <w:lang w:val="nl-NL"/>
        </w:rPr>
        <w:t>giới hạn cho phép</w:t>
      </w:r>
      <w:r>
        <w:rPr>
          <w:iCs/>
          <w:spacing w:val="-2"/>
          <w:sz w:val="26"/>
          <w:szCs w:val="26"/>
          <w:lang w:val="vi-VN"/>
        </w:rPr>
        <w:t xml:space="preserve">, ngoại trừ </w:t>
      </w:r>
      <w:bookmarkStart w:id="919" w:name="_Hlk186403873"/>
      <w:r>
        <w:rPr>
          <w:iCs/>
          <w:spacing w:val="-2"/>
          <w:sz w:val="26"/>
          <w:szCs w:val="26"/>
          <w:lang w:val="vi-VN"/>
        </w:rPr>
        <w:t xml:space="preserve">ngã ba Gia Lách </w:t>
      </w:r>
      <w:bookmarkEnd w:id="919"/>
      <w:r>
        <w:rPr>
          <w:iCs/>
          <w:spacing w:val="-2"/>
          <w:sz w:val="26"/>
          <w:szCs w:val="26"/>
          <w:lang w:val="vi-VN"/>
        </w:rPr>
        <w:t xml:space="preserve">vượt giới hạn cho phép nhưng </w:t>
      </w:r>
      <w:r>
        <w:rPr>
          <w:iCs/>
          <w:spacing w:val="-2"/>
          <w:sz w:val="26"/>
          <w:szCs w:val="26"/>
          <w:lang w:val="nl-NL"/>
        </w:rPr>
        <w:t>mức vượt nhỏ</w:t>
      </w:r>
      <w:r>
        <w:rPr>
          <w:iCs/>
          <w:spacing w:val="-2"/>
          <w:sz w:val="26"/>
          <w:szCs w:val="26"/>
          <w:lang w:val="vi-VN"/>
        </w:rPr>
        <w:t xml:space="preserve">. Một số vị trí tiếng ồn đạt ngang ngưỡng giới hạn cho phép như </w:t>
      </w:r>
      <w:r>
        <w:rPr>
          <w:iCs/>
          <w:spacing w:val="-2"/>
          <w:sz w:val="26"/>
          <w:szCs w:val="26"/>
        </w:rPr>
        <w:t>c</w:t>
      </w:r>
      <w:r>
        <w:rPr>
          <w:iCs/>
          <w:spacing w:val="-2"/>
          <w:sz w:val="26"/>
          <w:szCs w:val="26"/>
          <w:lang w:val="vi-VN"/>
        </w:rPr>
        <w:t>ổng chợ Hà Tĩnh</w:t>
      </w:r>
      <w:r>
        <w:rPr>
          <w:iCs/>
          <w:spacing w:val="-2"/>
          <w:sz w:val="26"/>
          <w:szCs w:val="26"/>
        </w:rPr>
        <w:t>,</w:t>
      </w:r>
      <w:r>
        <w:rPr>
          <w:iCs/>
          <w:spacing w:val="-2"/>
          <w:sz w:val="26"/>
          <w:szCs w:val="26"/>
          <w:lang w:val="vi-VN"/>
        </w:rPr>
        <w:t xml:space="preserve"> thị trấn Nghèn</w:t>
      </w:r>
      <w:r>
        <w:rPr>
          <w:iCs/>
          <w:spacing w:val="-2"/>
          <w:sz w:val="26"/>
          <w:szCs w:val="26"/>
        </w:rPr>
        <w:t>,</w:t>
      </w:r>
      <w:r>
        <w:rPr>
          <w:iCs/>
          <w:spacing w:val="-2"/>
          <w:sz w:val="26"/>
          <w:szCs w:val="26"/>
          <w:lang w:val="vi-VN"/>
        </w:rPr>
        <w:t xml:space="preserve"> </w:t>
      </w:r>
      <w:r>
        <w:rPr>
          <w:iCs/>
          <w:spacing w:val="-2"/>
          <w:sz w:val="26"/>
          <w:szCs w:val="26"/>
        </w:rPr>
        <w:t>n</w:t>
      </w:r>
      <w:r>
        <w:rPr>
          <w:iCs/>
          <w:spacing w:val="-2"/>
          <w:sz w:val="26"/>
          <w:szCs w:val="26"/>
          <w:lang w:val="vi-VN"/>
        </w:rPr>
        <w:t>gã ba thị trấn Cẩm Xuyên</w:t>
      </w:r>
      <w:r>
        <w:rPr>
          <w:iCs/>
          <w:spacing w:val="-2"/>
          <w:sz w:val="26"/>
          <w:szCs w:val="26"/>
        </w:rPr>
        <w:t>,</w:t>
      </w:r>
      <w:r>
        <w:rPr>
          <w:iCs/>
          <w:spacing w:val="-2"/>
          <w:sz w:val="26"/>
          <w:szCs w:val="26"/>
          <w:lang w:val="vi-VN"/>
        </w:rPr>
        <w:t xml:space="preserve"> </w:t>
      </w:r>
      <w:r>
        <w:rPr>
          <w:iCs/>
          <w:spacing w:val="-2"/>
          <w:sz w:val="26"/>
          <w:szCs w:val="26"/>
        </w:rPr>
        <w:t>n</w:t>
      </w:r>
      <w:r>
        <w:rPr>
          <w:iCs/>
          <w:spacing w:val="-2"/>
          <w:sz w:val="26"/>
          <w:szCs w:val="26"/>
          <w:lang w:val="vi-VN"/>
        </w:rPr>
        <w:t>gã ba Quốc lộ 1A đoạn qua xã Cẩm Vịnh</w:t>
      </w:r>
      <w:r>
        <w:rPr>
          <w:b/>
          <w:bCs/>
          <w:noProof/>
          <w:spacing w:val="-2"/>
          <w:sz w:val="26"/>
          <w:szCs w:val="26"/>
          <w:lang w:val="nl-NL"/>
        </w:rPr>
        <w:t xml:space="preserve"> </w:t>
      </w:r>
      <w:r>
        <w:rPr>
          <w:noProof/>
          <w:spacing w:val="-2"/>
          <w:sz w:val="26"/>
          <w:szCs w:val="26"/>
          <w:lang w:val="nl-NL"/>
        </w:rPr>
        <w:t>trước đây</w:t>
      </w:r>
      <w:r>
        <w:rPr>
          <w:iCs/>
          <w:spacing w:val="-2"/>
          <w:sz w:val="26"/>
          <w:szCs w:val="26"/>
          <w:lang w:val="vi-VN"/>
        </w:rPr>
        <w:t>.</w:t>
      </w:r>
    </w:p>
    <w:p w14:paraId="60ED24FD" w14:textId="77777777" w:rsidR="00085789" w:rsidRDefault="00000000">
      <w:pPr>
        <w:spacing w:before="120" w:line="240" w:lineRule="auto"/>
        <w:ind w:firstLine="720"/>
        <w:jc w:val="both"/>
        <w:rPr>
          <w:sz w:val="26"/>
          <w:szCs w:val="26"/>
          <w:lang w:val="es-MX"/>
        </w:rPr>
      </w:pPr>
      <w:r>
        <w:rPr>
          <w:sz w:val="26"/>
          <w:szCs w:val="26"/>
          <w:lang w:val="es-MX"/>
        </w:rPr>
        <w:t xml:space="preserve">- Độ rung (gia tốc rung): </w:t>
      </w:r>
      <w:r>
        <w:rPr>
          <w:sz w:val="26"/>
          <w:szCs w:val="26"/>
          <w:lang w:val="nl-NL"/>
        </w:rPr>
        <w:t>Độ rung trung</w:t>
      </w:r>
      <w:r>
        <w:rPr>
          <w:sz w:val="26"/>
          <w:szCs w:val="26"/>
          <w:lang w:val="vi-VN"/>
        </w:rPr>
        <w:t xml:space="preserve"> bình năm </w:t>
      </w:r>
      <w:r>
        <w:rPr>
          <w:sz w:val="26"/>
          <w:szCs w:val="26"/>
          <w:lang w:val="nl-NL"/>
        </w:rPr>
        <w:t>dao động trong khoảng từ (40,4 ÷ 54</w:t>
      </w:r>
      <w:r>
        <w:rPr>
          <w:sz w:val="26"/>
          <w:szCs w:val="26"/>
          <w:lang w:val="vi-VN"/>
        </w:rPr>
        <w:t>,1</w:t>
      </w:r>
      <w:r>
        <w:rPr>
          <w:sz w:val="26"/>
          <w:szCs w:val="26"/>
          <w:lang w:val="nl-NL"/>
        </w:rPr>
        <w:t>)</w:t>
      </w:r>
      <w:r>
        <w:rPr>
          <w:sz w:val="26"/>
          <w:szCs w:val="26"/>
          <w:lang w:val="vi-VN"/>
        </w:rPr>
        <w:t xml:space="preserve"> </w:t>
      </w:r>
      <w:r>
        <w:rPr>
          <w:sz w:val="26"/>
          <w:szCs w:val="26"/>
          <w:lang w:val="nl-NL"/>
        </w:rPr>
        <w:t>dB</w:t>
      </w:r>
      <w:r>
        <w:rPr>
          <w:sz w:val="26"/>
          <w:szCs w:val="26"/>
          <w:lang w:val="vi-VN"/>
        </w:rPr>
        <w:t xml:space="preserve"> và </w:t>
      </w:r>
      <w:r>
        <w:rPr>
          <w:sz w:val="26"/>
          <w:szCs w:val="26"/>
          <w:lang w:val="nl-NL"/>
        </w:rPr>
        <w:t>đang</w:t>
      </w:r>
      <w:r>
        <w:rPr>
          <w:sz w:val="26"/>
          <w:szCs w:val="26"/>
          <w:lang w:val="vi-VN"/>
        </w:rPr>
        <w:t xml:space="preserve"> ở mức thấp </w:t>
      </w:r>
      <w:r>
        <w:rPr>
          <w:sz w:val="26"/>
          <w:szCs w:val="26"/>
          <w:lang w:val="nl-NL"/>
        </w:rPr>
        <w:t xml:space="preserve">so với </w:t>
      </w:r>
      <w:r>
        <w:rPr>
          <w:iCs/>
          <w:spacing w:val="-2"/>
          <w:sz w:val="26"/>
          <w:szCs w:val="26"/>
          <w:lang w:val="nl-NL"/>
        </w:rPr>
        <w:t>giới hạn cho phép</w:t>
      </w:r>
      <w:r>
        <w:rPr>
          <w:sz w:val="26"/>
          <w:szCs w:val="26"/>
          <w:lang w:val="nl-NL"/>
        </w:rPr>
        <w:t xml:space="preserve"> (=70 dB đối với khu vực thông thường). Vị</w:t>
      </w:r>
      <w:r>
        <w:rPr>
          <w:sz w:val="26"/>
          <w:szCs w:val="26"/>
          <w:lang w:val="vi-VN"/>
        </w:rPr>
        <w:t xml:space="preserve"> trí</w:t>
      </w:r>
      <w:r>
        <w:rPr>
          <w:sz w:val="26"/>
          <w:szCs w:val="26"/>
          <w:lang w:val="nl-NL"/>
        </w:rPr>
        <w:t xml:space="preserve"> có độ rung thấp nhất tại</w:t>
      </w:r>
      <w:r>
        <w:rPr>
          <w:sz w:val="26"/>
          <w:szCs w:val="26"/>
          <w:lang w:val="vi-VN"/>
        </w:rPr>
        <w:t xml:space="preserve"> vị trí khu </w:t>
      </w:r>
      <w:r>
        <w:rPr>
          <w:sz w:val="26"/>
          <w:szCs w:val="26"/>
          <w:lang w:val="nl-NL"/>
        </w:rPr>
        <w:t>c</w:t>
      </w:r>
      <w:r>
        <w:rPr>
          <w:sz w:val="26"/>
          <w:szCs w:val="26"/>
          <w:lang w:val="vi-VN"/>
        </w:rPr>
        <w:t>ông nghiệp Gia Lách</w:t>
      </w:r>
      <w:r>
        <w:rPr>
          <w:sz w:val="26"/>
          <w:szCs w:val="26"/>
          <w:lang w:val="nl-NL"/>
        </w:rPr>
        <w:t>,</w:t>
      </w:r>
      <w:r>
        <w:rPr>
          <w:sz w:val="26"/>
          <w:szCs w:val="26"/>
          <w:lang w:val="vi-VN"/>
        </w:rPr>
        <w:t xml:space="preserve"> cụm công nghiệp Vũ Quang </w:t>
      </w:r>
      <w:r>
        <w:rPr>
          <w:sz w:val="26"/>
          <w:szCs w:val="26"/>
          <w:lang w:val="nl-NL"/>
        </w:rPr>
        <w:t>và vị</w:t>
      </w:r>
      <w:r>
        <w:rPr>
          <w:sz w:val="26"/>
          <w:szCs w:val="26"/>
          <w:lang w:val="vi-VN"/>
        </w:rPr>
        <w:t xml:space="preserve"> trí</w:t>
      </w:r>
      <w:r>
        <w:rPr>
          <w:sz w:val="26"/>
          <w:szCs w:val="26"/>
          <w:lang w:val="nl-NL"/>
        </w:rPr>
        <w:t xml:space="preserve"> có độ rung cao nhất là thị</w:t>
      </w:r>
      <w:r>
        <w:rPr>
          <w:sz w:val="26"/>
          <w:szCs w:val="26"/>
          <w:lang w:val="vi-VN"/>
        </w:rPr>
        <w:t xml:space="preserve"> trấn Nghèn</w:t>
      </w:r>
      <w:r>
        <w:rPr>
          <w:sz w:val="26"/>
          <w:szCs w:val="26"/>
          <w:lang w:val="nl-NL"/>
        </w:rPr>
        <w:t>,</w:t>
      </w:r>
      <w:r>
        <w:rPr>
          <w:sz w:val="26"/>
          <w:szCs w:val="26"/>
          <w:lang w:val="vi-VN"/>
        </w:rPr>
        <w:t xml:space="preserve"> ngã t</w:t>
      </w:r>
      <w:r>
        <w:rPr>
          <w:rFonts w:hint="cs"/>
          <w:sz w:val="26"/>
          <w:szCs w:val="26"/>
          <w:lang w:val="vi-VN"/>
        </w:rPr>
        <w:t>ư</w:t>
      </w:r>
      <w:r>
        <w:rPr>
          <w:sz w:val="26"/>
          <w:szCs w:val="26"/>
          <w:lang w:val="vi-VN"/>
        </w:rPr>
        <w:t xml:space="preserve"> Hạ Vàng</w:t>
      </w:r>
      <w:r>
        <w:rPr>
          <w:sz w:val="26"/>
          <w:szCs w:val="26"/>
          <w:lang w:val="nl-NL"/>
        </w:rPr>
        <w:t>,</w:t>
      </w:r>
      <w:r>
        <w:rPr>
          <w:sz w:val="26"/>
          <w:szCs w:val="26"/>
          <w:lang w:val="vi-VN"/>
        </w:rPr>
        <w:t xml:space="preserve"> ngã t</w:t>
      </w:r>
      <w:r>
        <w:rPr>
          <w:rFonts w:hint="cs"/>
          <w:sz w:val="26"/>
          <w:szCs w:val="26"/>
          <w:lang w:val="vi-VN"/>
        </w:rPr>
        <w:t>ư</w:t>
      </w:r>
      <w:r>
        <w:rPr>
          <w:sz w:val="26"/>
          <w:szCs w:val="26"/>
          <w:lang w:val="vi-VN"/>
        </w:rPr>
        <w:t xml:space="preserve"> </w:t>
      </w:r>
      <w:r>
        <w:rPr>
          <w:rFonts w:hint="eastAsia"/>
          <w:sz w:val="26"/>
          <w:szCs w:val="26"/>
          <w:lang w:val="vi-VN"/>
        </w:rPr>
        <w:t>Đ</w:t>
      </w:r>
      <w:r>
        <w:rPr>
          <w:sz w:val="26"/>
          <w:szCs w:val="26"/>
          <w:lang w:val="vi-VN"/>
        </w:rPr>
        <w:t>ậu Liêu</w:t>
      </w:r>
      <w:r>
        <w:rPr>
          <w:b/>
          <w:bCs/>
          <w:noProof/>
          <w:sz w:val="26"/>
          <w:szCs w:val="26"/>
          <w:lang w:val="nl-NL"/>
        </w:rPr>
        <w:t xml:space="preserve"> </w:t>
      </w:r>
      <w:r>
        <w:rPr>
          <w:noProof/>
          <w:sz w:val="26"/>
          <w:szCs w:val="26"/>
          <w:lang w:val="nl-NL"/>
        </w:rPr>
        <w:t>trước đây</w:t>
      </w:r>
      <w:r>
        <w:rPr>
          <w:sz w:val="26"/>
          <w:szCs w:val="26"/>
          <w:lang w:val="nl-NL"/>
        </w:rPr>
        <w:t>. Các vị</w:t>
      </w:r>
      <w:r>
        <w:rPr>
          <w:sz w:val="26"/>
          <w:szCs w:val="26"/>
          <w:lang w:val="vi-VN"/>
        </w:rPr>
        <w:t xml:space="preserve"> trí</w:t>
      </w:r>
      <w:r>
        <w:rPr>
          <w:sz w:val="26"/>
          <w:szCs w:val="26"/>
          <w:lang w:val="nl-NL"/>
        </w:rPr>
        <w:t xml:space="preserve"> có độ rung cao thường tập trung ở các vị trí </w:t>
      </w:r>
      <w:r>
        <w:rPr>
          <w:sz w:val="26"/>
          <w:szCs w:val="26"/>
          <w:lang w:val="es-MX"/>
        </w:rPr>
        <w:t>nút giao thông chính có phương tiện tham gia giao thông đông,</w:t>
      </w:r>
      <w:r>
        <w:rPr>
          <w:sz w:val="26"/>
          <w:szCs w:val="26"/>
          <w:lang w:val="vi-VN"/>
        </w:rPr>
        <w:t xml:space="preserve"> </w:t>
      </w:r>
      <w:r>
        <w:rPr>
          <w:sz w:val="26"/>
          <w:szCs w:val="26"/>
          <w:lang w:val="es-MX"/>
        </w:rPr>
        <w:t>lưu lượng xe qua lại đông. So sánh với các</w:t>
      </w:r>
      <w:r>
        <w:rPr>
          <w:sz w:val="26"/>
          <w:szCs w:val="26"/>
          <w:lang w:val="vi-VN"/>
        </w:rPr>
        <w:t xml:space="preserve"> đợt quan trắc cho </w:t>
      </w:r>
      <w:r>
        <w:rPr>
          <w:sz w:val="26"/>
          <w:szCs w:val="26"/>
          <w:lang w:val="es-MX"/>
        </w:rPr>
        <w:t>thấy độ rung</w:t>
      </w:r>
      <w:r>
        <w:rPr>
          <w:sz w:val="26"/>
          <w:szCs w:val="26"/>
          <w:lang w:val="vi-VN"/>
        </w:rPr>
        <w:t xml:space="preserve"> không</w:t>
      </w:r>
      <w:r>
        <w:rPr>
          <w:sz w:val="26"/>
          <w:szCs w:val="26"/>
          <w:lang w:val="es-MX"/>
        </w:rPr>
        <w:t xml:space="preserve"> có sự biến động nhiều và đều đang nằm trong giá trị giới hạn cho phép.</w:t>
      </w:r>
    </w:p>
    <w:p w14:paraId="04B0F9B2" w14:textId="77777777" w:rsidR="00085789" w:rsidRDefault="00000000">
      <w:pPr>
        <w:spacing w:before="120" w:line="240" w:lineRule="auto"/>
        <w:ind w:firstLine="720"/>
        <w:jc w:val="both"/>
        <w:rPr>
          <w:bCs/>
          <w:iCs/>
          <w:sz w:val="26"/>
          <w:szCs w:val="26"/>
          <w:lang w:val="nl-NL"/>
        </w:rPr>
      </w:pPr>
      <w:r>
        <w:rPr>
          <w:iCs/>
          <w:sz w:val="26"/>
          <w:szCs w:val="26"/>
          <w:lang w:val="es-MX"/>
        </w:rPr>
        <w:t>- Khí</w:t>
      </w:r>
      <w:r>
        <w:rPr>
          <w:rFonts w:eastAsia="PMingLiU"/>
          <w:iCs/>
          <w:sz w:val="26"/>
          <w:szCs w:val="26"/>
          <w:lang w:val="es-MX" w:eastAsia="zh-TW"/>
        </w:rPr>
        <w:t xml:space="preserve"> NO</w:t>
      </w:r>
      <w:r>
        <w:rPr>
          <w:rFonts w:eastAsia="PMingLiU"/>
          <w:iCs/>
          <w:sz w:val="26"/>
          <w:szCs w:val="26"/>
          <w:vertAlign w:val="subscript"/>
          <w:lang w:val="es-MX" w:eastAsia="zh-TW"/>
        </w:rPr>
        <w:t>2</w:t>
      </w:r>
      <w:r>
        <w:rPr>
          <w:rFonts w:eastAsia="PMingLiU"/>
          <w:iCs/>
          <w:sz w:val="26"/>
          <w:szCs w:val="26"/>
          <w:lang w:val="es-MX" w:eastAsia="zh-TW"/>
        </w:rPr>
        <w:t>:</w:t>
      </w:r>
      <w:r>
        <w:rPr>
          <w:i/>
          <w:sz w:val="26"/>
          <w:szCs w:val="26"/>
          <w:lang w:val="es-MX"/>
        </w:rPr>
        <w:t xml:space="preserve"> </w:t>
      </w:r>
      <w:r>
        <w:rPr>
          <w:spacing w:val="-2"/>
          <w:sz w:val="26"/>
          <w:szCs w:val="26"/>
          <w:lang w:val="es-MX"/>
        </w:rPr>
        <w:t>Nồng độ khí NO</w:t>
      </w:r>
      <w:r>
        <w:rPr>
          <w:spacing w:val="-2"/>
          <w:sz w:val="26"/>
          <w:szCs w:val="26"/>
          <w:vertAlign w:val="subscript"/>
          <w:lang w:val="es-MX"/>
        </w:rPr>
        <w:t xml:space="preserve">2 </w:t>
      </w:r>
      <w:r>
        <w:rPr>
          <w:spacing w:val="-2"/>
          <w:sz w:val="26"/>
          <w:szCs w:val="26"/>
          <w:lang w:val="es-MX"/>
        </w:rPr>
        <w:t>trung bình giờ năm dao động trong khoảng (22</w:t>
      </w:r>
      <w:r>
        <w:rPr>
          <w:spacing w:val="-2"/>
          <w:sz w:val="26"/>
          <w:szCs w:val="26"/>
          <w:lang w:val="vi-VN"/>
        </w:rPr>
        <w:t>,3</w:t>
      </w:r>
      <w:r>
        <w:rPr>
          <w:spacing w:val="-2"/>
          <w:sz w:val="26"/>
          <w:szCs w:val="26"/>
          <w:lang w:val="es-MX"/>
        </w:rPr>
        <w:t xml:space="preserve"> ÷ 46</w:t>
      </w:r>
      <w:r>
        <w:rPr>
          <w:spacing w:val="-2"/>
          <w:sz w:val="26"/>
          <w:szCs w:val="26"/>
          <w:lang w:val="vi-VN"/>
        </w:rPr>
        <w:t>,8</w:t>
      </w:r>
      <w:r>
        <w:rPr>
          <w:spacing w:val="-2"/>
          <w:sz w:val="26"/>
          <w:szCs w:val="26"/>
          <w:lang w:val="es-MX"/>
        </w:rPr>
        <w:t>) µg/m</w:t>
      </w:r>
      <w:r>
        <w:rPr>
          <w:spacing w:val="-2"/>
          <w:sz w:val="26"/>
          <w:szCs w:val="26"/>
          <w:vertAlign w:val="superscript"/>
          <w:lang w:val="es-MX"/>
        </w:rPr>
        <w:t>3</w:t>
      </w:r>
      <w:r>
        <w:rPr>
          <w:spacing w:val="-2"/>
          <w:sz w:val="26"/>
          <w:szCs w:val="26"/>
          <w:lang w:val="vi-VN"/>
        </w:rPr>
        <w:t xml:space="preserve"> và </w:t>
      </w:r>
      <w:r>
        <w:rPr>
          <w:spacing w:val="-2"/>
          <w:sz w:val="26"/>
          <w:szCs w:val="26"/>
          <w:lang w:val="es-MX"/>
        </w:rPr>
        <w:t>thấp hơn nhiều so với giới hạn cho phép (=200 µg/m</w:t>
      </w:r>
      <w:r>
        <w:rPr>
          <w:spacing w:val="-2"/>
          <w:sz w:val="26"/>
          <w:szCs w:val="26"/>
          <w:vertAlign w:val="superscript"/>
          <w:lang w:val="es-MX"/>
        </w:rPr>
        <w:t>3</w:t>
      </w:r>
      <w:r>
        <w:rPr>
          <w:spacing w:val="-2"/>
          <w:sz w:val="26"/>
          <w:szCs w:val="26"/>
          <w:lang w:val="es-MX"/>
        </w:rPr>
        <w:t>). Các v</w:t>
      </w:r>
      <w:r>
        <w:rPr>
          <w:spacing w:val="-2"/>
          <w:sz w:val="26"/>
          <w:szCs w:val="26"/>
          <w:lang w:val="vi-VN"/>
        </w:rPr>
        <w:t>ị trí có nồng độ NO</w:t>
      </w:r>
      <w:r>
        <w:rPr>
          <w:spacing w:val="-2"/>
          <w:sz w:val="26"/>
          <w:szCs w:val="26"/>
          <w:vertAlign w:val="subscript"/>
          <w:lang w:val="vi-VN"/>
        </w:rPr>
        <w:t>2</w:t>
      </w:r>
      <w:r>
        <w:rPr>
          <w:spacing w:val="-2"/>
          <w:sz w:val="26"/>
          <w:szCs w:val="26"/>
          <w:lang w:val="vi-VN"/>
        </w:rPr>
        <w:t xml:space="preserve"> trung bình giờ </w:t>
      </w:r>
      <w:r>
        <w:rPr>
          <w:spacing w:val="-2"/>
          <w:sz w:val="26"/>
          <w:szCs w:val="26"/>
          <w:lang w:val="es-MX"/>
        </w:rPr>
        <w:t>cao</w:t>
      </w:r>
      <w:r>
        <w:rPr>
          <w:spacing w:val="-2"/>
          <w:sz w:val="26"/>
          <w:szCs w:val="26"/>
          <w:lang w:val="vi-VN"/>
        </w:rPr>
        <w:t xml:space="preserve"> là cổng chợ Hà Tĩnh</w:t>
      </w:r>
      <w:r>
        <w:rPr>
          <w:spacing w:val="-2"/>
          <w:sz w:val="26"/>
          <w:szCs w:val="26"/>
        </w:rPr>
        <w:t>,</w:t>
      </w:r>
      <w:r>
        <w:rPr>
          <w:spacing w:val="-2"/>
          <w:sz w:val="26"/>
          <w:szCs w:val="26"/>
          <w:lang w:val="vi-VN"/>
        </w:rPr>
        <w:t xml:space="preserve"> gần bến xe Hà Tĩnh mới</w:t>
      </w:r>
      <w:r>
        <w:rPr>
          <w:spacing w:val="-2"/>
          <w:sz w:val="26"/>
          <w:szCs w:val="26"/>
        </w:rPr>
        <w:t>,</w:t>
      </w:r>
      <w:r>
        <w:rPr>
          <w:spacing w:val="-2"/>
          <w:sz w:val="26"/>
          <w:szCs w:val="26"/>
          <w:lang w:val="vi-VN"/>
        </w:rPr>
        <w:t xml:space="preserve"> </w:t>
      </w:r>
      <w:r>
        <w:rPr>
          <w:spacing w:val="-2"/>
          <w:sz w:val="26"/>
          <w:szCs w:val="26"/>
          <w:lang w:val="es-MX"/>
        </w:rPr>
        <w:t>Q</w:t>
      </w:r>
      <w:r>
        <w:rPr>
          <w:spacing w:val="-2"/>
          <w:sz w:val="26"/>
          <w:szCs w:val="26"/>
          <w:lang w:val="vi-VN"/>
        </w:rPr>
        <w:t xml:space="preserve">uốc lộ 1A giao với </w:t>
      </w:r>
      <w:r>
        <w:rPr>
          <w:rFonts w:hint="eastAsia"/>
          <w:spacing w:val="-2"/>
          <w:sz w:val="26"/>
          <w:szCs w:val="26"/>
          <w:lang w:val="vi-VN"/>
        </w:rPr>
        <w:t>đ</w:t>
      </w:r>
      <w:r>
        <w:rPr>
          <w:rFonts w:hint="cs"/>
          <w:spacing w:val="-2"/>
          <w:sz w:val="26"/>
          <w:szCs w:val="26"/>
          <w:lang w:val="vi-VN"/>
        </w:rPr>
        <w:t>ư</w:t>
      </w:r>
      <w:r>
        <w:rPr>
          <w:spacing w:val="-2"/>
          <w:sz w:val="26"/>
          <w:szCs w:val="26"/>
          <w:lang w:val="vi-VN"/>
        </w:rPr>
        <w:t>ờng vào cổng chính Công ty Formosa</w:t>
      </w:r>
      <w:r>
        <w:rPr>
          <w:spacing w:val="-2"/>
          <w:sz w:val="26"/>
          <w:szCs w:val="26"/>
        </w:rPr>
        <w:t>,</w:t>
      </w:r>
      <w:r>
        <w:rPr>
          <w:rFonts w:hint="eastAsia"/>
          <w:sz w:val="26"/>
          <w:szCs w:val="26"/>
          <w:lang w:val="vi-VN"/>
        </w:rPr>
        <w:t xml:space="preserve"> </w:t>
      </w:r>
      <w:r>
        <w:rPr>
          <w:spacing w:val="-2"/>
          <w:sz w:val="26"/>
          <w:szCs w:val="26"/>
          <w:lang w:val="vi-VN"/>
        </w:rPr>
        <w:t>đ</w:t>
      </w:r>
      <w:r>
        <w:rPr>
          <w:rFonts w:hint="cs"/>
          <w:spacing w:val="-2"/>
          <w:sz w:val="26"/>
          <w:szCs w:val="26"/>
          <w:lang w:val="vi-VN"/>
        </w:rPr>
        <w:t>ư</w:t>
      </w:r>
      <w:r>
        <w:rPr>
          <w:spacing w:val="-2"/>
          <w:sz w:val="26"/>
          <w:szCs w:val="26"/>
          <w:lang w:val="vi-VN"/>
        </w:rPr>
        <w:t>ờng bao phía Tây, thôn Ba Đồng. Các vị trí có nồng độ NO</w:t>
      </w:r>
      <w:r>
        <w:rPr>
          <w:spacing w:val="-2"/>
          <w:sz w:val="26"/>
          <w:szCs w:val="26"/>
          <w:vertAlign w:val="subscript"/>
          <w:lang w:val="vi-VN"/>
        </w:rPr>
        <w:t xml:space="preserve">2 </w:t>
      </w:r>
      <w:r>
        <w:rPr>
          <w:spacing w:val="-2"/>
          <w:sz w:val="26"/>
          <w:szCs w:val="26"/>
          <w:lang w:val="vi-VN"/>
        </w:rPr>
        <w:t xml:space="preserve">cao chủ yếu tập trung tại các khu đô thị, </w:t>
      </w:r>
      <w:r>
        <w:rPr>
          <w:spacing w:val="-2"/>
          <w:sz w:val="26"/>
          <w:szCs w:val="26"/>
        </w:rPr>
        <w:t>KCN</w:t>
      </w:r>
      <w:r>
        <w:rPr>
          <w:spacing w:val="-2"/>
          <w:sz w:val="26"/>
          <w:szCs w:val="26"/>
          <w:lang w:val="vi-VN"/>
        </w:rPr>
        <w:t xml:space="preserve">, </w:t>
      </w:r>
      <w:r>
        <w:rPr>
          <w:spacing w:val="-2"/>
          <w:sz w:val="26"/>
          <w:szCs w:val="26"/>
        </w:rPr>
        <w:t>CCN</w:t>
      </w:r>
      <w:r>
        <w:rPr>
          <w:spacing w:val="-2"/>
          <w:sz w:val="26"/>
          <w:szCs w:val="26"/>
          <w:lang w:val="vi-VN"/>
        </w:rPr>
        <w:t xml:space="preserve"> tập trung, các nút giao thông chính có mật độ giao thông lớn</w:t>
      </w:r>
      <w:r>
        <w:rPr>
          <w:sz w:val="26"/>
          <w:szCs w:val="26"/>
          <w:lang w:val="vi-VN"/>
        </w:rPr>
        <w:t>. So sánh kết quả quan trắc cho thấy NO</w:t>
      </w:r>
      <w:r>
        <w:rPr>
          <w:sz w:val="26"/>
          <w:szCs w:val="26"/>
          <w:vertAlign w:val="subscript"/>
          <w:lang w:val="vi-VN"/>
        </w:rPr>
        <w:t>2</w:t>
      </w:r>
      <w:r>
        <w:rPr>
          <w:sz w:val="26"/>
          <w:szCs w:val="26"/>
          <w:lang w:val="vi-VN"/>
        </w:rPr>
        <w:t xml:space="preserve"> có sự biến động không nhiều tại các vị trí qua các đợt quan trắc và có giá trị thấp hơn nhiều giá trị giới hạn của quy chuẩn.</w:t>
      </w:r>
    </w:p>
    <w:p w14:paraId="1467D7D7" w14:textId="77777777" w:rsidR="00085789" w:rsidRDefault="00000000">
      <w:pPr>
        <w:spacing w:before="120" w:line="240" w:lineRule="auto"/>
        <w:ind w:firstLine="720"/>
        <w:jc w:val="both"/>
        <w:rPr>
          <w:bCs/>
          <w:iCs/>
          <w:sz w:val="26"/>
          <w:szCs w:val="26"/>
          <w:lang w:val="nl-NL"/>
        </w:rPr>
      </w:pPr>
      <w:r>
        <w:rPr>
          <w:iCs/>
          <w:spacing w:val="-4"/>
          <w:sz w:val="26"/>
          <w:szCs w:val="26"/>
          <w:lang w:val="nl-NL"/>
        </w:rPr>
        <w:t>- Khí</w:t>
      </w:r>
      <w:r>
        <w:rPr>
          <w:rFonts w:eastAsia="PMingLiU"/>
          <w:iCs/>
          <w:spacing w:val="-4"/>
          <w:sz w:val="26"/>
          <w:szCs w:val="26"/>
          <w:lang w:val="nl-NL" w:eastAsia="zh-TW"/>
        </w:rPr>
        <w:t xml:space="preserve"> SO</w:t>
      </w:r>
      <w:r>
        <w:rPr>
          <w:rFonts w:eastAsia="PMingLiU"/>
          <w:iCs/>
          <w:spacing w:val="-4"/>
          <w:sz w:val="26"/>
          <w:szCs w:val="26"/>
          <w:vertAlign w:val="subscript"/>
          <w:lang w:val="nl-NL" w:eastAsia="zh-TW"/>
        </w:rPr>
        <w:t>2</w:t>
      </w:r>
      <w:r>
        <w:rPr>
          <w:rFonts w:eastAsia="PMingLiU"/>
          <w:iCs/>
          <w:spacing w:val="-4"/>
          <w:sz w:val="26"/>
          <w:szCs w:val="26"/>
          <w:lang w:val="nl-NL" w:eastAsia="zh-TW"/>
        </w:rPr>
        <w:t>:</w:t>
      </w:r>
      <w:r>
        <w:rPr>
          <w:iCs/>
          <w:spacing w:val="-4"/>
          <w:sz w:val="26"/>
          <w:szCs w:val="26"/>
          <w:lang w:val="nl-NL"/>
        </w:rPr>
        <w:t xml:space="preserve"> Nồng độ khí SO</w:t>
      </w:r>
      <w:r>
        <w:rPr>
          <w:iCs/>
          <w:spacing w:val="-4"/>
          <w:sz w:val="26"/>
          <w:szCs w:val="26"/>
          <w:vertAlign w:val="subscript"/>
          <w:lang w:val="nl-NL"/>
        </w:rPr>
        <w:t xml:space="preserve">2 </w:t>
      </w:r>
      <w:r>
        <w:rPr>
          <w:iCs/>
          <w:spacing w:val="-4"/>
          <w:sz w:val="26"/>
          <w:szCs w:val="26"/>
          <w:lang w:val="nl-NL"/>
        </w:rPr>
        <w:t>trung bình giờ trong năm dao động từ (40</w:t>
      </w:r>
      <w:r>
        <w:rPr>
          <w:iCs/>
          <w:spacing w:val="-4"/>
          <w:sz w:val="26"/>
          <w:szCs w:val="26"/>
          <w:lang w:val="vi-VN"/>
        </w:rPr>
        <w:t>,7</w:t>
      </w:r>
      <w:r>
        <w:rPr>
          <w:iCs/>
          <w:spacing w:val="-4"/>
          <w:sz w:val="26"/>
          <w:szCs w:val="26"/>
          <w:lang w:val="nl-NL"/>
        </w:rPr>
        <w:t xml:space="preserve"> ÷ 80</w:t>
      </w:r>
      <w:r>
        <w:rPr>
          <w:iCs/>
          <w:spacing w:val="-4"/>
          <w:sz w:val="26"/>
          <w:szCs w:val="26"/>
          <w:lang w:val="vi-VN"/>
        </w:rPr>
        <w:t>,7</w:t>
      </w:r>
      <w:r>
        <w:rPr>
          <w:iCs/>
          <w:spacing w:val="-4"/>
          <w:sz w:val="26"/>
          <w:szCs w:val="26"/>
          <w:lang w:val="nl-NL"/>
        </w:rPr>
        <w:t>) µg/m</w:t>
      </w:r>
      <w:r>
        <w:rPr>
          <w:iCs/>
          <w:spacing w:val="-4"/>
          <w:sz w:val="26"/>
          <w:szCs w:val="26"/>
          <w:vertAlign w:val="superscript"/>
          <w:lang w:val="nl-NL"/>
        </w:rPr>
        <w:t>3</w:t>
      </w:r>
      <w:r>
        <w:rPr>
          <w:iCs/>
          <w:sz w:val="26"/>
          <w:szCs w:val="26"/>
          <w:lang w:val="vi-VN"/>
        </w:rPr>
        <w:t xml:space="preserve"> </w:t>
      </w:r>
      <w:r>
        <w:rPr>
          <w:iCs/>
          <w:spacing w:val="-2"/>
          <w:sz w:val="26"/>
          <w:szCs w:val="26"/>
          <w:lang w:val="es-MX"/>
        </w:rPr>
        <w:t xml:space="preserve">và đang ở mức </w:t>
      </w:r>
      <w:r>
        <w:rPr>
          <w:iCs/>
          <w:sz w:val="26"/>
          <w:szCs w:val="26"/>
          <w:lang w:val="nl-NL"/>
        </w:rPr>
        <w:t>thấp so với giới hạn cho phép (=350 µg/m</w:t>
      </w:r>
      <w:r>
        <w:rPr>
          <w:iCs/>
          <w:sz w:val="26"/>
          <w:szCs w:val="26"/>
          <w:vertAlign w:val="superscript"/>
          <w:lang w:val="nl-NL"/>
        </w:rPr>
        <w:t>3</w:t>
      </w:r>
      <w:r>
        <w:rPr>
          <w:iCs/>
          <w:sz w:val="26"/>
          <w:szCs w:val="26"/>
          <w:lang w:val="nl-NL"/>
        </w:rPr>
        <w:t>). Nồng độ SO</w:t>
      </w:r>
      <w:r>
        <w:rPr>
          <w:iCs/>
          <w:sz w:val="26"/>
          <w:szCs w:val="26"/>
          <w:vertAlign w:val="subscript"/>
          <w:lang w:val="nl-NL"/>
        </w:rPr>
        <w:t>2</w:t>
      </w:r>
      <w:r>
        <w:rPr>
          <w:iCs/>
          <w:sz w:val="26"/>
          <w:szCs w:val="26"/>
          <w:lang w:val="nl-NL"/>
        </w:rPr>
        <w:t xml:space="preserve"> trung bình giờ cao nhất tại </w:t>
      </w:r>
      <w:r>
        <w:rPr>
          <w:iCs/>
          <w:spacing w:val="-2"/>
          <w:sz w:val="26"/>
          <w:szCs w:val="26"/>
          <w:lang w:val="vi-VN"/>
        </w:rPr>
        <w:t>gần bến xe Hà Tĩnh mới</w:t>
      </w:r>
      <w:r>
        <w:rPr>
          <w:iCs/>
          <w:spacing w:val="-2"/>
          <w:sz w:val="26"/>
          <w:szCs w:val="26"/>
        </w:rPr>
        <w:t>,</w:t>
      </w:r>
      <w:r>
        <w:rPr>
          <w:iCs/>
          <w:spacing w:val="-2"/>
          <w:sz w:val="26"/>
          <w:szCs w:val="26"/>
          <w:lang w:val="vi-VN"/>
        </w:rPr>
        <w:t xml:space="preserve"> thị trấn Nghèn (</w:t>
      </w:r>
      <w:r>
        <w:rPr>
          <w:rFonts w:hint="eastAsia"/>
          <w:iCs/>
          <w:spacing w:val="-2"/>
          <w:sz w:val="26"/>
          <w:szCs w:val="26"/>
          <w:lang w:val="vi-VN"/>
        </w:rPr>
        <w:t>đ</w:t>
      </w:r>
      <w:r>
        <w:rPr>
          <w:iCs/>
          <w:spacing w:val="-2"/>
          <w:sz w:val="26"/>
          <w:szCs w:val="26"/>
          <w:lang w:val="vi-VN"/>
        </w:rPr>
        <w:t xml:space="preserve">oạn giao giữa </w:t>
      </w:r>
      <w:r>
        <w:rPr>
          <w:iCs/>
          <w:spacing w:val="-2"/>
          <w:sz w:val="26"/>
          <w:szCs w:val="26"/>
          <w:lang w:val="nl-NL"/>
        </w:rPr>
        <w:t>Q</w:t>
      </w:r>
      <w:r>
        <w:rPr>
          <w:iCs/>
          <w:spacing w:val="-2"/>
          <w:sz w:val="26"/>
          <w:szCs w:val="26"/>
          <w:lang w:val="vi-VN"/>
        </w:rPr>
        <w:t xml:space="preserve">uốc lộ 1A và </w:t>
      </w:r>
      <w:r>
        <w:rPr>
          <w:rFonts w:hint="eastAsia"/>
          <w:iCs/>
          <w:spacing w:val="-2"/>
          <w:sz w:val="26"/>
          <w:szCs w:val="26"/>
          <w:lang w:val="vi-VN"/>
        </w:rPr>
        <w:t>Đ</w:t>
      </w:r>
      <w:r>
        <w:rPr>
          <w:iCs/>
          <w:spacing w:val="-2"/>
          <w:sz w:val="26"/>
          <w:szCs w:val="26"/>
          <w:lang w:val="vi-VN"/>
        </w:rPr>
        <w:t>T.548)</w:t>
      </w:r>
      <w:r>
        <w:rPr>
          <w:iCs/>
          <w:spacing w:val="-2"/>
          <w:sz w:val="26"/>
          <w:szCs w:val="26"/>
        </w:rPr>
        <w:t>,</w:t>
      </w:r>
      <w:r>
        <w:rPr>
          <w:iCs/>
          <w:spacing w:val="-2"/>
          <w:sz w:val="26"/>
          <w:szCs w:val="26"/>
          <w:lang w:val="vi-VN"/>
        </w:rPr>
        <w:t xml:space="preserve"> ngã ba Việt Lào</w:t>
      </w:r>
      <w:r>
        <w:rPr>
          <w:iCs/>
          <w:sz w:val="26"/>
          <w:szCs w:val="26"/>
          <w:lang w:val="nl-NL"/>
        </w:rPr>
        <w:t>. Các vị</w:t>
      </w:r>
      <w:r>
        <w:rPr>
          <w:iCs/>
          <w:sz w:val="26"/>
          <w:szCs w:val="26"/>
          <w:lang w:val="vi-VN"/>
        </w:rPr>
        <w:t xml:space="preserve"> trí</w:t>
      </w:r>
      <w:r>
        <w:rPr>
          <w:iCs/>
          <w:sz w:val="26"/>
          <w:szCs w:val="26"/>
          <w:lang w:val="nl-NL"/>
        </w:rPr>
        <w:t xml:space="preserve"> có nồng độ khí SO</w:t>
      </w:r>
      <w:r>
        <w:rPr>
          <w:iCs/>
          <w:sz w:val="26"/>
          <w:szCs w:val="26"/>
          <w:vertAlign w:val="subscript"/>
          <w:lang w:val="nl-NL"/>
        </w:rPr>
        <w:t xml:space="preserve">2 </w:t>
      </w:r>
      <w:r>
        <w:rPr>
          <w:iCs/>
          <w:sz w:val="26"/>
          <w:szCs w:val="26"/>
          <w:lang w:val="nl-NL"/>
        </w:rPr>
        <w:t xml:space="preserve">cao chủ yếu tập trung tại các các nút giao thông chính có mật độ hoạt động giao thông lớn.  </w:t>
      </w:r>
    </w:p>
    <w:p w14:paraId="6ED01317" w14:textId="77777777" w:rsidR="00085789" w:rsidRDefault="00000000">
      <w:pPr>
        <w:spacing w:before="120" w:line="240" w:lineRule="auto"/>
        <w:ind w:firstLine="720"/>
        <w:jc w:val="both"/>
        <w:rPr>
          <w:bCs/>
          <w:iCs/>
          <w:sz w:val="26"/>
          <w:szCs w:val="26"/>
          <w:lang w:val="nl-NL"/>
        </w:rPr>
      </w:pPr>
      <w:r>
        <w:rPr>
          <w:iCs/>
          <w:sz w:val="26"/>
          <w:szCs w:val="26"/>
          <w:lang w:val="nl-NL"/>
        </w:rPr>
        <w:t>- Khí</w:t>
      </w:r>
      <w:r>
        <w:rPr>
          <w:rFonts w:eastAsia="PMingLiU"/>
          <w:iCs/>
          <w:sz w:val="26"/>
          <w:szCs w:val="26"/>
          <w:lang w:val="nl-NL" w:eastAsia="zh-TW"/>
        </w:rPr>
        <w:t xml:space="preserve"> CO:</w:t>
      </w:r>
      <w:bookmarkStart w:id="920" w:name="_Toc497431403"/>
      <w:r>
        <w:rPr>
          <w:rFonts w:eastAsia="PMingLiU"/>
          <w:iCs/>
          <w:sz w:val="26"/>
          <w:szCs w:val="26"/>
          <w:lang w:val="nl-NL" w:eastAsia="zh-TW"/>
        </w:rPr>
        <w:t xml:space="preserve"> </w:t>
      </w:r>
      <w:bookmarkEnd w:id="920"/>
      <w:r>
        <w:rPr>
          <w:iCs/>
          <w:sz w:val="26"/>
          <w:szCs w:val="26"/>
          <w:lang w:val="nl-NL"/>
        </w:rPr>
        <w:t>Nồng độ khí CO tại 56 vị trí trên địa bàn tỉnh cho thấy đều có nồng độ CO nhỏ hơn giới</w:t>
      </w:r>
      <w:r>
        <w:rPr>
          <w:iCs/>
          <w:sz w:val="26"/>
          <w:szCs w:val="26"/>
          <w:lang w:val="vi-VN"/>
        </w:rPr>
        <w:t xml:space="preserve"> hạn phát hiện của phương pháp </w:t>
      </w:r>
      <w:r>
        <w:rPr>
          <w:iCs/>
          <w:sz w:val="26"/>
          <w:szCs w:val="26"/>
          <w:lang w:val="nl-NL"/>
        </w:rPr>
        <w:t>(MDL &lt; 3.000 µg/m</w:t>
      </w:r>
      <w:r>
        <w:rPr>
          <w:iCs/>
          <w:sz w:val="26"/>
          <w:szCs w:val="26"/>
          <w:vertAlign w:val="superscript"/>
          <w:lang w:val="nl-NL"/>
        </w:rPr>
        <w:t>3</w:t>
      </w:r>
      <w:r>
        <w:rPr>
          <w:iCs/>
          <w:sz w:val="26"/>
          <w:szCs w:val="26"/>
          <w:lang w:val="nl-NL"/>
        </w:rPr>
        <w:t>) và thấp hơn nhiều so với giới hạn cho phép (</w:t>
      </w:r>
      <w:r>
        <w:rPr>
          <w:iCs/>
          <w:sz w:val="26"/>
          <w:szCs w:val="26"/>
          <w:lang w:val="vi-VN"/>
        </w:rPr>
        <w:t>=</w:t>
      </w:r>
      <w:r>
        <w:rPr>
          <w:iCs/>
          <w:sz w:val="26"/>
          <w:szCs w:val="26"/>
          <w:lang w:val="nl-NL"/>
        </w:rPr>
        <w:t>30.000 µg/m</w:t>
      </w:r>
      <w:r>
        <w:rPr>
          <w:iCs/>
          <w:sz w:val="26"/>
          <w:szCs w:val="26"/>
          <w:vertAlign w:val="superscript"/>
          <w:lang w:val="nl-NL"/>
        </w:rPr>
        <w:t>3</w:t>
      </w:r>
      <w:r>
        <w:rPr>
          <w:iCs/>
          <w:sz w:val="26"/>
          <w:szCs w:val="26"/>
          <w:lang w:val="nl-NL"/>
        </w:rPr>
        <w:t>).</w:t>
      </w:r>
    </w:p>
    <w:p w14:paraId="3F795E34" w14:textId="4B1D574E" w:rsidR="00085789" w:rsidRDefault="00000000">
      <w:pPr>
        <w:spacing w:before="120" w:line="240" w:lineRule="auto"/>
        <w:ind w:firstLine="720"/>
        <w:jc w:val="both"/>
        <w:rPr>
          <w:i/>
          <w:iCs/>
          <w:spacing w:val="-4"/>
          <w:sz w:val="26"/>
          <w:szCs w:val="26"/>
          <w:shd w:val="clear" w:color="auto" w:fill="FFFFFF"/>
          <w:lang w:val="nl-NL"/>
        </w:rPr>
      </w:pPr>
      <w:r>
        <w:rPr>
          <w:b/>
          <w:bCs/>
          <w:i/>
          <w:iCs/>
          <w:spacing w:val="-4"/>
          <w:sz w:val="26"/>
          <w:szCs w:val="26"/>
          <w:u w:val="single"/>
          <w:shd w:val="clear" w:color="auto" w:fill="FFFFFF"/>
          <w:lang w:val="nl-NL"/>
        </w:rPr>
        <w:t xml:space="preserve">Nhận xét: </w:t>
      </w:r>
      <w:r>
        <w:rPr>
          <w:i/>
          <w:iCs/>
          <w:spacing w:val="-4"/>
          <w:sz w:val="26"/>
          <w:szCs w:val="26"/>
          <w:shd w:val="clear" w:color="auto" w:fill="FFFFFF"/>
          <w:lang w:val="nl-NL"/>
        </w:rPr>
        <w:t>Về tổng thể, chất lượng môi trường không khí trên địa bàn tỉnh đang ổn định, hầu hết các vị trí quan trắc môi trường tại thời điểm quan trắc nằm trong giới hạn cho phép theo quy chuẩn kỹ thuật đánh giá. Tuy nhiên, một số thông số như bụi, tiếng ồn tại các vị trí giao cắt đường giao thông chính, khu vực đô thị ở mức khá cao, có xu hướng tăng dần theo các năm bởi hoạt động phát triển kinh tế, vận tải ngày một phát triển.</w:t>
      </w:r>
    </w:p>
    <w:p w14:paraId="2E1FCCAE" w14:textId="77777777" w:rsidR="00085789" w:rsidRDefault="00085789">
      <w:pPr>
        <w:spacing w:line="340" w:lineRule="exact"/>
        <w:ind w:firstLine="720"/>
        <w:jc w:val="both"/>
        <w:rPr>
          <w:spacing w:val="-2"/>
          <w:sz w:val="26"/>
          <w:szCs w:val="26"/>
          <w:shd w:val="clear" w:color="auto" w:fill="FFFFFF"/>
          <w:lang w:val="nl-NL"/>
        </w:rPr>
      </w:pPr>
    </w:p>
    <w:p w14:paraId="14FBF63F" w14:textId="77777777" w:rsidR="00085789" w:rsidRDefault="00085789">
      <w:pPr>
        <w:spacing w:line="240" w:lineRule="auto"/>
        <w:jc w:val="both"/>
        <w:rPr>
          <w:b/>
          <w:iCs/>
          <w:sz w:val="26"/>
          <w:szCs w:val="26"/>
          <w:lang w:val="nl-NL"/>
        </w:rPr>
      </w:pPr>
    </w:p>
    <w:p w14:paraId="212289DC" w14:textId="77777777" w:rsidR="00085789" w:rsidRDefault="00085789">
      <w:pPr>
        <w:pStyle w:val="H1"/>
        <w:widowControl w:val="0"/>
        <w:spacing w:before="0" w:after="0" w:line="340" w:lineRule="exact"/>
        <w:rPr>
          <w:lang w:val="nl-NL"/>
        </w:rPr>
      </w:pPr>
    </w:p>
    <w:p w14:paraId="450F6E86" w14:textId="77777777" w:rsidR="00085789" w:rsidRDefault="00085789">
      <w:pPr>
        <w:pStyle w:val="H1"/>
        <w:widowControl w:val="0"/>
        <w:spacing w:before="0" w:after="0" w:line="340" w:lineRule="exact"/>
        <w:rPr>
          <w:lang w:val="nl-NL"/>
        </w:rPr>
      </w:pPr>
    </w:p>
    <w:p w14:paraId="7C0FEDF5" w14:textId="77777777" w:rsidR="00085789" w:rsidRDefault="00000000">
      <w:pPr>
        <w:pStyle w:val="H1"/>
        <w:rPr>
          <w:lang w:val="nl-NL"/>
        </w:rPr>
      </w:pPr>
      <w:r>
        <w:rPr>
          <w:lang w:val="nl-NL"/>
        </w:rPr>
        <w:tab/>
      </w:r>
    </w:p>
    <w:p w14:paraId="0A28C3B2" w14:textId="77777777" w:rsidR="00085789" w:rsidRDefault="00085789">
      <w:pPr>
        <w:pStyle w:val="H1"/>
        <w:rPr>
          <w:lang w:val="nl-NL"/>
        </w:rPr>
      </w:pPr>
    </w:p>
    <w:p w14:paraId="58E84886" w14:textId="77777777" w:rsidR="00085789" w:rsidRDefault="00000000">
      <w:pPr>
        <w:pStyle w:val="-bac1"/>
        <w:spacing w:before="0" w:after="0" w:line="240" w:lineRule="auto"/>
        <w:rPr>
          <w:lang w:val="nl-NL"/>
        </w:rPr>
      </w:pPr>
      <w:r>
        <w:rPr>
          <w:lang w:val="nl-NL"/>
        </w:rPr>
        <w:br w:type="column"/>
      </w:r>
      <w:bookmarkStart w:id="921" w:name="_Toc214311257"/>
      <w:r>
        <w:rPr>
          <w:lang w:val="nl-NL"/>
        </w:rPr>
        <w:lastRenderedPageBreak/>
        <w:t>CHƯƠNG V</w:t>
      </w:r>
      <w:bookmarkEnd w:id="921"/>
    </w:p>
    <w:p w14:paraId="623313BF" w14:textId="77777777" w:rsidR="00085789" w:rsidRDefault="00000000">
      <w:pPr>
        <w:pStyle w:val="H1"/>
        <w:widowControl w:val="0"/>
        <w:spacing w:before="0" w:after="0" w:line="240" w:lineRule="auto"/>
        <w:rPr>
          <w:lang w:val="nl-NL"/>
        </w:rPr>
      </w:pPr>
      <w:r>
        <w:rPr>
          <w:lang w:val="nl-NL"/>
        </w:rPr>
        <w:t>HIỆN TRẠNG MÔI TRƯỜNG ĐẤT</w:t>
      </w:r>
    </w:p>
    <w:p w14:paraId="5C8962C6" w14:textId="77777777" w:rsidR="00085789" w:rsidRDefault="00000000">
      <w:pPr>
        <w:pStyle w:val="bac2"/>
        <w:spacing w:before="120" w:after="0" w:line="240" w:lineRule="auto"/>
        <w:rPr>
          <w:smallCaps/>
          <w:lang w:val="nl-NL"/>
        </w:rPr>
      </w:pPr>
      <w:bookmarkStart w:id="922" w:name="_Toc214311258"/>
      <w:r>
        <w:rPr>
          <w:lang w:val="nl-NL"/>
        </w:rPr>
        <w:t>5.1. Hiện trạng sử dụng đất</w:t>
      </w:r>
      <w:bookmarkEnd w:id="922"/>
    </w:p>
    <w:p w14:paraId="1D9F1E59" w14:textId="77777777" w:rsidR="00085789" w:rsidRDefault="00000000">
      <w:pPr>
        <w:pStyle w:val="bac2"/>
        <w:spacing w:before="120" w:after="0" w:line="240" w:lineRule="auto"/>
        <w:rPr>
          <w:smallCaps/>
          <w:lang w:val="nl-NL"/>
        </w:rPr>
      </w:pPr>
      <w:bookmarkStart w:id="923" w:name="_Toc214311259"/>
      <w:r>
        <w:rPr>
          <w:lang w:val="nl-NL"/>
        </w:rPr>
        <w:t>5.1.1. Hiện trạng đất theo vùng</w:t>
      </w:r>
      <w:bookmarkEnd w:id="923"/>
    </w:p>
    <w:p w14:paraId="7C5BFCB1" w14:textId="77777777" w:rsidR="00085789" w:rsidRDefault="00000000">
      <w:pPr>
        <w:widowControl w:val="0"/>
        <w:spacing w:before="120" w:line="240" w:lineRule="auto"/>
        <w:ind w:firstLine="720"/>
        <w:jc w:val="both"/>
        <w:rPr>
          <w:sz w:val="26"/>
          <w:szCs w:val="26"/>
          <w:lang w:val="nl-NL"/>
        </w:rPr>
      </w:pPr>
      <w:r>
        <w:rPr>
          <w:spacing w:val="-4"/>
          <w:sz w:val="26"/>
          <w:szCs w:val="26"/>
          <w:lang w:val="nl-NL"/>
        </w:rPr>
        <w:t>Theo kết quả thống kê đất đai, tổng diện tích đất tự nhiên của Hà Tĩnh là 599,45 km</w:t>
      </w:r>
      <w:r>
        <w:rPr>
          <w:spacing w:val="-4"/>
          <w:sz w:val="26"/>
          <w:szCs w:val="26"/>
          <w:vertAlign w:val="superscript"/>
          <w:lang w:val="nl-NL"/>
        </w:rPr>
        <w:t>2</w:t>
      </w:r>
      <w:r>
        <w:rPr>
          <w:spacing w:val="-4"/>
          <w:sz w:val="26"/>
          <w:szCs w:val="26"/>
          <w:lang w:val="nl-NL"/>
        </w:rPr>
        <w:t xml:space="preserve"> (chiếm 1,81 % diện tích cả nước), xét về tính chất thổ nhưỡng, Hà Tĩnh có các nhóm đất chính, như sau:</w:t>
      </w:r>
    </w:p>
    <w:p w14:paraId="6FFA13A0" w14:textId="77777777" w:rsidR="00085789" w:rsidRDefault="00000000">
      <w:pPr>
        <w:widowControl w:val="0"/>
        <w:spacing w:before="120" w:line="240" w:lineRule="auto"/>
        <w:ind w:firstLine="720"/>
        <w:jc w:val="both"/>
        <w:rPr>
          <w:sz w:val="26"/>
          <w:szCs w:val="26"/>
          <w:lang w:val="nl-NL"/>
        </w:rPr>
      </w:pPr>
      <w:r>
        <w:rPr>
          <w:sz w:val="26"/>
          <w:szCs w:val="26"/>
          <w:lang w:val="nl-NL"/>
        </w:rPr>
        <w:t>- Nhóm đất đồng bằng ven biển và thung lũng:</w:t>
      </w:r>
    </w:p>
    <w:p w14:paraId="67CFCEBE" w14:textId="77777777" w:rsidR="00085789" w:rsidRDefault="00000000">
      <w:pPr>
        <w:widowControl w:val="0"/>
        <w:spacing w:before="120" w:line="240" w:lineRule="auto"/>
        <w:ind w:firstLine="720"/>
        <w:jc w:val="both"/>
        <w:rPr>
          <w:sz w:val="26"/>
          <w:szCs w:val="26"/>
          <w:lang w:val="nl-NL"/>
        </w:rPr>
      </w:pPr>
      <w:r>
        <w:rPr>
          <w:spacing w:val="-2"/>
          <w:sz w:val="26"/>
          <w:szCs w:val="26"/>
          <w:lang w:val="nl-NL"/>
        </w:rPr>
        <w:t>+ Đất cồn cát, bãi cát ven biển và trong đồng: Có diện tích 38.222 ha, phân bố dọc theo bờ biển trước đây thuộc các huyện Nghi Xuân, Can Lộc, Thạch Hà, Lộc Hà, Cẩm Xuyên và Kỳ Anh.</w:t>
      </w:r>
      <w:r>
        <w:rPr>
          <w:sz w:val="26"/>
          <w:szCs w:val="26"/>
          <w:lang w:val="nl-NL"/>
        </w:rPr>
        <w:t xml:space="preserve"> Loại đất này ít chua, nghèo mùn, kém màu mỡ. Một số ít đất loại này hiện được trồng màu, cây công nghiệp ngắn ngày nhưng năng suất thấp.</w:t>
      </w:r>
    </w:p>
    <w:p w14:paraId="2A3B4556" w14:textId="77777777" w:rsidR="00085789" w:rsidRDefault="00000000">
      <w:pPr>
        <w:widowControl w:val="0"/>
        <w:spacing w:before="120" w:line="240" w:lineRule="auto"/>
        <w:ind w:firstLine="720"/>
        <w:jc w:val="both"/>
        <w:rPr>
          <w:sz w:val="26"/>
          <w:szCs w:val="26"/>
          <w:lang w:val="nl-NL"/>
        </w:rPr>
      </w:pPr>
      <w:r>
        <w:rPr>
          <w:sz w:val="26"/>
          <w:szCs w:val="26"/>
          <w:lang w:val="nl-NL"/>
        </w:rPr>
        <w:t>+ Đất mặn: Có diện tích 5.140 ha, phân bố ở các địa hình thấp ven biển, trong đó đất mặn ít đã được sử dụng để trồng lúa nước, trồng màu nhưng năng suất thấp. Một số diện tích đất mặn nhiều đã được cải tạo để NTTS, làm muối và một số diện tích đất còn lại đang bỏ hoang.</w:t>
      </w:r>
    </w:p>
    <w:p w14:paraId="3EDFC6D0" w14:textId="77777777" w:rsidR="00085789" w:rsidRDefault="00000000">
      <w:pPr>
        <w:widowControl w:val="0"/>
        <w:spacing w:before="120" w:line="240" w:lineRule="auto"/>
        <w:ind w:firstLine="720"/>
        <w:jc w:val="both"/>
        <w:rPr>
          <w:sz w:val="26"/>
          <w:szCs w:val="26"/>
          <w:lang w:val="nl-NL"/>
        </w:rPr>
      </w:pPr>
      <w:r>
        <w:rPr>
          <w:sz w:val="26"/>
          <w:szCs w:val="26"/>
          <w:lang w:val="nl-NL"/>
        </w:rPr>
        <w:t xml:space="preserve">+ Đất phèn mặn: Có diện tích 10.733 ha, phân bố ở các vùng địa hình thấp, trũng. </w:t>
      </w:r>
      <w:r>
        <w:rPr>
          <w:spacing w:val="-2"/>
          <w:sz w:val="26"/>
          <w:szCs w:val="26"/>
          <w:lang w:val="nl-NL"/>
        </w:rPr>
        <w:t>Đất này có thành phần cơ giới nặng, đất chua, hàm lượng mùn trung bình, lân tổng số nghèo;</w:t>
      </w:r>
      <w:r>
        <w:rPr>
          <w:sz w:val="26"/>
          <w:szCs w:val="26"/>
          <w:lang w:val="nl-NL"/>
        </w:rPr>
        <w:t xml:space="preserve"> hầu hết diện tích đã trồng lúa nước.</w:t>
      </w:r>
    </w:p>
    <w:p w14:paraId="29DAF9D9" w14:textId="77777777" w:rsidR="00085789" w:rsidRDefault="00000000">
      <w:pPr>
        <w:widowControl w:val="0"/>
        <w:spacing w:before="120" w:line="240" w:lineRule="auto"/>
        <w:ind w:firstLine="720"/>
        <w:jc w:val="both"/>
        <w:rPr>
          <w:sz w:val="26"/>
          <w:szCs w:val="26"/>
          <w:lang w:val="nl-NL"/>
        </w:rPr>
      </w:pPr>
      <w:r>
        <w:rPr>
          <w:sz w:val="26"/>
          <w:szCs w:val="26"/>
          <w:lang w:val="nl-NL"/>
        </w:rPr>
        <w:t>+ Đất phù sa: Có diện tích 103.201 ha, gồm các loại phù sa được bồi, phù sa không được bồi, phù sa glây, phù sa loang lổ đỏ vàng và phù sa ven sông suối ở miền núi. Đây là nhóm đất tốt, từ hơi chua đến trung bình, hàm lượng mùn từ trung bình đến khá, đạm tổng số khá, lân tổng số trung bình. Thích hợp với trồng lúa, màu, cây công nghiệp ngắn ngày.</w:t>
      </w:r>
    </w:p>
    <w:p w14:paraId="50AFBCF8" w14:textId="77777777" w:rsidR="00085789" w:rsidRDefault="00000000">
      <w:pPr>
        <w:widowControl w:val="0"/>
        <w:spacing w:before="120" w:line="240" w:lineRule="auto"/>
        <w:ind w:firstLine="720"/>
        <w:jc w:val="both"/>
        <w:rPr>
          <w:sz w:val="26"/>
          <w:szCs w:val="26"/>
          <w:lang w:val="nl-NL"/>
        </w:rPr>
      </w:pPr>
      <w:r>
        <w:rPr>
          <w:sz w:val="26"/>
          <w:szCs w:val="26"/>
          <w:lang w:val="nl-NL"/>
        </w:rPr>
        <w:t>+ Đất dốc tụ thung lũng: Có diện tích 12.936 ha, có tiềm năng trồng lúa nước và hoa màu do hàm lượng mùn, lân và kali tổng số khá, đạm tổng số trung bình.</w:t>
      </w:r>
    </w:p>
    <w:p w14:paraId="00F14659" w14:textId="77777777" w:rsidR="00085789" w:rsidRDefault="00000000">
      <w:pPr>
        <w:widowControl w:val="0"/>
        <w:spacing w:before="120" w:line="240" w:lineRule="auto"/>
        <w:ind w:firstLine="720"/>
        <w:jc w:val="both"/>
        <w:rPr>
          <w:sz w:val="26"/>
          <w:szCs w:val="26"/>
          <w:lang w:val="nl-NL"/>
        </w:rPr>
      </w:pPr>
      <w:r>
        <w:rPr>
          <w:sz w:val="26"/>
          <w:szCs w:val="26"/>
          <w:lang w:val="nl-NL"/>
        </w:rPr>
        <w:t>- Nhóm đất đồi núi:</w:t>
      </w:r>
    </w:p>
    <w:p w14:paraId="4324660D" w14:textId="77777777" w:rsidR="00085789" w:rsidRDefault="00000000">
      <w:pPr>
        <w:widowControl w:val="0"/>
        <w:spacing w:before="120" w:line="240" w:lineRule="auto"/>
        <w:ind w:firstLine="720"/>
        <w:jc w:val="both"/>
        <w:rPr>
          <w:sz w:val="26"/>
          <w:szCs w:val="26"/>
          <w:lang w:val="nl-NL"/>
        </w:rPr>
      </w:pPr>
      <w:r>
        <w:rPr>
          <w:sz w:val="26"/>
          <w:szCs w:val="26"/>
          <w:lang w:val="nl-NL"/>
        </w:rPr>
        <w:t>+ Đất vàng nâu trên phù sa cổ: Có diện tích 6.315 ha, tập trung chủ yếu ở vùng phía Nam trước đây thuộc huyện Kỳ Anh (trước đây), ven núi Hoành Sơn. Loại đất này bị thoái hóa và rửa trôi mạnh do độ che phủ thấp, chất lượng đất xấu.</w:t>
      </w:r>
    </w:p>
    <w:p w14:paraId="666BD085" w14:textId="77777777" w:rsidR="00085789" w:rsidRDefault="00000000">
      <w:pPr>
        <w:widowControl w:val="0"/>
        <w:spacing w:before="120" w:line="240" w:lineRule="auto"/>
        <w:ind w:firstLine="720"/>
        <w:jc w:val="both"/>
        <w:rPr>
          <w:sz w:val="26"/>
          <w:szCs w:val="26"/>
          <w:lang w:val="nl-NL"/>
        </w:rPr>
      </w:pPr>
      <w:r>
        <w:rPr>
          <w:sz w:val="26"/>
          <w:szCs w:val="26"/>
          <w:lang w:val="nl-NL"/>
        </w:rPr>
        <w:t>+ Đất đỏ vàng trên đá sét: Có diện tích 148.642 ha, trước đây phân bố ở các huyện Hương Sơn, Thạch Hà, Cẩm Xuyên, Kỳ Anh (trước đây) và vùng Truông Bát Hương Khê. Đây là loại đất tốt, tầng dày khá, độ dốc thấp, giàu dinh dưỡng, thích hợp trồng cây công nghiệp dài ngày, cây ăn quả và trồng rừng nguyên liệu.</w:t>
      </w:r>
    </w:p>
    <w:p w14:paraId="512B74C7" w14:textId="77777777" w:rsidR="00085789" w:rsidRDefault="00000000">
      <w:pPr>
        <w:widowControl w:val="0"/>
        <w:spacing w:before="120" w:line="240" w:lineRule="auto"/>
        <w:ind w:firstLine="720"/>
        <w:jc w:val="both"/>
        <w:rPr>
          <w:sz w:val="26"/>
          <w:szCs w:val="26"/>
          <w:lang w:val="nl-NL"/>
        </w:rPr>
      </w:pPr>
      <w:r>
        <w:rPr>
          <w:sz w:val="26"/>
          <w:szCs w:val="26"/>
          <w:lang w:val="nl-NL"/>
        </w:rPr>
        <w:t>+ Đất vàng nhạt trên đá cát: Có diện tích 27.716 ha. Nhóm đất này thường chua, phần lớn bị bạc màu, nghèo dinh dưỡng do độ dốc tương đối lớn, không được cải tạo chống xói mòn. Đất này đang được trồng màu, cây công nghiệp ngắn ngày, cây ăn quả, cây lâm nghiệp và một phần bỏ hoang.</w:t>
      </w:r>
    </w:p>
    <w:p w14:paraId="0B2BD6CE" w14:textId="77777777" w:rsidR="00085789" w:rsidRDefault="00000000">
      <w:pPr>
        <w:widowControl w:val="0"/>
        <w:spacing w:before="80" w:line="240" w:lineRule="auto"/>
        <w:ind w:firstLine="720"/>
        <w:jc w:val="both"/>
        <w:rPr>
          <w:sz w:val="26"/>
          <w:szCs w:val="26"/>
          <w:lang w:val="nl-NL"/>
        </w:rPr>
      </w:pPr>
      <w:r>
        <w:rPr>
          <w:sz w:val="26"/>
          <w:szCs w:val="26"/>
          <w:lang w:val="nl-NL"/>
        </w:rPr>
        <w:t xml:space="preserve">+ Đất vàng nhạt trên đá Granit, Ryolit: Có diện tích 29.720 ha, phân bố ở đồi núi hầu </w:t>
      </w:r>
      <w:r>
        <w:rPr>
          <w:spacing w:val="-4"/>
          <w:sz w:val="26"/>
          <w:szCs w:val="26"/>
          <w:lang w:val="nl-NL"/>
        </w:rPr>
        <w:t>hết các địa phương. Loại đất này thường chua, khả năng hấp thụ không cao, hàm lượng mùn nghèo,</w:t>
      </w:r>
      <w:r>
        <w:rPr>
          <w:sz w:val="26"/>
          <w:szCs w:val="26"/>
          <w:lang w:val="nl-NL"/>
        </w:rPr>
        <w:t xml:space="preserve"> đạm tổng số trung bình đến nghèo, lân nghèo.</w:t>
      </w:r>
    </w:p>
    <w:p w14:paraId="2BDC4E84" w14:textId="77777777" w:rsidR="00085789" w:rsidRDefault="00000000">
      <w:pPr>
        <w:widowControl w:val="0"/>
        <w:spacing w:before="80" w:line="240" w:lineRule="auto"/>
        <w:ind w:firstLine="720"/>
        <w:jc w:val="both"/>
        <w:rPr>
          <w:sz w:val="26"/>
          <w:szCs w:val="26"/>
          <w:lang w:val="nl-NL"/>
        </w:rPr>
      </w:pPr>
      <w:r>
        <w:rPr>
          <w:sz w:val="26"/>
          <w:szCs w:val="26"/>
          <w:lang w:val="nl-NL"/>
        </w:rPr>
        <w:t xml:space="preserve">+ Đất màu vàng đỏ trên núi cao: Có diện tích 155.261 ha, hiện đang được phủ </w:t>
      </w:r>
      <w:r>
        <w:rPr>
          <w:sz w:val="26"/>
          <w:szCs w:val="26"/>
          <w:lang w:val="nl-NL"/>
        </w:rPr>
        <w:lastRenderedPageBreak/>
        <w:t>xanh bằng diện tích rừng tự nhiên và một ít rừng trồng. Đây là đối tượng khoanh nuôi và bảo vệ của rừng phòng hộ đầu nguồn và các khu rừng đặc dụng.</w:t>
      </w:r>
    </w:p>
    <w:p w14:paraId="3DBCE1D7" w14:textId="77777777" w:rsidR="00085789" w:rsidRDefault="00000000">
      <w:pPr>
        <w:widowControl w:val="0"/>
        <w:spacing w:before="80" w:line="240" w:lineRule="auto"/>
        <w:ind w:firstLine="720"/>
        <w:jc w:val="both"/>
        <w:rPr>
          <w:sz w:val="26"/>
          <w:szCs w:val="26"/>
          <w:lang w:val="nl-NL"/>
        </w:rPr>
      </w:pPr>
      <w:r>
        <w:rPr>
          <w:sz w:val="26"/>
          <w:szCs w:val="26"/>
          <w:lang w:val="nl-NL"/>
        </w:rPr>
        <w:t>+ Đất xói mòn mạnh trơ sỏi đá: Có diện tích 37.742 ha, phân bố ở vùng đồi núi dốc. Do quá trình sử dụng đất quá mức dẫn đến xói mòn, rửa trôi, hết lớp đất bề mặt và cần được phủ xanh bằng cây lâm nghiệp hoặc cải tạo trồng cây nông nghiệp có tán che.</w:t>
      </w:r>
    </w:p>
    <w:p w14:paraId="1230BE50" w14:textId="77777777" w:rsidR="00085789" w:rsidRDefault="00085789">
      <w:pPr>
        <w:widowControl w:val="0"/>
        <w:spacing w:before="120" w:line="240" w:lineRule="auto"/>
        <w:ind w:firstLine="720"/>
        <w:jc w:val="both"/>
        <w:rPr>
          <w:sz w:val="8"/>
          <w:szCs w:val="8"/>
          <w:lang w:val="nl-NL"/>
        </w:rPr>
      </w:pPr>
    </w:p>
    <w:p w14:paraId="7301C84B" w14:textId="77777777" w:rsidR="00085789" w:rsidRDefault="00000000">
      <w:pPr>
        <w:widowControl w:val="0"/>
        <w:spacing w:line="240" w:lineRule="auto"/>
        <w:jc w:val="both"/>
        <w:rPr>
          <w:sz w:val="26"/>
          <w:szCs w:val="26"/>
          <w:lang w:val="nl-NL"/>
        </w:rPr>
      </w:pPr>
      <w:r>
        <w:rPr>
          <w:noProof/>
        </w:rPr>
        <w:drawing>
          <wp:inline distT="0" distB="0" distL="0" distR="0" wp14:anchorId="1568C44F" wp14:editId="6F3FD926">
            <wp:extent cx="5723890" cy="2250220"/>
            <wp:effectExtent l="0" t="0" r="10160" b="17145"/>
            <wp:docPr id="548152148" name="Chart 1">
              <a:extLst xmlns:a="http://schemas.openxmlformats.org/drawingml/2006/main">
                <a:ext uri="{FF2B5EF4-FFF2-40B4-BE49-F238E27FC236}">
                  <a16:creationId xmlns:a16="http://schemas.microsoft.com/office/drawing/2014/main" id="{8AF46C20-4B95-4D0E-A15F-D4294C0FED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266DDF28" w14:textId="77777777" w:rsidR="00085789" w:rsidRDefault="00000000">
      <w:pPr>
        <w:pStyle w:val="-bac4"/>
        <w:rPr>
          <w:lang w:val="nl-NL"/>
        </w:rPr>
      </w:pPr>
      <w:bookmarkStart w:id="924" w:name="_Toc205915831"/>
      <w:bookmarkStart w:id="925" w:name="_Toc213597522"/>
      <w:bookmarkStart w:id="926" w:name="_Toc213600855"/>
      <w:r>
        <w:rPr>
          <w:lang w:val="nl-NL"/>
        </w:rPr>
        <w:t>Hình 5.1. Biểu đồ hiện trạng đất theo vùng</w:t>
      </w:r>
      <w:bookmarkEnd w:id="924"/>
      <w:bookmarkEnd w:id="925"/>
      <w:bookmarkEnd w:id="926"/>
    </w:p>
    <w:p w14:paraId="6016C963" w14:textId="77777777" w:rsidR="00085789" w:rsidRDefault="00000000">
      <w:pPr>
        <w:pStyle w:val="bac2"/>
        <w:spacing w:after="0" w:line="240" w:lineRule="auto"/>
        <w:rPr>
          <w:smallCaps/>
          <w:lang w:val="nl-NL"/>
        </w:rPr>
      </w:pPr>
      <w:bookmarkStart w:id="927" w:name="_Toc214311260"/>
      <w:r>
        <w:rPr>
          <w:lang w:val="nl-NL"/>
        </w:rPr>
        <w:t>5.1.2. Diễn biến sử dụng đất và sức ép lên môi trường</w:t>
      </w:r>
      <w:bookmarkEnd w:id="927"/>
    </w:p>
    <w:p w14:paraId="6538BC38" w14:textId="77777777" w:rsidR="00085789" w:rsidRDefault="00000000">
      <w:pPr>
        <w:widowControl w:val="0"/>
        <w:spacing w:before="60" w:line="240" w:lineRule="auto"/>
        <w:ind w:firstLine="709"/>
        <w:jc w:val="both"/>
        <w:rPr>
          <w:b/>
          <w:bCs/>
          <w:i/>
          <w:iCs/>
          <w:sz w:val="26"/>
          <w:szCs w:val="26"/>
          <w:lang w:val="nl-NL"/>
        </w:rPr>
      </w:pPr>
      <w:r>
        <w:rPr>
          <w:b/>
          <w:bCs/>
          <w:i/>
          <w:iCs/>
          <w:spacing w:val="-4"/>
          <w:sz w:val="26"/>
          <w:szCs w:val="26"/>
          <w:lang w:val="nl-NL"/>
        </w:rPr>
        <w:t>a) Diễn biến sử dụng đất giai đoạn từ năm 2020 đến năm 2024:</w:t>
      </w:r>
    </w:p>
    <w:p w14:paraId="4C99A7B4" w14:textId="77777777" w:rsidR="00085789" w:rsidRDefault="00000000">
      <w:pPr>
        <w:widowControl w:val="0"/>
        <w:spacing w:before="60" w:line="240" w:lineRule="auto"/>
        <w:ind w:firstLine="720"/>
        <w:jc w:val="both"/>
        <w:rPr>
          <w:sz w:val="26"/>
          <w:szCs w:val="26"/>
          <w:lang w:val="nl-NL"/>
        </w:rPr>
      </w:pPr>
      <w:r>
        <w:rPr>
          <w:sz w:val="26"/>
          <w:szCs w:val="26"/>
          <w:lang w:val="nl-NL"/>
        </w:rPr>
        <w:t>Theo kết quả thống kê đất đai năm 2020 và 2024 của tỉnh, diễn biến sử dụng đất trên địa bàn tỉnh thay đổi giai đoạn từ năm 2020 đến năm 2024 cụ thể như sau:</w:t>
      </w:r>
    </w:p>
    <w:p w14:paraId="3DC38BCB" w14:textId="77777777" w:rsidR="00085789" w:rsidRDefault="00000000">
      <w:pPr>
        <w:pStyle w:val="-bac4"/>
        <w:spacing w:after="0" w:line="240" w:lineRule="auto"/>
        <w:rPr>
          <w:lang w:val="nl-NL"/>
        </w:rPr>
      </w:pPr>
      <w:bookmarkStart w:id="928" w:name="_Toc205915833"/>
      <w:bookmarkStart w:id="929" w:name="_Toc213597524"/>
      <w:bookmarkStart w:id="930" w:name="_Toc213600856"/>
      <w:r>
        <w:rPr>
          <w:lang w:val="nl-NL"/>
        </w:rPr>
        <w:t>Bảng 5.1. Diễn biến sử dụng đất tỉnh Hà Tĩnh từ năm 2020 đến năm 2024</w:t>
      </w:r>
      <w:bookmarkEnd w:id="928"/>
      <w:bookmarkEnd w:id="929"/>
      <w:bookmarkEnd w:id="930"/>
    </w:p>
    <w:p w14:paraId="11D6B7B3" w14:textId="77777777" w:rsidR="00085789" w:rsidRDefault="00085789">
      <w:pPr>
        <w:pStyle w:val="-bac4"/>
        <w:spacing w:before="120" w:after="0" w:line="240" w:lineRule="auto"/>
        <w:rPr>
          <w:sz w:val="6"/>
          <w:szCs w:val="4"/>
          <w:lang w:val="nl-NL"/>
        </w:rPr>
      </w:pPr>
    </w:p>
    <w:tbl>
      <w:tblPr>
        <w:tblStyle w:val="TableGrid"/>
        <w:tblW w:w="9214" w:type="dxa"/>
        <w:jc w:val="center"/>
        <w:tblLook w:val="04A0" w:firstRow="1" w:lastRow="0" w:firstColumn="1" w:lastColumn="0" w:noHBand="0" w:noVBand="1"/>
      </w:tblPr>
      <w:tblGrid>
        <w:gridCol w:w="608"/>
        <w:gridCol w:w="2648"/>
        <w:gridCol w:w="1122"/>
        <w:gridCol w:w="994"/>
        <w:gridCol w:w="1113"/>
        <w:gridCol w:w="1108"/>
        <w:gridCol w:w="1621"/>
      </w:tblGrid>
      <w:tr w:rsidR="00085789" w14:paraId="64CF5087" w14:textId="77777777">
        <w:trPr>
          <w:tblHeader/>
          <w:jc w:val="center"/>
        </w:trPr>
        <w:tc>
          <w:tcPr>
            <w:tcW w:w="608" w:type="dxa"/>
            <w:vMerge w:val="restart"/>
            <w:vAlign w:val="center"/>
          </w:tcPr>
          <w:p w14:paraId="75521668" w14:textId="77777777" w:rsidR="00085789" w:rsidRDefault="00000000">
            <w:pPr>
              <w:spacing w:before="40" w:after="40" w:line="240" w:lineRule="auto"/>
              <w:ind w:left="-142" w:right="-105"/>
              <w:jc w:val="center"/>
              <w:rPr>
                <w:b/>
                <w:bCs/>
                <w:sz w:val="24"/>
                <w:szCs w:val="24"/>
                <w:lang w:val="nl-NL"/>
              </w:rPr>
            </w:pPr>
            <w:r>
              <w:rPr>
                <w:b/>
                <w:bCs/>
                <w:sz w:val="24"/>
                <w:szCs w:val="24"/>
                <w:lang w:val="nl-NL"/>
              </w:rPr>
              <w:t>STT</w:t>
            </w:r>
          </w:p>
        </w:tc>
        <w:tc>
          <w:tcPr>
            <w:tcW w:w="2648" w:type="dxa"/>
            <w:vMerge w:val="restart"/>
            <w:vAlign w:val="center"/>
          </w:tcPr>
          <w:p w14:paraId="69327F73" w14:textId="77777777" w:rsidR="00085789" w:rsidRDefault="00000000">
            <w:pPr>
              <w:spacing w:before="40" w:after="40" w:line="240" w:lineRule="auto"/>
              <w:jc w:val="center"/>
              <w:rPr>
                <w:b/>
                <w:bCs/>
                <w:sz w:val="24"/>
                <w:szCs w:val="24"/>
                <w:lang w:val="nl-NL"/>
              </w:rPr>
            </w:pPr>
            <w:r>
              <w:rPr>
                <w:b/>
                <w:bCs/>
                <w:sz w:val="24"/>
                <w:szCs w:val="24"/>
                <w:lang w:val="nl-NL"/>
              </w:rPr>
              <w:t>Loại đất</w:t>
            </w:r>
          </w:p>
        </w:tc>
        <w:tc>
          <w:tcPr>
            <w:tcW w:w="2116" w:type="dxa"/>
            <w:gridSpan w:val="2"/>
          </w:tcPr>
          <w:p w14:paraId="51505FBA" w14:textId="77777777" w:rsidR="00085789" w:rsidRDefault="00000000">
            <w:pPr>
              <w:spacing w:before="40" w:after="40" w:line="240" w:lineRule="auto"/>
              <w:jc w:val="center"/>
              <w:rPr>
                <w:b/>
                <w:bCs/>
                <w:sz w:val="24"/>
                <w:szCs w:val="24"/>
                <w:lang w:val="nl-NL"/>
              </w:rPr>
            </w:pPr>
            <w:r>
              <w:rPr>
                <w:b/>
                <w:bCs/>
                <w:sz w:val="24"/>
                <w:szCs w:val="24"/>
                <w:lang w:val="nl-NL"/>
              </w:rPr>
              <w:t>Năm 2020</w:t>
            </w:r>
          </w:p>
        </w:tc>
        <w:tc>
          <w:tcPr>
            <w:tcW w:w="2221" w:type="dxa"/>
            <w:gridSpan w:val="2"/>
          </w:tcPr>
          <w:p w14:paraId="13755391" w14:textId="77777777" w:rsidR="00085789" w:rsidRDefault="00000000">
            <w:pPr>
              <w:spacing w:before="40" w:after="40" w:line="240" w:lineRule="auto"/>
              <w:jc w:val="center"/>
              <w:rPr>
                <w:b/>
                <w:bCs/>
                <w:sz w:val="24"/>
                <w:szCs w:val="24"/>
                <w:lang w:val="nl-NL"/>
              </w:rPr>
            </w:pPr>
            <w:r>
              <w:rPr>
                <w:b/>
                <w:bCs/>
                <w:sz w:val="24"/>
                <w:szCs w:val="24"/>
                <w:lang w:val="nl-NL"/>
              </w:rPr>
              <w:t>Năm 2024</w:t>
            </w:r>
          </w:p>
        </w:tc>
        <w:tc>
          <w:tcPr>
            <w:tcW w:w="1621" w:type="dxa"/>
            <w:vMerge w:val="restart"/>
            <w:vAlign w:val="center"/>
          </w:tcPr>
          <w:p w14:paraId="171391DC" w14:textId="77777777" w:rsidR="00085789" w:rsidRDefault="00000000">
            <w:pPr>
              <w:spacing w:before="40" w:after="40" w:line="240" w:lineRule="auto"/>
              <w:jc w:val="center"/>
              <w:rPr>
                <w:b/>
                <w:bCs/>
                <w:sz w:val="24"/>
                <w:szCs w:val="24"/>
                <w:lang w:val="nl-NL"/>
              </w:rPr>
            </w:pPr>
            <w:r>
              <w:rPr>
                <w:b/>
                <w:bCs/>
                <w:sz w:val="24"/>
                <w:szCs w:val="24"/>
                <w:lang w:val="nl-NL"/>
              </w:rPr>
              <w:t xml:space="preserve">Biến động từ năm 2020 đến năm 2024 </w:t>
            </w:r>
          </w:p>
        </w:tc>
      </w:tr>
      <w:tr w:rsidR="00085789" w14:paraId="454B1C8A" w14:textId="77777777">
        <w:trPr>
          <w:jc w:val="center"/>
        </w:trPr>
        <w:tc>
          <w:tcPr>
            <w:tcW w:w="608" w:type="dxa"/>
            <w:vMerge/>
          </w:tcPr>
          <w:p w14:paraId="0051404F" w14:textId="77777777" w:rsidR="00085789" w:rsidRDefault="00085789">
            <w:pPr>
              <w:spacing w:before="40" w:after="40" w:line="240" w:lineRule="auto"/>
              <w:ind w:left="-142" w:right="-105"/>
              <w:jc w:val="center"/>
              <w:rPr>
                <w:sz w:val="24"/>
                <w:szCs w:val="24"/>
                <w:lang w:val="nl-NL"/>
              </w:rPr>
            </w:pPr>
          </w:p>
        </w:tc>
        <w:tc>
          <w:tcPr>
            <w:tcW w:w="2648" w:type="dxa"/>
            <w:vMerge/>
          </w:tcPr>
          <w:p w14:paraId="481CD471" w14:textId="77777777" w:rsidR="00085789" w:rsidRDefault="00085789">
            <w:pPr>
              <w:spacing w:before="40" w:after="40" w:line="240" w:lineRule="auto"/>
              <w:jc w:val="both"/>
              <w:rPr>
                <w:sz w:val="24"/>
                <w:szCs w:val="24"/>
                <w:lang w:val="nl-NL"/>
              </w:rPr>
            </w:pPr>
          </w:p>
        </w:tc>
        <w:tc>
          <w:tcPr>
            <w:tcW w:w="1122" w:type="dxa"/>
          </w:tcPr>
          <w:p w14:paraId="150EC04E" w14:textId="77777777" w:rsidR="00085789" w:rsidRDefault="00000000">
            <w:pPr>
              <w:spacing w:before="40" w:after="40" w:line="240" w:lineRule="auto"/>
              <w:jc w:val="center"/>
              <w:rPr>
                <w:b/>
                <w:bCs/>
                <w:sz w:val="24"/>
                <w:szCs w:val="24"/>
                <w:lang w:val="nl-NL"/>
              </w:rPr>
            </w:pPr>
            <w:r>
              <w:rPr>
                <w:b/>
                <w:bCs/>
                <w:sz w:val="24"/>
                <w:szCs w:val="24"/>
                <w:lang w:val="nl-NL"/>
              </w:rPr>
              <w:t>Diện tích (ha)</w:t>
            </w:r>
          </w:p>
        </w:tc>
        <w:tc>
          <w:tcPr>
            <w:tcW w:w="994" w:type="dxa"/>
          </w:tcPr>
          <w:p w14:paraId="71F43C9C" w14:textId="77777777" w:rsidR="00085789" w:rsidRDefault="00000000">
            <w:pPr>
              <w:spacing w:before="40" w:after="40" w:line="240" w:lineRule="auto"/>
              <w:jc w:val="center"/>
              <w:rPr>
                <w:b/>
                <w:bCs/>
                <w:sz w:val="24"/>
                <w:szCs w:val="24"/>
                <w:lang w:val="nl-NL"/>
              </w:rPr>
            </w:pPr>
            <w:r>
              <w:rPr>
                <w:b/>
                <w:bCs/>
                <w:sz w:val="24"/>
                <w:szCs w:val="24"/>
                <w:lang w:val="nl-NL"/>
              </w:rPr>
              <w:t>Tỷ lệ (%)</w:t>
            </w:r>
          </w:p>
        </w:tc>
        <w:tc>
          <w:tcPr>
            <w:tcW w:w="1113" w:type="dxa"/>
          </w:tcPr>
          <w:p w14:paraId="41C6296D" w14:textId="77777777" w:rsidR="00085789" w:rsidRDefault="00000000">
            <w:pPr>
              <w:spacing w:before="40" w:after="40" w:line="240" w:lineRule="auto"/>
              <w:jc w:val="center"/>
              <w:rPr>
                <w:b/>
                <w:bCs/>
                <w:sz w:val="24"/>
                <w:szCs w:val="24"/>
                <w:lang w:val="nl-NL"/>
              </w:rPr>
            </w:pPr>
            <w:r>
              <w:rPr>
                <w:b/>
                <w:bCs/>
                <w:sz w:val="24"/>
                <w:szCs w:val="24"/>
                <w:lang w:val="nl-NL"/>
              </w:rPr>
              <w:t>Diện tích (ha)</w:t>
            </w:r>
          </w:p>
        </w:tc>
        <w:tc>
          <w:tcPr>
            <w:tcW w:w="1108" w:type="dxa"/>
          </w:tcPr>
          <w:p w14:paraId="6A302512" w14:textId="77777777" w:rsidR="00085789" w:rsidRDefault="00000000">
            <w:pPr>
              <w:spacing w:before="40" w:after="40" w:line="240" w:lineRule="auto"/>
              <w:jc w:val="center"/>
              <w:rPr>
                <w:b/>
                <w:bCs/>
                <w:sz w:val="24"/>
                <w:szCs w:val="24"/>
                <w:lang w:val="nl-NL"/>
              </w:rPr>
            </w:pPr>
            <w:r>
              <w:rPr>
                <w:b/>
                <w:bCs/>
                <w:sz w:val="24"/>
                <w:szCs w:val="24"/>
                <w:lang w:val="nl-NL"/>
              </w:rPr>
              <w:t>Tỷ lệ (%)</w:t>
            </w:r>
          </w:p>
        </w:tc>
        <w:tc>
          <w:tcPr>
            <w:tcW w:w="1621" w:type="dxa"/>
            <w:vMerge/>
          </w:tcPr>
          <w:p w14:paraId="540B01A6" w14:textId="77777777" w:rsidR="00085789" w:rsidRDefault="00085789">
            <w:pPr>
              <w:spacing w:before="40" w:after="40" w:line="240" w:lineRule="auto"/>
              <w:jc w:val="both"/>
              <w:rPr>
                <w:sz w:val="24"/>
                <w:szCs w:val="24"/>
                <w:lang w:val="nl-NL"/>
              </w:rPr>
            </w:pPr>
          </w:p>
        </w:tc>
      </w:tr>
      <w:tr w:rsidR="00085789" w14:paraId="072F6F0C" w14:textId="77777777">
        <w:trPr>
          <w:jc w:val="center"/>
        </w:trPr>
        <w:tc>
          <w:tcPr>
            <w:tcW w:w="608" w:type="dxa"/>
          </w:tcPr>
          <w:p w14:paraId="6D92AECD" w14:textId="77777777" w:rsidR="00085789" w:rsidRDefault="00000000">
            <w:pPr>
              <w:spacing w:before="40" w:after="40" w:line="240" w:lineRule="auto"/>
              <w:ind w:left="-142" w:right="-105"/>
              <w:jc w:val="center"/>
              <w:rPr>
                <w:sz w:val="24"/>
                <w:szCs w:val="24"/>
                <w:lang w:val="nl-NL"/>
              </w:rPr>
            </w:pPr>
            <w:r>
              <w:rPr>
                <w:sz w:val="24"/>
                <w:szCs w:val="24"/>
                <w:lang w:val="nl-NL"/>
              </w:rPr>
              <w:t>1</w:t>
            </w:r>
          </w:p>
        </w:tc>
        <w:tc>
          <w:tcPr>
            <w:tcW w:w="2648" w:type="dxa"/>
          </w:tcPr>
          <w:p w14:paraId="2F48D20E" w14:textId="77777777" w:rsidR="00085789" w:rsidRDefault="00000000">
            <w:pPr>
              <w:spacing w:before="40" w:after="40" w:line="240" w:lineRule="auto"/>
              <w:jc w:val="both"/>
              <w:rPr>
                <w:sz w:val="24"/>
                <w:szCs w:val="24"/>
                <w:lang w:val="nl-NL"/>
              </w:rPr>
            </w:pPr>
            <w:r>
              <w:rPr>
                <w:sz w:val="24"/>
                <w:szCs w:val="24"/>
                <w:lang w:val="nl-NL"/>
              </w:rPr>
              <w:t>Đất nông nghiệp</w:t>
            </w:r>
          </w:p>
        </w:tc>
        <w:tc>
          <w:tcPr>
            <w:tcW w:w="1122" w:type="dxa"/>
            <w:vAlign w:val="center"/>
          </w:tcPr>
          <w:p w14:paraId="17AF2600" w14:textId="77777777" w:rsidR="00085789" w:rsidRDefault="00000000">
            <w:pPr>
              <w:spacing w:before="40" w:after="40" w:line="240" w:lineRule="auto"/>
              <w:jc w:val="center"/>
              <w:rPr>
                <w:sz w:val="24"/>
                <w:szCs w:val="24"/>
                <w:lang w:val="nl-NL"/>
              </w:rPr>
            </w:pPr>
            <w:r>
              <w:rPr>
                <w:sz w:val="24"/>
                <w:szCs w:val="24"/>
                <w:lang w:val="nl-NL"/>
              </w:rPr>
              <w:t>498.956</w:t>
            </w:r>
          </w:p>
        </w:tc>
        <w:tc>
          <w:tcPr>
            <w:tcW w:w="994" w:type="dxa"/>
            <w:vAlign w:val="center"/>
          </w:tcPr>
          <w:p w14:paraId="35518958" w14:textId="77777777" w:rsidR="00085789" w:rsidRDefault="00000000">
            <w:pPr>
              <w:spacing w:before="40" w:after="40" w:line="240" w:lineRule="auto"/>
              <w:jc w:val="center"/>
              <w:rPr>
                <w:sz w:val="24"/>
                <w:szCs w:val="24"/>
                <w:lang w:val="nl-NL"/>
              </w:rPr>
            </w:pPr>
            <w:r>
              <w:rPr>
                <w:sz w:val="24"/>
                <w:szCs w:val="24"/>
              </w:rPr>
              <w:t>83.24</w:t>
            </w:r>
          </w:p>
        </w:tc>
        <w:tc>
          <w:tcPr>
            <w:tcW w:w="1113" w:type="dxa"/>
            <w:vAlign w:val="center"/>
          </w:tcPr>
          <w:p w14:paraId="140EC96A" w14:textId="77777777" w:rsidR="00085789" w:rsidRDefault="00000000">
            <w:pPr>
              <w:spacing w:before="40" w:after="40" w:line="240" w:lineRule="auto"/>
              <w:jc w:val="center"/>
              <w:rPr>
                <w:sz w:val="24"/>
                <w:szCs w:val="24"/>
                <w:lang w:val="nl-NL"/>
              </w:rPr>
            </w:pPr>
            <w:r>
              <w:rPr>
                <w:sz w:val="24"/>
                <w:szCs w:val="24"/>
                <w:lang w:val="nl-NL"/>
              </w:rPr>
              <w:t>496.581</w:t>
            </w:r>
          </w:p>
        </w:tc>
        <w:tc>
          <w:tcPr>
            <w:tcW w:w="1108" w:type="dxa"/>
            <w:vAlign w:val="center"/>
          </w:tcPr>
          <w:p w14:paraId="1651B62F" w14:textId="77777777" w:rsidR="00085789" w:rsidRDefault="00000000">
            <w:pPr>
              <w:spacing w:before="40" w:after="40" w:line="240" w:lineRule="auto"/>
              <w:jc w:val="center"/>
              <w:rPr>
                <w:sz w:val="24"/>
                <w:szCs w:val="24"/>
                <w:lang w:val="nl-NL"/>
              </w:rPr>
            </w:pPr>
            <w:r>
              <w:rPr>
                <w:sz w:val="24"/>
                <w:szCs w:val="24"/>
              </w:rPr>
              <w:t>82.84</w:t>
            </w:r>
          </w:p>
        </w:tc>
        <w:tc>
          <w:tcPr>
            <w:tcW w:w="1621" w:type="dxa"/>
            <w:vAlign w:val="center"/>
          </w:tcPr>
          <w:p w14:paraId="57C6F846" w14:textId="77777777" w:rsidR="00085789" w:rsidRDefault="00000000">
            <w:pPr>
              <w:spacing w:before="40" w:after="40" w:line="240" w:lineRule="auto"/>
              <w:jc w:val="center"/>
              <w:rPr>
                <w:sz w:val="24"/>
                <w:szCs w:val="24"/>
                <w:lang w:val="nl-NL"/>
              </w:rPr>
            </w:pPr>
            <w:r>
              <w:rPr>
                <w:sz w:val="24"/>
                <w:szCs w:val="24"/>
                <w:lang w:val="nl-NL"/>
              </w:rPr>
              <w:t>Giảm 0,48%</w:t>
            </w:r>
          </w:p>
        </w:tc>
      </w:tr>
      <w:tr w:rsidR="00085789" w14:paraId="3D1ABDB9" w14:textId="77777777">
        <w:trPr>
          <w:jc w:val="center"/>
        </w:trPr>
        <w:tc>
          <w:tcPr>
            <w:tcW w:w="608" w:type="dxa"/>
          </w:tcPr>
          <w:p w14:paraId="41C3DC20" w14:textId="77777777" w:rsidR="00085789" w:rsidRDefault="00000000">
            <w:pPr>
              <w:spacing w:before="40" w:after="40" w:line="240" w:lineRule="auto"/>
              <w:ind w:left="-142" w:right="-105"/>
              <w:jc w:val="center"/>
              <w:rPr>
                <w:i/>
                <w:iCs/>
                <w:sz w:val="24"/>
                <w:szCs w:val="24"/>
                <w:lang w:val="nl-NL"/>
              </w:rPr>
            </w:pPr>
            <w:r>
              <w:rPr>
                <w:i/>
                <w:iCs/>
                <w:sz w:val="24"/>
                <w:szCs w:val="24"/>
                <w:lang w:val="nl-NL"/>
              </w:rPr>
              <w:t>1.1</w:t>
            </w:r>
          </w:p>
        </w:tc>
        <w:tc>
          <w:tcPr>
            <w:tcW w:w="2648" w:type="dxa"/>
          </w:tcPr>
          <w:p w14:paraId="11E09D61" w14:textId="77777777" w:rsidR="00085789" w:rsidRDefault="00000000">
            <w:pPr>
              <w:spacing w:before="40" w:after="40" w:line="240" w:lineRule="auto"/>
              <w:jc w:val="both"/>
              <w:rPr>
                <w:i/>
                <w:iCs/>
                <w:sz w:val="24"/>
                <w:szCs w:val="24"/>
                <w:lang w:val="nl-NL"/>
              </w:rPr>
            </w:pPr>
            <w:r>
              <w:rPr>
                <w:i/>
                <w:iCs/>
                <w:sz w:val="24"/>
                <w:szCs w:val="24"/>
                <w:lang w:val="nl-NL"/>
              </w:rPr>
              <w:t>Đất sản xuất nông nghiệp</w:t>
            </w:r>
          </w:p>
        </w:tc>
        <w:tc>
          <w:tcPr>
            <w:tcW w:w="1122" w:type="dxa"/>
            <w:vAlign w:val="center"/>
          </w:tcPr>
          <w:p w14:paraId="71025F56" w14:textId="77777777" w:rsidR="00085789" w:rsidRDefault="00000000">
            <w:pPr>
              <w:spacing w:before="40" w:after="40" w:line="240" w:lineRule="auto"/>
              <w:jc w:val="center"/>
              <w:rPr>
                <w:i/>
                <w:iCs/>
                <w:sz w:val="24"/>
                <w:szCs w:val="24"/>
                <w:lang w:val="nl-NL"/>
              </w:rPr>
            </w:pPr>
            <w:r>
              <w:rPr>
                <w:i/>
                <w:iCs/>
                <w:sz w:val="24"/>
                <w:szCs w:val="24"/>
                <w:lang w:val="nl-NL"/>
              </w:rPr>
              <w:t>138.771</w:t>
            </w:r>
          </w:p>
        </w:tc>
        <w:tc>
          <w:tcPr>
            <w:tcW w:w="994" w:type="dxa"/>
            <w:vAlign w:val="center"/>
          </w:tcPr>
          <w:p w14:paraId="031062ED" w14:textId="77777777" w:rsidR="00085789" w:rsidRDefault="00000000">
            <w:pPr>
              <w:spacing w:before="40" w:after="40" w:line="240" w:lineRule="auto"/>
              <w:jc w:val="center"/>
              <w:rPr>
                <w:i/>
                <w:iCs/>
                <w:sz w:val="24"/>
                <w:szCs w:val="24"/>
                <w:lang w:val="nl-NL"/>
              </w:rPr>
            </w:pPr>
            <w:r>
              <w:rPr>
                <w:i/>
                <w:iCs/>
                <w:sz w:val="24"/>
                <w:szCs w:val="24"/>
              </w:rPr>
              <w:t>23.15</w:t>
            </w:r>
          </w:p>
        </w:tc>
        <w:tc>
          <w:tcPr>
            <w:tcW w:w="1113" w:type="dxa"/>
            <w:vAlign w:val="center"/>
          </w:tcPr>
          <w:p w14:paraId="26AFDB2B" w14:textId="77777777" w:rsidR="00085789" w:rsidRDefault="00000000">
            <w:pPr>
              <w:spacing w:before="40" w:after="40" w:line="240" w:lineRule="auto"/>
              <w:jc w:val="center"/>
              <w:rPr>
                <w:i/>
                <w:iCs/>
                <w:sz w:val="24"/>
                <w:szCs w:val="24"/>
                <w:lang w:val="nl-NL"/>
              </w:rPr>
            </w:pPr>
            <w:r>
              <w:rPr>
                <w:i/>
                <w:iCs/>
                <w:sz w:val="24"/>
                <w:szCs w:val="24"/>
                <w:lang w:val="nl-NL"/>
              </w:rPr>
              <w:t>129.100</w:t>
            </w:r>
          </w:p>
        </w:tc>
        <w:tc>
          <w:tcPr>
            <w:tcW w:w="1108" w:type="dxa"/>
            <w:vAlign w:val="center"/>
          </w:tcPr>
          <w:p w14:paraId="4377B586" w14:textId="77777777" w:rsidR="00085789" w:rsidRDefault="00000000">
            <w:pPr>
              <w:spacing w:before="40" w:after="40" w:line="240" w:lineRule="auto"/>
              <w:jc w:val="center"/>
              <w:rPr>
                <w:i/>
                <w:iCs/>
                <w:sz w:val="24"/>
                <w:szCs w:val="24"/>
                <w:lang w:val="nl-NL"/>
              </w:rPr>
            </w:pPr>
            <w:r>
              <w:rPr>
                <w:i/>
                <w:iCs/>
                <w:sz w:val="24"/>
                <w:szCs w:val="24"/>
              </w:rPr>
              <w:t>21.54</w:t>
            </w:r>
          </w:p>
        </w:tc>
        <w:tc>
          <w:tcPr>
            <w:tcW w:w="1621" w:type="dxa"/>
            <w:vAlign w:val="center"/>
          </w:tcPr>
          <w:p w14:paraId="627BA94C" w14:textId="77777777" w:rsidR="00085789" w:rsidRDefault="00085789">
            <w:pPr>
              <w:spacing w:before="40" w:after="40" w:line="240" w:lineRule="auto"/>
              <w:jc w:val="center"/>
              <w:rPr>
                <w:i/>
                <w:iCs/>
                <w:sz w:val="24"/>
                <w:szCs w:val="24"/>
                <w:lang w:val="nl-NL"/>
              </w:rPr>
            </w:pPr>
          </w:p>
        </w:tc>
      </w:tr>
      <w:tr w:rsidR="00085789" w14:paraId="3C7A88F1" w14:textId="77777777">
        <w:trPr>
          <w:jc w:val="center"/>
        </w:trPr>
        <w:tc>
          <w:tcPr>
            <w:tcW w:w="608" w:type="dxa"/>
          </w:tcPr>
          <w:p w14:paraId="45ED3860" w14:textId="77777777" w:rsidR="00085789" w:rsidRDefault="00000000">
            <w:pPr>
              <w:spacing w:before="40" w:after="40" w:line="240" w:lineRule="auto"/>
              <w:ind w:left="-142" w:right="-105"/>
              <w:jc w:val="center"/>
              <w:rPr>
                <w:i/>
                <w:iCs/>
                <w:sz w:val="24"/>
                <w:szCs w:val="24"/>
                <w:lang w:val="nl-NL"/>
              </w:rPr>
            </w:pPr>
            <w:r>
              <w:rPr>
                <w:i/>
                <w:iCs/>
                <w:sz w:val="24"/>
                <w:szCs w:val="24"/>
                <w:lang w:val="nl-NL"/>
              </w:rPr>
              <w:t>1.2</w:t>
            </w:r>
          </w:p>
        </w:tc>
        <w:tc>
          <w:tcPr>
            <w:tcW w:w="2648" w:type="dxa"/>
          </w:tcPr>
          <w:p w14:paraId="3898905E" w14:textId="77777777" w:rsidR="00085789" w:rsidRDefault="00000000">
            <w:pPr>
              <w:spacing w:before="40" w:after="40" w:line="240" w:lineRule="auto"/>
              <w:jc w:val="both"/>
              <w:rPr>
                <w:i/>
                <w:iCs/>
                <w:sz w:val="24"/>
                <w:szCs w:val="24"/>
                <w:lang w:val="nl-NL"/>
              </w:rPr>
            </w:pPr>
            <w:r>
              <w:rPr>
                <w:i/>
                <w:iCs/>
                <w:sz w:val="24"/>
                <w:szCs w:val="24"/>
                <w:lang w:val="nl-NL"/>
              </w:rPr>
              <w:t>Đất lâm nghiệp</w:t>
            </w:r>
          </w:p>
        </w:tc>
        <w:tc>
          <w:tcPr>
            <w:tcW w:w="1122" w:type="dxa"/>
            <w:vAlign w:val="center"/>
          </w:tcPr>
          <w:p w14:paraId="4FE749A7" w14:textId="77777777" w:rsidR="00085789" w:rsidRDefault="00000000">
            <w:pPr>
              <w:spacing w:before="40" w:after="40" w:line="240" w:lineRule="auto"/>
              <w:jc w:val="center"/>
              <w:rPr>
                <w:i/>
                <w:iCs/>
                <w:sz w:val="24"/>
                <w:szCs w:val="24"/>
                <w:lang w:val="nl-NL"/>
              </w:rPr>
            </w:pPr>
            <w:r>
              <w:rPr>
                <w:i/>
                <w:iCs/>
                <w:sz w:val="24"/>
                <w:szCs w:val="24"/>
                <w:lang w:val="nl-NL"/>
              </w:rPr>
              <w:t>352.220</w:t>
            </w:r>
          </w:p>
        </w:tc>
        <w:tc>
          <w:tcPr>
            <w:tcW w:w="994" w:type="dxa"/>
            <w:vAlign w:val="center"/>
          </w:tcPr>
          <w:p w14:paraId="77016DE5" w14:textId="77777777" w:rsidR="00085789" w:rsidRDefault="00000000">
            <w:pPr>
              <w:spacing w:before="40" w:after="40" w:line="240" w:lineRule="auto"/>
              <w:jc w:val="center"/>
              <w:rPr>
                <w:i/>
                <w:iCs/>
                <w:sz w:val="24"/>
                <w:szCs w:val="24"/>
                <w:lang w:val="nl-NL"/>
              </w:rPr>
            </w:pPr>
            <w:r>
              <w:rPr>
                <w:i/>
                <w:iCs/>
                <w:sz w:val="24"/>
                <w:szCs w:val="24"/>
              </w:rPr>
              <w:t>58.76</w:t>
            </w:r>
          </w:p>
        </w:tc>
        <w:tc>
          <w:tcPr>
            <w:tcW w:w="1113" w:type="dxa"/>
            <w:vAlign w:val="center"/>
          </w:tcPr>
          <w:p w14:paraId="0CE1EF6B" w14:textId="77777777" w:rsidR="00085789" w:rsidRDefault="00000000">
            <w:pPr>
              <w:spacing w:before="40" w:after="40" w:line="240" w:lineRule="auto"/>
              <w:jc w:val="center"/>
              <w:rPr>
                <w:i/>
                <w:iCs/>
                <w:sz w:val="24"/>
                <w:szCs w:val="24"/>
                <w:lang w:val="nl-NL"/>
              </w:rPr>
            </w:pPr>
            <w:r>
              <w:rPr>
                <w:i/>
                <w:iCs/>
                <w:sz w:val="24"/>
                <w:szCs w:val="24"/>
                <w:lang w:val="nl-NL"/>
              </w:rPr>
              <w:t>338.061</w:t>
            </w:r>
          </w:p>
        </w:tc>
        <w:tc>
          <w:tcPr>
            <w:tcW w:w="1108" w:type="dxa"/>
            <w:vAlign w:val="center"/>
          </w:tcPr>
          <w:p w14:paraId="52AA8DD9" w14:textId="77777777" w:rsidR="00085789" w:rsidRDefault="00000000">
            <w:pPr>
              <w:spacing w:before="40" w:after="40" w:line="240" w:lineRule="auto"/>
              <w:jc w:val="center"/>
              <w:rPr>
                <w:i/>
                <w:iCs/>
                <w:sz w:val="24"/>
                <w:szCs w:val="24"/>
                <w:lang w:val="nl-NL"/>
              </w:rPr>
            </w:pPr>
            <w:r>
              <w:rPr>
                <w:i/>
                <w:iCs/>
                <w:sz w:val="24"/>
                <w:szCs w:val="24"/>
              </w:rPr>
              <w:t>56.40</w:t>
            </w:r>
          </w:p>
        </w:tc>
        <w:tc>
          <w:tcPr>
            <w:tcW w:w="1621" w:type="dxa"/>
            <w:vAlign w:val="center"/>
          </w:tcPr>
          <w:p w14:paraId="74109D96" w14:textId="77777777" w:rsidR="00085789" w:rsidRDefault="00085789">
            <w:pPr>
              <w:spacing w:before="40" w:after="40" w:line="240" w:lineRule="auto"/>
              <w:jc w:val="center"/>
              <w:rPr>
                <w:i/>
                <w:iCs/>
                <w:sz w:val="24"/>
                <w:szCs w:val="24"/>
                <w:lang w:val="nl-NL"/>
              </w:rPr>
            </w:pPr>
          </w:p>
        </w:tc>
      </w:tr>
      <w:tr w:rsidR="00085789" w14:paraId="2826EA8C" w14:textId="77777777">
        <w:trPr>
          <w:jc w:val="center"/>
        </w:trPr>
        <w:tc>
          <w:tcPr>
            <w:tcW w:w="608" w:type="dxa"/>
          </w:tcPr>
          <w:p w14:paraId="43E44C5C" w14:textId="77777777" w:rsidR="00085789" w:rsidRDefault="00000000">
            <w:pPr>
              <w:spacing w:before="40" w:after="40" w:line="240" w:lineRule="auto"/>
              <w:ind w:left="-142" w:right="-105"/>
              <w:jc w:val="center"/>
              <w:rPr>
                <w:i/>
                <w:iCs/>
                <w:sz w:val="24"/>
                <w:szCs w:val="24"/>
                <w:lang w:val="nl-NL"/>
              </w:rPr>
            </w:pPr>
            <w:r>
              <w:rPr>
                <w:i/>
                <w:iCs/>
                <w:sz w:val="24"/>
                <w:szCs w:val="24"/>
                <w:lang w:val="nl-NL"/>
              </w:rPr>
              <w:t>1.3</w:t>
            </w:r>
          </w:p>
        </w:tc>
        <w:tc>
          <w:tcPr>
            <w:tcW w:w="2648" w:type="dxa"/>
          </w:tcPr>
          <w:p w14:paraId="285231DA" w14:textId="77777777" w:rsidR="00085789" w:rsidRDefault="00000000">
            <w:pPr>
              <w:spacing w:before="40" w:after="40" w:line="240" w:lineRule="auto"/>
              <w:jc w:val="both"/>
              <w:rPr>
                <w:i/>
                <w:iCs/>
                <w:sz w:val="24"/>
                <w:szCs w:val="24"/>
                <w:lang w:val="nl-NL"/>
              </w:rPr>
            </w:pPr>
            <w:r>
              <w:rPr>
                <w:i/>
                <w:iCs/>
                <w:sz w:val="24"/>
                <w:szCs w:val="24"/>
                <w:lang w:val="nl-NL"/>
              </w:rPr>
              <w:t>Đất nuôi trồng thủy sản</w:t>
            </w:r>
          </w:p>
        </w:tc>
        <w:tc>
          <w:tcPr>
            <w:tcW w:w="1122" w:type="dxa"/>
            <w:vAlign w:val="center"/>
          </w:tcPr>
          <w:p w14:paraId="744F3628" w14:textId="77777777" w:rsidR="00085789" w:rsidRDefault="00000000">
            <w:pPr>
              <w:spacing w:before="40" w:after="40" w:line="240" w:lineRule="auto"/>
              <w:jc w:val="center"/>
              <w:rPr>
                <w:i/>
                <w:iCs/>
                <w:sz w:val="24"/>
                <w:szCs w:val="24"/>
                <w:lang w:val="nl-NL"/>
              </w:rPr>
            </w:pPr>
            <w:r>
              <w:rPr>
                <w:i/>
                <w:iCs/>
                <w:sz w:val="24"/>
                <w:szCs w:val="24"/>
                <w:lang w:val="nl-NL"/>
              </w:rPr>
              <w:t>5.445,9</w:t>
            </w:r>
          </w:p>
        </w:tc>
        <w:tc>
          <w:tcPr>
            <w:tcW w:w="994" w:type="dxa"/>
            <w:vAlign w:val="center"/>
          </w:tcPr>
          <w:p w14:paraId="1DDDA50E" w14:textId="77777777" w:rsidR="00085789" w:rsidRDefault="00000000">
            <w:pPr>
              <w:spacing w:before="40" w:after="40" w:line="240" w:lineRule="auto"/>
              <w:jc w:val="center"/>
              <w:rPr>
                <w:i/>
                <w:iCs/>
                <w:sz w:val="24"/>
                <w:szCs w:val="24"/>
                <w:lang w:val="nl-NL"/>
              </w:rPr>
            </w:pPr>
            <w:r>
              <w:rPr>
                <w:i/>
                <w:iCs/>
                <w:sz w:val="24"/>
                <w:szCs w:val="24"/>
              </w:rPr>
              <w:t>0.91</w:t>
            </w:r>
          </w:p>
        </w:tc>
        <w:tc>
          <w:tcPr>
            <w:tcW w:w="1113" w:type="dxa"/>
            <w:vAlign w:val="center"/>
          </w:tcPr>
          <w:p w14:paraId="5B11BBC3" w14:textId="77777777" w:rsidR="00085789" w:rsidRDefault="00000000">
            <w:pPr>
              <w:spacing w:before="40" w:after="40" w:line="240" w:lineRule="auto"/>
              <w:jc w:val="center"/>
              <w:rPr>
                <w:i/>
                <w:iCs/>
                <w:sz w:val="24"/>
                <w:szCs w:val="24"/>
                <w:lang w:val="nl-NL"/>
              </w:rPr>
            </w:pPr>
            <w:r>
              <w:rPr>
                <w:i/>
                <w:iCs/>
                <w:sz w:val="24"/>
                <w:szCs w:val="24"/>
                <w:lang w:val="nl-NL"/>
              </w:rPr>
              <w:t>7.144</w:t>
            </w:r>
          </w:p>
        </w:tc>
        <w:tc>
          <w:tcPr>
            <w:tcW w:w="1108" w:type="dxa"/>
            <w:vAlign w:val="center"/>
          </w:tcPr>
          <w:p w14:paraId="525D1216" w14:textId="77777777" w:rsidR="00085789" w:rsidRDefault="00000000">
            <w:pPr>
              <w:spacing w:before="40" w:after="40" w:line="240" w:lineRule="auto"/>
              <w:jc w:val="center"/>
              <w:rPr>
                <w:i/>
                <w:iCs/>
                <w:sz w:val="24"/>
                <w:szCs w:val="24"/>
                <w:lang w:val="nl-NL"/>
              </w:rPr>
            </w:pPr>
            <w:r>
              <w:rPr>
                <w:i/>
                <w:iCs/>
                <w:sz w:val="24"/>
                <w:szCs w:val="24"/>
              </w:rPr>
              <w:t>1.19</w:t>
            </w:r>
          </w:p>
        </w:tc>
        <w:tc>
          <w:tcPr>
            <w:tcW w:w="1621" w:type="dxa"/>
            <w:vAlign w:val="center"/>
          </w:tcPr>
          <w:p w14:paraId="578BC58F" w14:textId="77777777" w:rsidR="00085789" w:rsidRDefault="00085789">
            <w:pPr>
              <w:spacing w:before="40" w:after="40" w:line="240" w:lineRule="auto"/>
              <w:jc w:val="center"/>
              <w:rPr>
                <w:i/>
                <w:iCs/>
                <w:sz w:val="24"/>
                <w:szCs w:val="24"/>
                <w:lang w:val="nl-NL"/>
              </w:rPr>
            </w:pPr>
          </w:p>
        </w:tc>
      </w:tr>
      <w:tr w:rsidR="00085789" w14:paraId="686ACF5C" w14:textId="77777777">
        <w:trPr>
          <w:jc w:val="center"/>
        </w:trPr>
        <w:tc>
          <w:tcPr>
            <w:tcW w:w="608" w:type="dxa"/>
          </w:tcPr>
          <w:p w14:paraId="7800D067" w14:textId="77777777" w:rsidR="00085789" w:rsidRDefault="00000000">
            <w:pPr>
              <w:spacing w:before="40" w:after="40" w:line="240" w:lineRule="auto"/>
              <w:ind w:left="-142" w:right="-105"/>
              <w:jc w:val="center"/>
              <w:rPr>
                <w:i/>
                <w:iCs/>
                <w:sz w:val="24"/>
                <w:szCs w:val="24"/>
                <w:lang w:val="nl-NL"/>
              </w:rPr>
            </w:pPr>
            <w:r>
              <w:rPr>
                <w:i/>
                <w:iCs/>
                <w:sz w:val="24"/>
                <w:szCs w:val="24"/>
                <w:lang w:val="nl-NL"/>
              </w:rPr>
              <w:t>1.4</w:t>
            </w:r>
          </w:p>
        </w:tc>
        <w:tc>
          <w:tcPr>
            <w:tcW w:w="2648" w:type="dxa"/>
          </w:tcPr>
          <w:p w14:paraId="5247ED90" w14:textId="77777777" w:rsidR="00085789" w:rsidRDefault="00000000">
            <w:pPr>
              <w:spacing w:before="40" w:after="40" w:line="240" w:lineRule="auto"/>
              <w:jc w:val="both"/>
              <w:rPr>
                <w:i/>
                <w:iCs/>
                <w:sz w:val="24"/>
                <w:szCs w:val="24"/>
                <w:lang w:val="nl-NL"/>
              </w:rPr>
            </w:pPr>
            <w:r>
              <w:rPr>
                <w:i/>
                <w:iCs/>
                <w:sz w:val="24"/>
                <w:szCs w:val="24"/>
                <w:lang w:val="nl-NL"/>
              </w:rPr>
              <w:t>Đất nông nghiệp khác</w:t>
            </w:r>
          </w:p>
        </w:tc>
        <w:tc>
          <w:tcPr>
            <w:tcW w:w="1122" w:type="dxa"/>
            <w:vAlign w:val="center"/>
          </w:tcPr>
          <w:p w14:paraId="2C7187C1" w14:textId="77777777" w:rsidR="00085789" w:rsidRDefault="00000000">
            <w:pPr>
              <w:spacing w:before="40" w:after="40" w:line="240" w:lineRule="auto"/>
              <w:jc w:val="center"/>
              <w:rPr>
                <w:i/>
                <w:iCs/>
                <w:sz w:val="24"/>
                <w:szCs w:val="24"/>
                <w:lang w:val="nl-NL"/>
              </w:rPr>
            </w:pPr>
            <w:r>
              <w:rPr>
                <w:i/>
                <w:iCs/>
                <w:sz w:val="24"/>
                <w:szCs w:val="24"/>
                <w:lang w:val="nl-NL"/>
              </w:rPr>
              <w:t>2.519,1</w:t>
            </w:r>
          </w:p>
        </w:tc>
        <w:tc>
          <w:tcPr>
            <w:tcW w:w="994" w:type="dxa"/>
            <w:vAlign w:val="center"/>
          </w:tcPr>
          <w:p w14:paraId="1A71B3CF" w14:textId="77777777" w:rsidR="00085789" w:rsidRDefault="00000000">
            <w:pPr>
              <w:spacing w:before="40" w:after="40" w:line="240" w:lineRule="auto"/>
              <w:jc w:val="center"/>
              <w:rPr>
                <w:i/>
                <w:iCs/>
                <w:sz w:val="24"/>
                <w:szCs w:val="24"/>
                <w:lang w:val="nl-NL"/>
              </w:rPr>
            </w:pPr>
            <w:r>
              <w:rPr>
                <w:i/>
                <w:iCs/>
                <w:sz w:val="24"/>
                <w:szCs w:val="24"/>
              </w:rPr>
              <w:t>0.42</w:t>
            </w:r>
          </w:p>
        </w:tc>
        <w:tc>
          <w:tcPr>
            <w:tcW w:w="1113" w:type="dxa"/>
            <w:vAlign w:val="center"/>
          </w:tcPr>
          <w:p w14:paraId="170BC4A0" w14:textId="77777777" w:rsidR="00085789" w:rsidRDefault="00000000">
            <w:pPr>
              <w:spacing w:before="40" w:after="40" w:line="240" w:lineRule="auto"/>
              <w:jc w:val="center"/>
              <w:rPr>
                <w:i/>
                <w:iCs/>
                <w:sz w:val="24"/>
                <w:szCs w:val="24"/>
                <w:lang w:val="nl-NL"/>
              </w:rPr>
            </w:pPr>
            <w:r>
              <w:rPr>
                <w:i/>
                <w:iCs/>
                <w:sz w:val="24"/>
                <w:szCs w:val="24"/>
                <w:lang w:val="nl-NL"/>
              </w:rPr>
              <w:t>22.276</w:t>
            </w:r>
          </w:p>
        </w:tc>
        <w:tc>
          <w:tcPr>
            <w:tcW w:w="1108" w:type="dxa"/>
            <w:vAlign w:val="center"/>
          </w:tcPr>
          <w:p w14:paraId="3982D8FC" w14:textId="77777777" w:rsidR="00085789" w:rsidRDefault="00000000">
            <w:pPr>
              <w:spacing w:before="40" w:after="40" w:line="240" w:lineRule="auto"/>
              <w:jc w:val="center"/>
              <w:rPr>
                <w:i/>
                <w:iCs/>
                <w:sz w:val="24"/>
                <w:szCs w:val="24"/>
                <w:lang w:val="nl-NL"/>
              </w:rPr>
            </w:pPr>
            <w:r>
              <w:rPr>
                <w:i/>
                <w:iCs/>
                <w:sz w:val="24"/>
                <w:szCs w:val="24"/>
              </w:rPr>
              <w:t>3.72</w:t>
            </w:r>
          </w:p>
        </w:tc>
        <w:tc>
          <w:tcPr>
            <w:tcW w:w="1621" w:type="dxa"/>
            <w:vAlign w:val="center"/>
          </w:tcPr>
          <w:p w14:paraId="6BCB117D" w14:textId="77777777" w:rsidR="00085789" w:rsidRDefault="00085789">
            <w:pPr>
              <w:spacing w:before="40" w:after="40" w:line="240" w:lineRule="auto"/>
              <w:jc w:val="center"/>
              <w:rPr>
                <w:i/>
                <w:iCs/>
                <w:sz w:val="24"/>
                <w:szCs w:val="24"/>
                <w:lang w:val="nl-NL"/>
              </w:rPr>
            </w:pPr>
          </w:p>
        </w:tc>
      </w:tr>
      <w:tr w:rsidR="00085789" w14:paraId="1B0AA86A" w14:textId="77777777">
        <w:trPr>
          <w:jc w:val="center"/>
        </w:trPr>
        <w:tc>
          <w:tcPr>
            <w:tcW w:w="608" w:type="dxa"/>
          </w:tcPr>
          <w:p w14:paraId="64A1EC70" w14:textId="77777777" w:rsidR="00085789" w:rsidRDefault="00000000">
            <w:pPr>
              <w:spacing w:before="40" w:after="40" w:line="240" w:lineRule="auto"/>
              <w:ind w:left="-142" w:right="-105"/>
              <w:jc w:val="center"/>
              <w:rPr>
                <w:sz w:val="24"/>
                <w:szCs w:val="24"/>
                <w:lang w:val="nl-NL"/>
              </w:rPr>
            </w:pPr>
            <w:r>
              <w:rPr>
                <w:sz w:val="24"/>
                <w:szCs w:val="24"/>
                <w:lang w:val="nl-NL"/>
              </w:rPr>
              <w:t>2</w:t>
            </w:r>
          </w:p>
        </w:tc>
        <w:tc>
          <w:tcPr>
            <w:tcW w:w="2648" w:type="dxa"/>
          </w:tcPr>
          <w:p w14:paraId="32F873BB" w14:textId="77777777" w:rsidR="00085789" w:rsidRDefault="00000000">
            <w:pPr>
              <w:spacing w:before="40" w:after="40" w:line="240" w:lineRule="auto"/>
              <w:jc w:val="both"/>
              <w:rPr>
                <w:sz w:val="24"/>
                <w:szCs w:val="24"/>
                <w:lang w:val="nl-NL"/>
              </w:rPr>
            </w:pPr>
            <w:r>
              <w:rPr>
                <w:sz w:val="24"/>
                <w:szCs w:val="24"/>
                <w:lang w:val="nl-NL"/>
              </w:rPr>
              <w:t>Đất phi nông nghiệp</w:t>
            </w:r>
          </w:p>
        </w:tc>
        <w:tc>
          <w:tcPr>
            <w:tcW w:w="1122" w:type="dxa"/>
            <w:vAlign w:val="center"/>
          </w:tcPr>
          <w:p w14:paraId="007CAE1F" w14:textId="77777777" w:rsidR="00085789" w:rsidRDefault="00000000">
            <w:pPr>
              <w:spacing w:before="40" w:after="40" w:line="240" w:lineRule="auto"/>
              <w:jc w:val="center"/>
              <w:rPr>
                <w:sz w:val="24"/>
                <w:szCs w:val="24"/>
                <w:lang w:val="nl-NL"/>
              </w:rPr>
            </w:pPr>
            <w:r>
              <w:rPr>
                <w:sz w:val="24"/>
                <w:szCs w:val="24"/>
                <w:lang w:val="nl-NL"/>
              </w:rPr>
              <w:t>88.034,5</w:t>
            </w:r>
          </w:p>
        </w:tc>
        <w:tc>
          <w:tcPr>
            <w:tcW w:w="994" w:type="dxa"/>
            <w:vAlign w:val="center"/>
          </w:tcPr>
          <w:p w14:paraId="4A307EED" w14:textId="77777777" w:rsidR="00085789" w:rsidRDefault="00000000">
            <w:pPr>
              <w:spacing w:before="40" w:after="40" w:line="240" w:lineRule="auto"/>
              <w:jc w:val="center"/>
              <w:rPr>
                <w:sz w:val="24"/>
                <w:szCs w:val="24"/>
                <w:lang w:val="nl-NL"/>
              </w:rPr>
            </w:pPr>
            <w:r>
              <w:rPr>
                <w:sz w:val="24"/>
                <w:szCs w:val="24"/>
              </w:rPr>
              <w:t>14.69</w:t>
            </w:r>
          </w:p>
        </w:tc>
        <w:tc>
          <w:tcPr>
            <w:tcW w:w="1113" w:type="dxa"/>
            <w:vAlign w:val="center"/>
          </w:tcPr>
          <w:p w14:paraId="4182359F" w14:textId="77777777" w:rsidR="00085789" w:rsidRDefault="00000000">
            <w:pPr>
              <w:spacing w:before="40" w:after="40" w:line="240" w:lineRule="auto"/>
              <w:jc w:val="center"/>
              <w:rPr>
                <w:sz w:val="24"/>
                <w:szCs w:val="24"/>
                <w:lang w:val="nl-NL"/>
              </w:rPr>
            </w:pPr>
            <w:r>
              <w:rPr>
                <w:sz w:val="24"/>
                <w:szCs w:val="24"/>
                <w:lang w:val="nl-NL"/>
              </w:rPr>
              <w:t>90.507</w:t>
            </w:r>
          </w:p>
        </w:tc>
        <w:tc>
          <w:tcPr>
            <w:tcW w:w="1108" w:type="dxa"/>
            <w:vAlign w:val="center"/>
          </w:tcPr>
          <w:p w14:paraId="3B4FECCE" w14:textId="77777777" w:rsidR="00085789" w:rsidRDefault="00000000">
            <w:pPr>
              <w:spacing w:before="40" w:after="40" w:line="240" w:lineRule="auto"/>
              <w:jc w:val="center"/>
              <w:rPr>
                <w:sz w:val="24"/>
                <w:szCs w:val="24"/>
                <w:lang w:val="nl-NL"/>
              </w:rPr>
            </w:pPr>
            <w:r>
              <w:rPr>
                <w:sz w:val="24"/>
                <w:szCs w:val="24"/>
              </w:rPr>
              <w:t>15.10</w:t>
            </w:r>
          </w:p>
        </w:tc>
        <w:tc>
          <w:tcPr>
            <w:tcW w:w="1621" w:type="dxa"/>
            <w:vAlign w:val="center"/>
          </w:tcPr>
          <w:p w14:paraId="043C5EBA" w14:textId="77777777" w:rsidR="00085789" w:rsidRDefault="00000000">
            <w:pPr>
              <w:spacing w:before="40" w:after="40" w:line="240" w:lineRule="auto"/>
              <w:jc w:val="center"/>
              <w:rPr>
                <w:sz w:val="24"/>
                <w:szCs w:val="24"/>
                <w:lang w:val="nl-NL"/>
              </w:rPr>
            </w:pPr>
            <w:r>
              <w:rPr>
                <w:sz w:val="24"/>
                <w:szCs w:val="24"/>
                <w:lang w:val="nl-NL"/>
              </w:rPr>
              <w:t>Tăng 2,73%</w:t>
            </w:r>
          </w:p>
        </w:tc>
      </w:tr>
      <w:tr w:rsidR="00085789" w14:paraId="176A4423" w14:textId="77777777">
        <w:trPr>
          <w:jc w:val="center"/>
        </w:trPr>
        <w:tc>
          <w:tcPr>
            <w:tcW w:w="608" w:type="dxa"/>
          </w:tcPr>
          <w:p w14:paraId="02EBAFBF" w14:textId="77777777" w:rsidR="00085789" w:rsidRDefault="00000000">
            <w:pPr>
              <w:spacing w:before="40" w:after="40" w:line="240" w:lineRule="auto"/>
              <w:ind w:left="-142" w:right="-105"/>
              <w:jc w:val="center"/>
              <w:rPr>
                <w:i/>
                <w:iCs/>
                <w:sz w:val="24"/>
                <w:szCs w:val="24"/>
                <w:lang w:val="nl-NL"/>
              </w:rPr>
            </w:pPr>
            <w:r>
              <w:rPr>
                <w:i/>
                <w:iCs/>
                <w:sz w:val="24"/>
                <w:szCs w:val="24"/>
                <w:lang w:val="nl-NL"/>
              </w:rPr>
              <w:t>2.1</w:t>
            </w:r>
          </w:p>
        </w:tc>
        <w:tc>
          <w:tcPr>
            <w:tcW w:w="2648" w:type="dxa"/>
          </w:tcPr>
          <w:p w14:paraId="26C1DF92" w14:textId="77777777" w:rsidR="00085789" w:rsidRDefault="00000000">
            <w:pPr>
              <w:spacing w:before="40" w:after="40" w:line="240" w:lineRule="auto"/>
              <w:jc w:val="both"/>
              <w:rPr>
                <w:i/>
                <w:iCs/>
                <w:sz w:val="24"/>
                <w:szCs w:val="24"/>
                <w:lang w:val="nl-NL"/>
              </w:rPr>
            </w:pPr>
            <w:r>
              <w:rPr>
                <w:i/>
                <w:iCs/>
                <w:sz w:val="24"/>
                <w:szCs w:val="24"/>
                <w:lang w:val="nl-NL"/>
              </w:rPr>
              <w:t>Đất ở</w:t>
            </w:r>
          </w:p>
        </w:tc>
        <w:tc>
          <w:tcPr>
            <w:tcW w:w="1122" w:type="dxa"/>
            <w:vAlign w:val="center"/>
          </w:tcPr>
          <w:p w14:paraId="76AAABD2" w14:textId="77777777" w:rsidR="00085789" w:rsidRDefault="00000000">
            <w:pPr>
              <w:spacing w:before="40" w:after="40" w:line="240" w:lineRule="auto"/>
              <w:jc w:val="center"/>
              <w:rPr>
                <w:i/>
                <w:iCs/>
                <w:sz w:val="24"/>
                <w:szCs w:val="24"/>
                <w:lang w:val="nl-NL"/>
              </w:rPr>
            </w:pPr>
            <w:r>
              <w:rPr>
                <w:i/>
                <w:iCs/>
                <w:sz w:val="24"/>
                <w:szCs w:val="24"/>
                <w:lang w:val="nl-NL"/>
              </w:rPr>
              <w:t>13.243</w:t>
            </w:r>
          </w:p>
        </w:tc>
        <w:tc>
          <w:tcPr>
            <w:tcW w:w="994" w:type="dxa"/>
            <w:vAlign w:val="center"/>
          </w:tcPr>
          <w:p w14:paraId="0C8E8896" w14:textId="77777777" w:rsidR="00085789" w:rsidRDefault="00000000">
            <w:pPr>
              <w:spacing w:before="40" w:after="40" w:line="240" w:lineRule="auto"/>
              <w:jc w:val="center"/>
              <w:rPr>
                <w:i/>
                <w:iCs/>
                <w:sz w:val="24"/>
                <w:szCs w:val="24"/>
                <w:lang w:val="nl-NL"/>
              </w:rPr>
            </w:pPr>
            <w:r>
              <w:rPr>
                <w:i/>
                <w:iCs/>
                <w:sz w:val="24"/>
                <w:szCs w:val="24"/>
              </w:rPr>
              <w:t>2.21</w:t>
            </w:r>
          </w:p>
        </w:tc>
        <w:tc>
          <w:tcPr>
            <w:tcW w:w="1113" w:type="dxa"/>
            <w:vAlign w:val="center"/>
          </w:tcPr>
          <w:p w14:paraId="531A882E" w14:textId="77777777" w:rsidR="00085789" w:rsidRDefault="00000000">
            <w:pPr>
              <w:spacing w:before="40" w:after="40" w:line="240" w:lineRule="auto"/>
              <w:jc w:val="center"/>
              <w:rPr>
                <w:i/>
                <w:iCs/>
                <w:sz w:val="24"/>
                <w:szCs w:val="24"/>
                <w:lang w:val="nl-NL"/>
              </w:rPr>
            </w:pPr>
            <w:r>
              <w:rPr>
                <w:i/>
                <w:iCs/>
                <w:sz w:val="24"/>
                <w:szCs w:val="24"/>
                <w:lang w:val="nl-NL"/>
              </w:rPr>
              <w:t>14.185</w:t>
            </w:r>
          </w:p>
        </w:tc>
        <w:tc>
          <w:tcPr>
            <w:tcW w:w="1108" w:type="dxa"/>
            <w:vAlign w:val="center"/>
          </w:tcPr>
          <w:p w14:paraId="3BE73490" w14:textId="77777777" w:rsidR="00085789" w:rsidRDefault="00000000">
            <w:pPr>
              <w:spacing w:before="40" w:after="40" w:line="240" w:lineRule="auto"/>
              <w:jc w:val="center"/>
              <w:rPr>
                <w:i/>
                <w:iCs/>
                <w:sz w:val="24"/>
                <w:szCs w:val="24"/>
                <w:lang w:val="nl-NL"/>
              </w:rPr>
            </w:pPr>
            <w:r>
              <w:rPr>
                <w:i/>
                <w:iCs/>
                <w:sz w:val="24"/>
                <w:szCs w:val="24"/>
              </w:rPr>
              <w:t>2.37</w:t>
            </w:r>
          </w:p>
        </w:tc>
        <w:tc>
          <w:tcPr>
            <w:tcW w:w="1621" w:type="dxa"/>
            <w:vAlign w:val="center"/>
          </w:tcPr>
          <w:p w14:paraId="2FD848B6" w14:textId="77777777" w:rsidR="00085789" w:rsidRDefault="00085789">
            <w:pPr>
              <w:spacing w:before="40" w:after="40" w:line="240" w:lineRule="auto"/>
              <w:jc w:val="center"/>
              <w:rPr>
                <w:i/>
                <w:iCs/>
                <w:sz w:val="24"/>
                <w:szCs w:val="24"/>
                <w:lang w:val="nl-NL"/>
              </w:rPr>
            </w:pPr>
          </w:p>
        </w:tc>
      </w:tr>
      <w:tr w:rsidR="00085789" w14:paraId="2943F5D2" w14:textId="77777777">
        <w:trPr>
          <w:jc w:val="center"/>
        </w:trPr>
        <w:tc>
          <w:tcPr>
            <w:tcW w:w="608" w:type="dxa"/>
          </w:tcPr>
          <w:p w14:paraId="62C4BA45" w14:textId="77777777" w:rsidR="00085789" w:rsidRDefault="00000000">
            <w:pPr>
              <w:spacing w:before="40" w:after="40" w:line="240" w:lineRule="auto"/>
              <w:ind w:left="-142" w:right="-105"/>
              <w:jc w:val="center"/>
              <w:rPr>
                <w:i/>
                <w:iCs/>
                <w:sz w:val="24"/>
                <w:szCs w:val="24"/>
                <w:lang w:val="nl-NL"/>
              </w:rPr>
            </w:pPr>
            <w:r>
              <w:rPr>
                <w:i/>
                <w:iCs/>
                <w:sz w:val="24"/>
                <w:szCs w:val="24"/>
                <w:lang w:val="nl-NL"/>
              </w:rPr>
              <w:t>2.2</w:t>
            </w:r>
          </w:p>
        </w:tc>
        <w:tc>
          <w:tcPr>
            <w:tcW w:w="2648" w:type="dxa"/>
          </w:tcPr>
          <w:p w14:paraId="302AD4D1" w14:textId="77777777" w:rsidR="00085789" w:rsidRDefault="00000000">
            <w:pPr>
              <w:spacing w:before="40" w:after="40" w:line="240" w:lineRule="auto"/>
              <w:jc w:val="both"/>
              <w:rPr>
                <w:i/>
                <w:iCs/>
                <w:sz w:val="24"/>
                <w:szCs w:val="24"/>
                <w:lang w:val="nl-NL"/>
              </w:rPr>
            </w:pPr>
            <w:r>
              <w:rPr>
                <w:i/>
                <w:iCs/>
                <w:sz w:val="24"/>
                <w:szCs w:val="24"/>
                <w:lang w:val="nl-NL"/>
              </w:rPr>
              <w:t>Đất chuyên dùng</w:t>
            </w:r>
          </w:p>
        </w:tc>
        <w:tc>
          <w:tcPr>
            <w:tcW w:w="1122" w:type="dxa"/>
            <w:vAlign w:val="center"/>
          </w:tcPr>
          <w:p w14:paraId="7633110B" w14:textId="77777777" w:rsidR="00085789" w:rsidRDefault="00000000">
            <w:pPr>
              <w:spacing w:before="40" w:after="40" w:line="240" w:lineRule="auto"/>
              <w:jc w:val="center"/>
              <w:rPr>
                <w:i/>
                <w:iCs/>
                <w:sz w:val="24"/>
                <w:szCs w:val="24"/>
                <w:lang w:val="nl-NL"/>
              </w:rPr>
            </w:pPr>
            <w:r>
              <w:rPr>
                <w:i/>
                <w:iCs/>
                <w:sz w:val="24"/>
                <w:szCs w:val="24"/>
                <w:lang w:val="nl-NL"/>
              </w:rPr>
              <w:t>41.992</w:t>
            </w:r>
          </w:p>
        </w:tc>
        <w:tc>
          <w:tcPr>
            <w:tcW w:w="994" w:type="dxa"/>
            <w:vAlign w:val="center"/>
          </w:tcPr>
          <w:p w14:paraId="2021B8E7" w14:textId="77777777" w:rsidR="00085789" w:rsidRDefault="00000000">
            <w:pPr>
              <w:spacing w:before="40" w:after="40" w:line="240" w:lineRule="auto"/>
              <w:jc w:val="center"/>
              <w:rPr>
                <w:i/>
                <w:iCs/>
                <w:sz w:val="24"/>
                <w:szCs w:val="24"/>
                <w:lang w:val="nl-NL"/>
              </w:rPr>
            </w:pPr>
            <w:r>
              <w:rPr>
                <w:i/>
                <w:iCs/>
                <w:sz w:val="24"/>
                <w:szCs w:val="24"/>
              </w:rPr>
              <w:t>7.01</w:t>
            </w:r>
          </w:p>
        </w:tc>
        <w:tc>
          <w:tcPr>
            <w:tcW w:w="1113" w:type="dxa"/>
            <w:vAlign w:val="center"/>
          </w:tcPr>
          <w:p w14:paraId="48BF2A98" w14:textId="77777777" w:rsidR="00085789" w:rsidRDefault="00000000">
            <w:pPr>
              <w:spacing w:before="40" w:after="40" w:line="240" w:lineRule="auto"/>
              <w:jc w:val="center"/>
              <w:rPr>
                <w:i/>
                <w:iCs/>
                <w:sz w:val="24"/>
                <w:szCs w:val="24"/>
                <w:lang w:val="nl-NL"/>
              </w:rPr>
            </w:pPr>
            <w:r>
              <w:rPr>
                <w:i/>
                <w:iCs/>
                <w:sz w:val="24"/>
                <w:szCs w:val="24"/>
                <w:lang w:val="nl-NL"/>
              </w:rPr>
              <w:t>43.596</w:t>
            </w:r>
          </w:p>
        </w:tc>
        <w:tc>
          <w:tcPr>
            <w:tcW w:w="1108" w:type="dxa"/>
            <w:vAlign w:val="center"/>
          </w:tcPr>
          <w:p w14:paraId="68D1D74B" w14:textId="77777777" w:rsidR="00085789" w:rsidRDefault="00000000">
            <w:pPr>
              <w:spacing w:before="40" w:after="40" w:line="240" w:lineRule="auto"/>
              <w:jc w:val="center"/>
              <w:rPr>
                <w:i/>
                <w:iCs/>
                <w:sz w:val="24"/>
                <w:szCs w:val="24"/>
                <w:lang w:val="nl-NL"/>
              </w:rPr>
            </w:pPr>
            <w:r>
              <w:rPr>
                <w:i/>
                <w:iCs/>
                <w:sz w:val="24"/>
                <w:szCs w:val="24"/>
              </w:rPr>
              <w:t>7.27</w:t>
            </w:r>
          </w:p>
        </w:tc>
        <w:tc>
          <w:tcPr>
            <w:tcW w:w="1621" w:type="dxa"/>
            <w:vAlign w:val="center"/>
          </w:tcPr>
          <w:p w14:paraId="553D3C6D" w14:textId="77777777" w:rsidR="00085789" w:rsidRDefault="00085789">
            <w:pPr>
              <w:spacing w:before="40" w:after="40" w:line="240" w:lineRule="auto"/>
              <w:jc w:val="center"/>
              <w:rPr>
                <w:i/>
                <w:iCs/>
                <w:sz w:val="24"/>
                <w:szCs w:val="24"/>
                <w:lang w:val="nl-NL"/>
              </w:rPr>
            </w:pPr>
          </w:p>
        </w:tc>
      </w:tr>
      <w:tr w:rsidR="00085789" w14:paraId="14AB1307" w14:textId="77777777">
        <w:trPr>
          <w:jc w:val="center"/>
        </w:trPr>
        <w:tc>
          <w:tcPr>
            <w:tcW w:w="608" w:type="dxa"/>
          </w:tcPr>
          <w:p w14:paraId="2F3A330F" w14:textId="77777777" w:rsidR="00085789" w:rsidRDefault="00000000">
            <w:pPr>
              <w:spacing w:before="40" w:after="40" w:line="240" w:lineRule="auto"/>
              <w:ind w:left="-142" w:right="-105"/>
              <w:jc w:val="center"/>
              <w:rPr>
                <w:i/>
                <w:iCs/>
                <w:sz w:val="24"/>
                <w:szCs w:val="24"/>
                <w:lang w:val="nl-NL"/>
              </w:rPr>
            </w:pPr>
            <w:r>
              <w:rPr>
                <w:i/>
                <w:iCs/>
                <w:sz w:val="24"/>
                <w:szCs w:val="24"/>
                <w:lang w:val="nl-NL"/>
              </w:rPr>
              <w:t>2.3</w:t>
            </w:r>
          </w:p>
        </w:tc>
        <w:tc>
          <w:tcPr>
            <w:tcW w:w="2648" w:type="dxa"/>
          </w:tcPr>
          <w:p w14:paraId="66C5A202" w14:textId="77777777" w:rsidR="00085789" w:rsidRDefault="00000000">
            <w:pPr>
              <w:spacing w:before="40" w:after="40" w:line="240" w:lineRule="auto"/>
              <w:jc w:val="both"/>
              <w:rPr>
                <w:i/>
                <w:iCs/>
                <w:sz w:val="24"/>
                <w:szCs w:val="24"/>
                <w:lang w:val="nl-NL"/>
              </w:rPr>
            </w:pPr>
            <w:r>
              <w:rPr>
                <w:i/>
                <w:iCs/>
                <w:sz w:val="24"/>
                <w:szCs w:val="24"/>
                <w:lang w:val="nl-NL"/>
              </w:rPr>
              <w:t>Đất phi nông nghiệp khác</w:t>
            </w:r>
          </w:p>
        </w:tc>
        <w:tc>
          <w:tcPr>
            <w:tcW w:w="1122" w:type="dxa"/>
            <w:vAlign w:val="center"/>
          </w:tcPr>
          <w:p w14:paraId="46E52594" w14:textId="77777777" w:rsidR="00085789" w:rsidRDefault="00000000">
            <w:pPr>
              <w:spacing w:before="40" w:after="40" w:line="240" w:lineRule="auto"/>
              <w:jc w:val="center"/>
              <w:rPr>
                <w:i/>
                <w:iCs/>
                <w:sz w:val="24"/>
                <w:szCs w:val="24"/>
                <w:lang w:val="nl-NL"/>
              </w:rPr>
            </w:pPr>
            <w:r>
              <w:rPr>
                <w:i/>
                <w:iCs/>
                <w:sz w:val="24"/>
                <w:szCs w:val="24"/>
                <w:lang w:val="nl-NL"/>
              </w:rPr>
              <w:t>32.799,5</w:t>
            </w:r>
          </w:p>
        </w:tc>
        <w:tc>
          <w:tcPr>
            <w:tcW w:w="994" w:type="dxa"/>
            <w:vAlign w:val="center"/>
          </w:tcPr>
          <w:p w14:paraId="5FDF8C76" w14:textId="77777777" w:rsidR="00085789" w:rsidRDefault="00000000">
            <w:pPr>
              <w:spacing w:before="40" w:after="40" w:line="240" w:lineRule="auto"/>
              <w:jc w:val="center"/>
              <w:rPr>
                <w:i/>
                <w:iCs/>
                <w:sz w:val="24"/>
                <w:szCs w:val="24"/>
                <w:lang w:val="nl-NL"/>
              </w:rPr>
            </w:pPr>
            <w:r>
              <w:rPr>
                <w:i/>
                <w:iCs/>
                <w:sz w:val="24"/>
                <w:szCs w:val="24"/>
              </w:rPr>
              <w:t>5.47</w:t>
            </w:r>
          </w:p>
        </w:tc>
        <w:tc>
          <w:tcPr>
            <w:tcW w:w="1113" w:type="dxa"/>
            <w:vAlign w:val="center"/>
          </w:tcPr>
          <w:p w14:paraId="1E1C61B6" w14:textId="77777777" w:rsidR="00085789" w:rsidRDefault="00000000">
            <w:pPr>
              <w:spacing w:before="40" w:after="40" w:line="240" w:lineRule="auto"/>
              <w:jc w:val="center"/>
              <w:rPr>
                <w:i/>
                <w:iCs/>
                <w:sz w:val="24"/>
                <w:szCs w:val="24"/>
                <w:lang w:val="nl-NL"/>
              </w:rPr>
            </w:pPr>
            <w:r>
              <w:rPr>
                <w:i/>
                <w:iCs/>
                <w:sz w:val="24"/>
                <w:szCs w:val="24"/>
                <w:lang w:val="nl-NL"/>
              </w:rPr>
              <w:t>32.726</w:t>
            </w:r>
          </w:p>
        </w:tc>
        <w:tc>
          <w:tcPr>
            <w:tcW w:w="1108" w:type="dxa"/>
            <w:vAlign w:val="center"/>
          </w:tcPr>
          <w:p w14:paraId="41DD4A99" w14:textId="77777777" w:rsidR="00085789" w:rsidRDefault="00000000">
            <w:pPr>
              <w:spacing w:before="40" w:after="40" w:line="240" w:lineRule="auto"/>
              <w:jc w:val="center"/>
              <w:rPr>
                <w:i/>
                <w:iCs/>
                <w:sz w:val="24"/>
                <w:szCs w:val="24"/>
                <w:lang w:val="nl-NL"/>
              </w:rPr>
            </w:pPr>
            <w:r>
              <w:rPr>
                <w:i/>
                <w:iCs/>
                <w:sz w:val="24"/>
                <w:szCs w:val="24"/>
              </w:rPr>
              <w:t>5.46</w:t>
            </w:r>
          </w:p>
        </w:tc>
        <w:tc>
          <w:tcPr>
            <w:tcW w:w="1621" w:type="dxa"/>
            <w:vAlign w:val="center"/>
          </w:tcPr>
          <w:p w14:paraId="6183B45C" w14:textId="77777777" w:rsidR="00085789" w:rsidRDefault="00085789">
            <w:pPr>
              <w:spacing w:before="40" w:after="40" w:line="240" w:lineRule="auto"/>
              <w:jc w:val="center"/>
              <w:rPr>
                <w:i/>
                <w:iCs/>
                <w:sz w:val="24"/>
                <w:szCs w:val="24"/>
                <w:lang w:val="nl-NL"/>
              </w:rPr>
            </w:pPr>
          </w:p>
        </w:tc>
      </w:tr>
      <w:tr w:rsidR="00085789" w14:paraId="621DE01F" w14:textId="77777777">
        <w:trPr>
          <w:jc w:val="center"/>
        </w:trPr>
        <w:tc>
          <w:tcPr>
            <w:tcW w:w="608" w:type="dxa"/>
          </w:tcPr>
          <w:p w14:paraId="0205B2B6" w14:textId="77777777" w:rsidR="00085789" w:rsidRDefault="00000000">
            <w:pPr>
              <w:spacing w:before="40" w:after="40" w:line="240" w:lineRule="auto"/>
              <w:ind w:left="-142" w:right="-105"/>
              <w:jc w:val="center"/>
              <w:rPr>
                <w:sz w:val="24"/>
                <w:szCs w:val="24"/>
                <w:lang w:val="nl-NL"/>
              </w:rPr>
            </w:pPr>
            <w:r>
              <w:rPr>
                <w:sz w:val="24"/>
                <w:szCs w:val="24"/>
                <w:lang w:val="nl-NL"/>
              </w:rPr>
              <w:t>3</w:t>
            </w:r>
          </w:p>
        </w:tc>
        <w:tc>
          <w:tcPr>
            <w:tcW w:w="2648" w:type="dxa"/>
          </w:tcPr>
          <w:p w14:paraId="2FA5A851" w14:textId="77777777" w:rsidR="00085789" w:rsidRDefault="00000000">
            <w:pPr>
              <w:spacing w:before="40" w:after="40" w:line="240" w:lineRule="auto"/>
              <w:jc w:val="both"/>
              <w:rPr>
                <w:sz w:val="24"/>
                <w:szCs w:val="24"/>
                <w:lang w:val="nl-NL"/>
              </w:rPr>
            </w:pPr>
            <w:r>
              <w:rPr>
                <w:sz w:val="24"/>
                <w:szCs w:val="24"/>
                <w:lang w:val="nl-NL"/>
              </w:rPr>
              <w:t>Đất chưa sử dụng</w:t>
            </w:r>
          </w:p>
        </w:tc>
        <w:tc>
          <w:tcPr>
            <w:tcW w:w="1122" w:type="dxa"/>
            <w:vAlign w:val="center"/>
          </w:tcPr>
          <w:p w14:paraId="0136E7C0" w14:textId="77777777" w:rsidR="00085789" w:rsidRDefault="00000000">
            <w:pPr>
              <w:spacing w:before="40" w:after="40" w:line="240" w:lineRule="auto"/>
              <w:jc w:val="center"/>
              <w:rPr>
                <w:sz w:val="24"/>
                <w:szCs w:val="24"/>
                <w:lang w:val="nl-NL"/>
              </w:rPr>
            </w:pPr>
            <w:r>
              <w:rPr>
                <w:sz w:val="24"/>
                <w:szCs w:val="24"/>
                <w:lang w:val="nl-NL"/>
              </w:rPr>
              <w:t>12.454,5</w:t>
            </w:r>
          </w:p>
        </w:tc>
        <w:tc>
          <w:tcPr>
            <w:tcW w:w="994" w:type="dxa"/>
            <w:vAlign w:val="center"/>
          </w:tcPr>
          <w:p w14:paraId="32655D55" w14:textId="77777777" w:rsidR="00085789" w:rsidRDefault="00000000">
            <w:pPr>
              <w:spacing w:before="40" w:after="40" w:line="240" w:lineRule="auto"/>
              <w:jc w:val="center"/>
              <w:rPr>
                <w:sz w:val="24"/>
                <w:szCs w:val="24"/>
                <w:lang w:val="nl-NL"/>
              </w:rPr>
            </w:pPr>
            <w:r>
              <w:rPr>
                <w:sz w:val="24"/>
                <w:szCs w:val="24"/>
              </w:rPr>
              <w:t>2.08</w:t>
            </w:r>
          </w:p>
        </w:tc>
        <w:tc>
          <w:tcPr>
            <w:tcW w:w="1113" w:type="dxa"/>
            <w:vAlign w:val="center"/>
          </w:tcPr>
          <w:p w14:paraId="75BA62A3" w14:textId="77777777" w:rsidR="00085789" w:rsidRDefault="00000000">
            <w:pPr>
              <w:spacing w:before="40" w:after="40" w:line="240" w:lineRule="auto"/>
              <w:jc w:val="center"/>
              <w:rPr>
                <w:sz w:val="24"/>
                <w:szCs w:val="24"/>
                <w:lang w:val="nl-NL"/>
              </w:rPr>
            </w:pPr>
            <w:r>
              <w:rPr>
                <w:sz w:val="24"/>
                <w:szCs w:val="24"/>
                <w:lang w:val="nl-NL"/>
              </w:rPr>
              <w:t>12.357</w:t>
            </w:r>
          </w:p>
        </w:tc>
        <w:tc>
          <w:tcPr>
            <w:tcW w:w="1108" w:type="dxa"/>
            <w:vAlign w:val="center"/>
          </w:tcPr>
          <w:p w14:paraId="0A670DFA" w14:textId="77777777" w:rsidR="00085789" w:rsidRDefault="00000000">
            <w:pPr>
              <w:spacing w:before="40" w:after="40" w:line="240" w:lineRule="auto"/>
              <w:jc w:val="center"/>
              <w:rPr>
                <w:sz w:val="24"/>
                <w:szCs w:val="24"/>
                <w:lang w:val="nl-NL"/>
              </w:rPr>
            </w:pPr>
            <w:r>
              <w:rPr>
                <w:sz w:val="24"/>
                <w:szCs w:val="24"/>
              </w:rPr>
              <w:t>2.06</w:t>
            </w:r>
          </w:p>
        </w:tc>
        <w:tc>
          <w:tcPr>
            <w:tcW w:w="1621" w:type="dxa"/>
            <w:vAlign w:val="center"/>
          </w:tcPr>
          <w:p w14:paraId="2E8FEA57" w14:textId="77777777" w:rsidR="00085789" w:rsidRDefault="00000000">
            <w:pPr>
              <w:spacing w:before="40" w:after="40" w:line="240" w:lineRule="auto"/>
              <w:jc w:val="center"/>
              <w:rPr>
                <w:sz w:val="24"/>
                <w:szCs w:val="24"/>
                <w:lang w:val="nl-NL"/>
              </w:rPr>
            </w:pPr>
            <w:r>
              <w:rPr>
                <w:sz w:val="24"/>
                <w:szCs w:val="24"/>
                <w:lang w:val="nl-NL"/>
              </w:rPr>
              <w:t>Giảm 0,78%</w:t>
            </w:r>
          </w:p>
        </w:tc>
      </w:tr>
      <w:tr w:rsidR="00085789" w14:paraId="49D94F4B" w14:textId="77777777">
        <w:trPr>
          <w:jc w:val="center"/>
        </w:trPr>
        <w:tc>
          <w:tcPr>
            <w:tcW w:w="3256" w:type="dxa"/>
            <w:gridSpan w:val="2"/>
          </w:tcPr>
          <w:p w14:paraId="2F2C0145" w14:textId="77777777" w:rsidR="00085789" w:rsidRDefault="00000000">
            <w:pPr>
              <w:spacing w:before="40" w:after="40" w:line="240" w:lineRule="auto"/>
              <w:jc w:val="center"/>
              <w:rPr>
                <w:b/>
                <w:bCs/>
                <w:sz w:val="24"/>
                <w:szCs w:val="24"/>
                <w:lang w:val="nl-NL"/>
              </w:rPr>
            </w:pPr>
            <w:r>
              <w:rPr>
                <w:b/>
                <w:bCs/>
                <w:sz w:val="24"/>
                <w:szCs w:val="24"/>
                <w:lang w:val="nl-NL"/>
              </w:rPr>
              <w:t>TỔNG</w:t>
            </w:r>
          </w:p>
        </w:tc>
        <w:tc>
          <w:tcPr>
            <w:tcW w:w="1122" w:type="dxa"/>
            <w:vAlign w:val="center"/>
          </w:tcPr>
          <w:p w14:paraId="46397F25" w14:textId="77777777" w:rsidR="00085789" w:rsidRDefault="00000000">
            <w:pPr>
              <w:spacing w:before="40" w:after="40" w:line="240" w:lineRule="auto"/>
              <w:jc w:val="center"/>
              <w:rPr>
                <w:b/>
                <w:bCs/>
                <w:sz w:val="24"/>
                <w:szCs w:val="24"/>
                <w:lang w:val="nl-NL"/>
              </w:rPr>
            </w:pPr>
            <w:r>
              <w:rPr>
                <w:b/>
                <w:bCs/>
                <w:sz w:val="24"/>
                <w:szCs w:val="24"/>
                <w:lang w:val="nl-NL"/>
              </w:rPr>
              <w:t>599.445</w:t>
            </w:r>
          </w:p>
        </w:tc>
        <w:tc>
          <w:tcPr>
            <w:tcW w:w="994" w:type="dxa"/>
            <w:vAlign w:val="center"/>
          </w:tcPr>
          <w:p w14:paraId="26CF886F" w14:textId="77777777" w:rsidR="00085789" w:rsidRDefault="00000000">
            <w:pPr>
              <w:spacing w:before="40" w:after="40" w:line="240" w:lineRule="auto"/>
              <w:jc w:val="center"/>
              <w:rPr>
                <w:b/>
                <w:bCs/>
                <w:sz w:val="24"/>
                <w:szCs w:val="24"/>
                <w:lang w:val="nl-NL"/>
              </w:rPr>
            </w:pPr>
            <w:r>
              <w:rPr>
                <w:b/>
                <w:bCs/>
                <w:sz w:val="24"/>
                <w:szCs w:val="24"/>
                <w:lang w:val="nl-NL"/>
              </w:rPr>
              <w:t>100</w:t>
            </w:r>
          </w:p>
        </w:tc>
        <w:tc>
          <w:tcPr>
            <w:tcW w:w="1113" w:type="dxa"/>
            <w:vAlign w:val="center"/>
          </w:tcPr>
          <w:p w14:paraId="02B1C393" w14:textId="77777777" w:rsidR="00085789" w:rsidRDefault="00000000">
            <w:pPr>
              <w:spacing w:before="40" w:after="40" w:line="240" w:lineRule="auto"/>
              <w:jc w:val="center"/>
              <w:rPr>
                <w:b/>
                <w:bCs/>
                <w:sz w:val="24"/>
                <w:szCs w:val="24"/>
                <w:lang w:val="nl-NL"/>
              </w:rPr>
            </w:pPr>
            <w:r>
              <w:rPr>
                <w:b/>
                <w:bCs/>
                <w:sz w:val="24"/>
                <w:szCs w:val="24"/>
                <w:lang w:val="nl-NL"/>
              </w:rPr>
              <w:t>599.445</w:t>
            </w:r>
          </w:p>
        </w:tc>
        <w:tc>
          <w:tcPr>
            <w:tcW w:w="1108" w:type="dxa"/>
            <w:vAlign w:val="center"/>
          </w:tcPr>
          <w:p w14:paraId="78A8892F" w14:textId="77777777" w:rsidR="00085789" w:rsidRDefault="00000000">
            <w:pPr>
              <w:spacing w:before="40" w:after="40" w:line="240" w:lineRule="auto"/>
              <w:jc w:val="center"/>
              <w:rPr>
                <w:b/>
                <w:bCs/>
                <w:sz w:val="24"/>
                <w:szCs w:val="24"/>
                <w:lang w:val="nl-NL"/>
              </w:rPr>
            </w:pPr>
            <w:r>
              <w:rPr>
                <w:b/>
                <w:bCs/>
                <w:sz w:val="24"/>
                <w:szCs w:val="24"/>
                <w:lang w:val="nl-NL"/>
              </w:rPr>
              <w:t>100</w:t>
            </w:r>
          </w:p>
        </w:tc>
        <w:tc>
          <w:tcPr>
            <w:tcW w:w="1621" w:type="dxa"/>
            <w:vAlign w:val="center"/>
          </w:tcPr>
          <w:p w14:paraId="74A3C569" w14:textId="77777777" w:rsidR="00085789" w:rsidRDefault="00085789">
            <w:pPr>
              <w:spacing w:before="40" w:after="40" w:line="240" w:lineRule="auto"/>
              <w:jc w:val="center"/>
              <w:rPr>
                <w:b/>
                <w:bCs/>
                <w:sz w:val="24"/>
                <w:szCs w:val="24"/>
                <w:lang w:val="nl-NL"/>
              </w:rPr>
            </w:pPr>
          </w:p>
        </w:tc>
      </w:tr>
    </w:tbl>
    <w:p w14:paraId="30C3DDB8" w14:textId="77777777" w:rsidR="00085789" w:rsidRDefault="00000000">
      <w:pPr>
        <w:widowControl w:val="0"/>
        <w:spacing w:before="120" w:line="240" w:lineRule="auto"/>
        <w:ind w:firstLine="720"/>
        <w:jc w:val="both"/>
        <w:rPr>
          <w:sz w:val="26"/>
          <w:szCs w:val="26"/>
          <w:lang w:val="nl-NL"/>
        </w:rPr>
      </w:pPr>
      <w:r>
        <w:rPr>
          <w:sz w:val="26"/>
          <w:szCs w:val="26"/>
          <w:lang w:val="nl-NL"/>
        </w:rPr>
        <w:t xml:space="preserve">Trong đó, đất nông nghiệp vẫn chiếm phần lớn với tổng điện tích đạt 496.581 ha (82,84 %). Đất nông nghiệp chủ yếu được sử dụng cho 02 mục đích chính là đất sản xuất nông nghiệp và đất lâm nghiệp. Đất phi nông nghiệp chỉ chiếm 90.507 ha (15,10 </w:t>
      </w:r>
      <w:r>
        <w:rPr>
          <w:sz w:val="26"/>
          <w:szCs w:val="26"/>
          <w:lang w:val="nl-NL"/>
        </w:rPr>
        <w:lastRenderedPageBreak/>
        <w:t>%) trong đó nhiều nhất là đất chuyên dùng và đất phi nông nghiệp khác. Đất chưa sử dụng còn 12.357 ha (2,06 %), trong đó hầu hết là đất bằng chưa sử dụng.</w:t>
      </w:r>
    </w:p>
    <w:p w14:paraId="651D9DC7" w14:textId="77777777" w:rsidR="00085789" w:rsidRDefault="00000000">
      <w:pPr>
        <w:widowControl w:val="0"/>
        <w:spacing w:before="120" w:line="240" w:lineRule="auto"/>
        <w:ind w:firstLine="709"/>
        <w:jc w:val="both"/>
        <w:rPr>
          <w:b/>
          <w:bCs/>
          <w:i/>
          <w:iCs/>
          <w:sz w:val="26"/>
          <w:szCs w:val="26"/>
          <w:lang w:val="nl-NL"/>
        </w:rPr>
      </w:pPr>
      <w:r>
        <w:rPr>
          <w:b/>
          <w:bCs/>
          <w:i/>
          <w:iCs/>
          <w:spacing w:val="-4"/>
          <w:sz w:val="26"/>
          <w:szCs w:val="26"/>
          <w:lang w:val="nl-NL"/>
        </w:rPr>
        <w:t>b) Vấn đề về chuyển đổi mục đích sử dụng đất và sức ép lên môi trường:</w:t>
      </w:r>
    </w:p>
    <w:p w14:paraId="3C3AD580" w14:textId="18E865B0" w:rsidR="00085789" w:rsidRDefault="00000000">
      <w:pPr>
        <w:widowControl w:val="0"/>
        <w:spacing w:before="120" w:line="240" w:lineRule="auto"/>
        <w:ind w:firstLine="720"/>
        <w:jc w:val="both"/>
        <w:rPr>
          <w:sz w:val="26"/>
          <w:szCs w:val="26"/>
          <w:lang w:val="nl-NL"/>
        </w:rPr>
      </w:pPr>
      <w:r>
        <w:rPr>
          <w:sz w:val="26"/>
          <w:szCs w:val="26"/>
          <w:lang w:val="nl-NL"/>
        </w:rPr>
        <w:t>Như đã phân tích ở trên, việc phát triển KT-XH sẽ thay đổi cơ cấu sử dụng đất thường xuyên tại các địa phương trên địa bàn tỉnh. Căn cứ theo diễn biến chuyển đổi sử dụng đất nêu trên, đất nông nghiệp từ 138.771 ha năm 2020 giảm xuống còn 129.100 ha năm 2024, mức giảm 1,61 %; đấp lâm nghiệp từ 352.220 ha năm 2020 giảm xuống còn 338.061 ha năm 2024, mức giảm 2,36 %</w:t>
      </w:r>
      <w:r w:rsidR="007D238A">
        <w:rPr>
          <w:sz w:val="26"/>
          <w:szCs w:val="26"/>
          <w:lang w:val="nl-NL"/>
        </w:rPr>
        <w:t>,</w:t>
      </w:r>
      <w:r>
        <w:rPr>
          <w:sz w:val="26"/>
          <w:szCs w:val="26"/>
          <w:lang w:val="nl-NL"/>
        </w:rPr>
        <w:t xml:space="preserve">.... Nguyên nhân của việc giảm diện tích sử dụng đất là do việc phát triển KT-XH trên địa bàn tỉnh ngày càng mạnh, nhu cầu về hạ tầng, công trình ngày càng mở rộng (ví dụ như: Xây dựng đường cao tốc Bắc- Nam, đường sắt cao tốc Bắc - Nam,...). Diễn biến chuyển đổi mục đích sử dụng đất diễn ra là điều tất yếu của hoạt động phát triển KT-XH, không chỉ trên địa bàn tỉnh Hà Tĩnh mà còn ở tất cả các địa phương khác trên cả nước, điều đó đặt ra cho các địa phương phải có các quy hoạch tổng thể phát triển của từng tỉnh. Việc chuyển đổi mục đích sử dụng đất, đặc biệt trong trường hợp quản lý quy hoạch không chặt chẽ, có thể gây ra sức ép đến môi trường như: Giảm diện tích rừng để quy hoạch đường giao thông, điểm du lịch, hoặc các công trình khác có thể làm mất ĐDSH, suy thoái môi trường đất, gia tăng nguy cơ gây ngập lụt và xói mòn đất. </w:t>
      </w:r>
    </w:p>
    <w:p w14:paraId="381D7328" w14:textId="77777777" w:rsidR="00085789" w:rsidRDefault="00000000">
      <w:pPr>
        <w:pStyle w:val="bac2"/>
        <w:spacing w:before="120" w:after="0" w:line="240" w:lineRule="auto"/>
        <w:rPr>
          <w:smallCaps/>
          <w:lang w:val="nl-NL"/>
        </w:rPr>
      </w:pPr>
      <w:bookmarkStart w:id="931" w:name="_Toc214311261"/>
      <w:r>
        <w:rPr>
          <w:lang w:val="nl-NL"/>
        </w:rPr>
        <w:t>5.1.3. Khái quát, đánh giá về công tác cải tạo, phục hồi môi trường đất</w:t>
      </w:r>
      <w:bookmarkEnd w:id="931"/>
    </w:p>
    <w:p w14:paraId="5CD78F56" w14:textId="77777777" w:rsidR="00085789" w:rsidRDefault="00000000">
      <w:pPr>
        <w:widowControl w:val="0"/>
        <w:spacing w:before="120" w:line="240" w:lineRule="auto"/>
        <w:ind w:firstLine="720"/>
        <w:jc w:val="both"/>
        <w:rPr>
          <w:sz w:val="26"/>
          <w:szCs w:val="26"/>
          <w:lang w:val="nl-NL"/>
        </w:rPr>
      </w:pPr>
      <w:r>
        <w:rPr>
          <w:sz w:val="26"/>
          <w:szCs w:val="26"/>
          <w:lang w:val="nl-NL"/>
        </w:rPr>
        <w:t>Năm 2010, Thủ tướng Chính phủ phê duyệt kế hoạch xử lý, phòng ngừa ô nhiễm môi trường do hóa chất BVTV tồn lưu trên phạm vi cả nước</w:t>
      </w:r>
      <w:r>
        <w:rPr>
          <w:rStyle w:val="FootnoteReference"/>
          <w:sz w:val="26"/>
          <w:szCs w:val="26"/>
          <w:lang w:val="nl-NL"/>
        </w:rPr>
        <w:footnoteReference w:id="41"/>
      </w:r>
      <w:r>
        <w:rPr>
          <w:sz w:val="26"/>
          <w:szCs w:val="26"/>
          <w:lang w:val="nl-NL"/>
        </w:rPr>
        <w:t xml:space="preserve">, trong đó địa bàn tỉnh Hà Tĩnh có 11 điểm tồn lưu hóa chất bảo vệ thực vật gây ô nhiễm nghiêm trọng và đặc biệt nghiêm trọng cần phải xử lý. UBND tỉnh đã chỉ đạo Sở Nông nghiệp và Môi trường phối hợp với các Sở, ngành, địa phương triển khai thực hiện, đến nay 06/11 điểm tồn lưu đã được xử lý. Năm 2015, qua điều tra tổng thể hiện trạng tồn lưu hoá chất BVTV, đã phát hiện bổ sung thêm 18 điểm ô nhiễm không thuộc Quyết định 1946/QĐ-TTg ngày 21/10/2010 của Thủ tướng Chính phủ. Sở Tài nguyên và Môi trường (nay là Sở Nông nghiệp và Môi trường) đã đề xuất Bộ Tài nguyên và Môi trường bổ sung vào danh mục để ưu tiên xử lý giai đoạn 2022-2025, </w:t>
      </w:r>
      <w:r>
        <w:rPr>
          <w:bCs/>
          <w:sz w:val="26"/>
          <w:szCs w:val="26"/>
          <w:lang w:val="pt-BR"/>
        </w:rPr>
        <w:t>nhưng đến nay chưa được bố trí kinh phí để xử lý.</w:t>
      </w:r>
    </w:p>
    <w:p w14:paraId="54A2ACDC" w14:textId="27027B63" w:rsidR="00085789" w:rsidRDefault="00000000">
      <w:pPr>
        <w:spacing w:before="60" w:line="240" w:lineRule="auto"/>
        <w:ind w:firstLine="720"/>
        <w:jc w:val="both"/>
        <w:rPr>
          <w:bCs/>
          <w:sz w:val="26"/>
          <w:szCs w:val="26"/>
          <w:lang w:val="pt-BR"/>
        </w:rPr>
      </w:pPr>
      <w:r>
        <w:rPr>
          <w:bCs/>
          <w:sz w:val="26"/>
          <w:szCs w:val="26"/>
          <w:lang w:val="pt-BR"/>
        </w:rPr>
        <w:t>Hiện nay, Sở Nông nghiệp và Môi trường đang rà soát để thực hiện Điều tra, đánh giá, xác định và khoanh vùng các khu vực có nguy cơ ô nhiễm môi trường đất, khu vực ô nhiễm môi trường đất trên địa bàn tỉnh (hoàn thành trong năm 2026).</w:t>
      </w:r>
    </w:p>
    <w:p w14:paraId="7FCE4CDC" w14:textId="77777777" w:rsidR="00085789" w:rsidRDefault="00000000">
      <w:pPr>
        <w:pStyle w:val="-bac4"/>
        <w:rPr>
          <w:lang w:val="nl-NL"/>
        </w:rPr>
      </w:pPr>
      <w:bookmarkStart w:id="932" w:name="_Toc205915835"/>
      <w:bookmarkStart w:id="933" w:name="_Toc213597526"/>
      <w:bookmarkStart w:id="934" w:name="_Toc213600857"/>
      <w:r>
        <w:rPr>
          <w:lang w:val="nl-NL"/>
        </w:rPr>
        <w:t>Bảng 5.2. Danh sách các điểm tồn lưu hóa chất bảo vệ thực vật đã được xử lý</w:t>
      </w:r>
      <w:bookmarkEnd w:id="932"/>
      <w:bookmarkEnd w:id="933"/>
      <w:bookmarkEnd w:id="934"/>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85"/>
        <w:gridCol w:w="2671"/>
        <w:gridCol w:w="1456"/>
        <w:gridCol w:w="2005"/>
        <w:gridCol w:w="2492"/>
      </w:tblGrid>
      <w:tr w:rsidR="00085789" w14:paraId="58BEBD2C" w14:textId="77777777">
        <w:trPr>
          <w:trHeight w:val="274"/>
          <w:tblHeader/>
        </w:trPr>
        <w:tc>
          <w:tcPr>
            <w:tcW w:w="585" w:type="dxa"/>
            <w:vAlign w:val="center"/>
          </w:tcPr>
          <w:p w14:paraId="28678511" w14:textId="77777777" w:rsidR="00085789" w:rsidRDefault="00000000">
            <w:pPr>
              <w:pStyle w:val="TableParagraph"/>
              <w:spacing w:before="40" w:after="40"/>
              <w:ind w:left="13" w:right="-22"/>
              <w:jc w:val="center"/>
              <w:rPr>
                <w:b/>
                <w:sz w:val="24"/>
                <w:szCs w:val="24"/>
              </w:rPr>
            </w:pPr>
            <w:r>
              <w:rPr>
                <w:b/>
                <w:sz w:val="24"/>
                <w:szCs w:val="24"/>
              </w:rPr>
              <w:t>STT</w:t>
            </w:r>
          </w:p>
        </w:tc>
        <w:tc>
          <w:tcPr>
            <w:tcW w:w="2671" w:type="dxa"/>
            <w:vAlign w:val="center"/>
          </w:tcPr>
          <w:p w14:paraId="26689B71" w14:textId="77777777" w:rsidR="00085789" w:rsidRDefault="00000000">
            <w:pPr>
              <w:pStyle w:val="TableParagraph"/>
              <w:tabs>
                <w:tab w:val="left" w:pos="1684"/>
              </w:tabs>
              <w:spacing w:before="40" w:after="40"/>
              <w:ind w:left="66" w:right="62"/>
              <w:jc w:val="center"/>
              <w:rPr>
                <w:sz w:val="24"/>
                <w:szCs w:val="24"/>
              </w:rPr>
            </w:pPr>
            <w:r>
              <w:rPr>
                <w:b/>
                <w:sz w:val="24"/>
                <w:szCs w:val="24"/>
              </w:rPr>
              <w:t>Tên</w:t>
            </w:r>
            <w:r>
              <w:rPr>
                <w:b/>
                <w:spacing w:val="-1"/>
                <w:sz w:val="24"/>
                <w:szCs w:val="24"/>
              </w:rPr>
              <w:t xml:space="preserve"> </w:t>
            </w:r>
            <w:r>
              <w:rPr>
                <w:b/>
                <w:sz w:val="24"/>
                <w:szCs w:val="24"/>
              </w:rPr>
              <w:t xml:space="preserve">điểm </w:t>
            </w:r>
          </w:p>
        </w:tc>
        <w:tc>
          <w:tcPr>
            <w:tcW w:w="1456" w:type="dxa"/>
            <w:vAlign w:val="center"/>
          </w:tcPr>
          <w:p w14:paraId="162015B8" w14:textId="77777777" w:rsidR="00085789" w:rsidRDefault="00000000">
            <w:pPr>
              <w:pStyle w:val="TableParagraph"/>
              <w:spacing w:before="40" w:after="40"/>
              <w:ind w:left="66" w:right="62" w:hanging="1"/>
              <w:jc w:val="center"/>
              <w:rPr>
                <w:b/>
                <w:sz w:val="24"/>
                <w:szCs w:val="24"/>
              </w:rPr>
            </w:pPr>
            <w:r>
              <w:rPr>
                <w:b/>
                <w:sz w:val="24"/>
                <w:szCs w:val="24"/>
              </w:rPr>
              <w:t>Khối lượng đất ô nhiễm đã được xử lý (m</w:t>
            </w:r>
            <w:r>
              <w:rPr>
                <w:b/>
                <w:sz w:val="24"/>
                <w:szCs w:val="24"/>
                <w:vertAlign w:val="superscript"/>
              </w:rPr>
              <w:t>3</w:t>
            </w:r>
            <w:r>
              <w:rPr>
                <w:b/>
                <w:sz w:val="24"/>
                <w:szCs w:val="24"/>
              </w:rPr>
              <w:t>)</w:t>
            </w:r>
          </w:p>
        </w:tc>
        <w:tc>
          <w:tcPr>
            <w:tcW w:w="2005" w:type="dxa"/>
            <w:vAlign w:val="center"/>
          </w:tcPr>
          <w:p w14:paraId="67EDFB40" w14:textId="77777777" w:rsidR="00085789" w:rsidRDefault="00000000">
            <w:pPr>
              <w:pStyle w:val="TableParagraph"/>
              <w:spacing w:before="40" w:after="40"/>
              <w:ind w:left="66" w:right="62"/>
              <w:jc w:val="center"/>
              <w:rPr>
                <w:i/>
                <w:sz w:val="24"/>
                <w:szCs w:val="24"/>
              </w:rPr>
            </w:pPr>
            <w:r>
              <w:rPr>
                <w:b/>
                <w:sz w:val="24"/>
                <w:szCs w:val="24"/>
              </w:rPr>
              <w:t xml:space="preserve">Số lượng dân cư không còn bị ảnh hưởng bởi ô nhiễm </w:t>
            </w:r>
            <w:r>
              <w:rPr>
                <w:b/>
                <w:bCs/>
                <w:iCs/>
                <w:sz w:val="24"/>
                <w:szCs w:val="24"/>
              </w:rPr>
              <w:t>(Người)</w:t>
            </w:r>
          </w:p>
        </w:tc>
        <w:tc>
          <w:tcPr>
            <w:tcW w:w="2492" w:type="dxa"/>
            <w:vAlign w:val="center"/>
          </w:tcPr>
          <w:p w14:paraId="2FCCA410" w14:textId="77777777" w:rsidR="00085789" w:rsidRDefault="00000000">
            <w:pPr>
              <w:pStyle w:val="TableParagraph"/>
              <w:spacing w:before="40" w:after="40"/>
              <w:ind w:left="66" w:right="62" w:hanging="2"/>
              <w:jc w:val="center"/>
              <w:rPr>
                <w:b/>
                <w:sz w:val="24"/>
                <w:szCs w:val="24"/>
              </w:rPr>
            </w:pPr>
            <w:r>
              <w:rPr>
                <w:b/>
                <w:sz w:val="24"/>
                <w:szCs w:val="24"/>
              </w:rPr>
              <w:t xml:space="preserve">Hiệu quả giảm thiểu ô nhiễm/tác động đến các thành phần môi trường </w:t>
            </w:r>
          </w:p>
        </w:tc>
      </w:tr>
      <w:tr w:rsidR="00085789" w14:paraId="2FDF3538" w14:textId="77777777">
        <w:trPr>
          <w:trHeight w:val="189"/>
        </w:trPr>
        <w:tc>
          <w:tcPr>
            <w:tcW w:w="585" w:type="dxa"/>
            <w:vAlign w:val="center"/>
          </w:tcPr>
          <w:p w14:paraId="286C2624" w14:textId="77777777" w:rsidR="00085789" w:rsidRDefault="00000000">
            <w:pPr>
              <w:pStyle w:val="TableParagraph"/>
              <w:spacing w:before="40" w:after="40"/>
              <w:ind w:left="66" w:right="62"/>
              <w:jc w:val="center"/>
              <w:rPr>
                <w:sz w:val="24"/>
                <w:szCs w:val="24"/>
              </w:rPr>
            </w:pPr>
            <w:r>
              <w:rPr>
                <w:sz w:val="24"/>
                <w:szCs w:val="24"/>
              </w:rPr>
              <w:t>1</w:t>
            </w:r>
          </w:p>
        </w:tc>
        <w:tc>
          <w:tcPr>
            <w:tcW w:w="2671" w:type="dxa"/>
            <w:vAlign w:val="center"/>
          </w:tcPr>
          <w:p w14:paraId="57FFEECB" w14:textId="77777777" w:rsidR="00085789" w:rsidRDefault="00000000">
            <w:pPr>
              <w:pStyle w:val="TableParagraph"/>
              <w:spacing w:before="40" w:after="40"/>
              <w:ind w:left="66" w:right="62"/>
              <w:jc w:val="both"/>
              <w:rPr>
                <w:sz w:val="24"/>
                <w:szCs w:val="24"/>
              </w:rPr>
            </w:pPr>
            <w:r>
              <w:rPr>
                <w:sz w:val="24"/>
                <w:szCs w:val="24"/>
              </w:rPr>
              <w:t>Trường tiểu học Khánh Lộc, xã Khánh Lộc (nay là xã Gia Hanh)</w:t>
            </w:r>
          </w:p>
        </w:tc>
        <w:tc>
          <w:tcPr>
            <w:tcW w:w="1456" w:type="dxa"/>
            <w:vAlign w:val="center"/>
          </w:tcPr>
          <w:p w14:paraId="1078D909" w14:textId="77777777" w:rsidR="00085789" w:rsidRDefault="00000000">
            <w:pPr>
              <w:pStyle w:val="TableParagraph"/>
              <w:spacing w:before="40" w:after="40"/>
              <w:ind w:left="66" w:right="62"/>
              <w:jc w:val="center"/>
              <w:rPr>
                <w:sz w:val="24"/>
                <w:szCs w:val="24"/>
              </w:rPr>
            </w:pPr>
            <w:r>
              <w:rPr>
                <w:sz w:val="24"/>
                <w:szCs w:val="24"/>
              </w:rPr>
              <w:t>1.370</w:t>
            </w:r>
          </w:p>
        </w:tc>
        <w:tc>
          <w:tcPr>
            <w:tcW w:w="2005" w:type="dxa"/>
            <w:vAlign w:val="center"/>
          </w:tcPr>
          <w:p w14:paraId="072AE858" w14:textId="77777777" w:rsidR="00085789" w:rsidRDefault="00000000">
            <w:pPr>
              <w:pStyle w:val="TableParagraph"/>
              <w:spacing w:before="40" w:after="40"/>
              <w:ind w:left="66" w:right="62"/>
              <w:jc w:val="center"/>
              <w:rPr>
                <w:sz w:val="24"/>
                <w:szCs w:val="24"/>
              </w:rPr>
            </w:pPr>
            <w:r>
              <w:rPr>
                <w:sz w:val="24"/>
                <w:szCs w:val="24"/>
              </w:rPr>
              <w:t>500</w:t>
            </w:r>
          </w:p>
        </w:tc>
        <w:tc>
          <w:tcPr>
            <w:tcW w:w="2492" w:type="dxa"/>
            <w:vAlign w:val="center"/>
          </w:tcPr>
          <w:p w14:paraId="142022AE" w14:textId="77777777" w:rsidR="00085789" w:rsidRDefault="00000000">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1E445C0E" w14:textId="77777777">
        <w:trPr>
          <w:trHeight w:val="63"/>
        </w:trPr>
        <w:tc>
          <w:tcPr>
            <w:tcW w:w="585" w:type="dxa"/>
            <w:vAlign w:val="center"/>
          </w:tcPr>
          <w:p w14:paraId="21096E2D" w14:textId="77777777" w:rsidR="00085789" w:rsidRDefault="00000000">
            <w:pPr>
              <w:pStyle w:val="TableParagraph"/>
              <w:spacing w:before="40" w:after="40"/>
              <w:ind w:left="66" w:right="62"/>
              <w:jc w:val="center"/>
              <w:rPr>
                <w:sz w:val="24"/>
                <w:szCs w:val="24"/>
              </w:rPr>
            </w:pPr>
            <w:r>
              <w:rPr>
                <w:sz w:val="24"/>
                <w:szCs w:val="24"/>
              </w:rPr>
              <w:t>2</w:t>
            </w:r>
          </w:p>
        </w:tc>
        <w:tc>
          <w:tcPr>
            <w:tcW w:w="2671" w:type="dxa"/>
            <w:vAlign w:val="center"/>
          </w:tcPr>
          <w:p w14:paraId="01D47D1B" w14:textId="77777777" w:rsidR="00085789" w:rsidRDefault="00000000">
            <w:pPr>
              <w:pStyle w:val="TableParagraph"/>
              <w:spacing w:before="40" w:after="40"/>
              <w:ind w:left="66" w:right="62"/>
              <w:jc w:val="both"/>
              <w:rPr>
                <w:sz w:val="24"/>
                <w:szCs w:val="24"/>
              </w:rPr>
            </w:pPr>
            <w:r>
              <w:rPr>
                <w:sz w:val="24"/>
                <w:szCs w:val="24"/>
              </w:rPr>
              <w:t xml:space="preserve">Tiểu khu 4 xã Hưng Thịnh, Thị trấn Kỳ Anh </w:t>
            </w:r>
            <w:r>
              <w:rPr>
                <w:sz w:val="24"/>
                <w:szCs w:val="24"/>
              </w:rPr>
              <w:lastRenderedPageBreak/>
              <w:t>(nay là phường Sông Trí)</w:t>
            </w:r>
          </w:p>
        </w:tc>
        <w:tc>
          <w:tcPr>
            <w:tcW w:w="1456" w:type="dxa"/>
            <w:vAlign w:val="center"/>
          </w:tcPr>
          <w:p w14:paraId="4FD03698" w14:textId="77777777" w:rsidR="00085789" w:rsidRDefault="00000000">
            <w:pPr>
              <w:pStyle w:val="TableParagraph"/>
              <w:spacing w:before="40" w:after="40"/>
              <w:ind w:left="66" w:right="62"/>
              <w:jc w:val="center"/>
              <w:rPr>
                <w:sz w:val="24"/>
                <w:szCs w:val="24"/>
              </w:rPr>
            </w:pPr>
            <w:r>
              <w:rPr>
                <w:sz w:val="24"/>
                <w:szCs w:val="24"/>
              </w:rPr>
              <w:lastRenderedPageBreak/>
              <w:t>820</w:t>
            </w:r>
          </w:p>
        </w:tc>
        <w:tc>
          <w:tcPr>
            <w:tcW w:w="2005" w:type="dxa"/>
            <w:vAlign w:val="center"/>
          </w:tcPr>
          <w:p w14:paraId="01CB517F" w14:textId="77777777" w:rsidR="00085789" w:rsidRDefault="00000000">
            <w:pPr>
              <w:pStyle w:val="TableParagraph"/>
              <w:spacing w:before="40" w:after="40"/>
              <w:ind w:left="66" w:right="62"/>
              <w:jc w:val="center"/>
              <w:rPr>
                <w:sz w:val="24"/>
                <w:szCs w:val="24"/>
              </w:rPr>
            </w:pPr>
            <w:r>
              <w:rPr>
                <w:sz w:val="24"/>
                <w:szCs w:val="24"/>
              </w:rPr>
              <w:t>300</w:t>
            </w:r>
          </w:p>
        </w:tc>
        <w:tc>
          <w:tcPr>
            <w:tcW w:w="2492" w:type="dxa"/>
            <w:vAlign w:val="center"/>
          </w:tcPr>
          <w:p w14:paraId="70022B4F" w14:textId="77777777" w:rsidR="00085789" w:rsidRDefault="00000000">
            <w:pPr>
              <w:pStyle w:val="TableParagraph"/>
              <w:spacing w:before="40" w:after="40"/>
              <w:ind w:left="66" w:right="62"/>
              <w:jc w:val="both"/>
              <w:rPr>
                <w:sz w:val="24"/>
                <w:szCs w:val="24"/>
              </w:rPr>
            </w:pPr>
            <w:r>
              <w:rPr>
                <w:sz w:val="24"/>
                <w:szCs w:val="24"/>
              </w:rPr>
              <w:t xml:space="preserve">Đã khắc phục tình trạng ô nhiễm môi trường do </w:t>
            </w:r>
            <w:r>
              <w:rPr>
                <w:sz w:val="24"/>
                <w:szCs w:val="24"/>
              </w:rPr>
              <w:lastRenderedPageBreak/>
              <w:t>hoá chất BVTV gây ra</w:t>
            </w:r>
          </w:p>
        </w:tc>
      </w:tr>
      <w:tr w:rsidR="00085789" w14:paraId="5162C5B3" w14:textId="77777777">
        <w:trPr>
          <w:trHeight w:val="828"/>
        </w:trPr>
        <w:tc>
          <w:tcPr>
            <w:tcW w:w="585" w:type="dxa"/>
            <w:vAlign w:val="center"/>
          </w:tcPr>
          <w:p w14:paraId="3F8C5449" w14:textId="77777777" w:rsidR="00085789" w:rsidRDefault="00000000">
            <w:pPr>
              <w:pStyle w:val="TableParagraph"/>
              <w:spacing w:before="40" w:after="40"/>
              <w:ind w:left="66" w:right="62"/>
              <w:jc w:val="center"/>
              <w:rPr>
                <w:sz w:val="24"/>
                <w:szCs w:val="24"/>
              </w:rPr>
            </w:pPr>
            <w:r>
              <w:rPr>
                <w:sz w:val="24"/>
                <w:szCs w:val="24"/>
              </w:rPr>
              <w:lastRenderedPageBreak/>
              <w:t>3</w:t>
            </w:r>
          </w:p>
        </w:tc>
        <w:tc>
          <w:tcPr>
            <w:tcW w:w="2671" w:type="dxa"/>
            <w:vAlign w:val="center"/>
          </w:tcPr>
          <w:p w14:paraId="058A4E23" w14:textId="77777777" w:rsidR="00085789" w:rsidRDefault="00000000">
            <w:pPr>
              <w:pStyle w:val="TableParagraph"/>
              <w:spacing w:before="40" w:after="40"/>
              <w:ind w:left="66" w:right="62"/>
              <w:jc w:val="both"/>
              <w:rPr>
                <w:sz w:val="24"/>
                <w:szCs w:val="24"/>
              </w:rPr>
            </w:pPr>
            <w:r>
              <w:rPr>
                <w:sz w:val="24"/>
                <w:szCs w:val="24"/>
              </w:rPr>
              <w:t>Tiểu khu 6 xã Hưng Thịnh, Thị trấn Kỳ Anh (nay là phường Sông Trí)</w:t>
            </w:r>
          </w:p>
        </w:tc>
        <w:tc>
          <w:tcPr>
            <w:tcW w:w="1456" w:type="dxa"/>
            <w:vAlign w:val="center"/>
          </w:tcPr>
          <w:p w14:paraId="25E4517C" w14:textId="77777777" w:rsidR="00085789" w:rsidRDefault="00000000">
            <w:pPr>
              <w:pStyle w:val="TableParagraph"/>
              <w:spacing w:before="40" w:after="40"/>
              <w:ind w:left="66" w:right="62"/>
              <w:jc w:val="center"/>
              <w:rPr>
                <w:sz w:val="24"/>
                <w:szCs w:val="24"/>
              </w:rPr>
            </w:pPr>
            <w:r>
              <w:rPr>
                <w:sz w:val="24"/>
                <w:szCs w:val="24"/>
              </w:rPr>
              <w:t>1.060</w:t>
            </w:r>
          </w:p>
        </w:tc>
        <w:tc>
          <w:tcPr>
            <w:tcW w:w="2005" w:type="dxa"/>
            <w:vAlign w:val="center"/>
          </w:tcPr>
          <w:p w14:paraId="4316C170" w14:textId="77777777" w:rsidR="00085789" w:rsidRDefault="00000000">
            <w:pPr>
              <w:pStyle w:val="TableParagraph"/>
              <w:spacing w:before="40" w:after="40"/>
              <w:ind w:left="66" w:right="62"/>
              <w:jc w:val="center"/>
              <w:rPr>
                <w:sz w:val="24"/>
                <w:szCs w:val="24"/>
              </w:rPr>
            </w:pPr>
            <w:r>
              <w:rPr>
                <w:sz w:val="24"/>
                <w:szCs w:val="24"/>
              </w:rPr>
              <w:t>300</w:t>
            </w:r>
          </w:p>
        </w:tc>
        <w:tc>
          <w:tcPr>
            <w:tcW w:w="2492" w:type="dxa"/>
            <w:vAlign w:val="center"/>
          </w:tcPr>
          <w:p w14:paraId="5B07B2CA" w14:textId="77777777" w:rsidR="00085789" w:rsidRDefault="00000000">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3FC4B78E" w14:textId="77777777">
        <w:trPr>
          <w:trHeight w:val="827"/>
        </w:trPr>
        <w:tc>
          <w:tcPr>
            <w:tcW w:w="585" w:type="dxa"/>
            <w:vAlign w:val="center"/>
          </w:tcPr>
          <w:p w14:paraId="55474775" w14:textId="77777777" w:rsidR="00085789" w:rsidRDefault="00000000">
            <w:pPr>
              <w:pStyle w:val="TableParagraph"/>
              <w:spacing w:before="40" w:after="40"/>
              <w:ind w:left="66" w:right="62"/>
              <w:jc w:val="center"/>
              <w:rPr>
                <w:sz w:val="24"/>
                <w:szCs w:val="24"/>
              </w:rPr>
            </w:pPr>
            <w:r>
              <w:rPr>
                <w:sz w:val="24"/>
                <w:szCs w:val="24"/>
              </w:rPr>
              <w:t>4</w:t>
            </w:r>
          </w:p>
        </w:tc>
        <w:tc>
          <w:tcPr>
            <w:tcW w:w="2671" w:type="dxa"/>
            <w:vAlign w:val="center"/>
          </w:tcPr>
          <w:p w14:paraId="2A8D2EC5" w14:textId="77777777" w:rsidR="00085789" w:rsidRDefault="00000000">
            <w:pPr>
              <w:pStyle w:val="TableParagraph"/>
              <w:spacing w:before="40" w:after="40"/>
              <w:ind w:left="66" w:right="62"/>
              <w:jc w:val="both"/>
              <w:rPr>
                <w:sz w:val="24"/>
                <w:szCs w:val="24"/>
              </w:rPr>
            </w:pPr>
            <w:r>
              <w:rPr>
                <w:sz w:val="24"/>
                <w:szCs w:val="24"/>
              </w:rPr>
              <w:t>Xóm 8 xã Cẩm Thăng,</w:t>
            </w:r>
            <w:r>
              <w:rPr>
                <w:sz w:val="24"/>
                <w:szCs w:val="24"/>
                <w:lang w:val="vi"/>
              </w:rPr>
              <w:t xml:space="preserve"> </w:t>
            </w:r>
            <w:r>
              <w:rPr>
                <w:spacing w:val="-5"/>
                <w:sz w:val="24"/>
                <w:szCs w:val="24"/>
              </w:rPr>
              <w:t xml:space="preserve">huyện </w:t>
            </w:r>
            <w:r>
              <w:rPr>
                <w:sz w:val="24"/>
                <w:szCs w:val="24"/>
              </w:rPr>
              <w:t>Cẩm</w:t>
            </w:r>
            <w:r>
              <w:rPr>
                <w:spacing w:val="-1"/>
                <w:sz w:val="24"/>
                <w:szCs w:val="24"/>
              </w:rPr>
              <w:t xml:space="preserve"> </w:t>
            </w:r>
            <w:r>
              <w:rPr>
                <w:sz w:val="24"/>
                <w:szCs w:val="24"/>
              </w:rPr>
              <w:t>Xuyên (nay là xã Thiên Cầm)</w:t>
            </w:r>
          </w:p>
        </w:tc>
        <w:tc>
          <w:tcPr>
            <w:tcW w:w="1456" w:type="dxa"/>
            <w:vAlign w:val="center"/>
          </w:tcPr>
          <w:p w14:paraId="0547F830" w14:textId="77777777" w:rsidR="00085789" w:rsidRDefault="00000000">
            <w:pPr>
              <w:pStyle w:val="TableParagraph"/>
              <w:spacing w:before="40" w:after="40"/>
              <w:ind w:left="66" w:right="62"/>
              <w:jc w:val="center"/>
              <w:rPr>
                <w:sz w:val="24"/>
                <w:szCs w:val="24"/>
              </w:rPr>
            </w:pPr>
            <w:r>
              <w:rPr>
                <w:sz w:val="24"/>
                <w:szCs w:val="24"/>
              </w:rPr>
              <w:t>2.500</w:t>
            </w:r>
          </w:p>
        </w:tc>
        <w:tc>
          <w:tcPr>
            <w:tcW w:w="2005" w:type="dxa"/>
            <w:vAlign w:val="center"/>
          </w:tcPr>
          <w:p w14:paraId="3508FAE4" w14:textId="77777777" w:rsidR="00085789" w:rsidRDefault="00000000">
            <w:pPr>
              <w:pStyle w:val="TableParagraph"/>
              <w:spacing w:before="40" w:after="40"/>
              <w:ind w:left="66" w:right="62"/>
              <w:jc w:val="center"/>
              <w:rPr>
                <w:sz w:val="24"/>
                <w:szCs w:val="24"/>
              </w:rPr>
            </w:pPr>
            <w:r>
              <w:rPr>
                <w:sz w:val="24"/>
                <w:szCs w:val="24"/>
              </w:rPr>
              <w:t>200</w:t>
            </w:r>
          </w:p>
        </w:tc>
        <w:tc>
          <w:tcPr>
            <w:tcW w:w="2492" w:type="dxa"/>
            <w:vAlign w:val="center"/>
          </w:tcPr>
          <w:p w14:paraId="348DD22C" w14:textId="77777777" w:rsidR="00085789" w:rsidRDefault="00000000">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0FA5070D" w14:textId="77777777">
        <w:trPr>
          <w:trHeight w:val="827"/>
        </w:trPr>
        <w:tc>
          <w:tcPr>
            <w:tcW w:w="585" w:type="dxa"/>
            <w:vAlign w:val="center"/>
          </w:tcPr>
          <w:p w14:paraId="78C286B1" w14:textId="77777777" w:rsidR="00085789" w:rsidRDefault="00000000">
            <w:pPr>
              <w:pStyle w:val="TableParagraph"/>
              <w:spacing w:before="40" w:after="40"/>
              <w:ind w:left="66" w:right="62"/>
              <w:jc w:val="center"/>
              <w:rPr>
                <w:sz w:val="24"/>
                <w:szCs w:val="24"/>
              </w:rPr>
            </w:pPr>
            <w:r>
              <w:rPr>
                <w:sz w:val="24"/>
                <w:szCs w:val="24"/>
              </w:rPr>
              <w:t>5</w:t>
            </w:r>
          </w:p>
        </w:tc>
        <w:tc>
          <w:tcPr>
            <w:tcW w:w="2671" w:type="dxa"/>
            <w:vAlign w:val="center"/>
          </w:tcPr>
          <w:p w14:paraId="59B638C6" w14:textId="77777777" w:rsidR="00085789" w:rsidRDefault="00000000">
            <w:pPr>
              <w:pStyle w:val="TableParagraph"/>
              <w:spacing w:before="40" w:after="40"/>
              <w:ind w:left="66" w:right="62"/>
              <w:jc w:val="both"/>
              <w:rPr>
                <w:spacing w:val="-8"/>
                <w:sz w:val="24"/>
                <w:szCs w:val="24"/>
              </w:rPr>
            </w:pPr>
            <w:r>
              <w:rPr>
                <w:spacing w:val="-8"/>
                <w:sz w:val="24"/>
                <w:szCs w:val="24"/>
              </w:rPr>
              <w:t>Thôn Chiến Thắng, xã Vĩnh Lộc, huyện Can Lộc (nay là xã Gia Hanh)</w:t>
            </w:r>
          </w:p>
        </w:tc>
        <w:tc>
          <w:tcPr>
            <w:tcW w:w="1456" w:type="dxa"/>
            <w:vAlign w:val="center"/>
          </w:tcPr>
          <w:p w14:paraId="3EACE32A" w14:textId="77777777" w:rsidR="00085789" w:rsidRDefault="00000000">
            <w:pPr>
              <w:pStyle w:val="TableParagraph"/>
              <w:spacing w:before="40" w:after="40"/>
              <w:ind w:left="66" w:right="62"/>
              <w:jc w:val="center"/>
              <w:rPr>
                <w:sz w:val="24"/>
                <w:szCs w:val="24"/>
              </w:rPr>
            </w:pPr>
            <w:r>
              <w:rPr>
                <w:sz w:val="24"/>
                <w:szCs w:val="24"/>
              </w:rPr>
              <w:t>1.082</w:t>
            </w:r>
          </w:p>
        </w:tc>
        <w:tc>
          <w:tcPr>
            <w:tcW w:w="2005" w:type="dxa"/>
            <w:vAlign w:val="center"/>
          </w:tcPr>
          <w:p w14:paraId="099396EE" w14:textId="77777777" w:rsidR="00085789" w:rsidRDefault="00000000">
            <w:pPr>
              <w:pStyle w:val="TableParagraph"/>
              <w:spacing w:before="40" w:after="40"/>
              <w:ind w:left="66" w:right="62"/>
              <w:jc w:val="center"/>
              <w:rPr>
                <w:sz w:val="24"/>
                <w:szCs w:val="24"/>
              </w:rPr>
            </w:pPr>
            <w:r>
              <w:rPr>
                <w:sz w:val="24"/>
                <w:szCs w:val="24"/>
              </w:rPr>
              <w:t>200</w:t>
            </w:r>
          </w:p>
        </w:tc>
        <w:tc>
          <w:tcPr>
            <w:tcW w:w="2492" w:type="dxa"/>
            <w:vAlign w:val="center"/>
          </w:tcPr>
          <w:p w14:paraId="7E11E5AD" w14:textId="77777777" w:rsidR="00085789" w:rsidRDefault="00000000">
            <w:pPr>
              <w:pStyle w:val="TableParagraph"/>
              <w:spacing w:before="40" w:after="40"/>
              <w:ind w:left="66" w:right="62"/>
              <w:jc w:val="both"/>
              <w:rPr>
                <w:sz w:val="24"/>
                <w:szCs w:val="24"/>
              </w:rPr>
            </w:pPr>
            <w:r>
              <w:rPr>
                <w:sz w:val="24"/>
                <w:szCs w:val="24"/>
              </w:rPr>
              <w:t>Đã khắc phục tình trạng ô nhiễm môi trường do hoá chất BVTV gây ra</w:t>
            </w:r>
          </w:p>
        </w:tc>
      </w:tr>
      <w:tr w:rsidR="00085789" w14:paraId="288281FD" w14:textId="77777777">
        <w:trPr>
          <w:trHeight w:val="827"/>
        </w:trPr>
        <w:tc>
          <w:tcPr>
            <w:tcW w:w="585" w:type="dxa"/>
            <w:vAlign w:val="center"/>
          </w:tcPr>
          <w:p w14:paraId="490C3219" w14:textId="77777777" w:rsidR="00085789" w:rsidRDefault="00000000">
            <w:pPr>
              <w:pStyle w:val="TableParagraph"/>
              <w:spacing w:before="40" w:after="40"/>
              <w:ind w:left="66" w:right="62"/>
              <w:jc w:val="center"/>
              <w:rPr>
                <w:sz w:val="24"/>
                <w:szCs w:val="24"/>
              </w:rPr>
            </w:pPr>
            <w:r>
              <w:rPr>
                <w:sz w:val="24"/>
                <w:szCs w:val="24"/>
              </w:rPr>
              <w:t>6</w:t>
            </w:r>
          </w:p>
        </w:tc>
        <w:tc>
          <w:tcPr>
            <w:tcW w:w="2671" w:type="dxa"/>
            <w:vAlign w:val="center"/>
          </w:tcPr>
          <w:p w14:paraId="73EAC1A5" w14:textId="77777777" w:rsidR="00085789" w:rsidRDefault="00000000">
            <w:pPr>
              <w:pStyle w:val="TableParagraph"/>
              <w:spacing w:before="40" w:after="40"/>
              <w:ind w:left="66" w:right="62"/>
              <w:jc w:val="both"/>
              <w:rPr>
                <w:sz w:val="24"/>
                <w:szCs w:val="24"/>
              </w:rPr>
            </w:pPr>
            <w:r>
              <w:rPr>
                <w:sz w:val="24"/>
                <w:szCs w:val="24"/>
              </w:rPr>
              <w:t>Thôn Báo Lộc, Thạch</w:t>
            </w:r>
            <w:r>
              <w:rPr>
                <w:sz w:val="24"/>
                <w:szCs w:val="24"/>
                <w:lang w:val="vi"/>
              </w:rPr>
              <w:t xml:space="preserve"> </w:t>
            </w:r>
            <w:r>
              <w:rPr>
                <w:spacing w:val="-6"/>
                <w:sz w:val="24"/>
                <w:szCs w:val="24"/>
              </w:rPr>
              <w:t xml:space="preserve">Lưu, </w:t>
            </w:r>
            <w:r>
              <w:rPr>
                <w:sz w:val="24"/>
                <w:szCs w:val="24"/>
              </w:rPr>
              <w:t>huyện Thạch</w:t>
            </w:r>
            <w:r>
              <w:rPr>
                <w:spacing w:val="-3"/>
                <w:sz w:val="24"/>
                <w:szCs w:val="24"/>
              </w:rPr>
              <w:t xml:space="preserve"> </w:t>
            </w:r>
            <w:r>
              <w:rPr>
                <w:sz w:val="24"/>
                <w:szCs w:val="24"/>
              </w:rPr>
              <w:t>Hà (nay là xã Toàn Lưu)</w:t>
            </w:r>
          </w:p>
        </w:tc>
        <w:tc>
          <w:tcPr>
            <w:tcW w:w="1456" w:type="dxa"/>
            <w:vAlign w:val="center"/>
          </w:tcPr>
          <w:p w14:paraId="1013CB9C" w14:textId="77777777" w:rsidR="00085789" w:rsidRDefault="00000000">
            <w:pPr>
              <w:pStyle w:val="TableParagraph"/>
              <w:spacing w:before="40" w:after="40"/>
              <w:ind w:left="66" w:right="62"/>
              <w:jc w:val="center"/>
              <w:rPr>
                <w:sz w:val="24"/>
                <w:szCs w:val="24"/>
              </w:rPr>
            </w:pPr>
            <w:r>
              <w:rPr>
                <w:sz w:val="24"/>
                <w:szCs w:val="24"/>
              </w:rPr>
              <w:t>105</w:t>
            </w:r>
          </w:p>
        </w:tc>
        <w:tc>
          <w:tcPr>
            <w:tcW w:w="2005" w:type="dxa"/>
            <w:vAlign w:val="center"/>
          </w:tcPr>
          <w:p w14:paraId="6276CC1A" w14:textId="77777777" w:rsidR="00085789" w:rsidRDefault="00000000">
            <w:pPr>
              <w:pStyle w:val="TableParagraph"/>
              <w:spacing w:before="40" w:after="40"/>
              <w:ind w:left="66" w:right="62"/>
              <w:jc w:val="center"/>
              <w:rPr>
                <w:sz w:val="24"/>
                <w:szCs w:val="24"/>
              </w:rPr>
            </w:pPr>
            <w:r>
              <w:rPr>
                <w:sz w:val="24"/>
                <w:szCs w:val="24"/>
              </w:rPr>
              <w:t>300</w:t>
            </w:r>
          </w:p>
        </w:tc>
        <w:tc>
          <w:tcPr>
            <w:tcW w:w="2492" w:type="dxa"/>
            <w:vAlign w:val="center"/>
          </w:tcPr>
          <w:p w14:paraId="0280F6A3" w14:textId="77777777" w:rsidR="00085789" w:rsidRDefault="00000000">
            <w:pPr>
              <w:pStyle w:val="TableParagraph"/>
              <w:spacing w:before="40" w:after="40"/>
              <w:ind w:left="66" w:right="62"/>
              <w:jc w:val="both"/>
              <w:rPr>
                <w:sz w:val="24"/>
                <w:szCs w:val="24"/>
              </w:rPr>
            </w:pPr>
            <w:r>
              <w:rPr>
                <w:sz w:val="24"/>
                <w:szCs w:val="24"/>
              </w:rPr>
              <w:t>Đã khắc phục tình trạng ô nhiễm môi trường do hoá chất BVTV gây ra</w:t>
            </w:r>
          </w:p>
        </w:tc>
      </w:tr>
    </w:tbl>
    <w:p w14:paraId="31C19849" w14:textId="77777777" w:rsidR="00085789" w:rsidRDefault="00000000">
      <w:pPr>
        <w:pStyle w:val="bac2"/>
        <w:spacing w:before="120" w:after="0" w:line="240" w:lineRule="auto"/>
        <w:ind w:firstLine="709"/>
        <w:rPr>
          <w:smallCaps/>
          <w:lang w:val="nl-NL"/>
        </w:rPr>
      </w:pPr>
      <w:bookmarkStart w:id="935" w:name="_Toc214311262"/>
      <w:r>
        <w:rPr>
          <w:lang w:val="nl-NL"/>
        </w:rPr>
        <w:t>5.2. Diễn biến ô nhiễm đất</w:t>
      </w:r>
      <w:bookmarkEnd w:id="935"/>
    </w:p>
    <w:p w14:paraId="6AFBFD09" w14:textId="77777777" w:rsidR="00085789" w:rsidRDefault="00000000">
      <w:pPr>
        <w:pStyle w:val="bac2"/>
        <w:spacing w:before="120" w:after="0" w:line="240" w:lineRule="auto"/>
        <w:rPr>
          <w:smallCaps/>
          <w:lang w:val="nl-NL"/>
        </w:rPr>
      </w:pPr>
      <w:bookmarkStart w:id="936" w:name="_Toc214311263"/>
      <w:r>
        <w:rPr>
          <w:lang w:val="nl-NL"/>
        </w:rPr>
        <w:t>5.2.1. Khái quát diễn biến chất lượng môi trường đất</w:t>
      </w:r>
      <w:bookmarkEnd w:id="936"/>
    </w:p>
    <w:p w14:paraId="60273E46" w14:textId="77777777" w:rsidR="00085789" w:rsidRDefault="00000000">
      <w:pPr>
        <w:spacing w:before="120" w:line="240" w:lineRule="auto"/>
        <w:ind w:firstLine="720"/>
        <w:jc w:val="both"/>
        <w:rPr>
          <w:sz w:val="26"/>
          <w:szCs w:val="26"/>
          <w:lang w:val="nl-NL"/>
        </w:rPr>
      </w:pPr>
      <w:r>
        <w:rPr>
          <w:sz w:val="26"/>
          <w:szCs w:val="26"/>
          <w:lang w:val="nl-NL"/>
        </w:rPr>
        <w:t>Môi trường đất trên địa bàn tỉnh Hà Tĩnh rất đa dạng, căn cứ theo các số liệu tổng hợp tại Mục 5.1 nêu trên đã xác định rõ Hà Tĩnh có vùng đất ven biển, đất đồng bằng và đất miền núi. Để đánh giá chất lượng môi trường đất trên địa bàn tỉnh, báo cáo sử dụng kết quả quan trắc mạng lưới của tỉnh từ năm 2021 đến nay tại 17 điểm đại diện cho các khu vực</w:t>
      </w:r>
      <w:r>
        <w:rPr>
          <w:bCs/>
          <w:sz w:val="26"/>
          <w:szCs w:val="26"/>
          <w:lang w:val="nl-NL"/>
        </w:rPr>
        <w:t xml:space="preserve"> </w:t>
      </w:r>
      <w:r>
        <w:rPr>
          <w:rFonts w:cstheme="majorHAnsi"/>
          <w:bCs/>
          <w:sz w:val="26"/>
          <w:szCs w:val="26"/>
          <w:lang w:val="nl-NL"/>
        </w:rPr>
        <w:t>có hoạt động nông nghiệp (Đất loại 1), hoạt động lâm nghiệp (Đất loại 2) và hoạt động sản xuất công nghiệp (Đất loại 3). Căn cứ kết quả quan trắc cho thấy: Các thông số kim loại nặng có trong đất đang nằm trong giới hạn cho phép, môi trường đất trên địa bàn tỉnh Hà Tĩnh chưa chịu tác động lớn bởi các hoạt động phát triển kinh tế và xã hội. Cụ thể vị trí, địa điểm hành chính (trước và sau thời điểm sát nhập xã) được tổng hợp cụ thể theo bảng dưới đây:</w:t>
      </w:r>
    </w:p>
    <w:p w14:paraId="5C8CF4F2" w14:textId="77777777" w:rsidR="00085789" w:rsidRDefault="00000000">
      <w:pPr>
        <w:pStyle w:val="-bac4"/>
        <w:spacing w:before="120" w:after="0" w:line="240" w:lineRule="auto"/>
        <w:rPr>
          <w:lang w:val="nl-NL"/>
        </w:rPr>
      </w:pPr>
      <w:bookmarkStart w:id="937" w:name="_Toc205915838"/>
      <w:bookmarkStart w:id="938" w:name="_Toc213597529"/>
      <w:bookmarkStart w:id="939" w:name="_Toc213600858"/>
      <w:r>
        <w:rPr>
          <w:lang w:val="nl-NL"/>
        </w:rPr>
        <w:t>Bảng 5.3. Thông tin các điểm quan trắc môi trường đất khu vực chịu sức ép từ hoạt động phát triển KT-XH trên địa bàn tỉnh Hà Tĩnh</w:t>
      </w:r>
      <w:bookmarkEnd w:id="937"/>
      <w:bookmarkEnd w:id="938"/>
      <w:bookmarkEnd w:id="939"/>
    </w:p>
    <w:p w14:paraId="269DC8E0" w14:textId="77777777" w:rsidR="00085789" w:rsidRDefault="00085789">
      <w:pPr>
        <w:pStyle w:val="-bac4"/>
        <w:spacing w:before="120" w:after="0" w:line="240" w:lineRule="auto"/>
        <w:rPr>
          <w:sz w:val="8"/>
          <w:szCs w:val="6"/>
          <w:lang w:val="nl-NL"/>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6"/>
        <w:gridCol w:w="3480"/>
        <w:gridCol w:w="2693"/>
        <w:gridCol w:w="2268"/>
      </w:tblGrid>
      <w:tr w:rsidR="00085789" w14:paraId="07D2E4CC" w14:textId="77777777">
        <w:trPr>
          <w:trHeight w:val="315"/>
          <w:tblHeader/>
          <w:jc w:val="center"/>
        </w:trPr>
        <w:tc>
          <w:tcPr>
            <w:tcW w:w="626" w:type="dxa"/>
            <w:vAlign w:val="center"/>
          </w:tcPr>
          <w:p w14:paraId="0E2FEE81" w14:textId="77777777" w:rsidR="00085789" w:rsidRDefault="00000000">
            <w:pPr>
              <w:spacing w:before="20" w:after="20" w:line="240" w:lineRule="auto"/>
              <w:ind w:left="-45" w:right="-57"/>
              <w:jc w:val="center"/>
              <w:rPr>
                <w:rFonts w:asciiTheme="majorHAnsi" w:hAnsiTheme="majorHAnsi" w:cstheme="majorHAnsi"/>
                <w:b/>
                <w:sz w:val="24"/>
                <w:szCs w:val="24"/>
              </w:rPr>
            </w:pPr>
            <w:r>
              <w:rPr>
                <w:rFonts w:asciiTheme="majorHAnsi" w:hAnsiTheme="majorHAnsi" w:cstheme="majorHAnsi"/>
                <w:b/>
                <w:sz w:val="24"/>
                <w:szCs w:val="24"/>
              </w:rPr>
              <w:t>STT</w:t>
            </w:r>
          </w:p>
        </w:tc>
        <w:tc>
          <w:tcPr>
            <w:tcW w:w="3480" w:type="dxa"/>
            <w:vAlign w:val="center"/>
          </w:tcPr>
          <w:p w14:paraId="5FDD7605" w14:textId="77777777" w:rsidR="00085789" w:rsidRDefault="00000000">
            <w:pPr>
              <w:spacing w:before="20" w:after="2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điểm quan trắc mạng lưới</w:t>
            </w:r>
          </w:p>
        </w:tc>
        <w:tc>
          <w:tcPr>
            <w:tcW w:w="2693" w:type="dxa"/>
            <w:vAlign w:val="center"/>
          </w:tcPr>
          <w:p w14:paraId="4E058FA2" w14:textId="77777777" w:rsidR="00085789" w:rsidRDefault="00000000">
            <w:pPr>
              <w:spacing w:before="20" w:after="20" w:line="240" w:lineRule="auto"/>
              <w:jc w:val="center"/>
              <w:rPr>
                <w:rFonts w:asciiTheme="majorHAnsi" w:hAnsiTheme="majorHAnsi" w:cstheme="majorHAnsi"/>
                <w:bCs/>
                <w:spacing w:val="-4"/>
                <w:sz w:val="24"/>
                <w:szCs w:val="24"/>
              </w:rPr>
            </w:pPr>
            <w:r>
              <w:rPr>
                <w:rFonts w:asciiTheme="majorHAnsi" w:hAnsiTheme="majorHAnsi" w:cstheme="majorHAnsi"/>
                <w:b/>
                <w:bCs/>
                <w:spacing w:val="-4"/>
                <w:sz w:val="24"/>
                <w:szCs w:val="24"/>
              </w:rPr>
              <w:t>Tên phân tích trong báo cáo</w:t>
            </w:r>
          </w:p>
        </w:tc>
        <w:tc>
          <w:tcPr>
            <w:tcW w:w="2268" w:type="dxa"/>
            <w:vAlign w:val="center"/>
          </w:tcPr>
          <w:p w14:paraId="46641052" w14:textId="77777777" w:rsidR="00085789" w:rsidRDefault="00000000">
            <w:pPr>
              <w:spacing w:before="20" w:after="20" w:line="240" w:lineRule="auto"/>
              <w:ind w:left="-119" w:right="-105"/>
              <w:jc w:val="center"/>
              <w:rPr>
                <w:rFonts w:asciiTheme="majorHAnsi" w:hAnsiTheme="majorHAnsi" w:cstheme="majorHAnsi"/>
                <w:b/>
                <w:sz w:val="24"/>
                <w:szCs w:val="24"/>
              </w:rPr>
            </w:pPr>
            <w:r>
              <w:rPr>
                <w:rFonts w:asciiTheme="majorHAnsi" w:hAnsiTheme="majorHAnsi" w:cstheme="majorHAnsi"/>
                <w:b/>
                <w:sz w:val="24"/>
                <w:szCs w:val="24"/>
              </w:rPr>
              <w:t>Tên địa danh hành chính mới</w:t>
            </w:r>
            <w:r>
              <w:rPr>
                <w:rStyle w:val="FootnoteReference"/>
                <w:rFonts w:asciiTheme="majorHAnsi" w:hAnsiTheme="majorHAnsi" w:cstheme="majorHAnsi"/>
                <w:b/>
                <w:sz w:val="24"/>
                <w:szCs w:val="24"/>
              </w:rPr>
              <w:footnoteReference w:id="42"/>
            </w:r>
          </w:p>
        </w:tc>
      </w:tr>
      <w:tr w:rsidR="00085789" w14:paraId="184EBD9A" w14:textId="77777777">
        <w:trPr>
          <w:trHeight w:val="315"/>
          <w:jc w:val="center"/>
        </w:trPr>
        <w:tc>
          <w:tcPr>
            <w:tcW w:w="626" w:type="dxa"/>
            <w:vAlign w:val="center"/>
          </w:tcPr>
          <w:p w14:paraId="40A012C4" w14:textId="77777777" w:rsidR="00085789" w:rsidRDefault="00000000">
            <w:pPr>
              <w:spacing w:before="20" w:after="20" w:line="240" w:lineRule="auto"/>
              <w:jc w:val="center"/>
              <w:rPr>
                <w:rFonts w:asciiTheme="majorHAnsi" w:hAnsiTheme="majorHAnsi" w:cstheme="majorHAnsi"/>
                <w:b/>
                <w:sz w:val="24"/>
                <w:szCs w:val="24"/>
              </w:rPr>
            </w:pPr>
            <w:r>
              <w:rPr>
                <w:rFonts w:asciiTheme="majorHAnsi" w:hAnsiTheme="majorHAnsi" w:cstheme="majorHAnsi"/>
                <w:b/>
                <w:sz w:val="24"/>
                <w:szCs w:val="24"/>
              </w:rPr>
              <w:t>I</w:t>
            </w:r>
          </w:p>
        </w:tc>
        <w:tc>
          <w:tcPr>
            <w:tcW w:w="8441" w:type="dxa"/>
            <w:gridSpan w:val="3"/>
            <w:vAlign w:val="center"/>
          </w:tcPr>
          <w:p w14:paraId="57FCCCEE" w14:textId="77777777" w:rsidR="00085789" w:rsidRDefault="00000000">
            <w:pPr>
              <w:spacing w:before="20" w:after="20" w:line="240" w:lineRule="auto"/>
              <w:ind w:left="-119" w:right="-105"/>
              <w:jc w:val="center"/>
              <w:rPr>
                <w:rFonts w:asciiTheme="majorHAnsi" w:hAnsiTheme="majorHAnsi" w:cstheme="majorHAnsi"/>
                <w:b/>
                <w:spacing w:val="-8"/>
                <w:sz w:val="24"/>
                <w:szCs w:val="24"/>
              </w:rPr>
            </w:pPr>
            <w:r>
              <w:rPr>
                <w:rFonts w:asciiTheme="majorHAnsi" w:hAnsiTheme="majorHAnsi" w:cstheme="majorHAnsi"/>
                <w:b/>
                <w:spacing w:val="-8"/>
                <w:sz w:val="24"/>
                <w:szCs w:val="24"/>
              </w:rPr>
              <w:t>Thông tin vị trí quan trắc môi trường đất khu vực có hoạt động sản xuất công nghiệp (Đất loại 3)</w:t>
            </w:r>
          </w:p>
        </w:tc>
      </w:tr>
      <w:tr w:rsidR="00085789" w14:paraId="3167F895" w14:textId="77777777">
        <w:trPr>
          <w:trHeight w:val="315"/>
          <w:jc w:val="center"/>
        </w:trPr>
        <w:tc>
          <w:tcPr>
            <w:tcW w:w="626" w:type="dxa"/>
            <w:vAlign w:val="center"/>
          </w:tcPr>
          <w:p w14:paraId="1FCC6915"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1</w:t>
            </w:r>
          </w:p>
        </w:tc>
        <w:tc>
          <w:tcPr>
            <w:tcW w:w="3480" w:type="dxa"/>
            <w:vAlign w:val="center"/>
          </w:tcPr>
          <w:p w14:paraId="7FE7FD94" w14:textId="77777777" w:rsidR="00085789" w:rsidRDefault="00000000">
            <w:pPr>
              <w:spacing w:before="20" w:after="20" w:line="240" w:lineRule="auto"/>
              <w:rPr>
                <w:rFonts w:asciiTheme="majorHAnsi" w:hAnsiTheme="majorHAnsi" w:cstheme="majorHAnsi"/>
                <w:spacing w:val="-4"/>
                <w:sz w:val="24"/>
                <w:szCs w:val="24"/>
              </w:rPr>
            </w:pPr>
            <w:r>
              <w:rPr>
                <w:sz w:val="24"/>
                <w:szCs w:val="24"/>
              </w:rPr>
              <w:t>Khu đất tại Cụm công nghiệp Thạch Đồng, TP. Hà Tĩnh</w:t>
            </w:r>
          </w:p>
        </w:tc>
        <w:tc>
          <w:tcPr>
            <w:tcW w:w="2693" w:type="dxa"/>
            <w:vAlign w:val="center"/>
          </w:tcPr>
          <w:p w14:paraId="01F80464" w14:textId="77777777" w:rsidR="00085789" w:rsidRDefault="00000000">
            <w:pPr>
              <w:spacing w:before="20" w:after="20" w:line="240" w:lineRule="auto"/>
              <w:rPr>
                <w:rFonts w:asciiTheme="majorHAnsi" w:hAnsiTheme="majorHAnsi" w:cstheme="majorHAnsi"/>
                <w:spacing w:val="-4"/>
                <w:sz w:val="24"/>
                <w:szCs w:val="24"/>
              </w:rPr>
            </w:pPr>
            <w:r>
              <w:rPr>
                <w:sz w:val="24"/>
                <w:szCs w:val="24"/>
              </w:rPr>
              <w:t>CCN Thạch Đồng, P. Đồng Môn</w:t>
            </w:r>
          </w:p>
        </w:tc>
        <w:tc>
          <w:tcPr>
            <w:tcW w:w="2268" w:type="dxa"/>
            <w:vAlign w:val="center"/>
          </w:tcPr>
          <w:p w14:paraId="22CD19EA"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 Trần Phú</w:t>
            </w:r>
          </w:p>
        </w:tc>
      </w:tr>
      <w:tr w:rsidR="00085789" w14:paraId="6B6E8325" w14:textId="77777777">
        <w:trPr>
          <w:trHeight w:val="315"/>
          <w:jc w:val="center"/>
        </w:trPr>
        <w:tc>
          <w:tcPr>
            <w:tcW w:w="626" w:type="dxa"/>
            <w:vAlign w:val="center"/>
          </w:tcPr>
          <w:p w14:paraId="7CB83D0C"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2</w:t>
            </w:r>
          </w:p>
        </w:tc>
        <w:tc>
          <w:tcPr>
            <w:tcW w:w="3480" w:type="dxa"/>
            <w:vAlign w:val="bottom"/>
          </w:tcPr>
          <w:p w14:paraId="430AFC28"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Làng nghề Trung Lương, phường Trung Lương, Thị xã Hồng Lĩnh</w:t>
            </w:r>
          </w:p>
        </w:tc>
        <w:tc>
          <w:tcPr>
            <w:tcW w:w="2693" w:type="dxa"/>
            <w:vAlign w:val="bottom"/>
          </w:tcPr>
          <w:p w14:paraId="17785BAE" w14:textId="77777777" w:rsidR="00085789" w:rsidRDefault="00000000">
            <w:pPr>
              <w:spacing w:before="20" w:after="20" w:line="240" w:lineRule="auto"/>
              <w:rPr>
                <w:rFonts w:asciiTheme="majorHAnsi" w:hAnsiTheme="majorHAnsi" w:cstheme="majorHAnsi"/>
                <w:bCs/>
                <w:spacing w:val="-4"/>
                <w:sz w:val="24"/>
                <w:szCs w:val="24"/>
                <w:lang w:val="sv-SE"/>
              </w:rPr>
            </w:pPr>
            <w:r>
              <w:rPr>
                <w:sz w:val="24"/>
                <w:szCs w:val="24"/>
                <w:lang w:val="sv-SE"/>
              </w:rPr>
              <w:t>CCN Trung Lương, P. Trung Lương</w:t>
            </w:r>
          </w:p>
        </w:tc>
        <w:tc>
          <w:tcPr>
            <w:tcW w:w="2268" w:type="dxa"/>
            <w:vAlign w:val="center"/>
          </w:tcPr>
          <w:p w14:paraId="7F61F12F"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P. Bắc Hồng Lĩnh</w:t>
            </w:r>
          </w:p>
        </w:tc>
      </w:tr>
      <w:tr w:rsidR="00085789" w14:paraId="5B1C86C4" w14:textId="77777777">
        <w:trPr>
          <w:trHeight w:val="262"/>
          <w:jc w:val="center"/>
        </w:trPr>
        <w:tc>
          <w:tcPr>
            <w:tcW w:w="626" w:type="dxa"/>
            <w:vAlign w:val="center"/>
          </w:tcPr>
          <w:p w14:paraId="09AA1203"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3</w:t>
            </w:r>
          </w:p>
        </w:tc>
        <w:tc>
          <w:tcPr>
            <w:tcW w:w="3480" w:type="dxa"/>
            <w:vAlign w:val="bottom"/>
          </w:tcPr>
          <w:p w14:paraId="5C81C266"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Khu đất giữa bãi rác thị xã Hồng Lĩnh và cụm công nghiệp Nam Hồng</w:t>
            </w:r>
          </w:p>
        </w:tc>
        <w:tc>
          <w:tcPr>
            <w:tcW w:w="2693" w:type="dxa"/>
            <w:vAlign w:val="bottom"/>
          </w:tcPr>
          <w:p w14:paraId="790B9D91" w14:textId="77777777" w:rsidR="00085789" w:rsidRDefault="00000000">
            <w:pPr>
              <w:spacing w:before="20" w:after="20" w:line="240" w:lineRule="auto"/>
              <w:rPr>
                <w:rFonts w:asciiTheme="majorHAnsi" w:hAnsiTheme="majorHAnsi" w:cstheme="majorHAnsi"/>
                <w:bCs/>
                <w:spacing w:val="-6"/>
                <w:sz w:val="24"/>
                <w:szCs w:val="24"/>
              </w:rPr>
            </w:pPr>
            <w:r>
              <w:rPr>
                <w:sz w:val="24"/>
                <w:szCs w:val="24"/>
              </w:rPr>
              <w:t>CCN Nam Hồng, TX Hồng Lĩnh</w:t>
            </w:r>
          </w:p>
        </w:tc>
        <w:tc>
          <w:tcPr>
            <w:tcW w:w="2268" w:type="dxa"/>
            <w:vAlign w:val="center"/>
          </w:tcPr>
          <w:p w14:paraId="4DA8ADB3"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 Nam Hồng Lĩnh</w:t>
            </w:r>
          </w:p>
        </w:tc>
      </w:tr>
      <w:tr w:rsidR="00085789" w14:paraId="5708784C" w14:textId="77777777">
        <w:trPr>
          <w:trHeight w:val="315"/>
          <w:jc w:val="center"/>
        </w:trPr>
        <w:tc>
          <w:tcPr>
            <w:tcW w:w="626" w:type="dxa"/>
            <w:vAlign w:val="center"/>
          </w:tcPr>
          <w:p w14:paraId="706AE5C4"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lastRenderedPageBreak/>
              <w:t>4</w:t>
            </w:r>
          </w:p>
        </w:tc>
        <w:tc>
          <w:tcPr>
            <w:tcW w:w="3480" w:type="dxa"/>
            <w:vAlign w:val="bottom"/>
          </w:tcPr>
          <w:p w14:paraId="4FFD84DE" w14:textId="77777777" w:rsidR="00085789" w:rsidRDefault="00000000">
            <w:pPr>
              <w:spacing w:before="20" w:after="20" w:line="240" w:lineRule="auto"/>
              <w:rPr>
                <w:rFonts w:asciiTheme="majorHAnsi" w:hAnsiTheme="majorHAnsi" w:cstheme="majorHAnsi"/>
                <w:bCs/>
                <w:spacing w:val="-6"/>
                <w:sz w:val="24"/>
                <w:szCs w:val="24"/>
              </w:rPr>
            </w:pPr>
            <w:r>
              <w:rPr>
                <w:spacing w:val="-6"/>
                <w:sz w:val="24"/>
                <w:szCs w:val="24"/>
              </w:rPr>
              <w:t>Bãi rác huyện Can Lộc, thị trấn Nghèn</w:t>
            </w:r>
          </w:p>
        </w:tc>
        <w:tc>
          <w:tcPr>
            <w:tcW w:w="2693" w:type="dxa"/>
            <w:vAlign w:val="bottom"/>
          </w:tcPr>
          <w:p w14:paraId="4BDF0B72"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Khu xử lý rác Can Lộc, TT Nghèn</w:t>
            </w:r>
          </w:p>
        </w:tc>
        <w:tc>
          <w:tcPr>
            <w:tcW w:w="2268" w:type="dxa"/>
            <w:vAlign w:val="center"/>
          </w:tcPr>
          <w:p w14:paraId="46C6E33D"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Can Lộc</w:t>
            </w:r>
          </w:p>
        </w:tc>
      </w:tr>
      <w:tr w:rsidR="00085789" w14:paraId="0BF62FC8" w14:textId="77777777">
        <w:trPr>
          <w:trHeight w:val="315"/>
          <w:jc w:val="center"/>
        </w:trPr>
        <w:tc>
          <w:tcPr>
            <w:tcW w:w="626" w:type="dxa"/>
            <w:vAlign w:val="center"/>
          </w:tcPr>
          <w:p w14:paraId="7AFBCCFA"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5</w:t>
            </w:r>
          </w:p>
        </w:tc>
        <w:tc>
          <w:tcPr>
            <w:tcW w:w="3480" w:type="dxa"/>
            <w:vAlign w:val="bottom"/>
          </w:tcPr>
          <w:p w14:paraId="28F39D11"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Khu đất Khu công nghiệp Gia Lách, thị trấn Xuân An</w:t>
            </w:r>
          </w:p>
        </w:tc>
        <w:tc>
          <w:tcPr>
            <w:tcW w:w="2693" w:type="dxa"/>
            <w:vAlign w:val="bottom"/>
          </w:tcPr>
          <w:p w14:paraId="24DD4D99"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KCN Gia Lách, TT. Xuân An</w:t>
            </w:r>
          </w:p>
        </w:tc>
        <w:tc>
          <w:tcPr>
            <w:tcW w:w="2268" w:type="dxa"/>
            <w:vAlign w:val="center"/>
          </w:tcPr>
          <w:p w14:paraId="58F6B7CE"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Nghi Xuân</w:t>
            </w:r>
          </w:p>
        </w:tc>
      </w:tr>
      <w:tr w:rsidR="00085789" w14:paraId="0453AAED" w14:textId="77777777">
        <w:trPr>
          <w:trHeight w:val="315"/>
          <w:jc w:val="center"/>
        </w:trPr>
        <w:tc>
          <w:tcPr>
            <w:tcW w:w="626" w:type="dxa"/>
            <w:vAlign w:val="center"/>
          </w:tcPr>
          <w:p w14:paraId="7E93CC3E"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6</w:t>
            </w:r>
          </w:p>
        </w:tc>
        <w:tc>
          <w:tcPr>
            <w:tcW w:w="3480" w:type="dxa"/>
            <w:vAlign w:val="bottom"/>
          </w:tcPr>
          <w:p w14:paraId="070F5665" w14:textId="77777777" w:rsidR="00085789" w:rsidRDefault="00000000">
            <w:pPr>
              <w:spacing w:before="20" w:after="20" w:line="240" w:lineRule="auto"/>
              <w:rPr>
                <w:rFonts w:asciiTheme="majorHAnsi" w:hAnsiTheme="majorHAnsi" w:cstheme="majorHAnsi"/>
                <w:bCs/>
                <w:spacing w:val="-4"/>
                <w:sz w:val="24"/>
                <w:szCs w:val="24"/>
              </w:rPr>
            </w:pPr>
            <w:r>
              <w:rPr>
                <w:spacing w:val="-4"/>
                <w:sz w:val="24"/>
                <w:szCs w:val="24"/>
              </w:rPr>
              <w:t>Cụm Công nghiệp Yên Trung Đức Thọ</w:t>
            </w:r>
          </w:p>
        </w:tc>
        <w:tc>
          <w:tcPr>
            <w:tcW w:w="2693" w:type="dxa"/>
            <w:vAlign w:val="center"/>
          </w:tcPr>
          <w:p w14:paraId="72721B82"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CCN Đức Thọ, xã Tùng Ảnh</w:t>
            </w:r>
          </w:p>
        </w:tc>
        <w:tc>
          <w:tcPr>
            <w:tcW w:w="2268" w:type="dxa"/>
            <w:vAlign w:val="center"/>
          </w:tcPr>
          <w:p w14:paraId="1E963A9F"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Đức Thọ</w:t>
            </w:r>
          </w:p>
        </w:tc>
      </w:tr>
      <w:tr w:rsidR="00085789" w14:paraId="26054C79" w14:textId="77777777">
        <w:trPr>
          <w:trHeight w:val="315"/>
          <w:jc w:val="center"/>
        </w:trPr>
        <w:tc>
          <w:tcPr>
            <w:tcW w:w="626" w:type="dxa"/>
            <w:vAlign w:val="center"/>
          </w:tcPr>
          <w:p w14:paraId="18D0EC50"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7</w:t>
            </w:r>
          </w:p>
        </w:tc>
        <w:tc>
          <w:tcPr>
            <w:tcW w:w="3480" w:type="dxa"/>
            <w:vAlign w:val="bottom"/>
          </w:tcPr>
          <w:p w14:paraId="220684F8"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Cụm công nghiệp Bắc Cẩm Xuyên, xã Cẩm Vịnh</w:t>
            </w:r>
          </w:p>
        </w:tc>
        <w:tc>
          <w:tcPr>
            <w:tcW w:w="2693" w:type="dxa"/>
            <w:vAlign w:val="center"/>
          </w:tcPr>
          <w:p w14:paraId="6F27D1A4" w14:textId="77777777" w:rsidR="00085789" w:rsidRDefault="00000000">
            <w:pPr>
              <w:spacing w:before="20" w:after="20" w:line="240" w:lineRule="auto"/>
              <w:rPr>
                <w:rFonts w:asciiTheme="majorHAnsi" w:hAnsiTheme="majorHAnsi" w:cstheme="majorHAnsi"/>
                <w:bCs/>
                <w:spacing w:val="-4"/>
                <w:sz w:val="24"/>
                <w:szCs w:val="24"/>
              </w:rPr>
            </w:pPr>
            <w:r>
              <w:rPr>
                <w:sz w:val="24"/>
                <w:szCs w:val="24"/>
              </w:rPr>
              <w:t>CCN Bắc Cẩm Xuyên, xã Cẩm Vịnh</w:t>
            </w:r>
          </w:p>
        </w:tc>
        <w:tc>
          <w:tcPr>
            <w:tcW w:w="2268" w:type="dxa"/>
            <w:vAlign w:val="center"/>
          </w:tcPr>
          <w:p w14:paraId="65A27F94"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Cẩm Bình</w:t>
            </w:r>
          </w:p>
        </w:tc>
      </w:tr>
      <w:tr w:rsidR="00085789" w14:paraId="00565C37" w14:textId="77777777">
        <w:trPr>
          <w:trHeight w:val="315"/>
          <w:jc w:val="center"/>
        </w:trPr>
        <w:tc>
          <w:tcPr>
            <w:tcW w:w="626" w:type="dxa"/>
            <w:vAlign w:val="center"/>
          </w:tcPr>
          <w:p w14:paraId="34539387"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8</w:t>
            </w:r>
          </w:p>
        </w:tc>
        <w:tc>
          <w:tcPr>
            <w:tcW w:w="3480" w:type="dxa"/>
            <w:vAlign w:val="bottom"/>
          </w:tcPr>
          <w:p w14:paraId="054F6628" w14:textId="77777777" w:rsidR="00085789" w:rsidRDefault="00000000">
            <w:pPr>
              <w:spacing w:before="20" w:after="20" w:line="240" w:lineRule="auto"/>
              <w:rPr>
                <w:rFonts w:asciiTheme="majorHAnsi" w:hAnsiTheme="majorHAnsi" w:cstheme="majorHAnsi"/>
                <w:spacing w:val="-4"/>
                <w:sz w:val="24"/>
                <w:szCs w:val="24"/>
              </w:rPr>
            </w:pPr>
            <w:r>
              <w:rPr>
                <w:sz w:val="24"/>
                <w:szCs w:val="24"/>
              </w:rPr>
              <w:t>Cạnh Nhà máy xử lý rác thải Cẩm Quan, xã Cẩm Quan</w:t>
            </w:r>
          </w:p>
        </w:tc>
        <w:tc>
          <w:tcPr>
            <w:tcW w:w="2693" w:type="dxa"/>
            <w:vAlign w:val="center"/>
          </w:tcPr>
          <w:p w14:paraId="520EC447" w14:textId="77777777" w:rsidR="00085789" w:rsidRDefault="00000000">
            <w:pPr>
              <w:spacing w:before="20" w:after="20" w:line="240" w:lineRule="auto"/>
              <w:rPr>
                <w:rFonts w:asciiTheme="majorHAnsi" w:hAnsiTheme="majorHAnsi" w:cstheme="majorHAnsi"/>
                <w:spacing w:val="-4"/>
                <w:sz w:val="24"/>
                <w:szCs w:val="24"/>
              </w:rPr>
            </w:pPr>
            <w:r>
              <w:rPr>
                <w:sz w:val="24"/>
                <w:szCs w:val="24"/>
              </w:rPr>
              <w:t>NM xử lý RSH Cẩm Quan, xã Cẩm Quan</w:t>
            </w:r>
          </w:p>
        </w:tc>
        <w:tc>
          <w:tcPr>
            <w:tcW w:w="2268" w:type="dxa"/>
            <w:vAlign w:val="center"/>
          </w:tcPr>
          <w:p w14:paraId="1B8CB708"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Cẩm Xuyên</w:t>
            </w:r>
          </w:p>
        </w:tc>
      </w:tr>
      <w:tr w:rsidR="00085789" w14:paraId="52E99601" w14:textId="77777777">
        <w:trPr>
          <w:trHeight w:val="315"/>
          <w:jc w:val="center"/>
        </w:trPr>
        <w:tc>
          <w:tcPr>
            <w:tcW w:w="626" w:type="dxa"/>
            <w:vAlign w:val="center"/>
          </w:tcPr>
          <w:p w14:paraId="0C1C6733"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9</w:t>
            </w:r>
          </w:p>
        </w:tc>
        <w:tc>
          <w:tcPr>
            <w:tcW w:w="3480" w:type="dxa"/>
            <w:vAlign w:val="bottom"/>
          </w:tcPr>
          <w:p w14:paraId="38AFD25E" w14:textId="77777777" w:rsidR="00085789" w:rsidRDefault="00000000">
            <w:pPr>
              <w:spacing w:before="20" w:after="20" w:line="240" w:lineRule="auto"/>
              <w:rPr>
                <w:rFonts w:asciiTheme="majorHAnsi" w:hAnsiTheme="majorHAnsi" w:cstheme="majorHAnsi"/>
                <w:spacing w:val="-4"/>
                <w:sz w:val="24"/>
                <w:szCs w:val="24"/>
              </w:rPr>
            </w:pPr>
            <w:r>
              <w:rPr>
                <w:sz w:val="24"/>
                <w:szCs w:val="24"/>
              </w:rPr>
              <w:t>Khu công nghiệp Vũng Áng I, phường Kỳ Thịnh</w:t>
            </w:r>
          </w:p>
        </w:tc>
        <w:tc>
          <w:tcPr>
            <w:tcW w:w="2693" w:type="dxa"/>
            <w:vAlign w:val="center"/>
          </w:tcPr>
          <w:p w14:paraId="4C2622E6" w14:textId="77777777" w:rsidR="00085789" w:rsidRDefault="00000000">
            <w:pPr>
              <w:spacing w:before="20" w:after="20" w:line="240" w:lineRule="auto"/>
              <w:rPr>
                <w:rFonts w:asciiTheme="majorHAnsi" w:hAnsiTheme="majorHAnsi" w:cstheme="majorHAnsi"/>
                <w:spacing w:val="-4"/>
                <w:sz w:val="24"/>
                <w:szCs w:val="24"/>
              </w:rPr>
            </w:pPr>
            <w:r>
              <w:rPr>
                <w:sz w:val="24"/>
                <w:szCs w:val="24"/>
              </w:rPr>
              <w:t>KCN Vũng Áng I, P. Kỳ Thịnh</w:t>
            </w:r>
          </w:p>
        </w:tc>
        <w:tc>
          <w:tcPr>
            <w:tcW w:w="2268" w:type="dxa"/>
            <w:vAlign w:val="center"/>
          </w:tcPr>
          <w:p w14:paraId="6E15BC66"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phường Vũng Áng</w:t>
            </w:r>
          </w:p>
        </w:tc>
      </w:tr>
      <w:tr w:rsidR="00085789" w14:paraId="38B30F8A" w14:textId="77777777">
        <w:trPr>
          <w:trHeight w:val="315"/>
          <w:jc w:val="center"/>
        </w:trPr>
        <w:tc>
          <w:tcPr>
            <w:tcW w:w="626" w:type="dxa"/>
            <w:vAlign w:val="center"/>
          </w:tcPr>
          <w:p w14:paraId="662C956E"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10</w:t>
            </w:r>
          </w:p>
        </w:tc>
        <w:tc>
          <w:tcPr>
            <w:tcW w:w="3480" w:type="dxa"/>
            <w:vAlign w:val="bottom"/>
          </w:tcPr>
          <w:p w14:paraId="576D7A78" w14:textId="77777777" w:rsidR="00085789" w:rsidRDefault="00000000">
            <w:pPr>
              <w:spacing w:before="20" w:after="20" w:line="240" w:lineRule="auto"/>
              <w:rPr>
                <w:rFonts w:asciiTheme="majorHAnsi" w:hAnsiTheme="majorHAnsi" w:cstheme="majorHAnsi"/>
                <w:spacing w:val="-4"/>
                <w:sz w:val="24"/>
                <w:szCs w:val="24"/>
              </w:rPr>
            </w:pPr>
            <w:r>
              <w:rPr>
                <w:sz w:val="24"/>
                <w:szCs w:val="24"/>
              </w:rPr>
              <w:t>Khu đất cạnh KCN Phú Vinh, phường Kỳ Liên</w:t>
            </w:r>
          </w:p>
        </w:tc>
        <w:tc>
          <w:tcPr>
            <w:tcW w:w="2693" w:type="dxa"/>
            <w:vAlign w:val="center"/>
          </w:tcPr>
          <w:p w14:paraId="1E0041CF" w14:textId="77777777" w:rsidR="00085789" w:rsidRDefault="00000000">
            <w:pPr>
              <w:spacing w:before="20" w:after="20" w:line="240" w:lineRule="auto"/>
              <w:rPr>
                <w:rFonts w:asciiTheme="majorHAnsi" w:hAnsiTheme="majorHAnsi" w:cstheme="majorHAnsi"/>
                <w:spacing w:val="-4"/>
                <w:sz w:val="24"/>
                <w:szCs w:val="24"/>
              </w:rPr>
            </w:pPr>
            <w:r>
              <w:rPr>
                <w:sz w:val="24"/>
                <w:szCs w:val="24"/>
              </w:rPr>
              <w:t>KCN Phú Vinh, phường Kỳ Liên</w:t>
            </w:r>
          </w:p>
        </w:tc>
        <w:tc>
          <w:tcPr>
            <w:tcW w:w="2268" w:type="dxa"/>
            <w:vAlign w:val="center"/>
          </w:tcPr>
          <w:p w14:paraId="0AE9717A"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phường Hoành Sơn</w:t>
            </w:r>
          </w:p>
        </w:tc>
      </w:tr>
      <w:tr w:rsidR="00085789" w14:paraId="102C6F72" w14:textId="77777777">
        <w:trPr>
          <w:trHeight w:val="315"/>
          <w:jc w:val="center"/>
        </w:trPr>
        <w:tc>
          <w:tcPr>
            <w:tcW w:w="626" w:type="dxa"/>
            <w:vAlign w:val="center"/>
          </w:tcPr>
          <w:p w14:paraId="48680024" w14:textId="77777777" w:rsidR="00085789" w:rsidRDefault="00000000">
            <w:pPr>
              <w:spacing w:before="20" w:after="20" w:line="240" w:lineRule="auto"/>
              <w:jc w:val="center"/>
              <w:rPr>
                <w:rFonts w:asciiTheme="majorHAnsi" w:hAnsiTheme="majorHAnsi" w:cstheme="majorHAnsi"/>
                <w:bCs/>
                <w:sz w:val="24"/>
                <w:szCs w:val="24"/>
              </w:rPr>
            </w:pPr>
            <w:r>
              <w:rPr>
                <w:rFonts w:asciiTheme="majorHAnsi" w:hAnsiTheme="majorHAnsi" w:cstheme="majorHAnsi"/>
                <w:bCs/>
                <w:sz w:val="24"/>
                <w:szCs w:val="24"/>
              </w:rPr>
              <w:t>11</w:t>
            </w:r>
          </w:p>
        </w:tc>
        <w:tc>
          <w:tcPr>
            <w:tcW w:w="3480" w:type="dxa"/>
            <w:vAlign w:val="bottom"/>
          </w:tcPr>
          <w:p w14:paraId="58DA4B34" w14:textId="77777777" w:rsidR="00085789" w:rsidRDefault="00000000">
            <w:pPr>
              <w:spacing w:before="20" w:after="20" w:line="240" w:lineRule="auto"/>
              <w:rPr>
                <w:rFonts w:asciiTheme="majorHAnsi" w:hAnsiTheme="majorHAnsi" w:cstheme="majorHAnsi"/>
                <w:spacing w:val="-8"/>
                <w:sz w:val="24"/>
                <w:szCs w:val="24"/>
              </w:rPr>
            </w:pPr>
            <w:r>
              <w:rPr>
                <w:sz w:val="24"/>
                <w:szCs w:val="24"/>
              </w:rPr>
              <w:t>Khu vực đặt Nhà máy xử lý chất thải rắn, chất thải nguy hại tại xã Kỳ Tân</w:t>
            </w:r>
          </w:p>
        </w:tc>
        <w:tc>
          <w:tcPr>
            <w:tcW w:w="2693" w:type="dxa"/>
            <w:vAlign w:val="center"/>
          </w:tcPr>
          <w:p w14:paraId="4983F9D5" w14:textId="77777777" w:rsidR="00085789" w:rsidRDefault="00000000">
            <w:pPr>
              <w:spacing w:before="20" w:after="20" w:line="240" w:lineRule="auto"/>
              <w:rPr>
                <w:rFonts w:asciiTheme="majorHAnsi" w:hAnsiTheme="majorHAnsi" w:cstheme="majorHAnsi"/>
                <w:spacing w:val="-4"/>
                <w:sz w:val="24"/>
                <w:szCs w:val="24"/>
              </w:rPr>
            </w:pPr>
            <w:r>
              <w:rPr>
                <w:sz w:val="24"/>
                <w:szCs w:val="24"/>
              </w:rPr>
              <w:t>NM Xử lý chất thải CN&amp;CTNH, xã Kỳ Tân</w:t>
            </w:r>
          </w:p>
        </w:tc>
        <w:tc>
          <w:tcPr>
            <w:tcW w:w="2268" w:type="dxa"/>
            <w:vAlign w:val="center"/>
          </w:tcPr>
          <w:p w14:paraId="67144874" w14:textId="77777777" w:rsidR="00085789" w:rsidRDefault="00000000">
            <w:pPr>
              <w:spacing w:before="20" w:after="20" w:line="240" w:lineRule="auto"/>
              <w:rPr>
                <w:rFonts w:asciiTheme="majorHAnsi" w:hAnsiTheme="majorHAnsi" w:cstheme="majorHAnsi"/>
                <w:bCs/>
                <w:spacing w:val="-6"/>
                <w:sz w:val="24"/>
                <w:szCs w:val="24"/>
              </w:rPr>
            </w:pPr>
            <w:r>
              <w:rPr>
                <w:rFonts w:asciiTheme="majorHAnsi" w:hAnsiTheme="majorHAnsi" w:cstheme="majorHAnsi"/>
                <w:bCs/>
                <w:spacing w:val="-6"/>
                <w:sz w:val="24"/>
                <w:szCs w:val="24"/>
              </w:rPr>
              <w:t>Nay là xã Kỳ Hoa</w:t>
            </w:r>
          </w:p>
        </w:tc>
      </w:tr>
      <w:tr w:rsidR="00085789" w14:paraId="79A43686" w14:textId="77777777">
        <w:trPr>
          <w:trHeight w:val="315"/>
          <w:jc w:val="center"/>
        </w:trPr>
        <w:tc>
          <w:tcPr>
            <w:tcW w:w="626" w:type="dxa"/>
            <w:vAlign w:val="center"/>
          </w:tcPr>
          <w:p w14:paraId="13BC3212"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w:t>
            </w:r>
          </w:p>
        </w:tc>
        <w:tc>
          <w:tcPr>
            <w:tcW w:w="8441" w:type="dxa"/>
            <w:gridSpan w:val="3"/>
            <w:vAlign w:val="center"/>
          </w:tcPr>
          <w:p w14:paraId="35D9A538" w14:textId="77777777" w:rsidR="00085789" w:rsidRDefault="00000000">
            <w:pPr>
              <w:spacing w:before="20" w:after="20" w:line="240" w:lineRule="auto"/>
              <w:jc w:val="center"/>
              <w:rPr>
                <w:rFonts w:asciiTheme="majorHAnsi" w:hAnsiTheme="majorHAnsi" w:cstheme="majorHAnsi"/>
                <w:bCs/>
                <w:spacing w:val="-4"/>
                <w:sz w:val="24"/>
                <w:szCs w:val="24"/>
                <w:lang w:val="sv-SE"/>
              </w:rPr>
            </w:pPr>
            <w:r>
              <w:rPr>
                <w:rFonts w:asciiTheme="majorHAnsi" w:hAnsiTheme="majorHAnsi" w:cstheme="majorHAnsi"/>
                <w:b/>
                <w:spacing w:val="-4"/>
                <w:sz w:val="24"/>
                <w:szCs w:val="24"/>
                <w:lang w:val="sv-SE"/>
              </w:rPr>
              <w:t>Thông tin vị trí quan trắc môi trường đất khu vực có hoạt động nông nghiệp (Đất loại 1)</w:t>
            </w:r>
          </w:p>
        </w:tc>
      </w:tr>
      <w:tr w:rsidR="00085789" w14:paraId="4519C459" w14:textId="77777777">
        <w:trPr>
          <w:trHeight w:val="315"/>
          <w:jc w:val="center"/>
        </w:trPr>
        <w:tc>
          <w:tcPr>
            <w:tcW w:w="626" w:type="dxa"/>
            <w:vAlign w:val="center"/>
          </w:tcPr>
          <w:p w14:paraId="2BCCA313"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12</w:t>
            </w:r>
          </w:p>
        </w:tc>
        <w:tc>
          <w:tcPr>
            <w:tcW w:w="3480" w:type="dxa"/>
            <w:vAlign w:val="center"/>
          </w:tcPr>
          <w:p w14:paraId="6498D50F" w14:textId="77777777" w:rsidR="00085789" w:rsidRDefault="00000000">
            <w:pPr>
              <w:spacing w:before="20" w:after="20" w:line="240" w:lineRule="auto"/>
              <w:jc w:val="both"/>
              <w:rPr>
                <w:rFonts w:asciiTheme="majorHAnsi" w:hAnsiTheme="majorHAnsi" w:cstheme="majorHAnsi"/>
                <w:spacing w:val="-4"/>
                <w:sz w:val="24"/>
                <w:szCs w:val="24"/>
                <w:lang w:val="sv-SE"/>
              </w:rPr>
            </w:pPr>
            <w:r>
              <w:rPr>
                <w:sz w:val="24"/>
                <w:szCs w:val="24"/>
                <w:lang w:val="sv-SE"/>
              </w:rPr>
              <w:t>Xóm 3, xã Thạch Trị, huyện Thạch Hà, tỉnh Hà Tĩnh</w:t>
            </w:r>
          </w:p>
        </w:tc>
        <w:tc>
          <w:tcPr>
            <w:tcW w:w="2693" w:type="dxa"/>
            <w:vAlign w:val="center"/>
          </w:tcPr>
          <w:p w14:paraId="56329363"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rPr>
              <w:t>Xóm 3, xã Thạch Trị</w:t>
            </w:r>
          </w:p>
        </w:tc>
        <w:tc>
          <w:tcPr>
            <w:tcW w:w="2268" w:type="dxa"/>
            <w:vAlign w:val="center"/>
          </w:tcPr>
          <w:p w14:paraId="6D4D2F3A"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Đồng Tiến</w:t>
            </w:r>
          </w:p>
        </w:tc>
      </w:tr>
      <w:tr w:rsidR="00085789" w14:paraId="385454B7" w14:textId="77777777">
        <w:trPr>
          <w:trHeight w:val="315"/>
          <w:jc w:val="center"/>
        </w:trPr>
        <w:tc>
          <w:tcPr>
            <w:tcW w:w="626" w:type="dxa"/>
            <w:vAlign w:val="center"/>
          </w:tcPr>
          <w:p w14:paraId="088E62FA"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13</w:t>
            </w:r>
          </w:p>
        </w:tc>
        <w:tc>
          <w:tcPr>
            <w:tcW w:w="3480" w:type="dxa"/>
            <w:vAlign w:val="center"/>
          </w:tcPr>
          <w:p w14:paraId="5977BFB9" w14:textId="77777777" w:rsidR="00085789" w:rsidRDefault="00000000">
            <w:pPr>
              <w:spacing w:before="20" w:after="20" w:line="240" w:lineRule="auto"/>
              <w:jc w:val="both"/>
              <w:rPr>
                <w:rFonts w:asciiTheme="majorHAnsi" w:hAnsiTheme="majorHAnsi" w:cstheme="majorHAnsi"/>
                <w:spacing w:val="-4"/>
                <w:sz w:val="24"/>
                <w:szCs w:val="24"/>
                <w:lang w:val="sv-SE"/>
              </w:rPr>
            </w:pPr>
            <w:r>
              <w:rPr>
                <w:sz w:val="24"/>
                <w:szCs w:val="24"/>
                <w:lang w:val="sv-SE"/>
              </w:rPr>
              <w:t>Vùng NTTS Hà Voọc, xã Hộ Độ</w:t>
            </w:r>
          </w:p>
        </w:tc>
        <w:tc>
          <w:tcPr>
            <w:tcW w:w="2693" w:type="dxa"/>
            <w:vAlign w:val="bottom"/>
          </w:tcPr>
          <w:p w14:paraId="6203112B"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lang w:val="sv-SE"/>
              </w:rPr>
              <w:t>Vùng NTTS Hà Voọc, xã Hộ Độ</w:t>
            </w:r>
          </w:p>
        </w:tc>
        <w:tc>
          <w:tcPr>
            <w:tcW w:w="2268" w:type="dxa"/>
            <w:vAlign w:val="center"/>
          </w:tcPr>
          <w:p w14:paraId="2AB68D38"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phường Trần Phú</w:t>
            </w:r>
          </w:p>
        </w:tc>
      </w:tr>
      <w:tr w:rsidR="00085789" w14:paraId="644696A0" w14:textId="77777777">
        <w:trPr>
          <w:trHeight w:val="315"/>
          <w:jc w:val="center"/>
        </w:trPr>
        <w:tc>
          <w:tcPr>
            <w:tcW w:w="626" w:type="dxa"/>
            <w:vAlign w:val="center"/>
          </w:tcPr>
          <w:p w14:paraId="1642D33D"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14</w:t>
            </w:r>
          </w:p>
        </w:tc>
        <w:tc>
          <w:tcPr>
            <w:tcW w:w="3480" w:type="dxa"/>
            <w:vAlign w:val="center"/>
          </w:tcPr>
          <w:p w14:paraId="1CAE8E13" w14:textId="77777777" w:rsidR="00085789" w:rsidRDefault="00000000">
            <w:pPr>
              <w:spacing w:before="20" w:after="20" w:line="240" w:lineRule="auto"/>
              <w:jc w:val="both"/>
              <w:rPr>
                <w:rFonts w:asciiTheme="majorHAnsi" w:hAnsiTheme="majorHAnsi" w:cstheme="majorHAnsi"/>
                <w:spacing w:val="-4"/>
                <w:sz w:val="24"/>
                <w:szCs w:val="24"/>
                <w:lang w:val="sv-SE"/>
              </w:rPr>
            </w:pPr>
            <w:r>
              <w:rPr>
                <w:sz w:val="24"/>
                <w:szCs w:val="24"/>
                <w:lang w:val="sv-SE"/>
              </w:rPr>
              <w:t>Làng Chè, xã Sơn Kim II</w:t>
            </w:r>
          </w:p>
        </w:tc>
        <w:tc>
          <w:tcPr>
            <w:tcW w:w="2693" w:type="dxa"/>
            <w:vAlign w:val="bottom"/>
          </w:tcPr>
          <w:p w14:paraId="6F8D2A3E"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lang w:val="sv-SE"/>
              </w:rPr>
              <w:t>Làng chè, xã Sơn Kim II</w:t>
            </w:r>
          </w:p>
        </w:tc>
        <w:tc>
          <w:tcPr>
            <w:tcW w:w="2268" w:type="dxa"/>
            <w:vAlign w:val="center"/>
          </w:tcPr>
          <w:p w14:paraId="159A8755"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Sơn Kim II</w:t>
            </w:r>
          </w:p>
        </w:tc>
      </w:tr>
      <w:tr w:rsidR="00085789" w14:paraId="5CE696A4" w14:textId="77777777">
        <w:trPr>
          <w:trHeight w:val="315"/>
          <w:jc w:val="center"/>
        </w:trPr>
        <w:tc>
          <w:tcPr>
            <w:tcW w:w="626" w:type="dxa"/>
            <w:vAlign w:val="center"/>
          </w:tcPr>
          <w:p w14:paraId="030D74A9"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15</w:t>
            </w:r>
          </w:p>
        </w:tc>
        <w:tc>
          <w:tcPr>
            <w:tcW w:w="3480" w:type="dxa"/>
            <w:vAlign w:val="center"/>
          </w:tcPr>
          <w:p w14:paraId="36412686" w14:textId="77777777" w:rsidR="00085789" w:rsidRDefault="00000000">
            <w:pPr>
              <w:spacing w:before="20" w:after="20" w:line="240" w:lineRule="auto"/>
              <w:jc w:val="both"/>
              <w:rPr>
                <w:rFonts w:asciiTheme="majorHAnsi" w:hAnsiTheme="majorHAnsi" w:cstheme="majorHAnsi"/>
                <w:spacing w:val="-4"/>
                <w:sz w:val="24"/>
                <w:szCs w:val="24"/>
                <w:lang w:val="sv-SE"/>
              </w:rPr>
            </w:pPr>
            <w:r>
              <w:rPr>
                <w:sz w:val="24"/>
                <w:szCs w:val="24"/>
                <w:lang w:val="sv-SE"/>
              </w:rPr>
              <w:t>Vùng trồng cam xã Thọ Điền</w:t>
            </w:r>
          </w:p>
        </w:tc>
        <w:tc>
          <w:tcPr>
            <w:tcW w:w="2693" w:type="dxa"/>
            <w:vAlign w:val="bottom"/>
          </w:tcPr>
          <w:p w14:paraId="7C6FC62F" w14:textId="77777777" w:rsidR="00085789" w:rsidRDefault="00000000">
            <w:pPr>
              <w:spacing w:before="20" w:after="20" w:line="240" w:lineRule="auto"/>
              <w:rPr>
                <w:rFonts w:asciiTheme="majorHAnsi" w:hAnsiTheme="majorHAnsi" w:cstheme="majorHAnsi"/>
                <w:spacing w:val="-6"/>
                <w:sz w:val="24"/>
                <w:szCs w:val="24"/>
                <w:lang w:val="sv-SE"/>
              </w:rPr>
            </w:pPr>
            <w:r>
              <w:rPr>
                <w:spacing w:val="-6"/>
                <w:sz w:val="24"/>
                <w:szCs w:val="24"/>
                <w:lang w:val="sv-SE"/>
              </w:rPr>
              <w:t>Vùng trồng cam, xã Thọ Điền</w:t>
            </w:r>
          </w:p>
        </w:tc>
        <w:tc>
          <w:tcPr>
            <w:tcW w:w="2268" w:type="dxa"/>
            <w:vAlign w:val="center"/>
          </w:tcPr>
          <w:p w14:paraId="6712F24E"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Vũ Quang</w:t>
            </w:r>
          </w:p>
        </w:tc>
      </w:tr>
      <w:tr w:rsidR="00085789" w14:paraId="7BA7C5C0" w14:textId="77777777">
        <w:trPr>
          <w:trHeight w:val="315"/>
          <w:jc w:val="center"/>
        </w:trPr>
        <w:tc>
          <w:tcPr>
            <w:tcW w:w="626" w:type="dxa"/>
            <w:vAlign w:val="center"/>
          </w:tcPr>
          <w:p w14:paraId="152DF888"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
                <w:sz w:val="24"/>
                <w:szCs w:val="24"/>
              </w:rPr>
              <w:t>III</w:t>
            </w:r>
          </w:p>
        </w:tc>
        <w:tc>
          <w:tcPr>
            <w:tcW w:w="8441" w:type="dxa"/>
            <w:gridSpan w:val="3"/>
            <w:vAlign w:val="center"/>
          </w:tcPr>
          <w:p w14:paraId="1FA442EA"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
                <w:spacing w:val="-4"/>
                <w:sz w:val="24"/>
                <w:szCs w:val="24"/>
                <w:lang w:val="sv-SE"/>
              </w:rPr>
              <w:t>Thông tin vị trí quan trắc môi trường đất khu vực có hoạt động lâm nghiệp (Đất loại 2)</w:t>
            </w:r>
          </w:p>
        </w:tc>
      </w:tr>
      <w:tr w:rsidR="00085789" w14:paraId="5C2471D1" w14:textId="77777777">
        <w:trPr>
          <w:trHeight w:val="315"/>
          <w:jc w:val="center"/>
        </w:trPr>
        <w:tc>
          <w:tcPr>
            <w:tcW w:w="626" w:type="dxa"/>
            <w:vAlign w:val="center"/>
          </w:tcPr>
          <w:p w14:paraId="6E5A402C"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16</w:t>
            </w:r>
          </w:p>
        </w:tc>
        <w:tc>
          <w:tcPr>
            <w:tcW w:w="3480" w:type="dxa"/>
            <w:vAlign w:val="center"/>
          </w:tcPr>
          <w:p w14:paraId="175CC7B5"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lang w:val="sv-SE"/>
              </w:rPr>
              <w:t>Xóm Vĩnh Hưng, xã Hương Vĩnh</w:t>
            </w:r>
          </w:p>
        </w:tc>
        <w:tc>
          <w:tcPr>
            <w:tcW w:w="2693" w:type="dxa"/>
            <w:vAlign w:val="bottom"/>
          </w:tcPr>
          <w:p w14:paraId="5D6617A2"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lang w:val="sv-SE"/>
              </w:rPr>
              <w:t>Xóm Vĩnh Hưng, xã Hương Vĩnh</w:t>
            </w:r>
          </w:p>
        </w:tc>
        <w:tc>
          <w:tcPr>
            <w:tcW w:w="2268" w:type="dxa"/>
            <w:vAlign w:val="center"/>
          </w:tcPr>
          <w:p w14:paraId="30A59A7D"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Hương Xuân</w:t>
            </w:r>
          </w:p>
        </w:tc>
      </w:tr>
      <w:tr w:rsidR="00085789" w14:paraId="3807D60E" w14:textId="77777777">
        <w:trPr>
          <w:trHeight w:val="85"/>
          <w:jc w:val="center"/>
        </w:trPr>
        <w:tc>
          <w:tcPr>
            <w:tcW w:w="626" w:type="dxa"/>
            <w:vAlign w:val="center"/>
          </w:tcPr>
          <w:p w14:paraId="7D2F58E8" w14:textId="77777777" w:rsidR="00085789" w:rsidRDefault="00000000">
            <w:pPr>
              <w:spacing w:before="20" w:after="20" w:line="240" w:lineRule="auto"/>
              <w:jc w:val="center"/>
              <w:rPr>
                <w:rFonts w:asciiTheme="majorHAnsi" w:hAnsiTheme="majorHAnsi" w:cstheme="majorHAnsi"/>
                <w:bCs/>
                <w:sz w:val="24"/>
                <w:szCs w:val="24"/>
                <w:lang w:val="sv-SE"/>
              </w:rPr>
            </w:pPr>
            <w:r>
              <w:rPr>
                <w:rFonts w:asciiTheme="majorHAnsi" w:hAnsiTheme="majorHAnsi" w:cstheme="majorHAnsi"/>
                <w:bCs/>
                <w:sz w:val="24"/>
                <w:szCs w:val="24"/>
                <w:lang w:val="sv-SE"/>
              </w:rPr>
              <w:t>17</w:t>
            </w:r>
          </w:p>
        </w:tc>
        <w:tc>
          <w:tcPr>
            <w:tcW w:w="3480" w:type="dxa"/>
            <w:vAlign w:val="center"/>
          </w:tcPr>
          <w:p w14:paraId="1C72B166"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lang w:val="sv-SE"/>
              </w:rPr>
              <w:t>Vùng trồng cây lâm nghiệp, nông nghiệp, xã Lâm Hợp</w:t>
            </w:r>
          </w:p>
        </w:tc>
        <w:tc>
          <w:tcPr>
            <w:tcW w:w="2693" w:type="dxa"/>
            <w:vAlign w:val="bottom"/>
          </w:tcPr>
          <w:p w14:paraId="770C45EE" w14:textId="77777777" w:rsidR="00085789" w:rsidRDefault="00000000">
            <w:pPr>
              <w:spacing w:before="20" w:after="20" w:line="240" w:lineRule="auto"/>
              <w:rPr>
                <w:rFonts w:asciiTheme="majorHAnsi" w:hAnsiTheme="majorHAnsi" w:cstheme="majorHAnsi"/>
                <w:spacing w:val="-4"/>
                <w:sz w:val="24"/>
                <w:szCs w:val="24"/>
                <w:lang w:val="sv-SE"/>
              </w:rPr>
            </w:pPr>
            <w:r>
              <w:rPr>
                <w:sz w:val="24"/>
                <w:szCs w:val="24"/>
                <w:lang w:val="sv-SE"/>
              </w:rPr>
              <w:t>Vùng trồng cây lâm nghiệp, xã Lâm Hợp</w:t>
            </w:r>
          </w:p>
        </w:tc>
        <w:tc>
          <w:tcPr>
            <w:tcW w:w="2268" w:type="dxa"/>
            <w:vAlign w:val="center"/>
          </w:tcPr>
          <w:p w14:paraId="2CE3BE4A" w14:textId="77777777" w:rsidR="00085789" w:rsidRDefault="00000000">
            <w:pPr>
              <w:spacing w:before="20" w:after="20" w:line="240" w:lineRule="auto"/>
              <w:rPr>
                <w:rFonts w:asciiTheme="majorHAnsi" w:hAnsiTheme="majorHAnsi" w:cstheme="majorHAnsi"/>
                <w:bCs/>
                <w:spacing w:val="-6"/>
                <w:sz w:val="24"/>
                <w:szCs w:val="24"/>
                <w:lang w:val="sv-SE"/>
              </w:rPr>
            </w:pPr>
            <w:r>
              <w:rPr>
                <w:rFonts w:asciiTheme="majorHAnsi" w:hAnsiTheme="majorHAnsi" w:cstheme="majorHAnsi"/>
                <w:bCs/>
                <w:spacing w:val="-6"/>
                <w:sz w:val="24"/>
                <w:szCs w:val="24"/>
                <w:lang w:val="sv-SE"/>
              </w:rPr>
              <w:t>Nay là xã Kỳ Lạc</w:t>
            </w:r>
          </w:p>
        </w:tc>
      </w:tr>
    </w:tbl>
    <w:p w14:paraId="1FABA144" w14:textId="77777777" w:rsidR="00085789" w:rsidRDefault="00000000">
      <w:pPr>
        <w:spacing w:before="120" w:line="240" w:lineRule="auto"/>
        <w:ind w:firstLine="720"/>
        <w:jc w:val="both"/>
        <w:rPr>
          <w:spacing w:val="-2"/>
          <w:sz w:val="26"/>
          <w:szCs w:val="26"/>
          <w:shd w:val="clear" w:color="auto" w:fill="FFFFFF"/>
          <w:lang w:val="nl-NL"/>
        </w:rPr>
      </w:pPr>
      <w:r>
        <w:rPr>
          <w:sz w:val="26"/>
          <w:szCs w:val="26"/>
          <w:lang w:val="nl-NL"/>
        </w:rPr>
        <w:t xml:space="preserve">Môi trường đất đang chịu sức ép ô nhiễm ngày càng lớn từ </w:t>
      </w:r>
      <w:r>
        <w:rPr>
          <w:bCs/>
          <w:sz w:val="26"/>
          <w:szCs w:val="26"/>
          <w:shd w:val="clear" w:color="auto" w:fill="FFFFFF"/>
          <w:lang w:val="nl-NL"/>
        </w:rPr>
        <w:t xml:space="preserve">sự gia tăng dân số, quá trình công nghiệp hóa, tốc độ đô thị hóa tăng nhanh, </w:t>
      </w:r>
      <w:r>
        <w:rPr>
          <w:sz w:val="26"/>
          <w:szCs w:val="26"/>
          <w:lang w:val="nl-NL"/>
        </w:rPr>
        <w:t xml:space="preserve">từ hoạt động dân sinh, tình trạng sử dụng thuốc BVTV và phân bón hóa học </w:t>
      </w:r>
      <w:r>
        <w:rPr>
          <w:spacing w:val="-8"/>
          <w:sz w:val="26"/>
          <w:szCs w:val="26"/>
          <w:lang w:val="nl-NL"/>
        </w:rPr>
        <w:t>từ hoạt động trồng trọt và lâm nghiệp</w:t>
      </w:r>
      <w:r>
        <w:rPr>
          <w:sz w:val="26"/>
          <w:szCs w:val="26"/>
          <w:lang w:val="nl-NL"/>
        </w:rPr>
        <w:t xml:space="preserve">, các chất thải trong quá trình </w:t>
      </w:r>
      <w:r>
        <w:rPr>
          <w:spacing w:val="-8"/>
          <w:sz w:val="26"/>
          <w:szCs w:val="26"/>
          <w:lang w:val="nl-NL"/>
        </w:rPr>
        <w:t>nuôi trồng và chế biến thủy sản</w:t>
      </w:r>
      <w:r>
        <w:rPr>
          <w:sz w:val="26"/>
          <w:szCs w:val="26"/>
          <w:lang w:val="nl-NL"/>
        </w:rPr>
        <w:t xml:space="preserve"> đang ảnh hưởng không nhỏ tới môi trường đất</w:t>
      </w:r>
      <w:r>
        <w:rPr>
          <w:spacing w:val="-8"/>
          <w:sz w:val="26"/>
          <w:szCs w:val="26"/>
          <w:lang w:val="nl-NL"/>
        </w:rPr>
        <w:t xml:space="preserve">. </w:t>
      </w:r>
      <w:r>
        <w:rPr>
          <w:sz w:val="26"/>
          <w:szCs w:val="26"/>
          <w:lang w:val="nl-NL"/>
        </w:rPr>
        <w:t xml:space="preserve">Bên cạnh đó, việc xử lý chất thải ngành chăn nuôi, chất thải làng nghề chưa được xử lý triệt để cũng gây sức ép không nhỏ lên môi trường đất. Ngoài ra, môi trường đất chịu </w:t>
      </w:r>
      <w:r>
        <w:rPr>
          <w:bCs/>
          <w:sz w:val="26"/>
          <w:szCs w:val="26"/>
          <w:bdr w:val="none" w:sz="0" w:space="0" w:color="auto" w:frame="1"/>
          <w:shd w:val="clear" w:color="auto" w:fill="FFFFFF"/>
          <w:lang w:val="nl-NL"/>
        </w:rPr>
        <w:t>ảnh hưởng của BĐKH, chế độ thủy triều và thiên tai ngày càng rõ rệt.</w:t>
      </w:r>
    </w:p>
    <w:p w14:paraId="165680CD" w14:textId="77777777" w:rsidR="00085789" w:rsidRDefault="00000000">
      <w:pPr>
        <w:spacing w:before="120" w:line="240" w:lineRule="auto"/>
        <w:ind w:firstLine="720"/>
        <w:jc w:val="both"/>
        <w:rPr>
          <w:sz w:val="26"/>
          <w:szCs w:val="26"/>
          <w:lang w:val="nl-NL"/>
        </w:rPr>
      </w:pPr>
      <w:r>
        <w:rPr>
          <w:spacing w:val="-2"/>
          <w:sz w:val="26"/>
          <w:szCs w:val="26"/>
          <w:shd w:val="clear" w:color="auto" w:fill="FFFFFF"/>
          <w:lang w:val="nl-NL"/>
        </w:rPr>
        <w:t xml:space="preserve">Diễn biến chất lượng môi trường đất các </w:t>
      </w:r>
      <w:r>
        <w:rPr>
          <w:sz w:val="26"/>
          <w:lang w:val="nl-NL"/>
        </w:rPr>
        <w:t>khu vực đại diện cho các vùng chịu sức ép từ hoạt động phát triển KT-XH, cụ thể như sau:</w:t>
      </w:r>
    </w:p>
    <w:p w14:paraId="0F97FCCF" w14:textId="77777777" w:rsidR="00085789" w:rsidRDefault="00000000">
      <w:pPr>
        <w:pStyle w:val="bac2"/>
        <w:spacing w:before="120" w:after="0" w:line="240" w:lineRule="auto"/>
        <w:rPr>
          <w:smallCaps/>
          <w:lang w:val="nl-NL"/>
        </w:rPr>
      </w:pPr>
      <w:bookmarkStart w:id="940" w:name="_Toc214311264"/>
      <w:r>
        <w:rPr>
          <w:lang w:val="nl-NL"/>
        </w:rPr>
        <w:t>5.2.2. Diễn biến chất lượng môi trường đất</w:t>
      </w:r>
      <w:bookmarkEnd w:id="940"/>
    </w:p>
    <w:p w14:paraId="54CA5DDA" w14:textId="77777777" w:rsidR="00085789" w:rsidRDefault="00000000">
      <w:pPr>
        <w:widowControl w:val="0"/>
        <w:spacing w:before="120" w:line="240" w:lineRule="auto"/>
        <w:ind w:firstLine="709"/>
        <w:jc w:val="both"/>
        <w:rPr>
          <w:rFonts w:ascii="Times New Roman Bold" w:hAnsi="Times New Roman Bold" w:cstheme="minorHAnsi"/>
          <w:bCs/>
          <w:spacing w:val="-4"/>
          <w:sz w:val="26"/>
          <w:szCs w:val="26"/>
          <w:lang w:val="nl-NL"/>
        </w:rPr>
      </w:pPr>
      <w:r>
        <w:rPr>
          <w:sz w:val="26"/>
          <w:szCs w:val="26"/>
          <w:lang w:val="nl-NL"/>
        </w:rPr>
        <w:t xml:space="preserve">Môi trường đất chịu rất nhiều tác động bởi các yếu tố tự nhiên và con người, ngoài các yếu tố do hoạt động sản xuất nông nghiệp, công nghiệp, thay đổi rừng,... đến </w:t>
      </w:r>
      <w:r>
        <w:rPr>
          <w:sz w:val="26"/>
          <w:szCs w:val="26"/>
          <w:lang w:val="nl-NL"/>
        </w:rPr>
        <w:lastRenderedPageBreak/>
        <w:t>các yếu tố xâm nhập mặn, tính chất đất của từng khu vực, BĐKH,.... Căn cứ vào số liệu quan trắc mạng lưới tại 17 điểm đại diện cho các khu vực có hoạt động công nghiệp, nông nghiệp, lâm nghiệp chịu nhiều tác động của con người từ năm 2021 đến nay, xác định diễn biến chất lượng môi trường đất như sau:</w:t>
      </w:r>
    </w:p>
    <w:p w14:paraId="727F4710" w14:textId="77777777" w:rsidR="00085789" w:rsidRDefault="00085789">
      <w:pPr>
        <w:pStyle w:val="hd1"/>
        <w:spacing w:before="120" w:after="0" w:line="340" w:lineRule="exact"/>
        <w:rPr>
          <w:smallCaps/>
          <w:color w:val="auto"/>
          <w:sz w:val="26"/>
          <w:lang w:val="nl-NL"/>
        </w:rPr>
        <w:sectPr w:rsidR="00085789">
          <w:pgSz w:w="11909" w:h="16834" w:code="9"/>
          <w:pgMar w:top="1134" w:right="1134" w:bottom="1134" w:left="1701" w:header="680" w:footer="340" w:gutter="0"/>
          <w:cols w:space="720"/>
          <w:docGrid w:linePitch="381"/>
        </w:sectPr>
      </w:pPr>
    </w:p>
    <w:p w14:paraId="17D62CF9"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lastRenderedPageBreak/>
        <w:t xml:space="preserve">(1) Diễn biến hàm lượng Asen (As) trong môi trường đất </w:t>
      </w:r>
      <w:r>
        <w:rPr>
          <w:b/>
          <w:noProof/>
          <w:spacing w:val="-4"/>
          <w:sz w:val="26"/>
          <w:szCs w:val="26"/>
          <w:lang w:val="pt-BR"/>
        </w:rPr>
        <w:t>từ năm 2021-Quý II/2025</w:t>
      </w:r>
      <w:r>
        <w:rPr>
          <w:b/>
          <w:noProof/>
          <w:spacing w:val="-4"/>
          <w:sz w:val="26"/>
          <w:szCs w:val="26"/>
          <w:lang w:val="nl-NL"/>
        </w:rPr>
        <w:t>:</w:t>
      </w:r>
    </w:p>
    <w:p w14:paraId="0E87FF30" w14:textId="77777777" w:rsidR="00085789" w:rsidRDefault="00000000">
      <w:pPr>
        <w:spacing w:line="240" w:lineRule="auto"/>
        <w:jc w:val="both"/>
        <w:rPr>
          <w:noProof/>
          <w:sz w:val="26"/>
          <w:szCs w:val="26"/>
          <w:lang w:val="nl-NL"/>
        </w:rPr>
      </w:pPr>
      <w:r>
        <w:rPr>
          <w:noProof/>
        </w:rPr>
        <w:drawing>
          <wp:inline distT="0" distB="0" distL="0" distR="0" wp14:anchorId="7F7A6775" wp14:editId="15DFFFFF">
            <wp:extent cx="8952865" cy="3681454"/>
            <wp:effectExtent l="0" t="0" r="635" b="14605"/>
            <wp:docPr id="1616393580" name="Chart 1">
              <a:extLst xmlns:a="http://schemas.openxmlformats.org/drawingml/2006/main">
                <a:ext uri="{FF2B5EF4-FFF2-40B4-BE49-F238E27FC236}">
                  <a16:creationId xmlns:a16="http://schemas.microsoft.com/office/drawing/2014/main" id="{4949D2B5-C1FF-4F5A-9641-17EE45B24E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125586CB" w14:textId="77777777" w:rsidR="00085789" w:rsidRDefault="00000000">
      <w:pPr>
        <w:pStyle w:val="-bac4"/>
        <w:rPr>
          <w:lang w:val="nl-NL"/>
        </w:rPr>
      </w:pPr>
      <w:bookmarkStart w:id="941" w:name="_Toc205915840"/>
      <w:bookmarkStart w:id="942" w:name="_Toc213597531"/>
      <w:bookmarkStart w:id="943" w:name="_Toc213600859"/>
      <w:r>
        <w:rPr>
          <w:lang w:val="nl-NL"/>
        </w:rPr>
        <w:t xml:space="preserve">Hình 5.2. Diễn biến hàm lượng Asen (As) trong môi trường đất </w:t>
      </w:r>
      <w:r>
        <w:rPr>
          <w:noProof/>
          <w:spacing w:val="-4"/>
          <w:lang w:val="pt-BR"/>
        </w:rPr>
        <w:t>từ năm 2021-Quý II/2025</w:t>
      </w:r>
      <w:bookmarkEnd w:id="941"/>
      <w:bookmarkEnd w:id="942"/>
      <w:bookmarkEnd w:id="943"/>
    </w:p>
    <w:p w14:paraId="7620CF9E"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63C9D13D"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hàm lượng Asen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506D0047"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Asen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00B08BF3"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(2) Diễn biến hàm lượng Cadimi (Cd) trong môi trường đất </w:t>
      </w:r>
      <w:r>
        <w:rPr>
          <w:b/>
          <w:noProof/>
          <w:spacing w:val="-4"/>
          <w:sz w:val="26"/>
          <w:szCs w:val="26"/>
          <w:lang w:val="pt-BR"/>
        </w:rPr>
        <w:t>từ năm 2021-Quý II/2025</w:t>
      </w:r>
      <w:r>
        <w:rPr>
          <w:b/>
          <w:noProof/>
          <w:spacing w:val="-4"/>
          <w:sz w:val="26"/>
          <w:szCs w:val="26"/>
          <w:lang w:val="nl-NL"/>
        </w:rPr>
        <w:t>:</w:t>
      </w:r>
    </w:p>
    <w:p w14:paraId="0FF588D3" w14:textId="77777777" w:rsidR="00085789" w:rsidRDefault="00000000">
      <w:pPr>
        <w:spacing w:line="240" w:lineRule="auto"/>
        <w:jc w:val="both"/>
        <w:rPr>
          <w:noProof/>
          <w:sz w:val="26"/>
          <w:szCs w:val="26"/>
          <w:lang w:val="nl-NL"/>
        </w:rPr>
      </w:pPr>
      <w:r>
        <w:rPr>
          <w:noProof/>
        </w:rPr>
        <w:lastRenderedPageBreak/>
        <w:drawing>
          <wp:inline distT="0" distB="0" distL="0" distR="0" wp14:anchorId="4D6CA34A" wp14:editId="5BC13CED">
            <wp:extent cx="9264650" cy="2006221"/>
            <wp:effectExtent l="0" t="0" r="12700" b="13335"/>
            <wp:docPr id="1675566267" name="Chart 1">
              <a:extLst xmlns:a="http://schemas.openxmlformats.org/drawingml/2006/main">
                <a:ext uri="{FF2B5EF4-FFF2-40B4-BE49-F238E27FC236}">
                  <a16:creationId xmlns:a16="http://schemas.microsoft.com/office/drawing/2014/main" id="{C384676E-4961-4404-8210-70DDB759F5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598ECC30" w14:textId="77777777" w:rsidR="00085789" w:rsidRDefault="00000000">
      <w:pPr>
        <w:pStyle w:val="-bac4"/>
        <w:rPr>
          <w:lang w:val="nl-NL"/>
        </w:rPr>
      </w:pPr>
      <w:bookmarkStart w:id="944" w:name="_Toc205915841"/>
      <w:bookmarkStart w:id="945" w:name="_Toc213597532"/>
      <w:bookmarkStart w:id="946" w:name="_Toc213600860"/>
      <w:r>
        <w:rPr>
          <w:lang w:val="nl-NL"/>
        </w:rPr>
        <w:t xml:space="preserve">Hình 5.3. Diễn biến hàm lượng Cadimi (Cd) trong môi trường đất </w:t>
      </w:r>
      <w:r>
        <w:rPr>
          <w:noProof/>
          <w:spacing w:val="-4"/>
          <w:lang w:val="pt-BR"/>
        </w:rPr>
        <w:t>từ năm 2021-Quý II/2025</w:t>
      </w:r>
      <w:bookmarkEnd w:id="944"/>
      <w:bookmarkEnd w:id="945"/>
      <w:bookmarkEnd w:id="946"/>
    </w:p>
    <w:p w14:paraId="563C21FE" w14:textId="77777777" w:rsidR="00085789" w:rsidRDefault="00000000">
      <w:pPr>
        <w:widowControl w:val="0"/>
        <w:spacing w:before="60" w:line="240" w:lineRule="auto"/>
        <w:ind w:firstLine="709"/>
        <w:jc w:val="both"/>
        <w:rPr>
          <w:noProof/>
          <w:sz w:val="26"/>
          <w:szCs w:val="26"/>
          <w:u w:val="single"/>
          <w:lang w:val="nl-NL"/>
        </w:rPr>
      </w:pPr>
      <w:r>
        <w:rPr>
          <w:i/>
          <w:noProof/>
          <w:sz w:val="26"/>
          <w:szCs w:val="26"/>
          <w:u w:val="single"/>
          <w:lang w:val="nl-NL"/>
        </w:rPr>
        <w:t>Nhận xét:</w:t>
      </w:r>
    </w:p>
    <w:p w14:paraId="5BF0F99E" w14:textId="77777777" w:rsidR="00085789" w:rsidRDefault="00000000">
      <w:pPr>
        <w:widowControl w:val="0"/>
        <w:spacing w:before="60" w:line="240" w:lineRule="auto"/>
        <w:ind w:firstLine="709"/>
        <w:jc w:val="both"/>
        <w:rPr>
          <w:noProof/>
          <w:sz w:val="26"/>
          <w:szCs w:val="26"/>
          <w:lang w:val="nl-NL"/>
        </w:rPr>
      </w:pPr>
      <w:r>
        <w:rPr>
          <w:noProof/>
          <w:spacing w:val="-6"/>
          <w:sz w:val="26"/>
          <w:szCs w:val="26"/>
          <w:lang w:val="nl-NL"/>
        </w:rPr>
        <w:t>- Năm 2021-2022: Từ năm 2021 đến năm 2022, hàm lượng Cadimi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46A51543" w14:textId="77777777" w:rsidR="00085789" w:rsidRDefault="00000000">
      <w:pPr>
        <w:widowControl w:val="0"/>
        <w:spacing w:before="6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Cadimi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462D96A3"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(3) Diễn biến hàm lượng Chì (Pb) trong môi trường đất </w:t>
      </w:r>
      <w:r>
        <w:rPr>
          <w:b/>
          <w:noProof/>
          <w:spacing w:val="-4"/>
          <w:sz w:val="26"/>
          <w:szCs w:val="26"/>
          <w:lang w:val="pt-BR"/>
        </w:rPr>
        <w:t>từ năm 2021-Quý II/2025</w:t>
      </w:r>
      <w:r>
        <w:rPr>
          <w:b/>
          <w:noProof/>
          <w:spacing w:val="-4"/>
          <w:sz w:val="26"/>
          <w:szCs w:val="26"/>
          <w:lang w:val="nl-NL"/>
        </w:rPr>
        <w:t>:</w:t>
      </w:r>
    </w:p>
    <w:p w14:paraId="5DF8C940" w14:textId="77777777" w:rsidR="00085789" w:rsidRDefault="00000000">
      <w:pPr>
        <w:spacing w:line="240" w:lineRule="auto"/>
        <w:jc w:val="both"/>
        <w:rPr>
          <w:noProof/>
          <w:sz w:val="26"/>
          <w:szCs w:val="26"/>
          <w:lang w:val="nl-NL"/>
        </w:rPr>
      </w:pPr>
      <w:r>
        <w:rPr>
          <w:noProof/>
        </w:rPr>
        <w:drawing>
          <wp:inline distT="0" distB="0" distL="0" distR="0" wp14:anchorId="1F4B3148" wp14:editId="22AE6130">
            <wp:extent cx="9247505" cy="2208363"/>
            <wp:effectExtent l="0" t="0" r="10795" b="1905"/>
            <wp:docPr id="553566669" name="Chart 1">
              <a:extLst xmlns:a="http://schemas.openxmlformats.org/drawingml/2006/main">
                <a:ext uri="{FF2B5EF4-FFF2-40B4-BE49-F238E27FC236}">
                  <a16:creationId xmlns:a16="http://schemas.microsoft.com/office/drawing/2014/main" id="{F2FCAD62-9199-4D43-9ACB-D523819D9D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C4D7484" w14:textId="77777777" w:rsidR="00085789" w:rsidRDefault="00000000">
      <w:pPr>
        <w:pStyle w:val="-bac4"/>
        <w:rPr>
          <w:lang w:val="nl-NL"/>
        </w:rPr>
      </w:pPr>
      <w:bookmarkStart w:id="947" w:name="_Toc205915842"/>
      <w:bookmarkStart w:id="948" w:name="_Toc213597533"/>
      <w:bookmarkStart w:id="949" w:name="_Toc213600861"/>
      <w:r>
        <w:rPr>
          <w:lang w:val="nl-NL"/>
        </w:rPr>
        <w:t xml:space="preserve">Hình 5.4. Diễn biến hàm lượng Chì (Pb) trong môi trường đất </w:t>
      </w:r>
      <w:r>
        <w:rPr>
          <w:noProof/>
          <w:spacing w:val="-4"/>
          <w:lang w:val="pt-BR"/>
        </w:rPr>
        <w:t>từ năm 2021-Quý II/2025</w:t>
      </w:r>
      <w:bookmarkEnd w:id="947"/>
      <w:bookmarkEnd w:id="948"/>
      <w:bookmarkEnd w:id="949"/>
    </w:p>
    <w:p w14:paraId="327BC4BF" w14:textId="77777777" w:rsidR="00085789" w:rsidRDefault="00000000">
      <w:pPr>
        <w:widowControl w:val="0"/>
        <w:spacing w:line="340" w:lineRule="exact"/>
        <w:ind w:firstLine="709"/>
        <w:jc w:val="both"/>
        <w:rPr>
          <w:noProof/>
          <w:sz w:val="26"/>
          <w:szCs w:val="26"/>
          <w:u w:val="single"/>
          <w:lang w:val="nl-NL"/>
        </w:rPr>
      </w:pPr>
      <w:r>
        <w:rPr>
          <w:i/>
          <w:noProof/>
          <w:sz w:val="26"/>
          <w:szCs w:val="26"/>
          <w:u w:val="single"/>
          <w:lang w:val="nl-NL"/>
        </w:rPr>
        <w:lastRenderedPageBreak/>
        <w:t>Nhận xét:</w:t>
      </w:r>
    </w:p>
    <w:p w14:paraId="5137903A" w14:textId="77777777" w:rsidR="00085789" w:rsidRDefault="00000000">
      <w:pPr>
        <w:widowControl w:val="0"/>
        <w:spacing w:line="340" w:lineRule="exact"/>
        <w:ind w:firstLine="709"/>
        <w:jc w:val="both"/>
        <w:rPr>
          <w:noProof/>
          <w:sz w:val="26"/>
          <w:szCs w:val="26"/>
          <w:lang w:val="nl-NL"/>
        </w:rPr>
      </w:pPr>
      <w:r>
        <w:rPr>
          <w:noProof/>
          <w:spacing w:val="-6"/>
          <w:sz w:val="26"/>
          <w:szCs w:val="26"/>
          <w:lang w:val="nl-NL"/>
        </w:rPr>
        <w:t>- Năm 2021-2022: Từ năm 2021 đến năm 2022, hàm lượng Chì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5BA4EDCA" w14:textId="77777777" w:rsidR="00085789" w:rsidRDefault="00000000">
      <w:pPr>
        <w:widowControl w:val="0"/>
        <w:spacing w:line="340" w:lineRule="exact"/>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Chì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61434DB9" w14:textId="77777777" w:rsidR="00085789" w:rsidRDefault="00000000">
      <w:pPr>
        <w:widowControl w:val="0"/>
        <w:spacing w:before="120" w:line="340" w:lineRule="exact"/>
        <w:ind w:firstLine="709"/>
        <w:jc w:val="both"/>
        <w:rPr>
          <w:b/>
          <w:noProof/>
          <w:spacing w:val="-4"/>
          <w:sz w:val="26"/>
          <w:szCs w:val="26"/>
          <w:lang w:val="nl-NL"/>
        </w:rPr>
      </w:pPr>
      <w:r>
        <w:rPr>
          <w:b/>
          <w:noProof/>
          <w:spacing w:val="-4"/>
          <w:sz w:val="26"/>
          <w:szCs w:val="26"/>
          <w:lang w:val="nl-NL"/>
        </w:rPr>
        <w:t xml:space="preserve">(4) Diễn biến hàm lượng Crom (Cr) trong môi trường đất </w:t>
      </w:r>
      <w:r>
        <w:rPr>
          <w:b/>
          <w:noProof/>
          <w:spacing w:val="-4"/>
          <w:sz w:val="26"/>
          <w:szCs w:val="26"/>
          <w:lang w:val="pt-BR"/>
        </w:rPr>
        <w:t>từ năm 2021-Quý II/2025</w:t>
      </w:r>
      <w:r>
        <w:rPr>
          <w:b/>
          <w:noProof/>
          <w:spacing w:val="-4"/>
          <w:sz w:val="26"/>
          <w:szCs w:val="26"/>
          <w:lang w:val="nl-NL"/>
        </w:rPr>
        <w:t>:</w:t>
      </w:r>
    </w:p>
    <w:p w14:paraId="6E09AF43" w14:textId="77777777" w:rsidR="00085789" w:rsidRDefault="00000000">
      <w:pPr>
        <w:spacing w:line="240" w:lineRule="auto"/>
        <w:jc w:val="both"/>
        <w:rPr>
          <w:noProof/>
          <w:sz w:val="26"/>
          <w:szCs w:val="26"/>
          <w:lang w:val="nl-NL"/>
        </w:rPr>
      </w:pPr>
      <w:r>
        <w:rPr>
          <w:noProof/>
        </w:rPr>
        <w:drawing>
          <wp:inline distT="0" distB="0" distL="0" distR="0" wp14:anchorId="16D33399" wp14:editId="3F6F4129">
            <wp:extent cx="9247505" cy="1984076"/>
            <wp:effectExtent l="0" t="0" r="10795" b="16510"/>
            <wp:docPr id="1718529207" name="Chart 1">
              <a:extLst xmlns:a="http://schemas.openxmlformats.org/drawingml/2006/main">
                <a:ext uri="{FF2B5EF4-FFF2-40B4-BE49-F238E27FC236}">
                  <a16:creationId xmlns:a16="http://schemas.microsoft.com/office/drawing/2014/main" id="{EFD8F100-C9AD-491B-AFD4-4776DE908AB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04957D41" w14:textId="77777777" w:rsidR="00085789" w:rsidRDefault="00000000">
      <w:pPr>
        <w:pStyle w:val="-bac4"/>
        <w:rPr>
          <w:lang w:val="nl-NL"/>
        </w:rPr>
      </w:pPr>
      <w:bookmarkStart w:id="950" w:name="_Toc205915843"/>
      <w:bookmarkStart w:id="951" w:name="_Toc213597534"/>
      <w:bookmarkStart w:id="952" w:name="_Toc213600862"/>
      <w:r>
        <w:rPr>
          <w:lang w:val="nl-NL"/>
        </w:rPr>
        <w:t xml:space="preserve">Hình 5.5. Diễn biến hàm lượng Crom (Cr) trong môi trường đất </w:t>
      </w:r>
      <w:r>
        <w:rPr>
          <w:noProof/>
          <w:spacing w:val="-4"/>
          <w:lang w:val="pt-BR"/>
        </w:rPr>
        <w:t>từ năm 2021-Quý II/2025</w:t>
      </w:r>
      <w:bookmarkEnd w:id="950"/>
      <w:bookmarkEnd w:id="951"/>
      <w:bookmarkEnd w:id="952"/>
    </w:p>
    <w:p w14:paraId="75F2C6E8"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7DC59722"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hàm lượng Crom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2043E013" w14:textId="77777777" w:rsidR="00085789" w:rsidRDefault="00000000">
      <w:pPr>
        <w:widowControl w:val="0"/>
        <w:spacing w:before="120" w:line="240" w:lineRule="auto"/>
        <w:ind w:firstLine="709"/>
        <w:jc w:val="both"/>
        <w:rPr>
          <w:b/>
          <w:noProof/>
          <w:spacing w:val="-4"/>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Crom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66F801F5"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(5) Diễn biến hàm lượng Đồng (Cu) trong môi trường đất </w:t>
      </w:r>
      <w:r>
        <w:rPr>
          <w:b/>
          <w:noProof/>
          <w:spacing w:val="-4"/>
          <w:sz w:val="26"/>
          <w:szCs w:val="26"/>
          <w:lang w:val="pt-BR"/>
        </w:rPr>
        <w:t>từ năm 2021-Quý II/2025</w:t>
      </w:r>
      <w:r>
        <w:rPr>
          <w:b/>
          <w:noProof/>
          <w:spacing w:val="-4"/>
          <w:sz w:val="26"/>
          <w:szCs w:val="26"/>
          <w:lang w:val="nl-NL"/>
        </w:rPr>
        <w:t>:</w:t>
      </w:r>
    </w:p>
    <w:p w14:paraId="536FF1AA" w14:textId="77777777" w:rsidR="00085789" w:rsidRDefault="00000000">
      <w:pPr>
        <w:spacing w:line="240" w:lineRule="auto"/>
        <w:jc w:val="both"/>
        <w:rPr>
          <w:noProof/>
          <w:sz w:val="26"/>
          <w:szCs w:val="26"/>
          <w:lang w:val="nl-NL"/>
        </w:rPr>
      </w:pPr>
      <w:r>
        <w:rPr>
          <w:noProof/>
        </w:rPr>
        <w:lastRenderedPageBreak/>
        <w:drawing>
          <wp:inline distT="0" distB="0" distL="0" distR="0" wp14:anchorId="2A238DCC" wp14:editId="3103A506">
            <wp:extent cx="9264650" cy="2001329"/>
            <wp:effectExtent l="0" t="0" r="12700" b="18415"/>
            <wp:docPr id="2025061002" name="Chart 1">
              <a:extLst xmlns:a="http://schemas.openxmlformats.org/drawingml/2006/main">
                <a:ext uri="{FF2B5EF4-FFF2-40B4-BE49-F238E27FC236}">
                  <a16:creationId xmlns:a16="http://schemas.microsoft.com/office/drawing/2014/main" id="{0747A2CF-31A6-4EF3-8F6D-A3732C8DAC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0896E28C" w14:textId="77777777" w:rsidR="00085789" w:rsidRDefault="00000000">
      <w:pPr>
        <w:pStyle w:val="-bac4"/>
        <w:rPr>
          <w:lang w:val="nl-NL"/>
        </w:rPr>
      </w:pPr>
      <w:bookmarkStart w:id="953" w:name="_Toc205915844"/>
      <w:bookmarkStart w:id="954" w:name="_Toc213597535"/>
      <w:bookmarkStart w:id="955" w:name="_Toc213600863"/>
      <w:r>
        <w:rPr>
          <w:lang w:val="nl-NL"/>
        </w:rPr>
        <w:t xml:space="preserve">Hình 5.6. Diễn biến hàm lượng Đồng (Cu) trong môi trường đất </w:t>
      </w:r>
      <w:r>
        <w:rPr>
          <w:noProof/>
          <w:spacing w:val="-4"/>
          <w:lang w:val="pt-BR"/>
        </w:rPr>
        <w:t>từ năm 2021-Quý II/2025</w:t>
      </w:r>
      <w:bookmarkEnd w:id="953"/>
      <w:bookmarkEnd w:id="954"/>
      <w:bookmarkEnd w:id="955"/>
    </w:p>
    <w:p w14:paraId="1F7DDBE5"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t>Nhận xét:</w:t>
      </w:r>
    </w:p>
    <w:p w14:paraId="3A699B29"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Năm 2021-2022: Từ năm 2021 đến năm 2022, hàm lượng Đồng 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00724BDD"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Từ năm 2023 đến Quý II/2025, hàm lượng Đồng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3BD51A34" w14:textId="77777777" w:rsidR="00085789" w:rsidRDefault="00000000">
      <w:pPr>
        <w:widowControl w:val="0"/>
        <w:spacing w:before="120" w:line="240" w:lineRule="auto"/>
        <w:ind w:firstLine="709"/>
        <w:jc w:val="both"/>
        <w:rPr>
          <w:b/>
          <w:noProof/>
          <w:spacing w:val="-4"/>
          <w:sz w:val="26"/>
          <w:szCs w:val="26"/>
          <w:lang w:val="nl-NL"/>
        </w:rPr>
      </w:pPr>
      <w:r>
        <w:rPr>
          <w:b/>
          <w:noProof/>
          <w:spacing w:val="-4"/>
          <w:sz w:val="26"/>
          <w:szCs w:val="26"/>
          <w:lang w:val="nl-NL"/>
        </w:rPr>
        <w:t xml:space="preserve">(6) Diễn biến hàm lượng Kẽm (Zn) trong môi trường đất </w:t>
      </w:r>
      <w:r>
        <w:rPr>
          <w:b/>
          <w:noProof/>
          <w:spacing w:val="-4"/>
          <w:sz w:val="26"/>
          <w:szCs w:val="26"/>
          <w:lang w:val="pt-BR"/>
        </w:rPr>
        <w:t>từ năm 2021-Quý II/2025</w:t>
      </w:r>
      <w:r>
        <w:rPr>
          <w:b/>
          <w:noProof/>
          <w:spacing w:val="-4"/>
          <w:sz w:val="26"/>
          <w:szCs w:val="26"/>
          <w:lang w:val="nl-NL"/>
        </w:rPr>
        <w:t>:</w:t>
      </w:r>
    </w:p>
    <w:p w14:paraId="795B0A37" w14:textId="77777777" w:rsidR="00085789" w:rsidRDefault="00000000">
      <w:pPr>
        <w:spacing w:line="240" w:lineRule="auto"/>
        <w:jc w:val="both"/>
        <w:rPr>
          <w:noProof/>
          <w:sz w:val="26"/>
          <w:szCs w:val="26"/>
          <w:lang w:val="nl-NL"/>
        </w:rPr>
      </w:pPr>
      <w:r>
        <w:rPr>
          <w:noProof/>
        </w:rPr>
        <w:drawing>
          <wp:inline distT="0" distB="0" distL="0" distR="0" wp14:anchorId="73DEAFD1" wp14:editId="410BE08F">
            <wp:extent cx="9229725" cy="2053087"/>
            <wp:effectExtent l="0" t="0" r="9525" b="4445"/>
            <wp:docPr id="1736498868" name="Chart 1">
              <a:extLst xmlns:a="http://schemas.openxmlformats.org/drawingml/2006/main">
                <a:ext uri="{FF2B5EF4-FFF2-40B4-BE49-F238E27FC236}">
                  <a16:creationId xmlns:a16="http://schemas.microsoft.com/office/drawing/2014/main" id="{9FCF1119-C1FB-4784-8A1A-93E73C71331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34A3D6AB" w14:textId="77777777" w:rsidR="00085789" w:rsidRDefault="00085789">
      <w:pPr>
        <w:pStyle w:val="-bac4"/>
        <w:rPr>
          <w:lang w:val="nl-NL"/>
        </w:rPr>
        <w:sectPr w:rsidR="00085789">
          <w:pgSz w:w="16834" w:h="11909" w:orient="landscape" w:code="9"/>
          <w:pgMar w:top="1134" w:right="1134" w:bottom="1134" w:left="1134" w:header="680" w:footer="340" w:gutter="0"/>
          <w:cols w:space="720"/>
          <w:docGrid w:linePitch="381"/>
        </w:sectPr>
      </w:pPr>
    </w:p>
    <w:p w14:paraId="0C6F2D2D" w14:textId="77777777" w:rsidR="00085789" w:rsidRDefault="00000000">
      <w:pPr>
        <w:pStyle w:val="-bac4"/>
        <w:rPr>
          <w:lang w:val="nl-NL"/>
        </w:rPr>
      </w:pPr>
      <w:bookmarkStart w:id="956" w:name="_Toc205915845"/>
      <w:bookmarkStart w:id="957" w:name="_Toc213597536"/>
      <w:bookmarkStart w:id="958" w:name="_Toc213600864"/>
      <w:r>
        <w:rPr>
          <w:lang w:val="nl-NL"/>
        </w:rPr>
        <w:t xml:space="preserve">Hình 5.7. Diễn biến hàm lượng </w:t>
      </w:r>
      <w:r>
        <w:rPr>
          <w:noProof/>
          <w:spacing w:val="-4"/>
          <w:lang w:val="nl-NL"/>
        </w:rPr>
        <w:t>Kẽm (Zn)</w:t>
      </w:r>
      <w:r>
        <w:rPr>
          <w:lang w:val="nl-NL"/>
        </w:rPr>
        <w:t xml:space="preserve"> trong môi trường đất </w:t>
      </w:r>
      <w:r>
        <w:rPr>
          <w:noProof/>
          <w:spacing w:val="-4"/>
          <w:lang w:val="pt-BR"/>
        </w:rPr>
        <w:t>từ năm 2021-Quý II/2025</w:t>
      </w:r>
      <w:bookmarkEnd w:id="956"/>
      <w:bookmarkEnd w:id="957"/>
      <w:bookmarkEnd w:id="958"/>
    </w:p>
    <w:p w14:paraId="2024BCAA" w14:textId="77777777" w:rsidR="00085789" w:rsidRDefault="00085789">
      <w:pPr>
        <w:spacing w:line="240" w:lineRule="auto"/>
        <w:rPr>
          <w:noProof/>
          <w:sz w:val="26"/>
          <w:szCs w:val="26"/>
          <w:lang w:val="nl-NL"/>
        </w:rPr>
        <w:sectPr w:rsidR="00085789">
          <w:type w:val="continuous"/>
          <w:pgSz w:w="16834" w:h="11909" w:orient="landscape" w:code="9"/>
          <w:pgMar w:top="1134" w:right="1134" w:bottom="1134" w:left="1134" w:header="680" w:footer="340" w:gutter="0"/>
          <w:cols w:space="720"/>
          <w:docGrid w:linePitch="381"/>
        </w:sectPr>
      </w:pPr>
    </w:p>
    <w:p w14:paraId="3C668AC4" w14:textId="77777777" w:rsidR="00085789" w:rsidRDefault="00000000">
      <w:pPr>
        <w:widowControl w:val="0"/>
        <w:spacing w:before="120" w:line="240" w:lineRule="auto"/>
        <w:ind w:firstLine="709"/>
        <w:jc w:val="both"/>
        <w:rPr>
          <w:noProof/>
          <w:sz w:val="26"/>
          <w:szCs w:val="26"/>
          <w:u w:val="single"/>
          <w:lang w:val="nl-NL"/>
        </w:rPr>
      </w:pPr>
      <w:r>
        <w:rPr>
          <w:i/>
          <w:noProof/>
          <w:sz w:val="26"/>
          <w:szCs w:val="26"/>
          <w:u w:val="single"/>
          <w:lang w:val="nl-NL"/>
        </w:rPr>
        <w:lastRenderedPageBreak/>
        <w:t>Nhận xét:</w:t>
      </w:r>
    </w:p>
    <w:p w14:paraId="44E66635" w14:textId="77777777" w:rsidR="00085789" w:rsidRDefault="00000000">
      <w:pPr>
        <w:widowControl w:val="0"/>
        <w:spacing w:before="120" w:line="240" w:lineRule="auto"/>
        <w:ind w:firstLine="709"/>
        <w:jc w:val="both"/>
        <w:rPr>
          <w:noProof/>
          <w:sz w:val="26"/>
          <w:szCs w:val="26"/>
          <w:lang w:val="nl-NL"/>
        </w:rPr>
      </w:pPr>
      <w:r>
        <w:rPr>
          <w:noProof/>
          <w:spacing w:val="-6"/>
          <w:sz w:val="26"/>
          <w:szCs w:val="26"/>
          <w:lang w:val="nl-NL"/>
        </w:rPr>
        <w:t xml:space="preserve">- Năm 2021-2022: Từ năm 2021 đến năm 2022, hàm lượng </w:t>
      </w:r>
      <w:r>
        <w:rPr>
          <w:bCs/>
          <w:noProof/>
          <w:spacing w:val="-4"/>
          <w:sz w:val="26"/>
          <w:szCs w:val="26"/>
          <w:lang w:val="nl-NL"/>
        </w:rPr>
        <w:t>Kẽm</w:t>
      </w:r>
      <w:r>
        <w:rPr>
          <w:bCs/>
          <w:noProof/>
          <w:spacing w:val="-6"/>
          <w:sz w:val="26"/>
          <w:szCs w:val="26"/>
          <w:lang w:val="nl-NL"/>
        </w:rPr>
        <w:t xml:space="preserve"> </w:t>
      </w:r>
      <w:r>
        <w:rPr>
          <w:noProof/>
          <w:spacing w:val="-6"/>
          <w:sz w:val="26"/>
          <w:szCs w:val="26"/>
          <w:lang w:val="nl-NL"/>
        </w:rPr>
        <w:t>trong môi trường đất các vùng có hoạt động sản xuất công nghiệp, nông nghiệp và lâm nghiệp</w:t>
      </w:r>
      <w:r>
        <w:rPr>
          <w:noProof/>
          <w:spacing w:val="-2"/>
          <w:sz w:val="26"/>
          <w:szCs w:val="26"/>
          <w:lang w:val="nl-NL"/>
        </w:rPr>
        <w:t xml:space="preserve"> đều dưới ngưỡng cho phép theo QCVN 03-MT:2015/BTNMT</w:t>
      </w:r>
      <w:r>
        <w:rPr>
          <w:noProof/>
          <w:sz w:val="26"/>
          <w:szCs w:val="26"/>
          <w:lang w:val="nl-NL"/>
        </w:rPr>
        <w:t>.</w:t>
      </w:r>
    </w:p>
    <w:p w14:paraId="55EBD366" w14:textId="77777777" w:rsidR="00085789" w:rsidRDefault="00000000">
      <w:pPr>
        <w:spacing w:before="120" w:line="240" w:lineRule="auto"/>
        <w:ind w:firstLine="709"/>
        <w:jc w:val="both"/>
        <w:rPr>
          <w:noProof/>
          <w:sz w:val="26"/>
          <w:szCs w:val="26"/>
          <w:lang w:val="nl-NL"/>
        </w:rPr>
      </w:pPr>
      <w:r>
        <w:rPr>
          <w:noProof/>
          <w:sz w:val="26"/>
          <w:szCs w:val="26"/>
          <w:lang w:val="nl-NL"/>
        </w:rPr>
        <w:t xml:space="preserve">- Năm 2023-Quý II/2025: </w:t>
      </w:r>
      <w:r>
        <w:rPr>
          <w:noProof/>
          <w:spacing w:val="-6"/>
          <w:sz w:val="26"/>
          <w:szCs w:val="26"/>
          <w:lang w:val="nl-NL"/>
        </w:rPr>
        <w:t xml:space="preserve">Từ năm 2023 đến Quý II/2025, hàm lượng </w:t>
      </w:r>
      <w:r>
        <w:rPr>
          <w:bCs/>
          <w:noProof/>
          <w:spacing w:val="-4"/>
          <w:sz w:val="26"/>
          <w:szCs w:val="26"/>
          <w:lang w:val="nl-NL"/>
        </w:rPr>
        <w:t>Kẽm</w:t>
      </w:r>
      <w:r>
        <w:rPr>
          <w:noProof/>
          <w:spacing w:val="-6"/>
          <w:sz w:val="26"/>
          <w:szCs w:val="26"/>
          <w:lang w:val="nl-NL"/>
        </w:rPr>
        <w:t xml:space="preserve"> trong môi trường đất các vùng có hoạt động sản xuất công nghiệp (Loại 3), nông nghiệp (Loại 1) và lâm nghiệp</w:t>
      </w:r>
      <w:r>
        <w:rPr>
          <w:noProof/>
          <w:spacing w:val="-2"/>
          <w:sz w:val="26"/>
          <w:szCs w:val="26"/>
          <w:lang w:val="nl-NL"/>
        </w:rPr>
        <w:t xml:space="preserve"> (Loại 2) đều dưới ngưỡng cho phép theo QCVN 03:2023/BTNMT</w:t>
      </w:r>
      <w:r>
        <w:rPr>
          <w:noProof/>
          <w:sz w:val="26"/>
          <w:szCs w:val="26"/>
          <w:lang w:val="nl-NL"/>
        </w:rPr>
        <w:t>.</w:t>
      </w:r>
    </w:p>
    <w:p w14:paraId="5319C938" w14:textId="77777777" w:rsidR="00085789" w:rsidRDefault="00000000">
      <w:pPr>
        <w:spacing w:before="60" w:line="240" w:lineRule="auto"/>
        <w:ind w:firstLine="720"/>
        <w:jc w:val="both"/>
        <w:rPr>
          <w:i/>
          <w:iCs/>
          <w:sz w:val="26"/>
          <w:szCs w:val="26"/>
          <w:lang w:val="pt-BR"/>
        </w:rPr>
      </w:pPr>
      <w:r>
        <w:rPr>
          <w:i/>
          <w:iCs/>
          <w:sz w:val="26"/>
          <w:szCs w:val="26"/>
          <w:lang w:val="pt-BR"/>
        </w:rPr>
        <w:t>Kết quả quan trắc phân tích các mẫu đất ở các khu vực khác nhau đại diện cho các loại hình tác động đến môi trường (</w:t>
      </w:r>
      <w:r>
        <w:rPr>
          <w:i/>
          <w:iCs/>
          <w:noProof/>
          <w:spacing w:val="-6"/>
          <w:sz w:val="26"/>
          <w:szCs w:val="26"/>
          <w:lang w:val="nl-NL"/>
        </w:rPr>
        <w:t>sản xuất công nghiệp, nông nghiệp và lâm nghiệp</w:t>
      </w:r>
      <w:r>
        <w:rPr>
          <w:i/>
          <w:iCs/>
          <w:sz w:val="26"/>
          <w:szCs w:val="26"/>
          <w:lang w:val="pt-BR"/>
        </w:rPr>
        <w:t>) không có sự biến động nhiều giữa các vị trí quan trắc qua các năm (từ năm 2021 - 2025) và đều có hàm lượng thấp hơn giá trị giới hạn đối với từng mục đích sử dụng đất được quy định trong QCVN 03-MT:2015/BTNMT (từ năm 2021-2022), QCVN 03:2023/BTNMT (từ năm 2023-2025). Như vậy, có thể nhận định chất lượng đất trên địa bàn Hà Tĩnh đang tương đối tốt.</w:t>
      </w:r>
    </w:p>
    <w:p w14:paraId="1F494908" w14:textId="77777777" w:rsidR="00085789" w:rsidRDefault="00085789">
      <w:pPr>
        <w:spacing w:before="120" w:line="240" w:lineRule="auto"/>
        <w:ind w:firstLine="709"/>
        <w:jc w:val="both"/>
        <w:rPr>
          <w:noProof/>
          <w:sz w:val="26"/>
          <w:szCs w:val="26"/>
          <w:lang w:val="nl-NL"/>
        </w:rPr>
      </w:pPr>
    </w:p>
    <w:p w14:paraId="598369A8" w14:textId="77777777" w:rsidR="00085789" w:rsidRDefault="00000000">
      <w:pPr>
        <w:spacing w:before="120" w:line="240" w:lineRule="auto"/>
        <w:ind w:firstLine="709"/>
        <w:jc w:val="both"/>
        <w:rPr>
          <w:b/>
          <w:iCs/>
          <w:spacing w:val="-2"/>
          <w:sz w:val="26"/>
          <w:szCs w:val="26"/>
          <w:lang w:val="nl-NL"/>
        </w:rPr>
      </w:pPr>
      <w:r>
        <w:rPr>
          <w:spacing w:val="-2"/>
          <w:lang w:val="nl-NL"/>
        </w:rPr>
        <w:br w:type="page"/>
      </w:r>
    </w:p>
    <w:p w14:paraId="21794340" w14:textId="77777777" w:rsidR="00085789" w:rsidRDefault="00085789">
      <w:pPr>
        <w:rPr>
          <w:lang w:val="nl-NL"/>
        </w:rPr>
      </w:pPr>
    </w:p>
    <w:p w14:paraId="4415B355" w14:textId="77777777" w:rsidR="00085789" w:rsidRDefault="00000000">
      <w:pPr>
        <w:pStyle w:val="-bac1"/>
        <w:spacing w:before="0" w:after="0" w:line="240" w:lineRule="auto"/>
        <w:rPr>
          <w:lang w:val="nl-NL"/>
        </w:rPr>
      </w:pPr>
      <w:bookmarkStart w:id="959" w:name="_Toc214311265"/>
      <w:r>
        <w:rPr>
          <w:lang w:val="nl-NL"/>
        </w:rPr>
        <w:t>CHƯƠNG VI</w:t>
      </w:r>
      <w:bookmarkEnd w:id="959"/>
    </w:p>
    <w:p w14:paraId="0F8DAFDB" w14:textId="77777777" w:rsidR="00085789" w:rsidRDefault="00000000">
      <w:pPr>
        <w:pStyle w:val="H1"/>
        <w:spacing w:before="0" w:after="0" w:line="240" w:lineRule="auto"/>
        <w:rPr>
          <w:lang w:val="nl-NL"/>
        </w:rPr>
      </w:pPr>
      <w:r>
        <w:rPr>
          <w:lang w:val="nl-NL"/>
        </w:rPr>
        <w:t>HIỆN TRẠNG ĐA DẠNG SINH HỌC</w:t>
      </w:r>
    </w:p>
    <w:p w14:paraId="49A00E38" w14:textId="77777777" w:rsidR="00085789" w:rsidRDefault="00085789">
      <w:pPr>
        <w:pStyle w:val="H1"/>
        <w:spacing w:before="0" w:after="0" w:line="240" w:lineRule="auto"/>
        <w:rPr>
          <w:lang w:val="nl-NL"/>
        </w:rPr>
      </w:pPr>
    </w:p>
    <w:p w14:paraId="1C4E53E3" w14:textId="77777777" w:rsidR="00085789" w:rsidRDefault="00000000">
      <w:pPr>
        <w:pStyle w:val="bac2"/>
        <w:spacing w:before="40" w:after="0" w:line="240" w:lineRule="auto"/>
        <w:rPr>
          <w:smallCaps/>
          <w:lang w:val="nl-NL"/>
        </w:rPr>
      </w:pPr>
      <w:bookmarkStart w:id="960" w:name="_Toc214311266"/>
      <w:r>
        <w:rPr>
          <w:lang w:val="nl-NL"/>
        </w:rPr>
        <w:t>6.1. Hiện trạng HST rừng</w:t>
      </w:r>
      <w:bookmarkEnd w:id="960"/>
    </w:p>
    <w:p w14:paraId="03F4E144" w14:textId="77777777" w:rsidR="00085789" w:rsidRDefault="00000000">
      <w:pPr>
        <w:pStyle w:val="BodyText"/>
        <w:widowControl w:val="0"/>
        <w:spacing w:before="40" w:line="240" w:lineRule="auto"/>
        <w:ind w:firstLine="709"/>
        <w:rPr>
          <w:rFonts w:ascii="Times New Roman" w:hAnsi="Times New Roman"/>
          <w:b w:val="0"/>
          <w:bCs/>
          <w:spacing w:val="-2"/>
          <w:sz w:val="26"/>
          <w:szCs w:val="26"/>
          <w:lang w:val="nl-NL"/>
        </w:rPr>
      </w:pPr>
      <w:r>
        <w:rPr>
          <w:rFonts w:ascii="Times New Roman" w:hAnsi="Times New Roman"/>
          <w:b w:val="0"/>
          <w:bCs/>
          <w:spacing w:val="-2"/>
          <w:sz w:val="26"/>
          <w:szCs w:val="26"/>
          <w:lang w:val="nl-NL"/>
        </w:rPr>
        <w:t xml:space="preserve">Hà Tĩnh là một trong những tỉnh có tài nguyên rừng (gồm: diện tích rừng và đất có rừng) tương đối lớn so với cả nước. Tổng diện tích rừng và đất lâm nghiệp 358.472 ha (chiếm 60 % tổng diện tích đất tự nhiên của tỉnh). Trong đó: Có 74.501 ha rừng đặc dụng (rừng tự nhiên 73.499 ha, rừng trồng 510 ha, đất chưa có rừng 492 ha); 115.971 ha rừng phòng hộ (rừng tự nhiên 84.082 ha, rừng trồng 26.201 ha, đất chưa có rừng 5.688 ha) và 168.000 ha rừng sản xuất (rừng tự nhiên 59.770 ha, rừng trồng 93.998 ha, đất chưa có rừng 14.231 ha). Tỷ lệ che phủ rừng từ năm 2021-2024 ít có sự biến động đạt trên 52 %, riêng năm 2025 đạt 49,8 % (giảm là do diện tích rừng đủ tiêu chí thành rừng (tính tỷ lệ che phủ) bị thiệt hại do bão số 5, 10 gây ra trên địa bàn tỉnh (có khoảng 20.000 ha rừng trồng bị thiệt hại, không đủ tiêu chí thành rừng nên tỷ lệ che phủ sẽ giảm khoảng 3,34 % so với năm 2024)). </w:t>
      </w:r>
    </w:p>
    <w:p w14:paraId="6472B136" w14:textId="77777777" w:rsidR="00085789" w:rsidRDefault="00000000">
      <w:pPr>
        <w:pStyle w:val="bac2"/>
        <w:spacing w:before="40" w:after="0" w:line="240" w:lineRule="auto"/>
        <w:rPr>
          <w:smallCaps/>
          <w:lang w:val="nl-NL"/>
        </w:rPr>
      </w:pPr>
      <w:bookmarkStart w:id="961" w:name="_Toc214311267"/>
      <w:r>
        <w:rPr>
          <w:lang w:val="nl-NL"/>
        </w:rPr>
        <w:t>6.1.1. HST rừng đồi núi</w:t>
      </w:r>
      <w:bookmarkEnd w:id="961"/>
    </w:p>
    <w:p w14:paraId="1F0557B6" w14:textId="77777777" w:rsidR="00085789" w:rsidRDefault="00000000">
      <w:pPr>
        <w:widowControl w:val="0"/>
        <w:spacing w:before="40" w:line="240" w:lineRule="auto"/>
        <w:ind w:firstLine="709"/>
        <w:jc w:val="both"/>
        <w:rPr>
          <w:bCs/>
          <w:sz w:val="26"/>
          <w:szCs w:val="26"/>
          <w:lang w:val="nl-NL"/>
        </w:rPr>
      </w:pPr>
      <w:r>
        <w:rPr>
          <w:bCs/>
          <w:sz w:val="26"/>
          <w:szCs w:val="26"/>
          <w:lang w:val="nl-NL"/>
        </w:rPr>
        <w:t>HST rừng trên địa bàn Hà Tĩnh đa dạng cả về chủng loại và thành phần loài, tập trung chủ yếu tại khu vực Vườn Quốc gia Vũ Quang, khu bảo tồn thiên nhiên Kẻ Gỗ và một số khu vực rừng phòng hộ vùng núi phía Tây của tỉnh, khu vực dãy Hồng Lĩnh, cụ thể như sau:</w:t>
      </w:r>
    </w:p>
    <w:p w14:paraId="2B029498" w14:textId="77777777" w:rsidR="00085789" w:rsidRDefault="00000000">
      <w:pPr>
        <w:widowControl w:val="0"/>
        <w:spacing w:before="40" w:line="240" w:lineRule="auto"/>
        <w:ind w:firstLine="709"/>
        <w:jc w:val="both"/>
        <w:rPr>
          <w:bCs/>
          <w:sz w:val="26"/>
          <w:szCs w:val="26"/>
          <w:lang w:val="nl-NL"/>
        </w:rPr>
      </w:pPr>
      <w:r>
        <w:rPr>
          <w:bCs/>
          <w:sz w:val="26"/>
          <w:szCs w:val="26"/>
          <w:lang w:val="nl-NL"/>
        </w:rPr>
        <w:t>- Rừng sản xuất gồm rừng tự nhiên và rừng trồng; rừng trồng sản xuất chủ yếu là keo các loại, cung cấp nguyên liệu cho công nghiệp chế biến gỗ. Đối với rừng phòng hộ, ngoài 02 loại cây lâm nghiệp thông và keo còn có các loại cây bản địa có tính năng phòng hộ bền vững như Lim xanh, Cồng trắng, Rê hương, Dổi xanh. Rừng phòng hộ có vai trò rất quan trọng trong bảo vệ môi trường và kiểm soát lũ lụt ở địa phương. Rừng đặc dụng tương đối đa dạng với trên 86 họ và 500 loài cây gỗ. Trong đó có nhiều loài gỗ quý như Lim xanh, Sến, Táu mật, Đinh, Gụ, Pơmu,….</w:t>
      </w:r>
    </w:p>
    <w:p w14:paraId="1D0B5CE5" w14:textId="77777777" w:rsidR="00085789" w:rsidRDefault="00000000">
      <w:pPr>
        <w:pStyle w:val="BodyText"/>
        <w:widowControl w:val="0"/>
        <w:spacing w:before="40" w:line="240" w:lineRule="auto"/>
        <w:ind w:firstLine="709"/>
        <w:rPr>
          <w:rFonts w:ascii="Times New Roman" w:hAnsi="Times New Roman"/>
          <w:b w:val="0"/>
          <w:bCs/>
          <w:sz w:val="26"/>
          <w:szCs w:val="26"/>
          <w:lang w:val="nl-NL"/>
        </w:rPr>
      </w:pPr>
      <w:r>
        <w:rPr>
          <w:rFonts w:ascii="Times New Roman" w:hAnsi="Times New Roman"/>
          <w:b w:val="0"/>
          <w:bCs/>
          <w:sz w:val="26"/>
          <w:szCs w:val="26"/>
          <w:lang w:val="nl-NL"/>
        </w:rPr>
        <w:t>- Thành phần các loài động, thực vật tại các HST rừng tự nhiên trên địa bàn tỉnh Hà Tĩnh rất đa dạng với 2.993 loài thuộc 1.067 chi, 228 họ, 06 ngành TVBC và hơn 1.000 loài ĐVHD; trong đó có nhiều loài quý, hiếm cần được ưu tiên bảo vệ có tên trong IUCN (2016), SĐVN (2007); Nghị định 32/2006/NĐ-CP và Nghị định 160/2013/NĐ- CP như: Pơ m,; Vàng tâm Giổi lụa Gù hương, Re cam bốt, Re hương, Sao mặt quỷ, Chò chỉ,Sến mật… và một số loài động vật như Gà lôi lam mào đen, Gà lôi Hà Tĩnh, Vượn đen má trắng, Gấu chó, Sao la, Mang lớn…. Đặc biệt, Vườn quốc gia Vũ Quang có khoảng 300 loài thực vật và nhiều loài động vật quý hiếm; nơi đây đã phát hiện được 02 loại thú quý hiếm là Sao la và Mang lớn.</w:t>
      </w:r>
    </w:p>
    <w:p w14:paraId="57F77037" w14:textId="77777777" w:rsidR="00085789" w:rsidRDefault="00000000">
      <w:pPr>
        <w:pStyle w:val="BodyText"/>
        <w:widowControl w:val="0"/>
        <w:spacing w:before="40" w:line="240" w:lineRule="auto"/>
        <w:ind w:firstLine="709"/>
        <w:rPr>
          <w:rFonts w:ascii="Times New Roman" w:hAnsi="Times New Roman"/>
          <w:b w:val="0"/>
          <w:bCs/>
          <w:sz w:val="26"/>
          <w:szCs w:val="26"/>
          <w:lang w:val="nl-NL"/>
        </w:rPr>
      </w:pPr>
      <w:r>
        <w:rPr>
          <w:rFonts w:ascii="Times New Roman" w:hAnsi="Times New Roman"/>
          <w:b w:val="0"/>
          <w:bCs/>
          <w:sz w:val="26"/>
          <w:szCs w:val="26"/>
          <w:lang w:val="nl-NL"/>
        </w:rPr>
        <w:t>- Khu</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Bảo</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tồn</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thiên</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nhiên</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Kẻ</w:t>
      </w:r>
      <w:r>
        <w:rPr>
          <w:rFonts w:ascii="Times New Roman" w:hAnsi="Times New Roman"/>
          <w:b w:val="0"/>
          <w:bCs/>
          <w:spacing w:val="-2"/>
          <w:sz w:val="26"/>
          <w:szCs w:val="26"/>
          <w:lang w:val="nl-NL"/>
        </w:rPr>
        <w:t xml:space="preserve"> </w:t>
      </w:r>
      <w:r>
        <w:rPr>
          <w:rFonts w:ascii="Times New Roman" w:hAnsi="Times New Roman"/>
          <w:b w:val="0"/>
          <w:bCs/>
          <w:sz w:val="26"/>
          <w:szCs w:val="26"/>
          <w:lang w:val="nl-NL"/>
        </w:rPr>
        <w:t>Gỗ</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cũng</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là</w:t>
      </w:r>
      <w:r>
        <w:rPr>
          <w:rFonts w:ascii="Times New Roman" w:hAnsi="Times New Roman"/>
          <w:b w:val="0"/>
          <w:bCs/>
          <w:spacing w:val="-2"/>
          <w:sz w:val="26"/>
          <w:szCs w:val="26"/>
          <w:lang w:val="nl-NL"/>
        </w:rPr>
        <w:t xml:space="preserve"> </w:t>
      </w:r>
      <w:r>
        <w:rPr>
          <w:rFonts w:ascii="Times New Roman" w:hAnsi="Times New Roman"/>
          <w:b w:val="0"/>
          <w:bCs/>
          <w:sz w:val="26"/>
          <w:szCs w:val="26"/>
          <w:lang w:val="nl-NL"/>
        </w:rPr>
        <w:t>một</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địa</w:t>
      </w:r>
      <w:r>
        <w:rPr>
          <w:rFonts w:ascii="Times New Roman" w:hAnsi="Times New Roman"/>
          <w:b w:val="0"/>
          <w:bCs/>
          <w:spacing w:val="-3"/>
          <w:sz w:val="26"/>
          <w:szCs w:val="26"/>
          <w:lang w:val="nl-NL"/>
        </w:rPr>
        <w:t xml:space="preserve"> </w:t>
      </w:r>
      <w:r>
        <w:rPr>
          <w:rFonts w:ascii="Times New Roman" w:hAnsi="Times New Roman"/>
          <w:b w:val="0"/>
          <w:bCs/>
          <w:sz w:val="26"/>
          <w:szCs w:val="26"/>
          <w:lang w:val="nl-NL"/>
        </w:rPr>
        <w:t>điểm</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có</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giá trị</w:t>
      </w:r>
      <w:r>
        <w:rPr>
          <w:rFonts w:ascii="Times New Roman" w:hAnsi="Times New Roman"/>
          <w:b w:val="0"/>
          <w:bCs/>
          <w:spacing w:val="-4"/>
          <w:sz w:val="26"/>
          <w:szCs w:val="26"/>
          <w:lang w:val="nl-NL"/>
        </w:rPr>
        <w:t xml:space="preserve"> </w:t>
      </w:r>
      <w:r>
        <w:rPr>
          <w:rFonts w:ascii="Times New Roman" w:hAnsi="Times New Roman"/>
          <w:b w:val="0"/>
          <w:bCs/>
          <w:sz w:val="26"/>
          <w:szCs w:val="26"/>
          <w:lang w:val="nl-NL"/>
        </w:rPr>
        <w:t xml:space="preserve">ĐDSH </w:t>
      </w:r>
      <w:r>
        <w:rPr>
          <w:rFonts w:ascii="Times New Roman" w:hAnsi="Times New Roman"/>
          <w:b w:val="0"/>
          <w:bCs/>
          <w:spacing w:val="-62"/>
          <w:sz w:val="26"/>
          <w:szCs w:val="26"/>
          <w:lang w:val="nl-NL"/>
        </w:rPr>
        <w:t xml:space="preserve"> </w:t>
      </w:r>
      <w:r>
        <w:rPr>
          <w:rFonts w:ascii="Times New Roman" w:hAnsi="Times New Roman"/>
          <w:b w:val="0"/>
          <w:bCs/>
          <w:sz w:val="26"/>
          <w:szCs w:val="26"/>
          <w:lang w:val="nl-NL"/>
        </w:rPr>
        <w:t>cao, theo số liệu điều tra, tại đây có 567 loài thực vật, 76 loài thú, 298 loài chim, trong</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đó có 19 loài chim được ghi vào sách đỏ Việt Nam, 63 loài bò sát, 33 loài lưỡng cư và</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côn trùng, 302 loài bướm. Với tầm quan trọng đó, ngay từ cuối năm 1996, Thủ tướng</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Chính phủ ban hành Quyết định về việc xác lập Khu bảo tồn thiên nhiên quốc gia vùng rừng hồ Kẻ Gỗ, tỉnh Hà Tĩnh diện tích 24.801 ha (theo Quyết định số 970-TTg ngày</w:t>
      </w:r>
      <w:r>
        <w:rPr>
          <w:rFonts w:ascii="Times New Roman" w:hAnsi="Times New Roman"/>
          <w:b w:val="0"/>
          <w:bCs/>
          <w:spacing w:val="1"/>
          <w:sz w:val="26"/>
          <w:szCs w:val="26"/>
          <w:lang w:val="nl-NL"/>
        </w:rPr>
        <w:t xml:space="preserve"> </w:t>
      </w:r>
      <w:r>
        <w:rPr>
          <w:rFonts w:ascii="Times New Roman" w:hAnsi="Times New Roman"/>
          <w:b w:val="0"/>
          <w:bCs/>
          <w:sz w:val="26"/>
          <w:szCs w:val="26"/>
          <w:lang w:val="nl-NL"/>
        </w:rPr>
        <w:t>28/12/1996).</w:t>
      </w:r>
    </w:p>
    <w:p w14:paraId="4A98E292" w14:textId="77777777" w:rsidR="00085789" w:rsidRDefault="00000000">
      <w:pPr>
        <w:pStyle w:val="bac2"/>
        <w:spacing w:before="40" w:after="0" w:line="240" w:lineRule="auto"/>
        <w:rPr>
          <w:smallCaps/>
          <w:lang w:val="nl-NL"/>
        </w:rPr>
      </w:pPr>
      <w:bookmarkStart w:id="962" w:name="_Toc214311268"/>
      <w:r>
        <w:rPr>
          <w:lang w:val="nl-NL"/>
        </w:rPr>
        <w:t>6.1.2. HST rừng ngập mặn</w:t>
      </w:r>
      <w:bookmarkEnd w:id="962"/>
    </w:p>
    <w:p w14:paraId="6638C6CA" w14:textId="77777777" w:rsidR="00085789" w:rsidRDefault="00000000">
      <w:pPr>
        <w:spacing w:before="40" w:line="240" w:lineRule="auto"/>
        <w:ind w:firstLine="709"/>
        <w:jc w:val="both"/>
        <w:rPr>
          <w:sz w:val="26"/>
          <w:szCs w:val="26"/>
          <w:lang w:val="nl-NL"/>
        </w:rPr>
      </w:pPr>
      <w:r>
        <w:rPr>
          <w:sz w:val="26"/>
          <w:szCs w:val="26"/>
          <w:lang w:val="nl-NL"/>
        </w:rPr>
        <w:t xml:space="preserve">- Rừng ngập mặn đóng vai trò quan trọng trong HST, có nhiều lợi ích cho động vật, con người và cả HST xung quanh. Thân, cành và rễ của rừng ngập mặn đóng vai trò là rào cản giúp làm giảm ảnh hưởng của ngập lụt, sóng, gió mạnh. Nhờ vậy mà bảo vệ con người, nhà cửa, đồng ruộng khỏi thiên tai bão lũ, sóng triều. Rừng ngập mặn giúp bảo vệ đất đai, </w:t>
      </w:r>
      <w:r>
        <w:rPr>
          <w:sz w:val="26"/>
          <w:szCs w:val="26"/>
          <w:lang w:val="nl-NL"/>
        </w:rPr>
        <w:lastRenderedPageBreak/>
        <w:t>bờ biển không bị ảnh hưởng của sóng và xói lở, ngoài ra chúng còn tăng diện tích đất thông qua việc giữ lại và kết dính vật liệu phù sa từ biển mang ra. Cũng chính cách này mà cây rừng ngập mặn đã tự tạo cho mình được môi trường sống thích hợp như loài mắm, đước, bần, ô rô…. Rừng ngập mặn còn có vai trò trong loại bỏ các ô nhiễm khí thải, trầm tích, phú dưỡng ra khỏi kênh rạch, sông ngòi, đại dương. Đây là môi trường sống của rất nhiều các loài động, thực vật, đóng vai trò quan trọng trong hệ lưới thức ăn phức tạp. Do đó nếu suy giảm rừng ngập mặn thì dẫn đến các hiện tượng bão lũ, xói lở, mất cân bằng HST.</w:t>
      </w:r>
    </w:p>
    <w:p w14:paraId="2B2F25BA" w14:textId="77777777" w:rsidR="00085789" w:rsidRDefault="00000000">
      <w:pPr>
        <w:spacing w:before="40" w:line="240" w:lineRule="auto"/>
        <w:ind w:firstLine="709"/>
        <w:jc w:val="both"/>
        <w:rPr>
          <w:sz w:val="26"/>
          <w:szCs w:val="26"/>
          <w:lang w:val="af-ZA"/>
        </w:rPr>
      </w:pPr>
      <w:r>
        <w:rPr>
          <w:spacing w:val="-2"/>
          <w:sz w:val="26"/>
          <w:szCs w:val="26"/>
          <w:lang w:val="af-ZA"/>
        </w:rPr>
        <w:t>- Cây ngập mặn ở Hà Tĩnh thường phân bố ở phía trong cách cửa sông 100-300 m.</w:t>
      </w:r>
      <w:r>
        <w:rPr>
          <w:sz w:val="26"/>
          <w:szCs w:val="26"/>
          <w:lang w:val="af-ZA"/>
        </w:rPr>
        <w:t xml:space="preserve"> Ví dụ như rừng </w:t>
      </w:r>
      <w:r>
        <w:rPr>
          <w:iCs/>
          <w:sz w:val="26"/>
          <w:szCs w:val="26"/>
          <w:lang w:val="af-ZA"/>
        </w:rPr>
        <w:t>Bần chua</w:t>
      </w:r>
      <w:r>
        <w:rPr>
          <w:sz w:val="26"/>
          <w:szCs w:val="26"/>
          <w:lang w:val="af-ZA"/>
        </w:rPr>
        <w:t xml:space="preserve"> ở trong cửa sông, phân bố dọc theo sông ở các xã từ Xuân Hội đến Tiên Điền, huyện Nghi Xuân</w:t>
      </w:r>
      <w:r>
        <w:rPr>
          <w:noProof/>
          <w:sz w:val="26"/>
          <w:szCs w:val="26"/>
          <w:lang w:val="nl-NL"/>
        </w:rPr>
        <w:t xml:space="preserve"> trước đây</w:t>
      </w:r>
      <w:r>
        <w:rPr>
          <w:sz w:val="26"/>
          <w:szCs w:val="26"/>
          <w:lang w:val="af-ZA"/>
        </w:rPr>
        <w:t xml:space="preserve">. Dưới tán Bần chua là thảm </w:t>
      </w:r>
      <w:r>
        <w:rPr>
          <w:iCs/>
          <w:sz w:val="26"/>
          <w:szCs w:val="26"/>
          <w:lang w:val="af-ZA"/>
        </w:rPr>
        <w:t>Ô rô</w:t>
      </w:r>
      <w:r>
        <w:rPr>
          <w:i/>
          <w:iCs/>
          <w:sz w:val="26"/>
          <w:szCs w:val="26"/>
          <w:lang w:val="af-ZA" w:eastAsia="zh-CN"/>
        </w:rPr>
        <w:t xml:space="preserve"> </w:t>
      </w:r>
      <w:r>
        <w:rPr>
          <w:sz w:val="26"/>
          <w:szCs w:val="26"/>
          <w:lang w:val="af-ZA" w:eastAsia="zh-CN"/>
        </w:rPr>
        <w:t>gai</w:t>
      </w:r>
      <w:r>
        <w:rPr>
          <w:i/>
          <w:iCs/>
          <w:sz w:val="26"/>
          <w:szCs w:val="26"/>
          <w:lang w:val="af-ZA" w:eastAsia="zh-CN"/>
        </w:rPr>
        <w:t xml:space="preserve"> </w:t>
      </w:r>
      <w:r>
        <w:rPr>
          <w:sz w:val="26"/>
          <w:szCs w:val="26"/>
          <w:lang w:val="af-ZA"/>
        </w:rPr>
        <w:t xml:space="preserve">dày đặc, thỉnh thoảng có vài đám </w:t>
      </w:r>
      <w:r>
        <w:rPr>
          <w:iCs/>
          <w:sz w:val="26"/>
          <w:szCs w:val="26"/>
          <w:lang w:val="af-ZA"/>
        </w:rPr>
        <w:t>Cói</w:t>
      </w:r>
      <w:r>
        <w:rPr>
          <w:sz w:val="26"/>
          <w:szCs w:val="26"/>
          <w:lang w:val="af-ZA"/>
        </w:rPr>
        <w:t xml:space="preserve"> hoặc </w:t>
      </w:r>
      <w:r>
        <w:rPr>
          <w:iCs/>
          <w:sz w:val="26"/>
          <w:szCs w:val="26"/>
          <w:lang w:val="af-ZA"/>
        </w:rPr>
        <w:t>Sú</w:t>
      </w:r>
      <w:r>
        <w:rPr>
          <w:sz w:val="26"/>
          <w:szCs w:val="26"/>
          <w:lang w:val="af-ZA" w:eastAsia="zh-CN"/>
        </w:rPr>
        <w:t xml:space="preserve"> </w:t>
      </w:r>
      <w:r>
        <w:rPr>
          <w:sz w:val="26"/>
          <w:szCs w:val="26"/>
          <w:lang w:val="af-ZA"/>
        </w:rPr>
        <w:t xml:space="preserve">xen lẫn </w:t>
      </w:r>
      <w:r>
        <w:rPr>
          <w:iCs/>
          <w:sz w:val="26"/>
          <w:szCs w:val="26"/>
          <w:lang w:val="af-ZA"/>
        </w:rPr>
        <w:t>Ô rô gai</w:t>
      </w:r>
      <w:r>
        <w:rPr>
          <w:sz w:val="26"/>
          <w:szCs w:val="26"/>
          <w:lang w:val="af-ZA"/>
        </w:rPr>
        <w:t xml:space="preserve">. Trên nền đất ngập triều cao có </w:t>
      </w:r>
      <w:r>
        <w:rPr>
          <w:iCs/>
          <w:sz w:val="26"/>
          <w:szCs w:val="26"/>
          <w:lang w:val="af-ZA" w:eastAsia="zh-CN"/>
        </w:rPr>
        <w:t>Ráng đại</w:t>
      </w:r>
      <w:r>
        <w:rPr>
          <w:i/>
          <w:iCs/>
          <w:sz w:val="26"/>
          <w:szCs w:val="26"/>
          <w:lang w:val="af-ZA"/>
        </w:rPr>
        <w:t xml:space="preserve">, </w:t>
      </w:r>
      <w:r>
        <w:rPr>
          <w:iCs/>
          <w:sz w:val="26"/>
          <w:szCs w:val="26"/>
          <w:lang w:val="af-ZA"/>
        </w:rPr>
        <w:t>Ngọc nữ biển</w:t>
      </w:r>
      <w:r>
        <w:rPr>
          <w:sz w:val="26"/>
          <w:szCs w:val="26"/>
          <w:lang w:val="af-ZA"/>
        </w:rPr>
        <w:t xml:space="preserve">, </w:t>
      </w:r>
      <w:r>
        <w:rPr>
          <w:iCs/>
          <w:sz w:val="26"/>
          <w:szCs w:val="26"/>
          <w:lang w:val="af-ZA"/>
        </w:rPr>
        <w:t>Giá</w:t>
      </w:r>
      <w:r>
        <w:rPr>
          <w:iCs/>
          <w:sz w:val="26"/>
          <w:szCs w:val="26"/>
          <w:lang w:val="af-ZA" w:eastAsia="zh-CN"/>
        </w:rPr>
        <w:t xml:space="preserve"> và</w:t>
      </w:r>
      <w:r>
        <w:rPr>
          <w:sz w:val="26"/>
          <w:szCs w:val="26"/>
          <w:lang w:val="af-ZA"/>
        </w:rPr>
        <w:t xml:space="preserve"> Mướp sát. Dọc một số sông nhỏ như sông Nghèn, sông Rào, sông Kinh, nước triều lấn sâu vào đất liền nên cũng có thảm thực vật ngập mặn; phía trong cửa sông có </w:t>
      </w:r>
      <w:r>
        <w:rPr>
          <w:iCs/>
          <w:sz w:val="26"/>
          <w:szCs w:val="26"/>
          <w:lang w:val="af-ZA"/>
        </w:rPr>
        <w:t>Mắm biển</w:t>
      </w:r>
      <w:r>
        <w:rPr>
          <w:i/>
          <w:iCs/>
          <w:sz w:val="26"/>
          <w:szCs w:val="26"/>
          <w:lang w:val="af-ZA" w:eastAsia="zh-CN"/>
        </w:rPr>
        <w:t>,</w:t>
      </w:r>
      <w:r>
        <w:rPr>
          <w:iCs/>
          <w:sz w:val="26"/>
          <w:szCs w:val="26"/>
          <w:lang w:val="af-ZA"/>
        </w:rPr>
        <w:t xml:space="preserve"> Đước vòi, Sú, Vẹt dù</w:t>
      </w:r>
      <w:r>
        <w:rPr>
          <w:sz w:val="26"/>
          <w:szCs w:val="26"/>
          <w:lang w:val="af-ZA"/>
        </w:rPr>
        <w:t xml:space="preserve">; đi sâu vào các bãi sông nước lợ có quần xã </w:t>
      </w:r>
      <w:r>
        <w:rPr>
          <w:iCs/>
          <w:sz w:val="26"/>
          <w:szCs w:val="26"/>
          <w:lang w:val="af-ZA"/>
        </w:rPr>
        <w:t>Bần chua</w:t>
      </w:r>
      <w:r>
        <w:rPr>
          <w:sz w:val="26"/>
          <w:szCs w:val="26"/>
          <w:lang w:val="af-ZA"/>
        </w:rPr>
        <w:t xml:space="preserve"> ưu thế cùng với các loài </w:t>
      </w:r>
      <w:r>
        <w:rPr>
          <w:iCs/>
          <w:sz w:val="26"/>
          <w:szCs w:val="26"/>
          <w:lang w:val="af-ZA"/>
        </w:rPr>
        <w:t>Ô rô</w:t>
      </w:r>
      <w:r>
        <w:rPr>
          <w:sz w:val="26"/>
          <w:szCs w:val="26"/>
          <w:lang w:val="af-ZA"/>
        </w:rPr>
        <w:t xml:space="preserve"> gai ở tầng thấp. Ven bờ hoặc một số bãi cao có Cóc kèn, Cui biển, Giá, Vẹt dù, Mướp sát... phát triển mạnh mẽ. </w:t>
      </w:r>
    </w:p>
    <w:p w14:paraId="4AC70B17" w14:textId="77777777" w:rsidR="00085789" w:rsidRDefault="00000000">
      <w:pPr>
        <w:pStyle w:val="BodyText"/>
        <w:widowControl w:val="0"/>
        <w:spacing w:before="40" w:line="240" w:lineRule="auto"/>
        <w:ind w:firstLine="709"/>
        <w:rPr>
          <w:rFonts w:asciiTheme="majorHAnsi" w:hAnsiTheme="majorHAnsi" w:cstheme="majorHAnsi"/>
          <w:b w:val="0"/>
          <w:bCs/>
          <w:iCs/>
          <w:sz w:val="26"/>
          <w:szCs w:val="26"/>
          <w:lang w:val="nl-NL"/>
        </w:rPr>
      </w:pPr>
      <w:r>
        <w:rPr>
          <w:rFonts w:asciiTheme="majorHAnsi" w:hAnsiTheme="majorHAnsi" w:cstheme="majorHAnsi"/>
          <w:b w:val="0"/>
          <w:bCs/>
          <w:sz w:val="26"/>
          <w:szCs w:val="26"/>
          <w:lang w:val="nl-NL"/>
        </w:rPr>
        <w:t xml:space="preserve">Với tiềm năng rừng về số lượng động, thực vật kể trên, có thể khẳng định rừng trên địa bàn tỉnh rất phong phú, đa dạng. Đây là nguồn tài nguyên sinh học vô giá cần được giữ gìn và phát triển phục vụ mục đích kinh tế (đặc biệt là phát triển công nghiệp chế biến gỗ), cũng như mục đích nghiên cứu khoa học (dược liệu, công nghệ sinh học) và tham quan du lịch (đặc biệt là phát triển du lịch sinh thái). </w:t>
      </w:r>
      <w:r>
        <w:rPr>
          <w:rFonts w:asciiTheme="majorHAnsi" w:hAnsiTheme="majorHAnsi" w:cstheme="majorHAnsi"/>
          <w:b w:val="0"/>
          <w:bCs/>
          <w:iCs/>
          <w:sz w:val="26"/>
          <w:szCs w:val="26"/>
          <w:lang w:val="nl-NL"/>
        </w:rPr>
        <w:t>Nhìn chung, Hà Tĩnh có tài nguyên rừng tương đối phong phú và đa dạng. Tài nguyên rừng có vai trò hết sức quan trọng không chỉ trong phát triển kinh tế của tỉnh mà còn trong phòng hộ và bảo vệ cảnh quan môi trường, giảm nhẹ thiên tai, phòng chống xói lở, xâm thực và giúp giữ vững cân bằng sinh thái không chỉ cho tỉnh Hà Tĩnh mà còn cho cả vùng Bắc Trung Bộ.</w:t>
      </w:r>
    </w:p>
    <w:p w14:paraId="510145E0" w14:textId="77777777" w:rsidR="00085789" w:rsidRDefault="00000000">
      <w:pPr>
        <w:pStyle w:val="bac2"/>
        <w:spacing w:before="40" w:after="0" w:line="240" w:lineRule="auto"/>
        <w:rPr>
          <w:smallCaps/>
          <w:lang w:val="nl-NL"/>
        </w:rPr>
      </w:pPr>
      <w:bookmarkStart w:id="963" w:name="_Toc214311269"/>
      <w:r>
        <w:rPr>
          <w:lang w:val="nl-NL"/>
        </w:rPr>
        <w:t>6.2. Hiện trạng HST đất ngập nước</w:t>
      </w:r>
      <w:bookmarkEnd w:id="963"/>
    </w:p>
    <w:p w14:paraId="38E27805" w14:textId="77777777" w:rsidR="00085789" w:rsidRDefault="00000000">
      <w:pPr>
        <w:pStyle w:val="bac2"/>
        <w:spacing w:before="40" w:after="0" w:line="240" w:lineRule="auto"/>
        <w:rPr>
          <w:smallCaps/>
          <w:lang w:val="nl-NL"/>
        </w:rPr>
      </w:pPr>
      <w:bookmarkStart w:id="964" w:name="_Toc214311270"/>
      <w:r>
        <w:rPr>
          <w:lang w:val="nl-NL"/>
        </w:rPr>
        <w:t>6.2.1. Đất ngập nước biển ven bờ lục địa</w:t>
      </w:r>
      <w:bookmarkEnd w:id="964"/>
    </w:p>
    <w:p w14:paraId="632322E5" w14:textId="77777777" w:rsidR="00085789" w:rsidRDefault="00000000">
      <w:pPr>
        <w:spacing w:before="40" w:line="240" w:lineRule="auto"/>
        <w:ind w:firstLine="709"/>
        <w:jc w:val="both"/>
        <w:rPr>
          <w:sz w:val="26"/>
          <w:szCs w:val="26"/>
          <w:lang w:val="nl-NL"/>
        </w:rPr>
      </w:pPr>
      <w:r>
        <w:rPr>
          <w:sz w:val="26"/>
          <w:szCs w:val="26"/>
          <w:lang w:val="nl-NL"/>
        </w:rPr>
        <w:t>Theo thống kê đến nay đã xác định được biển Hà Tĩnh có trên 267 loài cá, thuộc 90 họ, trong đó có 60 loài có giá trị kinh tế cao, 20 loài tôm, nhiều loài nhuyễn thể như sò, mực,.... Tiềm năng hải sản ở Hà Tĩnh rất lớn, trữ lượng cá ước tính 86.000 tấn (trong đó: Trữ lượng cá đáy 45.000 tấn, cá nổi 41.000 tấn).</w:t>
      </w:r>
    </w:p>
    <w:p w14:paraId="55FE852E" w14:textId="77777777" w:rsidR="00085789" w:rsidRDefault="00000000">
      <w:pPr>
        <w:spacing w:before="40" w:line="240" w:lineRule="auto"/>
        <w:ind w:firstLine="709"/>
        <w:jc w:val="both"/>
        <w:rPr>
          <w:rFonts w:asciiTheme="majorHAnsi" w:hAnsiTheme="majorHAnsi" w:cstheme="majorHAnsi"/>
          <w:sz w:val="26"/>
          <w:szCs w:val="26"/>
          <w:lang w:val="nl-NL"/>
        </w:rPr>
      </w:pPr>
      <w:r>
        <w:rPr>
          <w:rFonts w:asciiTheme="majorHAnsi" w:hAnsiTheme="majorHAnsi" w:cstheme="majorHAnsi"/>
          <w:sz w:val="26"/>
          <w:szCs w:val="26"/>
          <w:lang w:val="nl-NL"/>
        </w:rPr>
        <w:t xml:space="preserve">Những năm gần đây vùng biển ven bờ của Hà Tĩnh đang chịu nhiều tác động từ các hoạt động phát triển KT-XH, phát triển du lịch,... hiện tượng BĐKH ngày càng phức tạp trên phạm vi toàn cầu, tác động đến tất cả các quốc gia, ảnh hưởng đến tất cả các lĩnh vực của sự sống. </w:t>
      </w:r>
      <w:r>
        <w:rPr>
          <w:bCs/>
          <w:spacing w:val="-2"/>
          <w:sz w:val="26"/>
          <w:szCs w:val="26"/>
          <w:lang w:val="nl-NL"/>
        </w:rPr>
        <w:t xml:space="preserve">Nhu cầu về thủy hải sản ngày càng tăng và việc sử dụng các biện pháp khai thác, đánh bắt quá mức và đánh bắt kém hiệu quả đã làm cho nguồn lợi thủy sản ven bờ bị suy giảm do tốc độ tái tạo không kịp với tốc độ khai thác. Nhiều loài hải sản có giá trị cao bị suy giảm nghiêm trọng, như tôm hùm, bào ngư, điệp,.… Nghề te, giã cào cũng đã gây cạn kiệt nguồn lợi, làm giảm tính ĐDSH và phá hủy môi trường sống của các loài thủy sinh. </w:t>
      </w:r>
      <w:r>
        <w:rPr>
          <w:rFonts w:asciiTheme="majorHAnsi" w:hAnsiTheme="majorHAnsi" w:cstheme="majorHAnsi"/>
          <w:sz w:val="26"/>
          <w:szCs w:val="26"/>
          <w:lang w:val="nl-NL"/>
        </w:rPr>
        <w:t>Những vấn đề nêu trên là nguy cơ phá vỡ không gian sinh tồn, môi trường sống của động vật, thực vật, đa dạng sinh học, cảnh quan, môi trường biển.</w:t>
      </w:r>
    </w:p>
    <w:p w14:paraId="20481552" w14:textId="77777777" w:rsidR="00085789" w:rsidRDefault="00000000">
      <w:pPr>
        <w:spacing w:before="40" w:line="240" w:lineRule="auto"/>
        <w:jc w:val="both"/>
        <w:rPr>
          <w:rFonts w:asciiTheme="majorHAnsi" w:eastAsia="MS Mincho" w:hAnsiTheme="majorHAnsi" w:cstheme="majorHAnsi"/>
          <w:b/>
          <w:bCs/>
          <w:i/>
          <w:iCs/>
          <w:sz w:val="26"/>
          <w:szCs w:val="26"/>
          <w:lang w:val="pt-BR"/>
        </w:rPr>
      </w:pPr>
      <w:r>
        <w:rPr>
          <w:rFonts w:asciiTheme="majorHAnsi" w:eastAsia="MS Mincho" w:hAnsiTheme="majorHAnsi" w:cstheme="majorHAnsi"/>
          <w:b/>
          <w:bCs/>
          <w:i/>
          <w:iCs/>
          <w:sz w:val="26"/>
          <w:szCs w:val="26"/>
          <w:lang w:val="pt-BR"/>
        </w:rPr>
        <w:tab/>
        <w:t>a) Về đa dạng thực vật phù du:</w:t>
      </w:r>
    </w:p>
    <w:p w14:paraId="0866BBF1" w14:textId="77777777" w:rsidR="00085789" w:rsidRDefault="00000000">
      <w:pPr>
        <w:spacing w:before="40" w:line="240" w:lineRule="auto"/>
        <w:jc w:val="both"/>
        <w:rPr>
          <w:rFonts w:eastAsia="MS Mincho"/>
          <w:sz w:val="26"/>
          <w:szCs w:val="26"/>
          <w:lang w:val="pt-BR"/>
        </w:rPr>
      </w:pPr>
      <w:r>
        <w:rPr>
          <w:rFonts w:asciiTheme="majorHAnsi" w:eastAsia="MS Mincho" w:hAnsiTheme="majorHAnsi" w:cstheme="majorHAnsi"/>
          <w:b/>
          <w:bCs/>
          <w:i/>
          <w:iCs/>
          <w:sz w:val="26"/>
          <w:szCs w:val="26"/>
          <w:lang w:val="pt-BR"/>
        </w:rPr>
        <w:tab/>
      </w:r>
      <w:r>
        <w:rPr>
          <w:sz w:val="26"/>
          <w:szCs w:val="26"/>
          <w:lang w:val="pt-BR"/>
        </w:rPr>
        <w:t>Đề tài đã ghi nhận được tại vùng biển ven bờ Hà Tĩnh có 136 loài thực vật phù du thuộc 51 chi, 35 họ, 17 bộ, 5 lớp, 4 ngành. Trong đó:</w:t>
      </w:r>
      <w:r>
        <w:rPr>
          <w:rFonts w:eastAsia="MS Mincho"/>
          <w:sz w:val="26"/>
          <w:szCs w:val="26"/>
          <w:lang w:val="pt-BR"/>
        </w:rPr>
        <w:t xml:space="preserve"> Ngành tảo Lông roi lệch (Heterokontophyta) có cấu trúc phân loại đa dạng nhất có</w:t>
      </w:r>
      <w:r>
        <w:t xml:space="preserve"> </w:t>
      </w:r>
      <w:r>
        <w:rPr>
          <w:rFonts w:eastAsia="MS Mincho"/>
          <w:sz w:val="26"/>
          <w:szCs w:val="26"/>
          <w:lang w:val="pt-BR"/>
        </w:rPr>
        <w:t>92 loài, 38 chi, 125 họ, 17 bộ, 2 lớp;</w:t>
      </w:r>
      <w:r>
        <w:t xml:space="preserve"> </w:t>
      </w:r>
      <w:r>
        <w:rPr>
          <w:rFonts w:eastAsia="MS Mincho"/>
          <w:sz w:val="26"/>
          <w:szCs w:val="26"/>
          <w:lang w:val="pt-BR"/>
        </w:rPr>
        <w:t>Ngành tảo Giáp (Dinophyta) có 41 loài thuộc 10 chi, 8 họ, 5 bộ và 1 lớp;</w:t>
      </w:r>
      <w:r>
        <w:t xml:space="preserve"> </w:t>
      </w:r>
      <w:r>
        <w:rPr>
          <w:rFonts w:eastAsia="MS Mincho"/>
          <w:sz w:val="26"/>
          <w:szCs w:val="26"/>
          <w:lang w:val="pt-BR"/>
        </w:rPr>
        <w:t>Ngành tảo Lam (Cyanophyta) chỉ có 3 loài thuộc 3 chi, 2 họ, 1 bộ và 1 lớp.</w:t>
      </w:r>
    </w:p>
    <w:p w14:paraId="6844B529" w14:textId="77777777" w:rsidR="00085789" w:rsidRDefault="00000000">
      <w:pPr>
        <w:spacing w:before="40" w:line="240" w:lineRule="auto"/>
        <w:ind w:firstLine="709"/>
        <w:jc w:val="both"/>
        <w:rPr>
          <w:spacing w:val="-2"/>
          <w:sz w:val="26"/>
          <w:szCs w:val="26"/>
          <w:lang w:val="pt-BR"/>
        </w:rPr>
      </w:pPr>
      <w:r>
        <w:rPr>
          <w:spacing w:val="-2"/>
          <w:sz w:val="26"/>
          <w:szCs w:val="26"/>
          <w:lang w:val="pt-BR"/>
        </w:rPr>
        <w:lastRenderedPageBreak/>
        <w:t>Cấu trúc thành phần loài thực vật phù du ở vùng biển ven bờ tỉnh Hà Tĩnh không thay đổi theo thời gian, 3 ngành tảo luôn được ghi nhận qua các đợt khảo sát. Trong đó, các ngành tảo Lông roi lệch chiếm ưu thế về số lượng so với các ngành tảo khác, đồng thời chúng cũng có sự biến động về số lượng loài giữa các đợt khảo sát nhiều nhất. Riêng ngành tảo Lam có số lượng loài ổn định và ít biến động qua các đợt khảo sát.</w:t>
      </w:r>
    </w:p>
    <w:p w14:paraId="2EE6D0F8" w14:textId="77777777" w:rsidR="00085789" w:rsidRDefault="00000000">
      <w:pPr>
        <w:spacing w:before="40" w:line="240" w:lineRule="auto"/>
        <w:ind w:firstLine="709"/>
        <w:jc w:val="both"/>
        <w:rPr>
          <w:sz w:val="26"/>
          <w:szCs w:val="26"/>
          <w:lang w:val="pt-BR"/>
        </w:rPr>
      </w:pPr>
      <w:r>
        <w:rPr>
          <w:sz w:val="26"/>
          <w:szCs w:val="26"/>
          <w:lang w:val="pt-BR"/>
        </w:rPr>
        <w:t>Số lượng loài thực vật phù du ở vùng biển ven bờ tỉnh Hà Tĩnh, qua các đợt khảo</w:t>
      </w:r>
      <w:r>
        <w:rPr>
          <w:sz w:val="26"/>
          <w:szCs w:val="26"/>
          <w:lang w:val="pt-BR"/>
        </w:rPr>
        <w:br/>
        <w:t>sát dao động từ 67 - 84 loài. Trong đó, số lượng loài cao nhất vào đợt khảo sát tháng 05/2023 (84 loài) và thấp nhất vào đợt khảo sát tháng 01/2025 (66 loài).</w:t>
      </w:r>
    </w:p>
    <w:p w14:paraId="67EB8339" w14:textId="77777777" w:rsidR="00085789" w:rsidRDefault="00000000">
      <w:pPr>
        <w:spacing w:before="40" w:line="240" w:lineRule="auto"/>
        <w:ind w:firstLine="709"/>
        <w:jc w:val="both"/>
        <w:rPr>
          <w:spacing w:val="-6"/>
          <w:sz w:val="26"/>
          <w:szCs w:val="26"/>
          <w:lang w:val="pt-BR"/>
        </w:rPr>
      </w:pPr>
      <w:r>
        <w:rPr>
          <w:spacing w:val="-6"/>
          <w:sz w:val="26"/>
          <w:szCs w:val="26"/>
          <w:lang w:val="pt-BR"/>
        </w:rPr>
        <w:t>Trong khi đó, tại các đợt khảo sát, số lượng loài thực vật phù du ở vùng biển ven</w:t>
      </w:r>
      <w:r>
        <w:rPr>
          <w:spacing w:val="-6"/>
          <w:sz w:val="26"/>
          <w:szCs w:val="26"/>
          <w:lang w:val="pt-BR"/>
        </w:rPr>
        <w:br/>
        <w:t>bờ tỉnh Hà Tĩnh lại khá ổn định và tương đồng giữa các điểm thu mẫu, từ 39 - 48 loài/điểm. Số loài ghi nhận được cao nhất tại điểm M2 (48 ± 5 loài) và thấp nhất tại điểm M1 (39 ± 6 loài).</w:t>
      </w:r>
    </w:p>
    <w:p w14:paraId="51160656" w14:textId="77777777" w:rsidR="00085789" w:rsidRDefault="00000000">
      <w:pPr>
        <w:spacing w:before="40" w:line="240" w:lineRule="auto"/>
        <w:ind w:firstLine="709"/>
        <w:jc w:val="both"/>
        <w:rPr>
          <w:spacing w:val="-2"/>
          <w:sz w:val="26"/>
          <w:szCs w:val="26"/>
          <w:lang w:val="pt-BR"/>
        </w:rPr>
      </w:pPr>
      <w:r>
        <w:rPr>
          <w:spacing w:val="-2"/>
          <w:sz w:val="26"/>
          <w:szCs w:val="26"/>
          <w:lang w:val="pt-BR"/>
        </w:rPr>
        <w:t>Mật độ trung bình thực vật phù du ở vùng biển ven bờ tỉnh Hà Tĩnh theo thời gian thu mẫu dao động từ 405.000 - 7.473.000 tế bào/lít. Mật độ tế bào trung bình ghi nhận thấp nhất trong đợt khảo sát tháng 5/2023 (2.099.500 ± 1.742.299 tế bào/lít) nhưng có xu hướng tăng mạnh vào đợt khảo sát tháng 10/2024 (4.297.875 ± 1.486.999 tế bào/lít).</w:t>
      </w:r>
    </w:p>
    <w:p w14:paraId="54FDE8E8" w14:textId="77777777" w:rsidR="00085789" w:rsidRDefault="00000000">
      <w:pPr>
        <w:spacing w:before="40" w:line="240" w:lineRule="auto"/>
        <w:ind w:firstLine="709"/>
        <w:jc w:val="both"/>
        <w:rPr>
          <w:rFonts w:eastAsia="MS Mincho"/>
          <w:sz w:val="26"/>
          <w:szCs w:val="26"/>
          <w:lang w:val="pt-BR"/>
        </w:rPr>
      </w:pPr>
      <w:r>
        <w:rPr>
          <w:sz w:val="26"/>
          <w:szCs w:val="26"/>
          <w:lang w:val="pt-BR"/>
        </w:rPr>
        <w:t>Mật độ tế bào trung bình thực vật phù du vùng biển ven bờ tỉnh Hà Tĩnh tại từng</w:t>
      </w:r>
      <w:r>
        <w:rPr>
          <w:sz w:val="26"/>
          <w:szCs w:val="26"/>
          <w:lang w:val="pt-BR"/>
        </w:rPr>
        <w:br/>
        <w:t>điểm khảo sát cũng có sự khác nhau, dao động 405.000 - 7.473.000 tế bào/lít; đạt giá trị cao nhất tại điểm M2 (7.473.000 tế bào/lít) và thấp nhất tại điểm M1 (405.000 tế bào/lít).</w:t>
      </w:r>
    </w:p>
    <w:p w14:paraId="2BDCFA0E" w14:textId="77777777" w:rsidR="00085789" w:rsidRDefault="00000000">
      <w:pPr>
        <w:spacing w:before="40" w:line="240" w:lineRule="auto"/>
        <w:ind w:firstLine="709"/>
        <w:jc w:val="both"/>
        <w:rPr>
          <w:rFonts w:asciiTheme="majorHAnsi" w:eastAsia="MS Mincho" w:hAnsiTheme="majorHAnsi" w:cstheme="majorHAnsi"/>
          <w:b/>
          <w:bCs/>
          <w:i/>
          <w:iCs/>
          <w:sz w:val="26"/>
          <w:szCs w:val="26"/>
          <w:lang w:val="pt-BR"/>
        </w:rPr>
      </w:pPr>
      <w:r>
        <w:rPr>
          <w:rFonts w:asciiTheme="majorHAnsi" w:eastAsia="MS Mincho" w:hAnsiTheme="majorHAnsi" w:cstheme="majorHAnsi"/>
          <w:b/>
          <w:bCs/>
          <w:i/>
          <w:iCs/>
          <w:sz w:val="26"/>
          <w:szCs w:val="26"/>
          <w:lang w:val="pt-BR"/>
        </w:rPr>
        <w:t>b) Về đa dạng động vật phù du:</w:t>
      </w:r>
    </w:p>
    <w:p w14:paraId="5771A288" w14:textId="77777777" w:rsidR="00085789" w:rsidRDefault="00000000">
      <w:pPr>
        <w:widowControl w:val="0"/>
        <w:spacing w:before="40" w:line="240" w:lineRule="auto"/>
        <w:ind w:firstLine="709"/>
        <w:jc w:val="both"/>
        <w:rPr>
          <w:sz w:val="26"/>
          <w:szCs w:val="26"/>
          <w:lang w:val="pt-BR"/>
        </w:rPr>
      </w:pPr>
      <w:r>
        <w:rPr>
          <w:sz w:val="26"/>
          <w:szCs w:val="26"/>
          <w:lang w:val="pt-BR"/>
        </w:rPr>
        <w:t>Đề tài đã ghi nhận được tại vùng biển ven bờ Hà Tĩnh có 64 loài thuộc 5 ngành, 8 nhóm và ấu trùng con non (Larva). Trong đó: Ngành Trùng lông (Ciliophora), có nhóm Động vật nguyên sinh (Protozoa): 3 loài, 2 giống, 2 họ; Ngành Trùng bánh xe (Rotifera): 3 loài, 3 giống, 3 họ; Ngành Chân khớp (Arthropoda): 47 loài, 28 giống, 22 họ; Ngành Động vật có dây sống (Chordata), lớp Có bao (Tunicata): 2 loài, 2 giống, 2 họ; Ngành Hàm tơ (Chaetognatha): 1 loài, 1 giống, 1 họ. Ngoài ra, 8 dạng ấu trùng, con non.</w:t>
      </w:r>
    </w:p>
    <w:p w14:paraId="3D752521" w14:textId="77777777" w:rsidR="00085789" w:rsidRDefault="00000000">
      <w:pPr>
        <w:spacing w:before="40" w:line="240" w:lineRule="auto"/>
        <w:ind w:firstLine="709"/>
        <w:jc w:val="both"/>
        <w:rPr>
          <w:sz w:val="26"/>
          <w:szCs w:val="26"/>
          <w:lang w:val="pt-BR"/>
        </w:rPr>
      </w:pPr>
      <w:r>
        <w:rPr>
          <w:sz w:val="26"/>
          <w:szCs w:val="26"/>
          <w:lang w:val="pt-BR"/>
        </w:rPr>
        <w:t>Thành phần loài động vật phù du tại vùng biển ven bờ tỉnh Hà Tĩnh có sự thay đổi theo thời gian, tuy nhiên sự thay đổi này là không đáng kể và không có quy luật rõ ràng. Trong các nhóm loài ghi nhận được, nhóm Giáp xác mềm và nhóm Sống đuôi là hai nhóm loài ít có sự biến động về thành phần loài, trong khi nhóm Giáp xác chân chèo là nhóm có sự biến động về thành phần loài nhiều nhất. Trong tất cả các đợt khảo sát, nhóm Giáp xác Chân chèo là nhóm chiếm ưu thế về số lượng (chiếm xấp xỉ hoặc hơn 50,00 % tổng số loài ghi nhận/đợt).</w:t>
      </w:r>
    </w:p>
    <w:p w14:paraId="521E4824" w14:textId="77777777" w:rsidR="00085789" w:rsidRDefault="00000000">
      <w:pPr>
        <w:spacing w:before="40" w:line="240" w:lineRule="auto"/>
        <w:ind w:firstLine="709"/>
        <w:jc w:val="both"/>
        <w:rPr>
          <w:rFonts w:eastAsia="MS Mincho"/>
          <w:sz w:val="26"/>
          <w:szCs w:val="26"/>
          <w:lang w:val="pt-BR"/>
        </w:rPr>
      </w:pPr>
      <w:r>
        <w:rPr>
          <w:sz w:val="26"/>
          <w:szCs w:val="26"/>
          <w:lang w:val="pt-BR"/>
        </w:rPr>
        <w:t>Số lượng loài động vật phù du ở vùng biển ven bờ tỉnh Hà Tĩnh, qua các đợt</w:t>
      </w:r>
      <w:r>
        <w:rPr>
          <w:sz w:val="26"/>
          <w:szCs w:val="26"/>
          <w:lang w:val="pt-BR"/>
        </w:rPr>
        <w:br/>
        <w:t>khảo sát dao động từ 22 - 44 loài. Trong đó, số lượng loài cao nhất vào đợt khảo sát tháng 05/2023 (44 loài) và thấp nhất vào đợt khảo sát tháng 02/2025 (22 loài).</w:t>
      </w:r>
    </w:p>
    <w:p w14:paraId="6EC26F28" w14:textId="77777777" w:rsidR="00085789" w:rsidRDefault="00000000">
      <w:pPr>
        <w:spacing w:before="40" w:line="240" w:lineRule="auto"/>
        <w:ind w:firstLine="709"/>
        <w:jc w:val="both"/>
        <w:rPr>
          <w:sz w:val="26"/>
          <w:szCs w:val="26"/>
          <w:lang w:val="pt-BR"/>
        </w:rPr>
      </w:pPr>
      <w:r>
        <w:rPr>
          <w:sz w:val="26"/>
          <w:szCs w:val="26"/>
          <w:lang w:val="pt-BR"/>
        </w:rPr>
        <w:t>Số lượng loài động vật phù du tại các điểm thu mẫu ở vùng ven biển ven bờ tỉnh</w:t>
      </w:r>
      <w:r>
        <w:rPr>
          <w:sz w:val="26"/>
          <w:szCs w:val="26"/>
          <w:lang w:val="pt-BR"/>
        </w:rPr>
        <w:br/>
        <w:t>Hà Tĩnh khá biến động, dao động từ 19 - 41 loài/điểm.</w:t>
      </w:r>
    </w:p>
    <w:p w14:paraId="342F48D1" w14:textId="77777777" w:rsidR="00085789" w:rsidRDefault="00000000">
      <w:pPr>
        <w:spacing w:before="40" w:line="240" w:lineRule="auto"/>
        <w:ind w:firstLine="709"/>
        <w:jc w:val="both"/>
        <w:rPr>
          <w:sz w:val="26"/>
          <w:szCs w:val="26"/>
          <w:lang w:val="pt-BR"/>
        </w:rPr>
      </w:pPr>
      <w:r>
        <w:rPr>
          <w:sz w:val="26"/>
          <w:szCs w:val="26"/>
          <w:lang w:val="pt-BR"/>
        </w:rPr>
        <w:t>Số lượng loài động vật phù du tại các điểm thu mẫu dao động từ 5 - 29 loài. Trong đó tại điểm M7 ghi nhận được số loài nhiều nhất (15 ± 8 loài) còn tại điểm M2 ghi nhận được số loài thấp nhất (8 ± 3 loài).</w:t>
      </w:r>
    </w:p>
    <w:p w14:paraId="15095A5D" w14:textId="77777777" w:rsidR="00085789" w:rsidRDefault="00000000">
      <w:pPr>
        <w:spacing w:before="40" w:line="240" w:lineRule="auto"/>
        <w:ind w:firstLine="709"/>
        <w:jc w:val="both"/>
        <w:rPr>
          <w:sz w:val="26"/>
          <w:szCs w:val="26"/>
          <w:lang w:val="pt-BR"/>
        </w:rPr>
      </w:pPr>
      <w:r>
        <w:rPr>
          <w:sz w:val="26"/>
          <w:szCs w:val="26"/>
          <w:lang w:val="pt-BR"/>
        </w:rPr>
        <w:t>Theo thời gian, mật độ trung bình động vật phù du tại vùng biển ven bờ tỉnh Hà</w:t>
      </w:r>
      <w:r>
        <w:rPr>
          <w:sz w:val="26"/>
          <w:szCs w:val="26"/>
          <w:lang w:val="pt-BR"/>
        </w:rPr>
        <w:br/>
        <w:t>Tĩnh vào các đợt khảo sát dao động từ 533 - 57.333 cá thể/m³, trong đó đợt khảo sát tháng 2/2025 cao nhất (23.083 ± 14.704 cá thể/m³) và thấp nhất là đợt khảo sát tháng 10/2024 (2.134 ± 440 cá thể/m³).</w:t>
      </w:r>
    </w:p>
    <w:p w14:paraId="22DC4C7F" w14:textId="77777777" w:rsidR="00085789" w:rsidRDefault="00000000">
      <w:pPr>
        <w:spacing w:before="40" w:line="240" w:lineRule="auto"/>
        <w:ind w:firstLine="709"/>
        <w:jc w:val="both"/>
        <w:rPr>
          <w:rFonts w:eastAsia="MS Mincho"/>
          <w:spacing w:val="-2"/>
          <w:sz w:val="26"/>
          <w:szCs w:val="26"/>
          <w:lang w:val="pt-BR"/>
        </w:rPr>
      </w:pPr>
      <w:r>
        <w:rPr>
          <w:spacing w:val="-2"/>
          <w:sz w:val="26"/>
          <w:szCs w:val="26"/>
          <w:lang w:val="pt-BR"/>
        </w:rPr>
        <w:lastRenderedPageBreak/>
        <w:t>-</w:t>
      </w:r>
      <w:r>
        <w:rPr>
          <w:b/>
          <w:bCs/>
          <w:spacing w:val="-2"/>
          <w:sz w:val="26"/>
          <w:szCs w:val="26"/>
          <w:lang w:val="pt-BR"/>
        </w:rPr>
        <w:t xml:space="preserve"> </w:t>
      </w:r>
      <w:r>
        <w:rPr>
          <w:spacing w:val="-2"/>
          <w:sz w:val="26"/>
          <w:szCs w:val="26"/>
          <w:lang w:val="pt-BR"/>
        </w:rPr>
        <w:t>Mật độ trung bình động vật phù du ở vùng biển ven bờ tỉnh Hà Tĩnh tại các điểm thu mẫu dao động từ 533 - 57.333 cá thể/m³, trong đó cao nhất tại điểm thu mẫu M4 (27.259 ± 29.933 cá thể/m³) và thấp nhất tại điểm thu mẫu M2 (6.798 ± 7.330 cá thể/m³).</w:t>
      </w:r>
    </w:p>
    <w:p w14:paraId="786F6C24" w14:textId="77777777" w:rsidR="00085789" w:rsidRDefault="00000000">
      <w:pPr>
        <w:spacing w:before="40" w:line="240" w:lineRule="auto"/>
        <w:ind w:firstLine="709"/>
        <w:jc w:val="both"/>
        <w:rPr>
          <w:rFonts w:eastAsia="MS Mincho"/>
          <w:b/>
          <w:bCs/>
          <w:i/>
          <w:iCs/>
          <w:sz w:val="26"/>
          <w:szCs w:val="26"/>
          <w:lang w:val="pt-BR"/>
        </w:rPr>
      </w:pPr>
      <w:r>
        <w:rPr>
          <w:rFonts w:eastAsia="MS Mincho"/>
          <w:b/>
          <w:bCs/>
          <w:i/>
          <w:iCs/>
          <w:sz w:val="26"/>
          <w:szCs w:val="26"/>
          <w:lang w:val="pt-BR"/>
        </w:rPr>
        <w:t>c) Về đa dạng động vật đáy:</w:t>
      </w:r>
    </w:p>
    <w:p w14:paraId="65949045" w14:textId="77777777" w:rsidR="00085789" w:rsidRDefault="00000000">
      <w:pPr>
        <w:spacing w:before="40" w:line="240" w:lineRule="auto"/>
        <w:ind w:firstLine="709"/>
        <w:jc w:val="both"/>
        <w:rPr>
          <w:sz w:val="26"/>
          <w:szCs w:val="26"/>
          <w:lang w:val="pt-BR"/>
        </w:rPr>
      </w:pPr>
      <w:r>
        <w:rPr>
          <w:sz w:val="26"/>
          <w:szCs w:val="26"/>
          <w:lang w:val="pt-BR"/>
        </w:rPr>
        <w:t>Vùng biển ven bờ Hà Tĩnh có 179 loài động vật đáy ở vùng biển ven bờ tỉnh Hà Tĩnh thuộc 125 giống, 72 họ, 28 bộ, 8 lớp và 4 ngành. Trong đó: Ngành Da gai có 8 loài thuộc 3 lớp, 3 bộ, 5 họ, 5 giống; Ngành Giun đốt có 24 loài, 19 giống, 12 họ, 5 bộ và 1 lớp Giun nhiều tơ; Ngành Thân mềm gồm lớp Chân bụng (Gastropoda) có 41 loài thuộc 6 bộ, 22 họ, 31 giống, lớp Hai mảnh vỏ có 69 loài thuộc 9 bộ, 21 họ, 47 giống và lớp Chân đầu có 5 loài, 5 giống, 3 họ và 3 bộ; Ngành Chân khớp gồm 32 loài, 18 giống, 9 họ, 2 bộ và 1 lớp Giáp xác lớn.</w:t>
      </w:r>
    </w:p>
    <w:p w14:paraId="0F6F9630" w14:textId="77777777" w:rsidR="00085789" w:rsidRDefault="00000000">
      <w:pPr>
        <w:spacing w:before="40" w:line="240" w:lineRule="auto"/>
        <w:ind w:firstLine="709"/>
        <w:jc w:val="both"/>
        <w:rPr>
          <w:sz w:val="26"/>
          <w:szCs w:val="26"/>
          <w:lang w:val="pt-BR"/>
        </w:rPr>
      </w:pPr>
      <w:r>
        <w:rPr>
          <w:sz w:val="26"/>
          <w:szCs w:val="26"/>
          <w:lang w:val="pt-BR"/>
        </w:rPr>
        <w:t>Trong 179 loài động vật đáy vùng biển ven bờ, tỉnh Hà Tĩnh, ghi nhận 23 loài (chiếm 12,85 %) có giá trị bảo tồn theo các thứ hạng khác nhau: 19 loài (chiếm 10,61 %) có tên trong Danh lục Đỏ Thế giới IUCN (2024); 06 loài (3,35 %) thuộc Danh lục Đỏ Việt Nam (2024); 07 loài (chiếm 3,91 %) có tên trong Sách Đỏ Việt Nam (2007); Không có loài nào có tên trong Nghị định số 37/2024/NĐ-CP ngày 04 tháng 4 năm 2024 của Chính phủ và Nghị định số 64/2019 NĐ - CP;  Có 03 loài (chiếm 1,68 %) thuộ</w:t>
      </w:r>
      <w:r>
        <w:rPr>
          <w:i/>
          <w:iCs/>
          <w:sz w:val="26"/>
          <w:szCs w:val="26"/>
          <w:lang w:val="pt-BR"/>
        </w:rPr>
        <w:t xml:space="preserve">c </w:t>
      </w:r>
      <w:r>
        <w:rPr>
          <w:sz w:val="26"/>
          <w:szCs w:val="26"/>
          <w:lang w:val="pt-BR"/>
        </w:rPr>
        <w:t>Phụ lục II của Công ước CITES (2023). Đã xác định được 51 loài động vật đáy (chiếm 28,49 % tổng số loài) có giá trị kinh tế ở vùng biển ven bờ, tỉnh Hà Tĩnh: Ngành Da gai có 5 loài, 2 giống, trong 2 họ của 2 bộ thuộc 02 lớp (Hải sâm và Cầu gai);</w:t>
      </w:r>
      <w:r>
        <w:t xml:space="preserve"> </w:t>
      </w:r>
      <w:r>
        <w:rPr>
          <w:sz w:val="26"/>
          <w:szCs w:val="26"/>
          <w:lang w:val="pt-BR"/>
        </w:rPr>
        <w:t>Ngành Thân mềm có 31 loài, 28 giống, 19 họ của 11 bộ thuộc 3 lớp Chân bụng (Gastropoda), Hai mảnh vỏ (Bivalvia) và Chân đầu (Cephalopoda); Ngành Chân khớp gồm 15 loài, 6 giống, 3 họ, 1 bộ và 1 lớp.</w:t>
      </w:r>
    </w:p>
    <w:p w14:paraId="46E17139" w14:textId="77777777" w:rsidR="00085789" w:rsidRDefault="00000000">
      <w:pPr>
        <w:spacing w:before="40" w:line="240" w:lineRule="auto"/>
        <w:ind w:firstLine="709"/>
        <w:jc w:val="both"/>
        <w:rPr>
          <w:rFonts w:eastAsia="MS Mincho"/>
          <w:b/>
          <w:bCs/>
          <w:i/>
          <w:iCs/>
          <w:sz w:val="26"/>
          <w:szCs w:val="26"/>
          <w:lang w:val="pt-BR"/>
        </w:rPr>
      </w:pPr>
      <w:r>
        <w:rPr>
          <w:rFonts w:eastAsia="MS Mincho"/>
          <w:b/>
          <w:bCs/>
          <w:i/>
          <w:iCs/>
          <w:sz w:val="26"/>
          <w:szCs w:val="26"/>
          <w:lang w:val="pt-BR"/>
        </w:rPr>
        <w:t>d) Về nguồn lợi cá:</w:t>
      </w:r>
    </w:p>
    <w:p w14:paraId="51C183FA" w14:textId="77777777" w:rsidR="00085789" w:rsidRDefault="00000000">
      <w:pPr>
        <w:spacing w:before="40" w:line="240" w:lineRule="auto"/>
        <w:ind w:firstLine="709"/>
        <w:jc w:val="both"/>
        <w:rPr>
          <w:sz w:val="26"/>
          <w:szCs w:val="26"/>
          <w:lang w:val="pt-BR"/>
        </w:rPr>
      </w:pPr>
      <w:r>
        <w:rPr>
          <w:sz w:val="26"/>
          <w:szCs w:val="26"/>
          <w:lang w:val="pt-BR"/>
        </w:rPr>
        <w:t xml:space="preserve">Kết quả nghiên cứu khu hệ cá vùng biển ven bờ, tỉnh Hà Tĩnh đã xác định được 206 loài cá, thuộc 20 bộ, 64 họ và 129 giống. Trong đó, ưu thế về bậc họ thuộc về bộ cá Chim trắng (Acanthuriformes) với 14 họ (chiếm 21,88 % tổng số họ của khu hệ cá). Ưu thế về bậc giống thuộc về họ cá Khế (Carangidae) chiếm ưu thế với 11 giống (chiếm 8,53 % tổng số giống). Ưu thế về bậc loài thuộc về giống </w:t>
      </w:r>
      <w:r>
        <w:rPr>
          <w:i/>
          <w:iCs/>
          <w:sz w:val="26"/>
          <w:szCs w:val="26"/>
          <w:lang w:val="pt-BR"/>
        </w:rPr>
        <w:t xml:space="preserve">Epinephelus </w:t>
      </w:r>
      <w:r>
        <w:rPr>
          <w:sz w:val="26"/>
          <w:szCs w:val="26"/>
          <w:lang w:val="pt-BR"/>
        </w:rPr>
        <w:t>có 7 loài (chiếm 3,40 % số loài).</w:t>
      </w:r>
    </w:p>
    <w:p w14:paraId="07F0F9B9" w14:textId="77777777" w:rsidR="00085789" w:rsidRDefault="00000000">
      <w:pPr>
        <w:spacing w:before="40" w:line="240" w:lineRule="auto"/>
        <w:ind w:firstLine="709"/>
        <w:jc w:val="both"/>
        <w:rPr>
          <w:sz w:val="26"/>
          <w:szCs w:val="26"/>
          <w:lang w:val="pt-BR"/>
        </w:rPr>
      </w:pPr>
      <w:r>
        <w:rPr>
          <w:sz w:val="26"/>
          <w:szCs w:val="26"/>
          <w:lang w:val="pt-BR"/>
        </w:rPr>
        <w:t>- Khi đối chiếu với Danh lục Đỏ Thế giới IUCN (2024) có tên của 171 loài (chiếm 83,50 %). Trong đó, 01 loài ở phân hạng EN, 06 loài ở phân hạng VU, 150 loài ở phân  hạng bảo tồn LC; 04 loài ở phân hạng bảo tồn NT; 10 loài ở phân hạng DD.</w:t>
      </w:r>
    </w:p>
    <w:p w14:paraId="42A8D0E6" w14:textId="77777777" w:rsidR="00085789" w:rsidRDefault="00000000">
      <w:pPr>
        <w:spacing w:before="40" w:line="240" w:lineRule="auto"/>
        <w:ind w:firstLine="709"/>
        <w:jc w:val="both"/>
        <w:rPr>
          <w:spacing w:val="-6"/>
          <w:sz w:val="26"/>
          <w:szCs w:val="26"/>
          <w:lang w:val="pt-BR"/>
        </w:rPr>
      </w:pPr>
      <w:r>
        <w:rPr>
          <w:spacing w:val="-6"/>
          <w:sz w:val="26"/>
          <w:szCs w:val="26"/>
          <w:lang w:val="pt-BR"/>
        </w:rPr>
        <w:t>- Có 03 loài có tên trong Danh lục Đỏ Việt Nam (2024) thuộc phân hạng bảo tồn VU.</w:t>
      </w:r>
    </w:p>
    <w:p w14:paraId="6162E537" w14:textId="77777777" w:rsidR="00085789" w:rsidRDefault="00000000">
      <w:pPr>
        <w:spacing w:before="40" w:line="240" w:lineRule="auto"/>
        <w:ind w:firstLine="709"/>
        <w:jc w:val="both"/>
        <w:rPr>
          <w:rFonts w:eastAsia="MS Mincho"/>
          <w:spacing w:val="-10"/>
          <w:sz w:val="26"/>
          <w:szCs w:val="26"/>
          <w:lang w:val="pt-BR"/>
        </w:rPr>
      </w:pPr>
      <w:r>
        <w:rPr>
          <w:spacing w:val="-10"/>
          <w:sz w:val="26"/>
          <w:szCs w:val="26"/>
          <w:lang w:val="pt-BR"/>
        </w:rPr>
        <w:t>- Có 01 loài (chiếm 0,49%) thuộc phân hạng CR có tên trong Sách Đỏ Việt Nam (2007).</w:t>
      </w:r>
    </w:p>
    <w:p w14:paraId="2A004AC5" w14:textId="77777777" w:rsidR="00085789" w:rsidRDefault="00000000">
      <w:pPr>
        <w:spacing w:before="40" w:line="240" w:lineRule="auto"/>
        <w:ind w:firstLine="709"/>
        <w:jc w:val="both"/>
        <w:rPr>
          <w:spacing w:val="-4"/>
          <w:sz w:val="26"/>
          <w:szCs w:val="26"/>
          <w:lang w:val="pt-BR"/>
        </w:rPr>
      </w:pPr>
      <w:r>
        <w:rPr>
          <w:spacing w:val="-4"/>
          <w:sz w:val="26"/>
          <w:szCs w:val="26"/>
          <w:lang w:val="pt-BR"/>
        </w:rPr>
        <w:t>- Không (00) có loài nào có tên trong phụ lục II - Danh mục loài thuỷ sản nguy cấp, quý hiếm của Nghị định số 37/2024/NĐ-CP ngày 04 tháng 4 năm 2024 của Chính phủ.</w:t>
      </w:r>
    </w:p>
    <w:p w14:paraId="68412E99" w14:textId="77777777" w:rsidR="00085789" w:rsidRDefault="00000000">
      <w:pPr>
        <w:spacing w:before="40" w:line="240" w:lineRule="auto"/>
        <w:ind w:firstLine="709"/>
        <w:jc w:val="both"/>
        <w:rPr>
          <w:sz w:val="26"/>
          <w:szCs w:val="26"/>
          <w:lang w:val="pt-BR"/>
        </w:rPr>
      </w:pPr>
      <w:r>
        <w:rPr>
          <w:sz w:val="26"/>
          <w:szCs w:val="26"/>
          <w:lang w:val="pt-BR"/>
        </w:rPr>
        <w:t xml:space="preserve">- Có 01 loài là cá Nhám răng chếch đầu nhọn - </w:t>
      </w:r>
      <w:r>
        <w:rPr>
          <w:i/>
          <w:iCs/>
          <w:sz w:val="26"/>
          <w:szCs w:val="26"/>
          <w:lang w:val="pt-BR"/>
        </w:rPr>
        <w:t xml:space="preserve">Scoliodon laticaudus thuộc </w:t>
      </w:r>
      <w:r>
        <w:rPr>
          <w:sz w:val="26"/>
          <w:szCs w:val="26"/>
          <w:lang w:val="pt-BR"/>
        </w:rPr>
        <w:t>Phụ</w:t>
      </w:r>
      <w:r>
        <w:rPr>
          <w:sz w:val="26"/>
          <w:szCs w:val="26"/>
          <w:lang w:val="pt-BR"/>
        </w:rPr>
        <w:br/>
        <w:t>lục II của Công ước CITES (2023).</w:t>
      </w:r>
    </w:p>
    <w:p w14:paraId="27A584EA" w14:textId="77777777" w:rsidR="00085789" w:rsidRDefault="00000000">
      <w:pPr>
        <w:spacing w:before="40" w:line="240" w:lineRule="auto"/>
        <w:ind w:firstLine="709"/>
        <w:jc w:val="both"/>
        <w:rPr>
          <w:sz w:val="26"/>
          <w:szCs w:val="26"/>
          <w:lang w:val="pt-BR"/>
        </w:rPr>
      </w:pPr>
      <w:r>
        <w:rPr>
          <w:sz w:val="26"/>
          <w:szCs w:val="26"/>
          <w:lang w:val="pt-BR"/>
        </w:rPr>
        <w:t>- Đã xác định được 24 loài cá (chiếm 11,65 % tổng số loài) có giá trị kinh tế cho</w:t>
      </w:r>
      <w:r>
        <w:rPr>
          <w:sz w:val="26"/>
          <w:szCs w:val="26"/>
          <w:lang w:val="pt-BR"/>
        </w:rPr>
        <w:br/>
        <w:t>khu hệ cá vùng biển ven bờ tỉnh Hà Tĩnh, thuộc 22 giống, 20 họ, 9 bộ khác nhau.</w:t>
      </w:r>
    </w:p>
    <w:p w14:paraId="13E8DCFA" w14:textId="77777777" w:rsidR="00085789" w:rsidRDefault="00000000">
      <w:pPr>
        <w:spacing w:before="40" w:line="240" w:lineRule="auto"/>
        <w:ind w:firstLine="709"/>
        <w:jc w:val="both"/>
        <w:rPr>
          <w:sz w:val="26"/>
          <w:szCs w:val="26"/>
          <w:lang w:val="pt-BR"/>
        </w:rPr>
      </w:pPr>
      <w:r>
        <w:rPr>
          <w:sz w:val="26"/>
          <w:szCs w:val="26"/>
          <w:lang w:val="pt-BR"/>
        </w:rPr>
        <w:t>- Tại vùng biển ven bờ tỉnh Hà Tĩnh, có 86 loài cá (chiếm 41,75 % tổng số loài) hiện đang được khai thác làm thực phẩm ở vùng biển ven bờ tỉnh Hà Tĩnh, 42 loài (chiếm</w:t>
      </w:r>
      <w:r>
        <w:rPr>
          <w:sz w:val="26"/>
          <w:szCs w:val="26"/>
          <w:lang w:val="pt-BR"/>
        </w:rPr>
        <w:br/>
        <w:t>20,39 % tổng số loài) có giá trị làm cảnh, 10 loài (chiếm 4,85 % tổng số loài) có khả</w:t>
      </w:r>
      <w:r>
        <w:rPr>
          <w:sz w:val="26"/>
          <w:szCs w:val="26"/>
          <w:lang w:val="pt-BR"/>
        </w:rPr>
        <w:br/>
        <w:t>năng được nuôi thương phẩm.</w:t>
      </w:r>
    </w:p>
    <w:p w14:paraId="67721FBC" w14:textId="77777777" w:rsidR="00085789" w:rsidRDefault="00000000">
      <w:pPr>
        <w:pStyle w:val="Stylehd113ptAuto"/>
        <w:spacing w:before="40" w:after="0" w:line="240" w:lineRule="auto"/>
        <w:rPr>
          <w:smallCaps/>
          <w:lang w:val="nl-NL"/>
        </w:rPr>
      </w:pPr>
      <w:r>
        <w:rPr>
          <w:lang w:val="nl-NL"/>
        </w:rPr>
        <w:t>6.2.2. Đất ngập nước sông, suối</w:t>
      </w:r>
    </w:p>
    <w:p w14:paraId="203862FD" w14:textId="77777777" w:rsidR="00085789" w:rsidRDefault="00000000">
      <w:pPr>
        <w:spacing w:before="40" w:line="240" w:lineRule="auto"/>
        <w:ind w:firstLine="709"/>
        <w:jc w:val="both"/>
        <w:rPr>
          <w:rFonts w:eastAsia="MS Mincho"/>
          <w:spacing w:val="-2"/>
          <w:sz w:val="26"/>
          <w:szCs w:val="26"/>
          <w:lang w:val="pt-BR"/>
        </w:rPr>
      </w:pPr>
      <w:r>
        <w:rPr>
          <w:rFonts w:eastAsia="MS Mincho"/>
          <w:spacing w:val="-2"/>
          <w:sz w:val="26"/>
          <w:szCs w:val="26"/>
          <w:lang w:val="pt-BR"/>
        </w:rPr>
        <w:t xml:space="preserve">Hà Tĩnh có nguồn tài nguyên nước mặt dồi dào, hệ thống mạng lưới sông, suối dày đặc nhưng phân bố không đồng đều. Các lưu vực lớn gồm có: Lưu vực sông Lam thuộc địa </w:t>
      </w:r>
      <w:r>
        <w:rPr>
          <w:rFonts w:eastAsia="MS Mincho"/>
          <w:spacing w:val="-2"/>
          <w:sz w:val="26"/>
          <w:szCs w:val="26"/>
          <w:lang w:val="pt-BR"/>
        </w:rPr>
        <w:lastRenderedPageBreak/>
        <w:t>phận tỉnh Hà Tĩnh (các sông nhánh cấp 1 gồm có: Sông Ngàn Phố, sông Ngàn Trươi, sông Ngàn Sâu, sông La), lưu vực sông Cửa Sót (các nhánh sông cấp I gồm có: Sông Nghèn, sông Cày, sông Vách Nam, sông Rào Cái), lưu vực sông Cửa Nhượng (các nhánh sông cấp I gồm có: Sông Gia Hội, sông Rác), lưu vực sông Cửa Khẩu (các nhánh sông cấp I gồm có: Sông Quyền, sông Vịnh).</w:t>
      </w:r>
    </w:p>
    <w:p w14:paraId="2E3A48C5" w14:textId="77777777" w:rsidR="00085789" w:rsidRDefault="00000000">
      <w:pPr>
        <w:spacing w:before="40" w:line="240" w:lineRule="auto"/>
        <w:ind w:firstLine="709"/>
        <w:jc w:val="both"/>
        <w:rPr>
          <w:rFonts w:eastAsia="MS Mincho"/>
          <w:spacing w:val="-2"/>
          <w:sz w:val="26"/>
          <w:szCs w:val="26"/>
          <w:lang w:val="pt-BR"/>
        </w:rPr>
      </w:pPr>
      <w:r>
        <w:rPr>
          <w:rFonts w:eastAsia="MS Mincho"/>
          <w:spacing w:val="-2"/>
          <w:sz w:val="26"/>
          <w:szCs w:val="26"/>
          <w:lang w:val="pt-BR"/>
        </w:rPr>
        <w:t>Về thành phần loài động, thực vật ở HST này ghi nhận được: 213 loài thuộc 104 chi của 6 ngành thực vật nổi (</w:t>
      </w:r>
      <w:r>
        <w:rPr>
          <w:rFonts w:eastAsia="MS Mincho"/>
          <w:i/>
          <w:spacing w:val="-2"/>
          <w:sz w:val="26"/>
          <w:szCs w:val="26"/>
          <w:lang w:val="pt-BR"/>
        </w:rPr>
        <w:t>Phytoplankton</w:t>
      </w:r>
      <w:r>
        <w:rPr>
          <w:rFonts w:eastAsia="MS Mincho"/>
          <w:spacing w:val="-2"/>
          <w:sz w:val="26"/>
          <w:szCs w:val="26"/>
          <w:lang w:val="pt-BR"/>
        </w:rPr>
        <w:t>); 101 loài động vật nổi (</w:t>
      </w:r>
      <w:r>
        <w:rPr>
          <w:rFonts w:eastAsia="MS Mincho"/>
          <w:i/>
          <w:spacing w:val="-2"/>
          <w:sz w:val="26"/>
          <w:szCs w:val="26"/>
          <w:lang w:val="pt-BR"/>
        </w:rPr>
        <w:t>Zooplankton</w:t>
      </w:r>
      <w:r>
        <w:rPr>
          <w:rFonts w:eastAsia="MS Mincho"/>
          <w:spacing w:val="-2"/>
          <w:sz w:val="26"/>
          <w:szCs w:val="26"/>
          <w:lang w:val="pt-BR"/>
        </w:rPr>
        <w:t>) thuộc 66 giống, 39 họ, 4 lớp của 2 ngành; 87 loài động vật đáy (</w:t>
      </w:r>
      <w:r>
        <w:rPr>
          <w:rFonts w:eastAsia="MS Mincho"/>
          <w:i/>
          <w:spacing w:val="-2"/>
          <w:sz w:val="26"/>
          <w:szCs w:val="26"/>
          <w:lang w:val="pt-BR"/>
        </w:rPr>
        <w:t>Zoobenthos</w:t>
      </w:r>
      <w:r>
        <w:rPr>
          <w:rFonts w:eastAsia="MS Mincho"/>
          <w:spacing w:val="-2"/>
          <w:sz w:val="26"/>
          <w:szCs w:val="26"/>
          <w:lang w:val="pt-BR"/>
        </w:rPr>
        <w:t>) thuộc 76 giống, 57 họ, 5 lớp, 3 ngành; 289 loài cá nằm trong 181 giống, 65 họ và 17 bộ</w:t>
      </w:r>
      <w:r>
        <w:rPr>
          <w:rStyle w:val="FootnoteReference"/>
          <w:rFonts w:eastAsia="MS Mincho"/>
          <w:spacing w:val="-2"/>
          <w:sz w:val="26"/>
          <w:szCs w:val="26"/>
          <w:lang w:val="pt-BR"/>
        </w:rPr>
        <w:footnoteReference w:id="43"/>
      </w:r>
      <w:r>
        <w:rPr>
          <w:rFonts w:eastAsia="MS Mincho"/>
          <w:spacing w:val="-2"/>
          <w:sz w:val="26"/>
          <w:szCs w:val="26"/>
          <w:lang w:val="pt-BR"/>
        </w:rPr>
        <w:t>.</w:t>
      </w:r>
    </w:p>
    <w:p w14:paraId="0D0684A3" w14:textId="77777777" w:rsidR="00085789" w:rsidRDefault="00000000">
      <w:pPr>
        <w:spacing w:before="40" w:line="240" w:lineRule="auto"/>
        <w:ind w:firstLine="709"/>
        <w:jc w:val="both"/>
        <w:rPr>
          <w:spacing w:val="-2"/>
          <w:sz w:val="26"/>
          <w:szCs w:val="26"/>
          <w:lang w:val="nl-NL"/>
        </w:rPr>
      </w:pPr>
      <w:r>
        <w:rPr>
          <w:rFonts w:eastAsia="MS Mincho"/>
          <w:sz w:val="26"/>
          <w:szCs w:val="26"/>
          <w:lang w:val="pt-BR"/>
        </w:rPr>
        <w:tab/>
      </w:r>
      <w:r>
        <w:rPr>
          <w:rFonts w:eastAsia="MS Mincho"/>
          <w:spacing w:val="-2"/>
          <w:sz w:val="26"/>
          <w:szCs w:val="26"/>
          <w:lang w:val="pt-BR"/>
        </w:rPr>
        <w:t xml:space="preserve">Nhờ có mạng lưới sông ngòi phong phú và diện tích lưu vực tương đối lớn nên các HST thủy vực ở đây có tính ĐDSH loài khá cao. Đặc biệt là ĐDSH nguồn lợi cá nội địa; nguồn lợi động vật thân mềm hai mảnh vỏ; thực vật thủy sinh và các loài động thực vật có giá trị kinh tế. Các loài thực vật nổi, động vật nổi, động vật đáy là những mắt xích thức ăn quan trọng trong các HST thủy vực. Chính vì vậy, sự phong phú về thành phần loài và sinh khối của chúng góp phần hình thành nên nguồn lợi thủy sản tự nhiên và hình thành năng suất, sản lượng cao cho nghề cá quần chúng. </w:t>
      </w:r>
      <w:r>
        <w:rPr>
          <w:spacing w:val="-2"/>
          <w:sz w:val="26"/>
          <w:szCs w:val="26"/>
          <w:lang w:val="pt-BR"/>
        </w:rPr>
        <w:t>Bên cạnh đó các sông suối còn có cảnh quan khá đẹp rất thích hợp cho du lịch nghỉ dưỡng, du lịch sinh thái, vùng bán ngập có tiềm năng cho việc phát triển các mảng xanh, hay tái lập nơi cư trú cho các loài động vật hoang dã. Các HST này là nơi lý tưởng để bảo vệ nguồn lợi thủy sản, nuôi trồng các loài cá nhập nội, cá bản địa và bảo tồn các loài thủy sản bản địa có nguy cơ tuyệt chủng.</w:t>
      </w:r>
    </w:p>
    <w:p w14:paraId="4E1B173D" w14:textId="77777777" w:rsidR="00085789" w:rsidRDefault="00000000">
      <w:pPr>
        <w:pStyle w:val="bac2"/>
        <w:spacing w:before="40" w:after="0" w:line="240" w:lineRule="auto"/>
        <w:rPr>
          <w:smallCaps/>
          <w:lang w:val="nl-NL"/>
        </w:rPr>
      </w:pPr>
      <w:bookmarkStart w:id="965" w:name="_Toc214311271"/>
      <w:r>
        <w:rPr>
          <w:lang w:val="nl-NL"/>
        </w:rPr>
        <w:t>6.3. Hiện trạng HST khác</w:t>
      </w:r>
      <w:bookmarkEnd w:id="965"/>
    </w:p>
    <w:p w14:paraId="00575794" w14:textId="77777777" w:rsidR="00085789" w:rsidRDefault="00000000">
      <w:pPr>
        <w:spacing w:before="40" w:line="240" w:lineRule="auto"/>
        <w:ind w:firstLine="709"/>
        <w:jc w:val="both"/>
        <w:rPr>
          <w:sz w:val="26"/>
          <w:szCs w:val="26"/>
          <w:lang w:val="nl-NL"/>
        </w:rPr>
      </w:pPr>
      <w:r>
        <w:rPr>
          <w:sz w:val="26"/>
          <w:szCs w:val="26"/>
          <w:lang w:val="nl-NL"/>
        </w:rPr>
        <w:t>Ngoài các vùng có HST quan trọng nêu trên, trên địa bàn tỉnh còn có HST khu vực đồng bằng, đô thị. Tuy nhiên, đối với khu vực này có mức độ ĐDSH không cao. Theo số liệu khảo sát thu thập lập các báo cáo đánh giá tác động môi trường trên địa bàn tỉnh được thực hiện tại khu vực đồng bằng và khu vực đô thị có mật độ dân số cao đã được phê duyệt trên địa bàn tỉnh Hà Tĩnh từ năm 2021 đến nay, đối với HST khu vực đồng bằng gồm có thành phần loài như sau:</w:t>
      </w:r>
    </w:p>
    <w:p w14:paraId="31C78921" w14:textId="77777777" w:rsidR="00085789" w:rsidRDefault="00000000">
      <w:pPr>
        <w:spacing w:before="40" w:line="240" w:lineRule="auto"/>
        <w:ind w:firstLine="709"/>
        <w:jc w:val="both"/>
        <w:rPr>
          <w:rFonts w:eastAsia="MS Mincho"/>
          <w:spacing w:val="-2"/>
          <w:sz w:val="26"/>
          <w:szCs w:val="26"/>
          <w:lang w:val="pt-BR"/>
        </w:rPr>
      </w:pPr>
      <w:r>
        <w:rPr>
          <w:rFonts w:eastAsia="MS Mincho"/>
          <w:spacing w:val="-2"/>
          <w:sz w:val="26"/>
          <w:szCs w:val="26"/>
          <w:lang w:val="pt-BR"/>
        </w:rPr>
        <w:t>HST đồng bằng là HST có diện tích lớn của tỉnh Hà Tĩnh, bao gồm nhiều HST nhỏ kết hợp và giao thoa với nhau như: HST đô thị, HST cư dân nông thôn, HST vườn, HST đồng ruộng,... tập trung chủ yếu ở dọc hai bên Quốc lộ 1 theo chân núi và dải ven biển, bao gồm các xã  của các huyện Đức Thọ, Can Lộc, Thạch Hà, Cẩm Xuyên, Kỳ Anh, thị xã Hồng Lĩnh, thị xã Kỳ Anh và thành phố Hà Tĩnh (trước đây). Đây là HST có sự ĐDSH không cao, đa số các loài động thực vật là cây trồng, vật nuôi, các loài Cá, Lưỡng cư, Bò sát thường phân bố nhiều ở HST này.</w:t>
      </w:r>
    </w:p>
    <w:p w14:paraId="4EE491F4" w14:textId="77777777" w:rsidR="00085789" w:rsidRDefault="00000000">
      <w:pPr>
        <w:tabs>
          <w:tab w:val="left" w:pos="567"/>
        </w:tabs>
        <w:spacing w:before="40" w:line="240" w:lineRule="auto"/>
        <w:ind w:firstLine="709"/>
        <w:jc w:val="both"/>
        <w:rPr>
          <w:rFonts w:eastAsia="MS Mincho"/>
          <w:spacing w:val="-2"/>
          <w:sz w:val="26"/>
          <w:szCs w:val="26"/>
          <w:lang w:val="pt-BR"/>
        </w:rPr>
      </w:pPr>
      <w:r>
        <w:rPr>
          <w:rFonts w:eastAsia="MS Mincho"/>
          <w:spacing w:val="-2"/>
          <w:sz w:val="26"/>
          <w:szCs w:val="26"/>
          <w:lang w:val="pt-BR"/>
        </w:rPr>
        <w:tab/>
        <w:t xml:space="preserve">Thành phần loài động, thực vật ở HST này kém đa dạng hơn so với HST rừng tự nhiên. Thực vật ở đây chủ yếu là các cây trồng nông nghiệp, cây ăn quả, các </w:t>
      </w:r>
      <w:r>
        <w:rPr>
          <w:rFonts w:eastAsia="MS Mincho"/>
          <w:spacing w:val="-4"/>
          <w:sz w:val="26"/>
          <w:szCs w:val="26"/>
          <w:lang w:val="pt-BR"/>
        </w:rPr>
        <w:t>trảng cỏ, cây bụi, cây trồng làm cảnh,... còn động vật chủ yếu là các loài chim bụi, bò sát, ếch nhái, côn trùng và nhiều loài thú nhỏ, vật nuôi,... Độ phong phú thành phần loài động, thực vật ở HST này phụ thuộc vào tác động của con người và độ phủ xanh của HST.</w:t>
      </w:r>
      <w:r>
        <w:rPr>
          <w:rFonts w:eastAsia="MS Mincho"/>
          <w:spacing w:val="-2"/>
          <w:sz w:val="26"/>
          <w:szCs w:val="26"/>
          <w:lang w:val="pt-BR"/>
        </w:rPr>
        <w:t xml:space="preserve"> </w:t>
      </w:r>
    </w:p>
    <w:p w14:paraId="31C01323" w14:textId="77777777" w:rsidR="00085789" w:rsidRDefault="00000000">
      <w:pPr>
        <w:tabs>
          <w:tab w:val="left" w:pos="567"/>
        </w:tabs>
        <w:spacing w:before="40" w:line="240" w:lineRule="auto"/>
        <w:ind w:firstLine="709"/>
        <w:jc w:val="both"/>
        <w:rPr>
          <w:rFonts w:eastAsia="MS Mincho"/>
          <w:b/>
          <w:bCs/>
          <w:i/>
          <w:iCs/>
          <w:spacing w:val="-2"/>
          <w:sz w:val="26"/>
          <w:szCs w:val="26"/>
          <w:lang w:val="pt-BR"/>
        </w:rPr>
      </w:pPr>
      <w:r>
        <w:rPr>
          <w:rFonts w:eastAsia="MS Mincho"/>
          <w:b/>
          <w:bCs/>
          <w:i/>
          <w:iCs/>
          <w:spacing w:val="-2"/>
          <w:sz w:val="26"/>
          <w:szCs w:val="26"/>
          <w:lang w:val="pt-BR"/>
        </w:rPr>
        <w:t xml:space="preserve">a) Khu vực đô thị: </w:t>
      </w:r>
      <w:r>
        <w:rPr>
          <w:spacing w:val="-2"/>
          <w:sz w:val="26"/>
          <w:szCs w:val="26"/>
          <w:lang w:val="pt-BR"/>
        </w:rPr>
        <w:t>Hệ thực vật chủ yếu là các cây gỗ trồng như Cau, Xu Đăng, Mưng, Xoài và một số cây ăn quả khác như Chuối,... các loại cây cảnh, cỏ dại đặc thù vườn trồng cây (cỏ Cú, cỏ chác,...). H</w:t>
      </w:r>
      <w:r>
        <w:rPr>
          <w:spacing w:val="-4"/>
          <w:sz w:val="26"/>
          <w:szCs w:val="26"/>
          <w:lang w:val="pt-BR"/>
        </w:rPr>
        <w:t>ệ động vật bao gồm các loài nuôi như chó, mèo, gà, vịt,…; loài tự nhiên như Chuột đồng, Chuột nhắt; sinh  vật như: Dế, Ốc bươu vàng, Ốc giấy, Giun, Cào cào, Châu chấu,....</w:t>
      </w:r>
    </w:p>
    <w:p w14:paraId="30AAE2DC" w14:textId="77777777" w:rsidR="00085789" w:rsidRDefault="00000000">
      <w:pPr>
        <w:tabs>
          <w:tab w:val="left" w:pos="567"/>
        </w:tabs>
        <w:spacing w:before="40" w:line="240" w:lineRule="auto"/>
        <w:ind w:firstLine="709"/>
        <w:jc w:val="both"/>
        <w:rPr>
          <w:rFonts w:eastAsia="MS Mincho"/>
          <w:b/>
          <w:bCs/>
          <w:i/>
          <w:iCs/>
          <w:spacing w:val="-2"/>
          <w:sz w:val="26"/>
          <w:szCs w:val="26"/>
          <w:lang w:val="pt-BR"/>
        </w:rPr>
      </w:pPr>
      <w:r>
        <w:rPr>
          <w:rFonts w:eastAsia="MS Mincho"/>
          <w:b/>
          <w:bCs/>
          <w:i/>
          <w:iCs/>
          <w:spacing w:val="-2"/>
          <w:sz w:val="26"/>
          <w:szCs w:val="26"/>
          <w:lang w:val="pt-BR"/>
        </w:rPr>
        <w:t xml:space="preserve">b) Khu vực nông thôn: </w:t>
      </w:r>
    </w:p>
    <w:p w14:paraId="26CDCDCB" w14:textId="77777777" w:rsidR="00085789" w:rsidRDefault="00000000">
      <w:pPr>
        <w:pStyle w:val="A20"/>
        <w:spacing w:before="40" w:after="0" w:line="240" w:lineRule="auto"/>
        <w:ind w:firstLine="709"/>
        <w:rPr>
          <w:b w:val="0"/>
          <w:spacing w:val="-2"/>
          <w:lang w:val="pt-BR"/>
        </w:rPr>
      </w:pPr>
      <w:r>
        <w:rPr>
          <w:b w:val="0"/>
          <w:spacing w:val="-2"/>
          <w:lang w:val="pt-BR"/>
        </w:rPr>
        <w:lastRenderedPageBreak/>
        <w:t xml:space="preserve">HST khu vực nông thôn chủ yếu là HST nông nghiệp, trong lớp phủ thực </w:t>
      </w:r>
      <w:r>
        <w:rPr>
          <w:b w:val="0"/>
          <w:spacing w:val="-2"/>
          <w:lang w:val="nl-NL"/>
        </w:rPr>
        <w:t xml:space="preserve">vật </w:t>
      </w:r>
      <w:r>
        <w:rPr>
          <w:b w:val="0"/>
          <w:spacing w:val="-2"/>
          <w:lang w:val="pt-BR"/>
        </w:rPr>
        <w:t xml:space="preserve">thì thảm cây trồng nhân tạo là chủ yếu và chiếm hầu hết diện tích, số lượng và sự đa dạng. </w:t>
      </w:r>
      <w:bookmarkStart w:id="966" w:name="_Toc386445147"/>
      <w:bookmarkStart w:id="967" w:name="_Toc386458405"/>
      <w:bookmarkStart w:id="968" w:name="_Toc386441717"/>
      <w:r>
        <w:rPr>
          <w:b w:val="0"/>
          <w:spacing w:val="-2"/>
          <w:lang w:val="pt-BR"/>
        </w:rPr>
        <w:t>Thảm cây trồng nông nghiệp bao gồm các ruộng lúa nước là chủ yếu và một số loại rau màu (cây Khoai lang, cây Bầu, cây Bí, rau Dền, rau Hẹ, rau Muống), các loại cây ăn quả (cam, chanh, quýt, na, ổi,...) cho thu hoạch ổn định nhưng số lượng ít.</w:t>
      </w:r>
      <w:bookmarkEnd w:id="966"/>
      <w:bookmarkEnd w:id="967"/>
      <w:bookmarkEnd w:id="968"/>
    </w:p>
    <w:p w14:paraId="405C9D3E" w14:textId="77777777" w:rsidR="00085789" w:rsidRDefault="00000000">
      <w:pPr>
        <w:pStyle w:val="A20"/>
        <w:spacing w:before="40" w:after="0" w:line="240" w:lineRule="auto"/>
        <w:ind w:firstLine="709"/>
        <w:rPr>
          <w:b w:val="0"/>
          <w:spacing w:val="-4"/>
          <w:lang w:val="pt-BR"/>
        </w:rPr>
      </w:pPr>
      <w:bookmarkStart w:id="969" w:name="_Toc386445148"/>
      <w:bookmarkStart w:id="970" w:name="_Toc386441718"/>
      <w:bookmarkStart w:id="971" w:name="_Toc386458406"/>
      <w:bookmarkStart w:id="972" w:name="_Toc136857463"/>
      <w:bookmarkStart w:id="973" w:name="_Toc494375487"/>
      <w:bookmarkStart w:id="974" w:name="_Toc493776998"/>
      <w:bookmarkStart w:id="975" w:name="_Toc121908574"/>
      <w:bookmarkStart w:id="976" w:name="_Toc493828798"/>
      <w:r>
        <w:rPr>
          <w:b w:val="0"/>
          <w:spacing w:val="-4"/>
          <w:lang w:val="pt-BR"/>
        </w:rPr>
        <w:t>Khu hệ côn trùng:</w:t>
      </w:r>
      <w:bookmarkStart w:id="977" w:name="_Toc386458407"/>
      <w:bookmarkStart w:id="978" w:name="_Toc386445149"/>
      <w:bookmarkStart w:id="979" w:name="_Toc386441719"/>
      <w:bookmarkEnd w:id="969"/>
      <w:bookmarkEnd w:id="970"/>
      <w:bookmarkEnd w:id="971"/>
      <w:r>
        <w:rPr>
          <w:b w:val="0"/>
          <w:spacing w:val="-4"/>
          <w:lang w:val="pt-BR"/>
        </w:rPr>
        <w:t xml:space="preserve"> Với những đặc điểm cơ cấu cây trồng (ruộng lúa, rau màu…), vườn nhà và truyền thống canh tác địa phương, hệ côn trùng khá phong phú.</w:t>
      </w:r>
      <w:bookmarkStart w:id="980" w:name="_Toc386441720"/>
      <w:bookmarkStart w:id="981" w:name="_Toc386458408"/>
      <w:bookmarkStart w:id="982" w:name="_Toc386445150"/>
      <w:bookmarkEnd w:id="972"/>
      <w:bookmarkEnd w:id="973"/>
      <w:bookmarkEnd w:id="974"/>
      <w:bookmarkEnd w:id="975"/>
      <w:bookmarkEnd w:id="976"/>
      <w:bookmarkEnd w:id="977"/>
      <w:bookmarkEnd w:id="978"/>
      <w:bookmarkEnd w:id="979"/>
    </w:p>
    <w:p w14:paraId="3C092BB7" w14:textId="77777777" w:rsidR="00085789" w:rsidRDefault="00000000">
      <w:pPr>
        <w:tabs>
          <w:tab w:val="left" w:pos="567"/>
        </w:tabs>
        <w:spacing w:before="40" w:line="240" w:lineRule="auto"/>
        <w:ind w:firstLine="709"/>
        <w:jc w:val="both"/>
        <w:rPr>
          <w:sz w:val="26"/>
          <w:szCs w:val="26"/>
          <w:lang w:val="pt-BR"/>
        </w:rPr>
      </w:pPr>
      <w:bookmarkStart w:id="983" w:name="_Toc494375488"/>
      <w:bookmarkStart w:id="984" w:name="_Toc493828799"/>
      <w:bookmarkStart w:id="985" w:name="_Toc493776999"/>
      <w:r>
        <w:rPr>
          <w:sz w:val="26"/>
          <w:szCs w:val="26"/>
          <w:lang w:val="pt-BR"/>
        </w:rPr>
        <w:t>Khu hệ động vật có xương sống:</w:t>
      </w:r>
      <w:bookmarkStart w:id="986" w:name="_Toc386458409"/>
      <w:bookmarkStart w:id="987" w:name="_Toc386441721"/>
      <w:bookmarkStart w:id="988" w:name="_Toc386445151"/>
      <w:bookmarkEnd w:id="980"/>
      <w:bookmarkEnd w:id="981"/>
      <w:bookmarkEnd w:id="982"/>
      <w:r>
        <w:rPr>
          <w:sz w:val="26"/>
          <w:szCs w:val="26"/>
          <w:lang w:val="pt-BR"/>
        </w:rPr>
        <w:t xml:space="preserve"> Chủ yếu là nhóm thú có kích thước nhỏ bé như nhóm động vật gặm nhấm phát triển như họ chuột và các loài động vật nuôi như bò, chó, mèo,… Trong thành phần động vật có xương sống trong các HST ở cạn khu vực này không có những loài động vật quý hiếm cần được bảo vệ.</w:t>
      </w:r>
      <w:bookmarkEnd w:id="983"/>
      <w:bookmarkEnd w:id="984"/>
      <w:bookmarkEnd w:id="985"/>
      <w:bookmarkEnd w:id="986"/>
      <w:bookmarkEnd w:id="987"/>
      <w:bookmarkEnd w:id="988"/>
    </w:p>
    <w:p w14:paraId="46DEDD4D" w14:textId="77777777" w:rsidR="00085789" w:rsidRDefault="00000000">
      <w:pPr>
        <w:tabs>
          <w:tab w:val="left" w:pos="567"/>
        </w:tabs>
        <w:spacing w:before="40" w:line="240" w:lineRule="auto"/>
        <w:ind w:firstLine="709"/>
        <w:jc w:val="both"/>
        <w:rPr>
          <w:rFonts w:eastAsia="MS Mincho"/>
          <w:b/>
          <w:bCs/>
          <w:i/>
          <w:iCs/>
          <w:spacing w:val="-2"/>
          <w:sz w:val="26"/>
          <w:szCs w:val="26"/>
          <w:lang w:val="pt-BR"/>
        </w:rPr>
      </w:pPr>
      <w:r>
        <w:rPr>
          <w:rFonts w:eastAsia="MS Mincho"/>
          <w:b/>
          <w:bCs/>
          <w:i/>
          <w:iCs/>
          <w:spacing w:val="-2"/>
          <w:sz w:val="26"/>
          <w:szCs w:val="26"/>
          <w:lang w:val="pt-BR"/>
        </w:rPr>
        <w:t xml:space="preserve">c) Đối với các ao, hồ: </w:t>
      </w:r>
    </w:p>
    <w:p w14:paraId="6EDCBA4C" w14:textId="77777777" w:rsidR="00085789" w:rsidRDefault="00000000">
      <w:pPr>
        <w:spacing w:before="40" w:line="240" w:lineRule="auto"/>
        <w:ind w:firstLine="709"/>
        <w:jc w:val="both"/>
        <w:rPr>
          <w:sz w:val="26"/>
          <w:szCs w:val="26"/>
          <w:lang w:val="pt-BR"/>
        </w:rPr>
      </w:pPr>
      <w:r>
        <w:rPr>
          <w:sz w:val="26"/>
          <w:szCs w:val="26"/>
          <w:lang w:val="pt-BR"/>
        </w:rPr>
        <w:t>Hầu hết các ao hồ khu vực đồng bằng là ao hồ nhân tạo, do người dân đào để NTTS. Một số khu vực là ao, đầm tự nhiên nhỏ, hầu hết các khu vực này ngập nước ngọt, hoặc nước lợ. Tổng hợp số liệu khảo sát lập báo cáo ĐTM tại các vùng đồng bằng trên địa bàn tỉnh, xác định SHT khu vực ao hồ gồm những loài đặc trưng như sau:</w:t>
      </w:r>
    </w:p>
    <w:p w14:paraId="24E3E1F5" w14:textId="77777777" w:rsidR="00085789" w:rsidRDefault="00000000">
      <w:pPr>
        <w:spacing w:before="40" w:line="240" w:lineRule="auto"/>
        <w:ind w:firstLine="709"/>
        <w:jc w:val="both"/>
        <w:rPr>
          <w:sz w:val="26"/>
          <w:szCs w:val="26"/>
          <w:lang w:val="pt-BR"/>
        </w:rPr>
      </w:pPr>
      <w:r>
        <w:rPr>
          <w:sz w:val="26"/>
          <w:szCs w:val="26"/>
          <w:lang w:val="pt-BR"/>
        </w:rPr>
        <w:t>- Khu hệ động vật: Các loài sinh vật chủ yếu là vi khuẩn, nấm, siêu vi trùng, rong tảo, động thực vật phù du, lục bình, động vật đa bào, có xương sống và nhuyễn thể. Lớp cá: Một số đại diện họ cá Chép, cá Trôi, cá Mè, cá Quả, cá Rô phi, cá Trắm, lươn, chạch,.... Lưỡng cư: Đại diện bộ Ếch, Nhái, Cóc. Động vật không xương sống: Đại diện ngành thân mềm như Ốc bươu,..., phân ngành giáp xác như Tôm, Cua,.... Sinh vật sống ở đáy hồ: Sinh vật đáy cát và đáy bùn, thành phần gồm ấu trùng côn trùng, giun ít tơ, ốc, trai sông họ Unionidae, trai cóc họ Amblemidae.</w:t>
      </w:r>
    </w:p>
    <w:p w14:paraId="556040A8" w14:textId="77777777" w:rsidR="00085789" w:rsidRDefault="00000000">
      <w:pPr>
        <w:tabs>
          <w:tab w:val="left" w:pos="567"/>
        </w:tabs>
        <w:spacing w:before="40" w:line="240" w:lineRule="auto"/>
        <w:ind w:firstLine="709"/>
        <w:jc w:val="both"/>
        <w:rPr>
          <w:sz w:val="26"/>
          <w:szCs w:val="26"/>
          <w:lang w:val="pt-BR"/>
        </w:rPr>
      </w:pPr>
      <w:r>
        <w:rPr>
          <w:sz w:val="26"/>
          <w:szCs w:val="26"/>
          <w:lang w:val="pt-BR"/>
        </w:rPr>
        <w:t xml:space="preserve">- Khu hệ thực vật: Các loài hiện hữu phổ biến nổi trên bề mặt ao, hồ: Gồm các loài thực vật thủy sinh như Bèo Lục Bình, cỏ chân vịt, rong rêu, tảo,.… </w:t>
      </w:r>
      <w:r>
        <w:rPr>
          <w:rFonts w:eastAsia="MS Mincho"/>
          <w:sz w:val="26"/>
          <w:szCs w:val="26"/>
          <w:lang w:val="pt-BR"/>
        </w:rPr>
        <w:t>Hiện nay có thêm nhiều loài ngoại lai xâm lấn như cỏ Cứt lợn, cỏ Hôi, cây Cỏ lào</w:t>
      </w:r>
      <w:r>
        <w:rPr>
          <w:rFonts w:eastAsia="MS Mincho"/>
          <w:i/>
          <w:sz w:val="26"/>
          <w:szCs w:val="26"/>
          <w:lang w:val="pt-BR"/>
        </w:rPr>
        <w:t>,....</w:t>
      </w:r>
      <w:r>
        <w:rPr>
          <w:rFonts w:eastAsia="MS Mincho"/>
          <w:sz w:val="26"/>
          <w:szCs w:val="26"/>
          <w:lang w:val="pt-BR"/>
        </w:rPr>
        <w:t xml:space="preserve"> Một số khu vực đất ẩm ven bờ hồ, bờ sông còn có sự hiện diện của loài ngoại lai xâm hại là cây Mai dương, Ốc bươu vàng,....</w:t>
      </w:r>
    </w:p>
    <w:p w14:paraId="689D3FE6" w14:textId="77777777" w:rsidR="00085789" w:rsidRDefault="00000000">
      <w:pPr>
        <w:spacing w:before="40" w:line="240" w:lineRule="auto"/>
        <w:ind w:firstLine="709"/>
        <w:jc w:val="both"/>
        <w:rPr>
          <w:i/>
          <w:iCs/>
          <w:sz w:val="26"/>
          <w:szCs w:val="26"/>
          <w:lang w:val="nl-NL"/>
        </w:rPr>
      </w:pPr>
      <w:r>
        <w:rPr>
          <w:b/>
          <w:bCs/>
          <w:i/>
          <w:iCs/>
          <w:sz w:val="26"/>
          <w:szCs w:val="26"/>
          <w:lang w:val="pt-BR"/>
        </w:rPr>
        <w:t>Nhận xét:</w:t>
      </w:r>
      <w:r>
        <w:rPr>
          <w:i/>
          <w:iCs/>
          <w:sz w:val="26"/>
          <w:szCs w:val="26"/>
          <w:lang w:val="pt-BR"/>
        </w:rPr>
        <w:t xml:space="preserve"> HST đồng bằng tuy nghèo về loài và tính ĐDSH không cao nhưng là HST rộng nhất trên địa bàn tỉnh Hà Tĩnh, gắn liền với hoạt động sản xuất của người dân, các thành phần sinh học trong các HST này cũng góp phần quan trọng đối với năng suất cây trồng như côn trùng thiên địch, ong thụ phấn; góp phần giảm thiểu khí thải hiệu ứng nhà kính, cải thiện môi trường không khí quanh các đô thị, KCN; đồng thời cũng là nơi di trú, kiếm ăn của nhiều loài chim nước, chim bụi, lưỡng cư, bò sát, cá, côn trùng, nhuyễn thể,... góp phần duy trì ĐDSH.</w:t>
      </w:r>
    </w:p>
    <w:p w14:paraId="73A956B5" w14:textId="77777777" w:rsidR="00085789" w:rsidRDefault="00000000">
      <w:pPr>
        <w:pStyle w:val="bac2"/>
        <w:spacing w:before="40" w:after="0" w:line="240" w:lineRule="auto"/>
        <w:rPr>
          <w:smallCaps/>
          <w:lang w:val="nl-NL"/>
        </w:rPr>
      </w:pPr>
      <w:bookmarkStart w:id="989" w:name="_Toc214311272"/>
      <w:r>
        <w:rPr>
          <w:lang w:val="nl-NL"/>
        </w:rPr>
        <w:t>6.4. Loài và nguồn gen</w:t>
      </w:r>
      <w:bookmarkEnd w:id="989"/>
    </w:p>
    <w:p w14:paraId="42705D22" w14:textId="77777777" w:rsidR="00085789" w:rsidRDefault="00000000">
      <w:pPr>
        <w:pStyle w:val="BodyText"/>
        <w:widowControl w:val="0"/>
        <w:spacing w:before="40" w:line="240" w:lineRule="auto"/>
        <w:ind w:firstLine="709"/>
        <w:rPr>
          <w:rFonts w:ascii="Times New Roman" w:hAnsi="Times New Roman"/>
          <w:b w:val="0"/>
          <w:bCs/>
          <w:sz w:val="26"/>
          <w:szCs w:val="26"/>
          <w:lang w:val="nl-NL"/>
        </w:rPr>
      </w:pPr>
      <w:r>
        <w:rPr>
          <w:rFonts w:ascii="Times New Roman" w:hAnsi="Times New Roman"/>
          <w:b w:val="0"/>
          <w:bCs/>
          <w:sz w:val="26"/>
          <w:szCs w:val="26"/>
          <w:lang w:val="nl-NL"/>
        </w:rPr>
        <w:t xml:space="preserve">Hà Tĩnh được đánh giá là một trong những tỉnh có mức độ ĐDSH cao, phong phú về loài, mang nhiều nét đặc trưng của ĐDSH Việt Nam. Mức độ ĐDSH trong tự nhiên của Hà Tĩnh tập trung chủ yếu tại Vườn quốc gia Vũ Quang và Khu bảo tồn thiên nhiên Kẻ Gỗ. Hiện nay, tỉnh Hà Tĩnh đã thống kê có 345 loài động, thực vật quý, hiếm được ghi trong Danh lục đỏ thế giới (IUCN, 2016), sách đỏ Việt Nam (2007) và Nghị định số 32/2006/NĐ-CP của Chính phủ về quản lý thực vật rừng, động vật rừng nguy cấp, quý, hiếm. Trong đó, có 163 loài thực vật bậc cao, 55 loài thú, 38 loài chim, 35 loài bò sát, 14 loài lưỡng cư, 29 loài cá và 11 loài côn trùng. Đặc biệt theo IUCN (2016) ghi nhận 120 loài nguy cấp (14 loài CR, 34 loài EN, 72 loài VU); sách đỏ Việt Nam (2007) có 231 loài nguy cấp (18 loài CR, 74 loài EN và 139 loài VU); Nghị định số 32/2006/NĐ-CP có 112 loài nguy cấp (trong đó, thực vật ở phụ lục IA có 04 loài và phụ lục IIA 28 loài; còn động </w:t>
      </w:r>
      <w:r>
        <w:rPr>
          <w:rFonts w:ascii="Times New Roman" w:hAnsi="Times New Roman"/>
          <w:b w:val="0"/>
          <w:bCs/>
          <w:sz w:val="26"/>
          <w:szCs w:val="26"/>
          <w:lang w:val="nl-NL"/>
        </w:rPr>
        <w:lastRenderedPageBreak/>
        <w:t>vật phụ lục IB có 37 loài và phụ lục IIB có 43 loài). Ngoài ra, Hà Tĩnh còn là nơi phát hiện được nhiều loài mới cho khoa học như Sao la, Mang lớn, Gà lôi Hà Tĩnh (đuôi trắng), Cá sao Vũ Quang,…. Cụ thể 02 khu vực có HST đa dạng nhất như sau:</w:t>
      </w:r>
    </w:p>
    <w:p w14:paraId="6BB1B319" w14:textId="77777777" w:rsidR="00085789" w:rsidRDefault="00000000">
      <w:pPr>
        <w:pStyle w:val="bac2"/>
        <w:spacing w:before="40" w:after="0" w:line="240" w:lineRule="auto"/>
        <w:rPr>
          <w:smallCaps/>
          <w:lang w:val="nl-NL"/>
        </w:rPr>
      </w:pPr>
      <w:bookmarkStart w:id="990" w:name="_Toc214311273"/>
      <w:r>
        <w:rPr>
          <w:lang w:val="nl-NL"/>
        </w:rPr>
        <w:t>6.4.1. Đa dạng thành phần loài thực vật</w:t>
      </w:r>
      <w:bookmarkEnd w:id="990"/>
    </w:p>
    <w:p w14:paraId="1B30A671" w14:textId="77777777" w:rsidR="00085789" w:rsidRDefault="00000000">
      <w:pPr>
        <w:pStyle w:val="BodyText"/>
        <w:widowControl w:val="0"/>
        <w:spacing w:before="40" w:line="240" w:lineRule="auto"/>
        <w:ind w:firstLine="709"/>
        <w:rPr>
          <w:rFonts w:ascii="Times New Roman" w:hAnsi="Times New Roman"/>
          <w:spacing w:val="-2"/>
          <w:sz w:val="26"/>
          <w:szCs w:val="26"/>
          <w:lang w:val="nl-NL"/>
        </w:rPr>
      </w:pPr>
      <w:r>
        <w:rPr>
          <w:rFonts w:ascii="Times New Roman" w:hAnsi="Times New Roman"/>
          <w:spacing w:val="-2"/>
          <w:sz w:val="26"/>
          <w:szCs w:val="26"/>
          <w:lang w:val="nl-NL"/>
        </w:rPr>
        <w:t>(1) Khu BTNT Kẻ Gỗ:</w:t>
      </w:r>
    </w:p>
    <w:p w14:paraId="346E074E" w14:textId="77777777" w:rsidR="00085789" w:rsidRDefault="00000000">
      <w:pPr>
        <w:pStyle w:val="BodyText"/>
        <w:spacing w:before="40" w:line="240" w:lineRule="auto"/>
        <w:ind w:firstLine="709"/>
        <w:rPr>
          <w:b w:val="0"/>
          <w:bCs/>
          <w:spacing w:val="-4"/>
          <w:szCs w:val="26"/>
          <w:lang w:val="nl-NL"/>
        </w:rPr>
      </w:pPr>
      <w:r>
        <w:rPr>
          <w:rFonts w:ascii="Times New Roman" w:hAnsi="Times New Roman"/>
          <w:b w:val="0"/>
          <w:bCs/>
          <w:spacing w:val="-4"/>
          <w:sz w:val="26"/>
          <w:szCs w:val="26"/>
          <w:lang w:val="nl-NL"/>
        </w:rPr>
        <w:t xml:space="preserve">Khu bảo tồn có tổng diện tích là 44.271,81 ha, gồm diện tích quy hoạch lâm nghiệp 41.480,71 ha và diện tích đất mặt nước chuyên dùng 2.791,10 ha (mặt thoáng lòng hồ Kẻ Gỗ). HST trong Khu bảo tồn Kẻ Gỗ là rừng kín thường xanh mưa ẩm á nhiệt đới trên đồi núi thấp. </w:t>
      </w:r>
    </w:p>
    <w:p w14:paraId="7C1B1565" w14:textId="77777777" w:rsidR="00085789" w:rsidRDefault="00000000">
      <w:pPr>
        <w:pStyle w:val="BodyText"/>
        <w:spacing w:before="40" w:line="240" w:lineRule="auto"/>
        <w:ind w:firstLine="709"/>
        <w:rPr>
          <w:rFonts w:asciiTheme="majorHAnsi" w:eastAsia="TimesNewRoman" w:hAnsiTheme="majorHAnsi" w:cstheme="majorHAnsi"/>
          <w:b w:val="0"/>
          <w:bCs/>
          <w:szCs w:val="26"/>
          <w:lang w:val="nl-NL"/>
        </w:rPr>
      </w:pPr>
      <w:r>
        <w:rPr>
          <w:rFonts w:asciiTheme="majorHAnsi" w:hAnsiTheme="majorHAnsi" w:cstheme="majorHAnsi"/>
          <w:b w:val="0"/>
          <w:bCs/>
          <w:spacing w:val="-2"/>
          <w:sz w:val="26"/>
          <w:szCs w:val="26"/>
          <w:lang w:val="nl-NL"/>
        </w:rPr>
        <w:t xml:space="preserve">Hệ thực vật tại Khu BTTN Kẻ Gỗ </w:t>
      </w:r>
      <w:r>
        <w:rPr>
          <w:rFonts w:asciiTheme="majorHAnsi" w:hAnsiTheme="majorHAnsi" w:cstheme="majorHAnsi"/>
          <w:b w:val="0"/>
          <w:bCs/>
          <w:spacing w:val="-4"/>
          <w:sz w:val="26"/>
          <w:szCs w:val="26"/>
          <w:lang w:val="nl-NL"/>
        </w:rPr>
        <w:t>c</w:t>
      </w:r>
      <w:r>
        <w:rPr>
          <w:rFonts w:asciiTheme="majorHAnsi" w:hAnsiTheme="majorHAnsi" w:cstheme="majorHAnsi"/>
          <w:bCs/>
          <w:spacing w:val="-4"/>
          <w:sz w:val="26"/>
          <w:szCs w:val="26"/>
          <w:lang w:val="nl-NL"/>
        </w:rPr>
        <w:t>ó</w:t>
      </w:r>
      <w:r>
        <w:rPr>
          <w:rFonts w:asciiTheme="majorHAnsi" w:hAnsiTheme="majorHAnsi" w:cstheme="majorHAnsi"/>
          <w:b w:val="0"/>
          <w:bCs/>
          <w:spacing w:val="-4"/>
          <w:sz w:val="26"/>
          <w:szCs w:val="26"/>
          <w:lang w:val="nl-NL"/>
        </w:rPr>
        <w:t xml:space="preserve"> 567 loài thuộc 113 họ, trong đó có 10 loài được ghi trong sách đỏ Việt Nam, gồm: Lim Xanh, Kim giao </w:t>
      </w:r>
      <w:r>
        <w:rPr>
          <w:rFonts w:asciiTheme="majorHAnsi" w:hAnsiTheme="majorHAnsi" w:cstheme="majorHAnsi"/>
          <w:b w:val="0"/>
          <w:bCs/>
          <w:i/>
          <w:iCs/>
          <w:spacing w:val="-4"/>
          <w:sz w:val="26"/>
          <w:szCs w:val="26"/>
          <w:lang w:val="nl-NL"/>
        </w:rPr>
        <w:t>(Podocarpus wallichianus)</w:t>
      </w:r>
      <w:r>
        <w:rPr>
          <w:rFonts w:asciiTheme="majorHAnsi" w:hAnsiTheme="majorHAnsi" w:cstheme="majorHAnsi"/>
          <w:b w:val="0"/>
          <w:bCs/>
          <w:spacing w:val="-4"/>
          <w:sz w:val="26"/>
          <w:szCs w:val="26"/>
          <w:lang w:val="nl-NL"/>
        </w:rPr>
        <w:t xml:space="preserve">, Gụ lau </w:t>
      </w:r>
      <w:r>
        <w:rPr>
          <w:rFonts w:asciiTheme="majorHAnsi" w:hAnsiTheme="majorHAnsi" w:cstheme="majorHAnsi"/>
          <w:b w:val="0"/>
          <w:bCs/>
          <w:i/>
          <w:iCs/>
          <w:spacing w:val="-4"/>
          <w:sz w:val="26"/>
          <w:szCs w:val="26"/>
          <w:lang w:val="nl-NL"/>
        </w:rPr>
        <w:t>(Sindora tonkinensis)</w:t>
      </w:r>
      <w:r>
        <w:rPr>
          <w:rFonts w:asciiTheme="majorHAnsi" w:hAnsiTheme="majorHAnsi" w:cstheme="majorHAnsi"/>
          <w:b w:val="0"/>
          <w:bCs/>
          <w:spacing w:val="-4"/>
          <w:sz w:val="26"/>
          <w:szCs w:val="26"/>
          <w:lang w:val="nl-NL"/>
        </w:rPr>
        <w:t xml:space="preserve">, Chò chỉ </w:t>
      </w:r>
      <w:r>
        <w:rPr>
          <w:rFonts w:asciiTheme="majorHAnsi" w:hAnsiTheme="majorHAnsi" w:cstheme="majorHAnsi"/>
          <w:b w:val="0"/>
          <w:bCs/>
          <w:i/>
          <w:iCs/>
          <w:spacing w:val="-4"/>
          <w:sz w:val="26"/>
          <w:szCs w:val="26"/>
          <w:lang w:val="nl-NL"/>
        </w:rPr>
        <w:t>(Parashorea chinensis)</w:t>
      </w:r>
      <w:r>
        <w:rPr>
          <w:rFonts w:asciiTheme="majorHAnsi" w:hAnsiTheme="majorHAnsi" w:cstheme="majorHAnsi"/>
          <w:b w:val="0"/>
          <w:bCs/>
          <w:spacing w:val="-4"/>
          <w:sz w:val="26"/>
          <w:szCs w:val="26"/>
          <w:lang w:val="nl-NL"/>
        </w:rPr>
        <w:t xml:space="preserve">, Sa </w:t>
      </w:r>
      <w:r>
        <w:rPr>
          <w:rFonts w:asciiTheme="majorHAnsi" w:hAnsiTheme="majorHAnsi" w:cstheme="majorHAnsi"/>
          <w:b w:val="0"/>
          <w:bCs/>
          <w:i/>
          <w:iCs/>
          <w:spacing w:val="-4"/>
          <w:sz w:val="26"/>
          <w:szCs w:val="26"/>
          <w:lang w:val="nl-NL"/>
        </w:rPr>
        <w:t xml:space="preserve">(Dalbergia tonkinensis), </w:t>
      </w:r>
      <w:r>
        <w:rPr>
          <w:rFonts w:asciiTheme="majorHAnsi" w:hAnsiTheme="majorHAnsi" w:cstheme="majorHAnsi"/>
          <w:b w:val="0"/>
          <w:bCs/>
          <w:spacing w:val="-4"/>
          <w:sz w:val="26"/>
          <w:szCs w:val="26"/>
          <w:lang w:val="nl-NL"/>
        </w:rPr>
        <w:t xml:space="preserve">Re hương </w:t>
      </w:r>
      <w:r>
        <w:rPr>
          <w:rFonts w:asciiTheme="majorHAnsi" w:hAnsiTheme="majorHAnsi" w:cstheme="majorHAnsi"/>
          <w:b w:val="0"/>
          <w:bCs/>
          <w:i/>
          <w:iCs/>
          <w:spacing w:val="-4"/>
          <w:sz w:val="26"/>
          <w:szCs w:val="26"/>
          <w:lang w:val="nl-NL"/>
        </w:rPr>
        <w:t>(Cinnamomum parthenoxylum)</w:t>
      </w:r>
      <w:r>
        <w:rPr>
          <w:rFonts w:asciiTheme="majorHAnsi" w:hAnsiTheme="majorHAnsi" w:cstheme="majorHAnsi"/>
          <w:b w:val="0"/>
          <w:bCs/>
          <w:spacing w:val="-4"/>
          <w:sz w:val="26"/>
          <w:szCs w:val="26"/>
          <w:lang w:val="nl-NL"/>
        </w:rPr>
        <w:t xml:space="preserve">, Vàng tâm </w:t>
      </w:r>
      <w:r>
        <w:rPr>
          <w:rFonts w:asciiTheme="majorHAnsi" w:hAnsiTheme="majorHAnsi" w:cstheme="majorHAnsi"/>
          <w:b w:val="0"/>
          <w:bCs/>
          <w:i/>
          <w:iCs/>
          <w:spacing w:val="-4"/>
          <w:sz w:val="26"/>
          <w:szCs w:val="26"/>
          <w:lang w:val="nl-NL"/>
        </w:rPr>
        <w:t>(Manglietia hainanensis)</w:t>
      </w:r>
      <w:r>
        <w:rPr>
          <w:rFonts w:asciiTheme="majorHAnsi" w:hAnsiTheme="majorHAnsi" w:cstheme="majorHAnsi"/>
          <w:b w:val="0"/>
          <w:bCs/>
          <w:spacing w:val="-4"/>
          <w:sz w:val="26"/>
          <w:szCs w:val="26"/>
          <w:lang w:val="nl-NL"/>
        </w:rPr>
        <w:t xml:space="preserve">, Lát hoa </w:t>
      </w:r>
      <w:r>
        <w:rPr>
          <w:rFonts w:asciiTheme="majorHAnsi" w:hAnsiTheme="majorHAnsi" w:cstheme="majorHAnsi"/>
          <w:b w:val="0"/>
          <w:bCs/>
          <w:i/>
          <w:iCs/>
          <w:spacing w:val="-4"/>
          <w:sz w:val="26"/>
          <w:szCs w:val="26"/>
          <w:lang w:val="nl-NL"/>
        </w:rPr>
        <w:t>(Chukrasia tabularis)</w:t>
      </w:r>
      <w:r>
        <w:rPr>
          <w:rFonts w:asciiTheme="majorHAnsi" w:hAnsiTheme="majorHAnsi" w:cstheme="majorHAnsi"/>
          <w:b w:val="0"/>
          <w:bCs/>
          <w:spacing w:val="-4"/>
          <w:sz w:val="26"/>
          <w:szCs w:val="26"/>
          <w:lang w:val="nl-NL"/>
        </w:rPr>
        <w:t xml:space="preserve">, Sến mật </w:t>
      </w:r>
      <w:r>
        <w:rPr>
          <w:rFonts w:asciiTheme="majorHAnsi" w:hAnsiTheme="majorHAnsi" w:cstheme="majorHAnsi"/>
          <w:b w:val="0"/>
          <w:bCs/>
          <w:i/>
          <w:iCs/>
          <w:spacing w:val="-4"/>
          <w:sz w:val="26"/>
          <w:szCs w:val="26"/>
          <w:lang w:val="nl-NL"/>
        </w:rPr>
        <w:t>(Madhuca pasquieri)</w:t>
      </w:r>
      <w:r>
        <w:rPr>
          <w:rFonts w:asciiTheme="majorHAnsi" w:hAnsiTheme="majorHAnsi" w:cstheme="majorHAnsi"/>
          <w:b w:val="0"/>
          <w:bCs/>
          <w:spacing w:val="-4"/>
          <w:sz w:val="26"/>
          <w:szCs w:val="26"/>
          <w:lang w:val="nl-NL"/>
        </w:rPr>
        <w:t xml:space="preserve">, Song mật </w:t>
      </w:r>
      <w:r>
        <w:rPr>
          <w:rFonts w:asciiTheme="majorHAnsi" w:hAnsiTheme="majorHAnsi" w:cstheme="majorHAnsi"/>
          <w:b w:val="0"/>
          <w:bCs/>
          <w:i/>
          <w:iCs/>
          <w:spacing w:val="-4"/>
          <w:sz w:val="26"/>
          <w:szCs w:val="26"/>
          <w:lang w:val="nl-NL"/>
        </w:rPr>
        <w:t>(Calamus  latyacanthus)</w:t>
      </w:r>
      <w:r>
        <w:rPr>
          <w:rFonts w:asciiTheme="majorHAnsi" w:hAnsiTheme="majorHAnsi" w:cstheme="majorHAnsi"/>
          <w:b w:val="0"/>
          <w:bCs/>
          <w:i/>
          <w:iCs/>
          <w:spacing w:val="-2"/>
          <w:sz w:val="26"/>
          <w:szCs w:val="26"/>
          <w:lang w:val="nl-NL"/>
        </w:rPr>
        <w:t xml:space="preserve"> </w:t>
      </w:r>
      <w:r>
        <w:rPr>
          <w:rFonts w:asciiTheme="majorHAnsi" w:hAnsiTheme="majorHAnsi" w:cstheme="majorHAnsi"/>
          <w:b w:val="0"/>
          <w:bCs/>
          <w:spacing w:val="-2"/>
          <w:sz w:val="26"/>
          <w:szCs w:val="26"/>
          <w:lang w:val="nl-NL"/>
        </w:rPr>
        <w:t xml:space="preserve">và Trầm hương </w:t>
      </w:r>
      <w:r>
        <w:rPr>
          <w:rFonts w:asciiTheme="majorHAnsi" w:hAnsiTheme="majorHAnsi" w:cstheme="majorHAnsi"/>
          <w:b w:val="0"/>
          <w:bCs/>
          <w:i/>
          <w:iCs/>
          <w:spacing w:val="-2"/>
          <w:sz w:val="26"/>
          <w:szCs w:val="26"/>
          <w:lang w:val="nl-NL"/>
        </w:rPr>
        <w:t xml:space="preserve">(Aquilaria </w:t>
      </w:r>
      <w:r>
        <w:rPr>
          <w:rFonts w:asciiTheme="majorHAnsi" w:hAnsiTheme="majorHAnsi" w:cstheme="majorHAnsi"/>
          <w:b w:val="0"/>
          <w:bCs/>
          <w:i/>
          <w:iCs/>
          <w:spacing w:val="-4"/>
          <w:sz w:val="26"/>
          <w:szCs w:val="26"/>
          <w:lang w:val="nl-NL"/>
        </w:rPr>
        <w:t>crassnana).</w:t>
      </w:r>
      <w:r>
        <w:rPr>
          <w:rFonts w:asciiTheme="majorHAnsi" w:hAnsiTheme="majorHAnsi" w:cstheme="majorHAnsi"/>
          <w:b w:val="0"/>
          <w:bCs/>
          <w:iCs/>
          <w:spacing w:val="-4"/>
          <w:sz w:val="26"/>
          <w:szCs w:val="26"/>
          <w:lang w:val="nl-NL"/>
        </w:rPr>
        <w:t xml:space="preserve"> </w:t>
      </w:r>
      <w:bookmarkStart w:id="991" w:name="_Toc205915857"/>
      <w:bookmarkStart w:id="992" w:name="_Toc213597548"/>
      <w:bookmarkStart w:id="993" w:name="_Toc213601223"/>
      <w:bookmarkStart w:id="994" w:name="_Toc213601744"/>
      <w:bookmarkStart w:id="995" w:name="_Toc213601932"/>
      <w:r>
        <w:rPr>
          <w:rFonts w:asciiTheme="majorHAnsi" w:eastAsia="TimesNewRoman" w:hAnsiTheme="majorHAnsi" w:cstheme="majorHAnsi"/>
          <w:b w:val="0"/>
          <w:bCs/>
          <w:szCs w:val="26"/>
          <w:lang w:val="nl-NL"/>
        </w:rPr>
        <w:t>Trong 31 loài thực vật quý hiếm ở khu BTTN Kẻ Gỗ có tới 28 loài có tên trong Sách Đỏ Việt Nam, trong đó có một loài ở mức rất nguy cấp (CR), đó là loài Xá xị (</w:t>
      </w:r>
      <w:r>
        <w:rPr>
          <w:rFonts w:asciiTheme="majorHAnsi" w:eastAsia="TimesNewRoman" w:hAnsiTheme="majorHAnsi" w:cstheme="majorHAnsi"/>
          <w:b w:val="0"/>
          <w:bCs/>
          <w:i/>
          <w:iCs/>
          <w:szCs w:val="26"/>
          <w:lang w:val="nl-NL"/>
        </w:rPr>
        <w:t>Cinnamomum parthenoxylon</w:t>
      </w:r>
      <w:r>
        <w:rPr>
          <w:rFonts w:asciiTheme="majorHAnsi" w:eastAsia="TimesNewRoman" w:hAnsiTheme="majorHAnsi" w:cstheme="majorHAnsi"/>
          <w:b w:val="0"/>
          <w:bCs/>
          <w:szCs w:val="26"/>
          <w:lang w:val="nl-NL"/>
        </w:rPr>
        <w:t>), 8 loài ở mức nguy cấp (EN), 19 loài ở mức sắp nguy cấp (VU). Nghị định 32/2006/NĐ - CP c</w:t>
      </w:r>
      <w:r>
        <w:rPr>
          <w:rFonts w:asciiTheme="majorHAnsi" w:eastAsia="Malgun Gothic Semilight" w:hAnsiTheme="majorHAnsi" w:cstheme="majorHAnsi"/>
          <w:b w:val="0"/>
          <w:bCs/>
          <w:szCs w:val="26"/>
          <w:lang w:val="nl-NL"/>
        </w:rPr>
        <w:t>ó</w:t>
      </w:r>
      <w:r>
        <w:rPr>
          <w:rFonts w:asciiTheme="majorHAnsi" w:eastAsia="TimesNewRoman" w:hAnsiTheme="majorHAnsi" w:cstheme="majorHAnsi"/>
          <w:b w:val="0"/>
          <w:bCs/>
          <w:szCs w:val="26"/>
          <w:lang w:val="nl-NL"/>
        </w:rPr>
        <w:t xml:space="preserve"> 1 lo</w:t>
      </w:r>
      <w:r>
        <w:rPr>
          <w:rFonts w:asciiTheme="majorHAnsi" w:eastAsia="Malgun Gothic Semilight" w:hAnsiTheme="majorHAnsi" w:cstheme="majorHAnsi"/>
          <w:b w:val="0"/>
          <w:bCs/>
          <w:szCs w:val="26"/>
          <w:lang w:val="nl-NL"/>
        </w:rPr>
        <w:t>à</w:t>
      </w:r>
      <w:r>
        <w:rPr>
          <w:rFonts w:asciiTheme="majorHAnsi" w:eastAsia="TimesNewRoman" w:hAnsiTheme="majorHAnsi" w:cstheme="majorHAnsi"/>
          <w:b w:val="0"/>
          <w:bCs/>
          <w:szCs w:val="26"/>
          <w:lang w:val="nl-NL"/>
        </w:rPr>
        <w:t>i thuộc nhóm IA đó là Sưa (</w:t>
      </w:r>
      <w:r>
        <w:rPr>
          <w:rFonts w:asciiTheme="majorHAnsi" w:eastAsia="TimesNewRoman" w:hAnsiTheme="majorHAnsi" w:cstheme="majorHAnsi"/>
          <w:b w:val="0"/>
          <w:bCs/>
          <w:i/>
          <w:iCs/>
          <w:szCs w:val="26"/>
          <w:lang w:val="nl-NL"/>
        </w:rPr>
        <w:t>Dalbergia tonkinensis</w:t>
      </w:r>
      <w:r>
        <w:rPr>
          <w:rFonts w:asciiTheme="majorHAnsi" w:eastAsia="TimesNewRoman" w:hAnsiTheme="majorHAnsi" w:cstheme="majorHAnsi"/>
          <w:b w:val="0"/>
          <w:bCs/>
          <w:szCs w:val="26"/>
          <w:lang w:val="nl-NL"/>
        </w:rPr>
        <w:t>) và 6 loài thuộc nhóm IIA là: Đinh (</w:t>
      </w:r>
      <w:r>
        <w:rPr>
          <w:rFonts w:asciiTheme="majorHAnsi" w:eastAsia="TimesNewRoman" w:hAnsiTheme="majorHAnsi" w:cstheme="majorHAnsi"/>
          <w:b w:val="0"/>
          <w:bCs/>
          <w:i/>
          <w:iCs/>
          <w:szCs w:val="26"/>
          <w:lang w:val="nl-NL"/>
        </w:rPr>
        <w:t>Markhamia stipulata</w:t>
      </w:r>
      <w:r>
        <w:rPr>
          <w:rFonts w:asciiTheme="majorHAnsi" w:eastAsia="TimesNewRoman" w:hAnsiTheme="majorHAnsi" w:cstheme="majorHAnsi"/>
          <w:b w:val="0"/>
          <w:bCs/>
          <w:szCs w:val="26"/>
          <w:lang w:val="nl-NL"/>
        </w:rPr>
        <w:t>), Lim xanh (</w:t>
      </w:r>
      <w:r>
        <w:rPr>
          <w:rFonts w:asciiTheme="majorHAnsi" w:eastAsia="TimesNewRoman" w:hAnsiTheme="majorHAnsi" w:cstheme="majorHAnsi"/>
          <w:b w:val="0"/>
          <w:bCs/>
          <w:i/>
          <w:iCs/>
          <w:szCs w:val="26"/>
          <w:lang w:val="nl-NL"/>
        </w:rPr>
        <w:t>Erythrophleum fordii</w:t>
      </w:r>
      <w:r>
        <w:rPr>
          <w:rFonts w:asciiTheme="majorHAnsi" w:eastAsia="TimesNewRoman" w:hAnsiTheme="majorHAnsi" w:cstheme="majorHAnsi"/>
          <w:b w:val="0"/>
          <w:bCs/>
          <w:szCs w:val="26"/>
          <w:lang w:val="nl-NL"/>
        </w:rPr>
        <w:t>), Gụ mật (</w:t>
      </w:r>
      <w:r>
        <w:rPr>
          <w:rFonts w:asciiTheme="majorHAnsi" w:eastAsia="TimesNewRoman" w:hAnsiTheme="majorHAnsi" w:cstheme="majorHAnsi"/>
          <w:b w:val="0"/>
          <w:bCs/>
          <w:i/>
          <w:iCs/>
          <w:szCs w:val="26"/>
          <w:lang w:val="nl-NL"/>
        </w:rPr>
        <w:t>Sindora tonkinensis</w:t>
      </w:r>
      <w:r>
        <w:rPr>
          <w:rFonts w:asciiTheme="majorHAnsi" w:eastAsia="TimesNewRoman" w:hAnsiTheme="majorHAnsi" w:cstheme="majorHAnsi"/>
          <w:b w:val="0"/>
          <w:bCs/>
          <w:szCs w:val="26"/>
          <w:lang w:val="nl-NL"/>
        </w:rPr>
        <w:t>), Gụ lau (</w:t>
      </w:r>
      <w:r>
        <w:rPr>
          <w:rFonts w:asciiTheme="majorHAnsi" w:eastAsia="TimesNewRoman" w:hAnsiTheme="majorHAnsi" w:cstheme="majorHAnsi"/>
          <w:b w:val="0"/>
          <w:bCs/>
          <w:i/>
          <w:iCs/>
          <w:szCs w:val="26"/>
          <w:lang w:val="nl-NL"/>
        </w:rPr>
        <w:t>Sindora siamensis</w:t>
      </w:r>
      <w:r>
        <w:rPr>
          <w:rFonts w:asciiTheme="majorHAnsi" w:eastAsia="TimesNewRoman" w:hAnsiTheme="majorHAnsi" w:cstheme="majorHAnsi"/>
          <w:b w:val="0"/>
          <w:bCs/>
          <w:szCs w:val="26"/>
          <w:lang w:val="nl-NL"/>
        </w:rPr>
        <w:t>), Xá xị (</w:t>
      </w:r>
      <w:r>
        <w:rPr>
          <w:rFonts w:asciiTheme="majorHAnsi" w:eastAsia="TimesNewRoman" w:hAnsiTheme="majorHAnsi" w:cstheme="majorHAnsi"/>
          <w:b w:val="0"/>
          <w:bCs/>
          <w:i/>
          <w:iCs/>
          <w:szCs w:val="26"/>
          <w:lang w:val="nl-NL"/>
        </w:rPr>
        <w:t>Cinnamomum parthenoxylon</w:t>
      </w:r>
      <w:r>
        <w:rPr>
          <w:rFonts w:asciiTheme="majorHAnsi" w:eastAsia="TimesNewRoman" w:hAnsiTheme="majorHAnsi" w:cstheme="majorHAnsi"/>
          <w:b w:val="0"/>
          <w:bCs/>
          <w:szCs w:val="26"/>
          <w:lang w:val="nl-NL"/>
        </w:rPr>
        <w:t>), Vàng đắng (</w:t>
      </w:r>
      <w:r>
        <w:rPr>
          <w:rFonts w:asciiTheme="majorHAnsi" w:eastAsia="TimesNewRoman" w:hAnsiTheme="majorHAnsi" w:cstheme="majorHAnsi"/>
          <w:b w:val="0"/>
          <w:bCs/>
          <w:i/>
          <w:iCs/>
          <w:szCs w:val="26"/>
          <w:lang w:val="nl-NL"/>
        </w:rPr>
        <w:t>Coscinium fenestratum</w:t>
      </w:r>
      <w:r>
        <w:rPr>
          <w:rFonts w:asciiTheme="majorHAnsi" w:eastAsia="TimesNewRoman" w:hAnsiTheme="majorHAnsi" w:cstheme="majorHAnsi"/>
          <w:b w:val="0"/>
          <w:bCs/>
          <w:szCs w:val="26"/>
          <w:lang w:val="nl-NL"/>
        </w:rPr>
        <w:t>). Danh Lục đỏ IUCN 2018 có 14 loài trong đó 1 loài ở mức cực kỳ nguy cấp (CR) là cây Trầm hương (</w:t>
      </w:r>
      <w:r>
        <w:rPr>
          <w:rFonts w:asciiTheme="majorHAnsi" w:eastAsia="TimesNewRoman" w:hAnsiTheme="majorHAnsi" w:cstheme="majorHAnsi"/>
          <w:b w:val="0"/>
          <w:bCs/>
          <w:i/>
          <w:iCs/>
          <w:szCs w:val="26"/>
          <w:lang w:val="nl-NL"/>
        </w:rPr>
        <w:t>Aquilaria crassna</w:t>
      </w:r>
      <w:r>
        <w:rPr>
          <w:rFonts w:asciiTheme="majorHAnsi" w:eastAsia="TimesNewRoman" w:hAnsiTheme="majorHAnsi" w:cstheme="majorHAnsi"/>
          <w:b w:val="0"/>
          <w:bCs/>
          <w:szCs w:val="26"/>
          <w:lang w:val="nl-NL"/>
        </w:rPr>
        <w:t>), 2 loài ở mức nguy cấp (EN), 4 loài ở mức sắp nguy cấp (VU), 5 loài sắp bị đe dọa (NT), 1 loài ít quan tâm (LC) và 2 loài thiếu dữ liệu (DD).</w:t>
      </w:r>
      <w:bookmarkEnd w:id="991"/>
      <w:bookmarkEnd w:id="992"/>
      <w:bookmarkEnd w:id="993"/>
      <w:bookmarkEnd w:id="994"/>
      <w:bookmarkEnd w:id="995"/>
    </w:p>
    <w:p w14:paraId="3610D0A2" w14:textId="77777777" w:rsidR="00085789" w:rsidRDefault="00000000">
      <w:pPr>
        <w:pStyle w:val="BodyText"/>
        <w:widowControl w:val="0"/>
        <w:spacing w:before="40" w:line="240" w:lineRule="auto"/>
        <w:ind w:firstLine="709"/>
        <w:rPr>
          <w:rFonts w:ascii="Times New Roman" w:hAnsi="Times New Roman"/>
          <w:spacing w:val="-2"/>
          <w:sz w:val="26"/>
          <w:szCs w:val="26"/>
          <w:lang w:val="nl-NL"/>
        </w:rPr>
      </w:pPr>
      <w:bookmarkStart w:id="996" w:name="_Toc205915858"/>
      <w:bookmarkStart w:id="997" w:name="_Toc213597549"/>
      <w:bookmarkStart w:id="998" w:name="_Toc213601224"/>
      <w:bookmarkStart w:id="999" w:name="_Toc213601745"/>
      <w:bookmarkStart w:id="1000" w:name="_Toc213601933"/>
      <w:r>
        <w:rPr>
          <w:rFonts w:eastAsia="TimesNewRoman" w:cstheme="majorHAnsi"/>
          <w:b w:val="0"/>
          <w:bCs/>
          <w:szCs w:val="26"/>
          <w:lang w:val="nl-NL"/>
        </w:rPr>
        <w:t xml:space="preserve"> </w:t>
      </w:r>
      <w:bookmarkEnd w:id="996"/>
      <w:bookmarkEnd w:id="997"/>
      <w:bookmarkEnd w:id="998"/>
      <w:bookmarkEnd w:id="999"/>
      <w:bookmarkEnd w:id="1000"/>
      <w:r>
        <w:rPr>
          <w:rFonts w:ascii="Times New Roman" w:hAnsi="Times New Roman"/>
          <w:spacing w:val="-2"/>
          <w:sz w:val="26"/>
          <w:szCs w:val="26"/>
          <w:lang w:val="nl-NL"/>
        </w:rPr>
        <w:t>(2) Vườn Quốc gia Vũ Quang:</w:t>
      </w:r>
    </w:p>
    <w:p w14:paraId="3E20A3F4" w14:textId="77777777" w:rsidR="00085789" w:rsidRDefault="00000000">
      <w:pPr>
        <w:pStyle w:val="BodyText"/>
        <w:widowControl w:val="0"/>
        <w:spacing w:before="40" w:line="240" w:lineRule="auto"/>
        <w:ind w:firstLine="709"/>
        <w:rPr>
          <w:rFonts w:ascii="Times New Roman" w:hAnsi="Times New Roman"/>
          <w:b w:val="0"/>
          <w:bCs/>
          <w:spacing w:val="-2"/>
          <w:sz w:val="26"/>
          <w:szCs w:val="26"/>
          <w:lang w:val="nl-NL"/>
        </w:rPr>
      </w:pPr>
      <w:r>
        <w:rPr>
          <w:rFonts w:ascii="Times New Roman" w:hAnsi="Times New Roman"/>
          <w:b w:val="0"/>
          <w:bCs/>
          <w:sz w:val="26"/>
          <w:szCs w:val="26"/>
          <w:lang w:val="nl-NL"/>
        </w:rPr>
        <w:t xml:space="preserve">Vườn quốc gia Vũ Quang có tổng diện tích quản lý là 57.029,84 ha rừng và đất lâm nghiệp, trong đó: Diện tích quy hoạch rừng đặc dụng là 52.733,13 ha (trong đó: có rừng là 52.639,29 ha, chưa có rừng có 93,84 ha); diện tích quy hoạch rừng phòng hộ là 3.688,85 ha (trong đó: có rừng là 3.546,4 ha, chưa có rừng là 42,45 ha); diện tích quy hoạch rừng sản xuất có 607,86 ha (trong đó: có rừng 599,12ha, chưa có rừng là 8,74 ha). </w:t>
      </w:r>
      <w:r>
        <w:rPr>
          <w:rFonts w:ascii="Times New Roman" w:hAnsi="Times New Roman"/>
          <w:b w:val="0"/>
          <w:bCs/>
          <w:spacing w:val="-2"/>
          <w:sz w:val="26"/>
          <w:szCs w:val="26"/>
          <w:lang w:val="nl-NL"/>
        </w:rPr>
        <w:t>Giá trị tiềm năng cây có giá trị ở Vườn quốc gia Vũ Quang được chia thành 13 nhóm công dụng khác nhau. Trong đó: Nhóm cây làm thuốc có 686 loài; nhóm cây lấy gỗ có 339 loài; cây thực phẩm có 168 loài; cây ăn quả có 41 loài; cây làm cảnh có 159 loài; cây làm thức ăn gia súc có 28 loài; cây cho tinh dầu có 56 loài; cây đồ dùng thủ công mỹ nghệ có 22 loài; cây cho tanin có 25 loài; cây cho sợi có 32 loài; cây cho nhựa có 6 loài; cây độc có 15 loài và cây làm vật liệu xây dựng có 39 loài. Như vậy, với tiềm năng, giá trị trực tiếp, gián tiếp, giá trị thẩm mỹ, giá trị khoa học, bảo tồn nguồn gen ở Vườn quốc gia Vũ Quang là nguồn tài nguyên quan trọng phục vụ quy hoạch và khai thác dữ liệu sinh thái.</w:t>
      </w:r>
    </w:p>
    <w:p w14:paraId="053E9DF6" w14:textId="77777777" w:rsidR="00085789" w:rsidRDefault="00000000">
      <w:pPr>
        <w:pStyle w:val="BodyText"/>
        <w:widowControl w:val="0"/>
        <w:spacing w:before="40" w:line="240" w:lineRule="auto"/>
        <w:rPr>
          <w:lang w:val="nl-NL"/>
        </w:rPr>
      </w:pPr>
      <w:r>
        <w:rPr>
          <w:rFonts w:ascii="Times New Roman" w:hAnsi="Times New Roman"/>
          <w:b w:val="0"/>
          <w:bCs/>
          <w:spacing w:val="-2"/>
          <w:sz w:val="26"/>
          <w:szCs w:val="26"/>
          <w:lang w:val="nl-NL"/>
        </w:rPr>
        <w:tab/>
      </w:r>
      <w:r>
        <w:rPr>
          <w:rFonts w:ascii="Times New Roman" w:hAnsi="Times New Roman"/>
          <w:b w:val="0"/>
          <w:bCs/>
          <w:sz w:val="26"/>
          <w:szCs w:val="26"/>
          <w:lang w:val="nl-NL"/>
        </w:rPr>
        <w:t xml:space="preserve">Hệ thực vật đa dạng và phong phú với 1.829 loài thực vật bậc cao có mạch thuộc 813 chi với 202 họ, trong số này có tới 131 loài thực vật nguy cấp, quý hiếm có tên trong Sách Đỏ Việt Nam (2007), Danh lục IUCN (2017) và Nghị định số 06/2006/NĐ-CP của Chính phủ. Việc phát hiện và công bố hàng loạt các loài mới cho thế giới trong thời gian qua như: Chà Ran tuyến (Homalium glandulosum) (2016), Trà hoa vàng Vũ Quang (Camellia vuquangensis), Trà </w:t>
      </w:r>
      <w:r>
        <w:rPr>
          <w:rFonts w:ascii="Times New Roman" w:hAnsi="Times New Roman"/>
          <w:b w:val="0"/>
          <w:bCs/>
          <w:spacing w:val="-4"/>
          <w:sz w:val="26"/>
          <w:szCs w:val="26"/>
          <w:lang w:val="nl-NL"/>
        </w:rPr>
        <w:t>hoa vàng Hà Tĩnh (Camellia hatinhensis) (2018), Dẻ Vũ Quang (Lithocarpus vuquangensis) (2018),</w:t>
      </w:r>
      <w:r>
        <w:rPr>
          <w:rFonts w:ascii="Times New Roman" w:hAnsi="Times New Roman"/>
          <w:b w:val="0"/>
          <w:bCs/>
          <w:sz w:val="26"/>
          <w:szCs w:val="26"/>
          <w:lang w:val="nl-NL"/>
        </w:rPr>
        <w:t xml:space="preserve"> Gừng Vũ Quang (Zingiber vuquangense) (2019), Bời lời Vũ Quang (Neolitsea vuquangense) (2019) đã khẳng định sự giàu có, độc đáo về ĐDSH nơi đây. Khu vực này không chỉ ở mức độ quốc gia mà còn trên phạm vi toàn cầu về tầm quan trọng cho công tác bảo tồn.</w:t>
      </w:r>
    </w:p>
    <w:p w14:paraId="4E3EA36F" w14:textId="77777777" w:rsidR="00085789" w:rsidRDefault="00000000">
      <w:pPr>
        <w:pStyle w:val="bac2"/>
        <w:spacing w:before="40" w:after="0" w:line="240" w:lineRule="auto"/>
        <w:rPr>
          <w:smallCaps/>
          <w:lang w:val="nl-NL"/>
        </w:rPr>
      </w:pPr>
      <w:bookmarkStart w:id="1001" w:name="_Toc214311274"/>
      <w:r>
        <w:rPr>
          <w:lang w:val="nl-NL"/>
        </w:rPr>
        <w:t>6.4.2. Đa dạng thành phần loài động vật</w:t>
      </w:r>
      <w:bookmarkEnd w:id="1001"/>
    </w:p>
    <w:p w14:paraId="5410B496" w14:textId="77777777" w:rsidR="00085789" w:rsidRDefault="00000000">
      <w:pPr>
        <w:pStyle w:val="BodyText"/>
        <w:widowControl w:val="0"/>
        <w:spacing w:before="40" w:line="240" w:lineRule="auto"/>
        <w:ind w:firstLine="709"/>
        <w:rPr>
          <w:rFonts w:ascii="Times New Roman" w:hAnsi="Times New Roman"/>
          <w:spacing w:val="-2"/>
          <w:sz w:val="26"/>
          <w:szCs w:val="26"/>
          <w:lang w:val="nl-NL"/>
        </w:rPr>
      </w:pPr>
      <w:r>
        <w:rPr>
          <w:rFonts w:ascii="Times New Roman" w:hAnsi="Times New Roman"/>
          <w:spacing w:val="-2"/>
          <w:sz w:val="26"/>
          <w:szCs w:val="26"/>
          <w:lang w:val="nl-NL"/>
        </w:rPr>
        <w:lastRenderedPageBreak/>
        <w:t>(1) Khu Bảo tồn thiên nhiên Kẻ Gỗ:</w:t>
      </w:r>
    </w:p>
    <w:p w14:paraId="1FECC17A" w14:textId="77777777" w:rsidR="00085789" w:rsidRDefault="00000000">
      <w:pPr>
        <w:widowControl w:val="0"/>
        <w:spacing w:before="40" w:line="240" w:lineRule="auto"/>
        <w:ind w:firstLine="720"/>
        <w:jc w:val="both"/>
        <w:rPr>
          <w:sz w:val="26"/>
          <w:szCs w:val="26"/>
          <w:lang w:val="nl-NL"/>
        </w:rPr>
      </w:pPr>
      <w:r>
        <w:rPr>
          <w:sz w:val="26"/>
          <w:szCs w:val="26"/>
          <w:lang w:val="nl-NL"/>
        </w:rPr>
        <w:t xml:space="preserve">Trong phạm vi Khu bảo tồn đã ghi nhận được 517 loài động vật có xương sống với 78 loài thú, 298 loài chim, 63 loài bò sát, 33 loài ếch nhái và 45 loài cá; 302 loài bướm ngày và 57 loài côn trùng. Trong số đó có 10 loài thú và 10 loài chim là các loài đang bị đe dọa tuỵêt chủng trên toàn cầu. So sánh thành phần loài động vật có xương sống đã biết ở đây với một số khu bảo tồn khác ở miền Trung Việt Nam như Phong Nha (158 loài), Bạch mã (341loài), Vũ Quang (326 loài), Pù Mát (284 loài), Pù Huống (170 loài) và Bến En (130 loài) thấy rằng thành phần loài khu hệ động vật khu bảo tồn thiên nhiên Kẻ Gỗ khá phong phú, đặc biệt là sự có mặt của hai loài Gà lôi đặc hữu và nhiều loài quí hiếm khác đang bị đe dọa mang tính toàn cầu. Trong tổng số 78 loài thú ghi nhận được có 18 loài </w:t>
      </w:r>
      <w:r>
        <w:rPr>
          <w:spacing w:val="-6"/>
          <w:sz w:val="26"/>
          <w:szCs w:val="26"/>
          <w:lang w:val="nl-NL"/>
        </w:rPr>
        <w:t>(21%) được ghi trong Sách Đỏ Việt Nam (Anon.1992) và thế giới (WCMC, 1994).</w:t>
      </w:r>
    </w:p>
    <w:p w14:paraId="58C716C6" w14:textId="77777777" w:rsidR="00085789" w:rsidRDefault="00000000">
      <w:pPr>
        <w:pStyle w:val="BodyText"/>
        <w:widowControl w:val="0"/>
        <w:spacing w:before="40" w:line="240" w:lineRule="auto"/>
        <w:ind w:firstLine="709"/>
        <w:rPr>
          <w:rFonts w:ascii="Times New Roman" w:hAnsi="Times New Roman"/>
          <w:spacing w:val="-2"/>
          <w:sz w:val="26"/>
          <w:szCs w:val="26"/>
          <w:lang w:val="nl-NL"/>
        </w:rPr>
      </w:pPr>
      <w:r>
        <w:rPr>
          <w:sz w:val="26"/>
          <w:szCs w:val="26"/>
          <w:lang w:val="nl-NL"/>
        </w:rPr>
        <w:t xml:space="preserve"> </w:t>
      </w:r>
      <w:r>
        <w:rPr>
          <w:rFonts w:ascii="Times New Roman" w:hAnsi="Times New Roman"/>
          <w:spacing w:val="-2"/>
          <w:sz w:val="26"/>
          <w:szCs w:val="26"/>
          <w:lang w:val="nl-NL"/>
        </w:rPr>
        <w:t>(2)  Vườn quốc gia Vũ Quang:</w:t>
      </w:r>
    </w:p>
    <w:p w14:paraId="68C17F45" w14:textId="77777777" w:rsidR="00085789" w:rsidRDefault="00000000">
      <w:pPr>
        <w:pStyle w:val="BodyText"/>
        <w:widowControl w:val="0"/>
        <w:spacing w:before="40" w:line="240" w:lineRule="auto"/>
        <w:ind w:firstLine="709"/>
        <w:rPr>
          <w:rFonts w:ascii="Times New Roman" w:hAnsi="Times New Roman"/>
          <w:b w:val="0"/>
          <w:spacing w:val="-4"/>
          <w:sz w:val="26"/>
          <w:szCs w:val="26"/>
          <w:lang w:val="nl-NL"/>
        </w:rPr>
      </w:pPr>
      <w:r>
        <w:rPr>
          <w:rFonts w:ascii="Times New Roman" w:hAnsi="Times New Roman"/>
          <w:b w:val="0"/>
          <w:bCs/>
          <w:spacing w:val="-2"/>
          <w:sz w:val="26"/>
          <w:szCs w:val="26"/>
          <w:lang w:val="nl-NL"/>
        </w:rPr>
        <w:t>VQG</w:t>
      </w:r>
      <w:r>
        <w:rPr>
          <w:rFonts w:asciiTheme="majorHAnsi" w:hAnsiTheme="majorHAnsi" w:cstheme="majorHAnsi"/>
          <w:b w:val="0"/>
          <w:bCs/>
          <w:sz w:val="26"/>
          <w:szCs w:val="26"/>
          <w:lang w:val="nl-NL"/>
        </w:rPr>
        <w:t xml:space="preserve"> Vũ Quang được giới bảo tồn thế giới biết đến khi nơi đây phát hiện và công </w:t>
      </w:r>
      <w:r>
        <w:rPr>
          <w:rFonts w:asciiTheme="majorHAnsi" w:hAnsiTheme="majorHAnsi" w:cstheme="majorHAnsi"/>
          <w:b w:val="0"/>
          <w:bCs/>
          <w:spacing w:val="-4"/>
          <w:sz w:val="26"/>
          <w:szCs w:val="26"/>
          <w:lang w:val="nl-NL"/>
        </w:rPr>
        <w:t xml:space="preserve">bố 2 loài thú mới cho khoa học vào đầu những năm thập niên 90, đó là Sao la hay còn gọi là “Kỳ lân Châu Á” (Pseudoryx nghetinhensis) và Mang lớn (Megamuntiacus vuquangensis) và 5 loài Cá mới cho khoa học. </w:t>
      </w:r>
      <w:r>
        <w:rPr>
          <w:rFonts w:ascii="Times New Roman" w:hAnsi="Times New Roman"/>
          <w:b w:val="0"/>
          <w:spacing w:val="-4"/>
          <w:sz w:val="26"/>
          <w:szCs w:val="26"/>
          <w:lang w:val="nl-NL"/>
        </w:rPr>
        <w:t xml:space="preserve">Trong tổng số các loài động vật hiện có ở VQG Vũ Quang, có 273 loài được ghi nhận là động vật quý hiếm, trong đó có 88 loài được ghi nhận trong Sách đỏ Việt Nam (2007), 63 loài được ghi nhận trong Danh lục Đỏ IUNC (2017), 57 loài trong Công ước CITEC (2013) và 65 loài ghi nhận trong Nghị định số 32/2006/NĐ-CP. Một số loài nguy cấp được phát hiện như: Sao la, Mang lớn, Chà vá chân nâu, Vượn đen má trắng, Thỏ vằn Trường sơn, Gấu chó... Với những giá trị về ĐDSH và tầm quan trọng cho công tác bảo tồn VQG Vũ Quang được Hiệp hội các Vườn di sản Đông Nam Á (ASEAN) công nhận là “Vườn di sản ASEAN”. Hiện nay, Bộ Nông nghiệp và Môi trường đang xem xét đề xuất UNESCO công nhận Khu dự trữ thiên nhiên thế giới Vũ Quang. </w:t>
      </w:r>
    </w:p>
    <w:p w14:paraId="623C75FF" w14:textId="77777777" w:rsidR="00085789" w:rsidRDefault="00000000">
      <w:pPr>
        <w:pStyle w:val="BodyText"/>
        <w:widowControl w:val="0"/>
        <w:spacing w:before="40" w:line="240" w:lineRule="auto"/>
        <w:ind w:firstLine="709"/>
        <w:rPr>
          <w:rFonts w:ascii="Times New Roman" w:hAnsi="Times New Roman"/>
          <w:spacing w:val="-2"/>
          <w:sz w:val="26"/>
          <w:szCs w:val="26"/>
          <w:lang w:val="nl-NL"/>
        </w:rPr>
      </w:pPr>
      <w:r>
        <w:rPr>
          <w:rFonts w:ascii="Times New Roman" w:hAnsi="Times New Roman"/>
          <w:spacing w:val="-2"/>
          <w:sz w:val="26"/>
          <w:szCs w:val="26"/>
          <w:lang w:val="nl-NL"/>
        </w:rPr>
        <w:t>(3)  Đa dạng hệ động vật tại khu vực thượng nguồn sông Ngàn Phố:</w:t>
      </w:r>
    </w:p>
    <w:p w14:paraId="4487A21C" w14:textId="77777777" w:rsidR="00085789" w:rsidRDefault="00000000">
      <w:pPr>
        <w:spacing w:before="40" w:line="240" w:lineRule="auto"/>
        <w:ind w:firstLine="709"/>
        <w:jc w:val="both"/>
        <w:rPr>
          <w:sz w:val="26"/>
          <w:szCs w:val="26"/>
          <w:lang w:val="it-IT"/>
        </w:rPr>
      </w:pPr>
      <w:r>
        <w:rPr>
          <w:sz w:val="26"/>
          <w:szCs w:val="26"/>
          <w:lang w:val="it-IT"/>
        </w:rPr>
        <w:t xml:space="preserve">Theo kết quả kiểm kê ĐDSH và đề xuất biện pháp bảo tồn ĐDSH ở dãy núi Bắc trường Sơn (huyện Hương Sơn, tỉnh Hà Tĩnh trước đây) của nhóm nhà khoa học GS,TSKH Trương Quang Học, TS Trần Đình Nghĩa, TS Võ Thanh Sơn thì ĐDSH trên diện tích rừng và đất lâm nghiệp ở khu vực này phong phú, đa dạng, gồm: 77 loài thú, 217 loài chim, </w:t>
      </w:r>
      <w:r>
        <w:rPr>
          <w:spacing w:val="-2"/>
          <w:sz w:val="26"/>
          <w:szCs w:val="26"/>
          <w:lang w:val="it-IT"/>
        </w:rPr>
        <w:t xml:space="preserve">24 loài lưỡng cư – bò sát, 81 loài cá, </w:t>
      </w:r>
      <w:r>
        <w:rPr>
          <w:sz w:val="26"/>
          <w:szCs w:val="26"/>
          <w:lang w:val="it-IT"/>
        </w:rPr>
        <w:t>60 loài thực vật nổi bậc thấp thuỷ sinh.</w:t>
      </w:r>
    </w:p>
    <w:p w14:paraId="2262EA49" w14:textId="77777777" w:rsidR="00085789" w:rsidRDefault="00085789">
      <w:pPr>
        <w:spacing w:before="40" w:line="240" w:lineRule="auto"/>
        <w:ind w:firstLine="709"/>
        <w:jc w:val="both"/>
        <w:rPr>
          <w:sz w:val="26"/>
          <w:szCs w:val="26"/>
          <w:lang w:val="it-IT"/>
        </w:rPr>
      </w:pPr>
    </w:p>
    <w:p w14:paraId="47C2AB64" w14:textId="77777777" w:rsidR="00085789" w:rsidRDefault="00085789">
      <w:pPr>
        <w:spacing w:before="40" w:line="240" w:lineRule="auto"/>
        <w:ind w:firstLine="709"/>
        <w:jc w:val="both"/>
        <w:rPr>
          <w:sz w:val="26"/>
          <w:szCs w:val="26"/>
          <w:lang w:val="it-IT"/>
        </w:rPr>
      </w:pPr>
    </w:p>
    <w:p w14:paraId="1235F000" w14:textId="77777777" w:rsidR="00085789" w:rsidRDefault="00085789">
      <w:pPr>
        <w:spacing w:before="40" w:line="240" w:lineRule="auto"/>
        <w:ind w:firstLine="709"/>
        <w:jc w:val="both"/>
        <w:rPr>
          <w:sz w:val="26"/>
          <w:szCs w:val="26"/>
          <w:lang w:val="it-IT"/>
        </w:rPr>
      </w:pPr>
    </w:p>
    <w:p w14:paraId="3A44ED38" w14:textId="77777777" w:rsidR="00085789" w:rsidRDefault="00085789">
      <w:pPr>
        <w:spacing w:before="40" w:line="240" w:lineRule="auto"/>
        <w:ind w:firstLine="709"/>
        <w:jc w:val="both"/>
        <w:rPr>
          <w:sz w:val="26"/>
          <w:szCs w:val="26"/>
          <w:lang w:val="it-IT"/>
        </w:rPr>
      </w:pPr>
    </w:p>
    <w:p w14:paraId="014D402F" w14:textId="77777777" w:rsidR="00085789" w:rsidRDefault="00085789">
      <w:pPr>
        <w:spacing w:before="40" w:line="240" w:lineRule="auto"/>
        <w:ind w:firstLine="709"/>
        <w:jc w:val="both"/>
        <w:rPr>
          <w:sz w:val="26"/>
          <w:szCs w:val="26"/>
          <w:lang w:val="it-IT"/>
        </w:rPr>
      </w:pPr>
    </w:p>
    <w:p w14:paraId="0BA3FF74" w14:textId="77777777" w:rsidR="00085789" w:rsidRDefault="00085789">
      <w:pPr>
        <w:spacing w:before="40" w:line="240" w:lineRule="auto"/>
        <w:ind w:firstLine="709"/>
        <w:jc w:val="both"/>
        <w:rPr>
          <w:sz w:val="26"/>
          <w:szCs w:val="26"/>
          <w:lang w:val="it-IT"/>
        </w:rPr>
      </w:pPr>
    </w:p>
    <w:p w14:paraId="2D8BB758" w14:textId="77777777" w:rsidR="00085789" w:rsidRDefault="00085789">
      <w:pPr>
        <w:spacing w:before="40" w:line="240" w:lineRule="auto"/>
        <w:ind w:firstLine="709"/>
        <w:jc w:val="both"/>
        <w:rPr>
          <w:sz w:val="26"/>
          <w:szCs w:val="26"/>
          <w:lang w:val="it-IT"/>
        </w:rPr>
      </w:pPr>
    </w:p>
    <w:p w14:paraId="640584C5" w14:textId="77777777" w:rsidR="00085789" w:rsidRDefault="00085789">
      <w:pPr>
        <w:spacing w:before="40" w:line="240" w:lineRule="auto"/>
        <w:ind w:firstLine="709"/>
        <w:jc w:val="both"/>
        <w:rPr>
          <w:sz w:val="26"/>
          <w:szCs w:val="26"/>
          <w:lang w:val="it-IT"/>
        </w:rPr>
      </w:pPr>
    </w:p>
    <w:p w14:paraId="42C35AF0" w14:textId="77777777" w:rsidR="00085789" w:rsidRDefault="00085789">
      <w:pPr>
        <w:spacing w:before="40" w:line="240" w:lineRule="auto"/>
        <w:ind w:firstLine="709"/>
        <w:jc w:val="both"/>
        <w:rPr>
          <w:sz w:val="26"/>
          <w:szCs w:val="26"/>
          <w:lang w:val="it-IT"/>
        </w:rPr>
      </w:pPr>
    </w:p>
    <w:p w14:paraId="5B84716B" w14:textId="77777777" w:rsidR="00085789" w:rsidRDefault="00085789">
      <w:pPr>
        <w:spacing w:before="40" w:line="240" w:lineRule="auto"/>
        <w:ind w:firstLine="709"/>
        <w:jc w:val="both"/>
        <w:rPr>
          <w:sz w:val="26"/>
          <w:szCs w:val="26"/>
          <w:lang w:val="it-IT"/>
        </w:rPr>
      </w:pPr>
    </w:p>
    <w:p w14:paraId="02FFF39C" w14:textId="77777777" w:rsidR="00085789" w:rsidRDefault="00085789">
      <w:pPr>
        <w:spacing w:before="40" w:line="240" w:lineRule="auto"/>
        <w:ind w:firstLine="709"/>
        <w:jc w:val="both"/>
        <w:rPr>
          <w:sz w:val="26"/>
          <w:szCs w:val="26"/>
          <w:lang w:val="it-IT"/>
        </w:rPr>
      </w:pPr>
    </w:p>
    <w:p w14:paraId="30316411" w14:textId="77777777" w:rsidR="00085789" w:rsidRDefault="00085789">
      <w:pPr>
        <w:spacing w:before="40" w:line="240" w:lineRule="auto"/>
        <w:ind w:firstLine="709"/>
        <w:jc w:val="both"/>
        <w:rPr>
          <w:sz w:val="26"/>
          <w:szCs w:val="26"/>
          <w:lang w:val="it-IT"/>
        </w:rPr>
      </w:pPr>
    </w:p>
    <w:p w14:paraId="71D8A316" w14:textId="77777777" w:rsidR="00085789" w:rsidRDefault="00085789">
      <w:pPr>
        <w:spacing w:before="40" w:line="240" w:lineRule="auto"/>
        <w:ind w:firstLine="709"/>
        <w:jc w:val="both"/>
        <w:rPr>
          <w:sz w:val="26"/>
          <w:szCs w:val="26"/>
          <w:lang w:val="it-IT"/>
        </w:rPr>
      </w:pPr>
    </w:p>
    <w:p w14:paraId="1EF57BB4" w14:textId="77777777" w:rsidR="00085789" w:rsidRDefault="00085789">
      <w:pPr>
        <w:spacing w:before="40" w:line="240" w:lineRule="auto"/>
        <w:ind w:firstLine="709"/>
        <w:jc w:val="both"/>
        <w:rPr>
          <w:b/>
          <w:bCs/>
          <w:sz w:val="26"/>
          <w:szCs w:val="26"/>
          <w:lang w:val="it-IT"/>
        </w:rPr>
      </w:pPr>
    </w:p>
    <w:p w14:paraId="4A9773D8" w14:textId="77777777" w:rsidR="00085789" w:rsidRDefault="00085789">
      <w:pPr>
        <w:spacing w:before="40" w:line="240" w:lineRule="auto"/>
        <w:ind w:firstLine="709"/>
        <w:jc w:val="both"/>
        <w:rPr>
          <w:b/>
          <w:bCs/>
          <w:sz w:val="26"/>
          <w:szCs w:val="26"/>
          <w:lang w:val="it-IT"/>
        </w:rPr>
      </w:pPr>
    </w:p>
    <w:p w14:paraId="2F43FBF0" w14:textId="77777777" w:rsidR="00085789" w:rsidRDefault="00000000">
      <w:pPr>
        <w:pStyle w:val="-bac1"/>
        <w:spacing w:before="0" w:after="0" w:line="240" w:lineRule="auto"/>
        <w:rPr>
          <w:lang w:val="nl-NL"/>
        </w:rPr>
      </w:pPr>
      <w:bookmarkStart w:id="1002" w:name="_Toc55007854"/>
      <w:bookmarkStart w:id="1003" w:name="_Toc56737511"/>
      <w:bookmarkStart w:id="1004" w:name="_Toc55594737"/>
      <w:bookmarkStart w:id="1005" w:name="_Toc56738952"/>
      <w:bookmarkStart w:id="1006" w:name="_Toc55592176"/>
      <w:bookmarkStart w:id="1007" w:name="_Toc54810535"/>
      <w:bookmarkStart w:id="1008" w:name="_Toc54794102"/>
      <w:bookmarkStart w:id="1009" w:name="_Toc54795530"/>
      <w:bookmarkStart w:id="1010" w:name="_Toc56736790"/>
      <w:bookmarkStart w:id="1011" w:name="_Toc54796244"/>
      <w:bookmarkStart w:id="1012" w:name="_Toc56739695"/>
      <w:bookmarkStart w:id="1013" w:name="_Toc56740458"/>
      <w:bookmarkStart w:id="1014" w:name="_Toc54794816"/>
      <w:bookmarkStart w:id="1015" w:name="_Toc214311275"/>
      <w:bookmarkStart w:id="1016" w:name="_Toc423076233"/>
      <w:bookmarkStart w:id="1017" w:name="_Toc423075980"/>
      <w:bookmarkStart w:id="1018" w:name="_Toc341858720"/>
      <w:bookmarkStart w:id="1019" w:name="_Toc421888791"/>
      <w:r>
        <w:rPr>
          <w:lang w:val="nl-NL"/>
        </w:rPr>
        <w:lastRenderedPageBreak/>
        <w:t>Chương VII</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5E24F130" w14:textId="77777777" w:rsidR="00085789" w:rsidRDefault="00000000">
      <w:pPr>
        <w:keepNext/>
        <w:spacing w:line="240" w:lineRule="auto"/>
        <w:jc w:val="center"/>
        <w:outlineLvl w:val="0"/>
        <w:rPr>
          <w:b/>
          <w:bCs/>
          <w:kern w:val="32"/>
          <w:sz w:val="26"/>
          <w:szCs w:val="26"/>
          <w:lang w:val="nl-NL"/>
        </w:rPr>
      </w:pPr>
      <w:bookmarkStart w:id="1020" w:name="_Toc54810536"/>
      <w:bookmarkStart w:id="1021" w:name="_Toc55007855"/>
      <w:bookmarkStart w:id="1022" w:name="_Toc56737512"/>
      <w:bookmarkStart w:id="1023" w:name="_Toc54794817"/>
      <w:bookmarkStart w:id="1024" w:name="_Toc54794103"/>
      <w:bookmarkStart w:id="1025" w:name="_Toc54795531"/>
      <w:bookmarkStart w:id="1026" w:name="_Toc56736791"/>
      <w:bookmarkStart w:id="1027" w:name="_Toc55594738"/>
      <w:bookmarkStart w:id="1028" w:name="_Toc56738953"/>
      <w:bookmarkStart w:id="1029" w:name="_Toc54796245"/>
      <w:bookmarkStart w:id="1030" w:name="_Toc56740459"/>
      <w:bookmarkStart w:id="1031" w:name="_Toc56739696"/>
      <w:bookmarkStart w:id="1032" w:name="_Toc55592177"/>
      <w:r>
        <w:rPr>
          <w:b/>
          <w:bCs/>
          <w:kern w:val="32"/>
          <w:sz w:val="26"/>
          <w:szCs w:val="26"/>
          <w:lang w:val="nl-NL"/>
        </w:rPr>
        <w:t>QUẢN LÝ CHẤT THẢI RẮN</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A45B7D2" w14:textId="77777777" w:rsidR="00085789" w:rsidRDefault="00085789">
      <w:pPr>
        <w:keepNext/>
        <w:spacing w:line="240" w:lineRule="auto"/>
        <w:jc w:val="center"/>
        <w:outlineLvl w:val="0"/>
        <w:rPr>
          <w:b/>
          <w:bCs/>
          <w:kern w:val="32"/>
          <w:sz w:val="26"/>
          <w:szCs w:val="26"/>
          <w:lang w:val="nl-NL"/>
        </w:rPr>
      </w:pPr>
    </w:p>
    <w:p w14:paraId="6FA9D704" w14:textId="77777777" w:rsidR="00085789" w:rsidRDefault="00000000">
      <w:pPr>
        <w:pStyle w:val="bac2"/>
        <w:spacing w:before="120" w:after="0" w:line="240" w:lineRule="auto"/>
        <w:rPr>
          <w:lang w:val="nl-NL"/>
        </w:rPr>
      </w:pPr>
      <w:bookmarkStart w:id="1033" w:name="_Toc56736792"/>
      <w:bookmarkStart w:id="1034" w:name="_Toc54810537"/>
      <w:bookmarkStart w:id="1035" w:name="_Toc55007856"/>
      <w:bookmarkStart w:id="1036" w:name="_Toc54796246"/>
      <w:bookmarkStart w:id="1037" w:name="_Toc54794104"/>
      <w:bookmarkStart w:id="1038" w:name="_Toc56737513"/>
      <w:bookmarkStart w:id="1039" w:name="_Toc54795532"/>
      <w:bookmarkStart w:id="1040" w:name="_Toc55594739"/>
      <w:bookmarkStart w:id="1041" w:name="_Toc56739697"/>
      <w:bookmarkStart w:id="1042" w:name="_Toc56738954"/>
      <w:bookmarkStart w:id="1043" w:name="_Toc54794818"/>
      <w:bookmarkStart w:id="1044" w:name="_Toc55592178"/>
      <w:bookmarkStart w:id="1045" w:name="_Toc56740460"/>
      <w:bookmarkStart w:id="1046" w:name="_Toc214311276"/>
      <w:bookmarkStart w:id="1047" w:name="_Toc423076234"/>
      <w:bookmarkStart w:id="1048" w:name="_Toc421888792"/>
      <w:bookmarkStart w:id="1049" w:name="_Toc423075981"/>
      <w:r>
        <w:rPr>
          <w:lang w:val="nl-NL"/>
        </w:rPr>
        <w:t>7.1. Khái quát tình hình công tác quản lý chất thải rắn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61AAAB96" w14:textId="583EA283" w:rsidR="00085789" w:rsidRDefault="00000000">
      <w:pPr>
        <w:spacing w:before="120" w:line="240" w:lineRule="auto"/>
        <w:ind w:firstLine="709"/>
        <w:jc w:val="both"/>
        <w:rPr>
          <w:sz w:val="26"/>
          <w:szCs w:val="26"/>
          <w:lang w:val="nl-NL"/>
        </w:rPr>
      </w:pPr>
      <w:bookmarkStart w:id="1050" w:name="_Toc55007859"/>
      <w:bookmarkStart w:id="1051" w:name="_Toc55594742"/>
      <w:bookmarkStart w:id="1052" w:name="_Toc54794821"/>
      <w:bookmarkStart w:id="1053" w:name="_Toc56736795"/>
      <w:bookmarkStart w:id="1054" w:name="_Toc54810540"/>
      <w:bookmarkStart w:id="1055" w:name="_Toc56737516"/>
      <w:bookmarkStart w:id="1056" w:name="_Toc56738957"/>
      <w:bookmarkStart w:id="1057" w:name="_Toc54795535"/>
      <w:bookmarkStart w:id="1058" w:name="_Toc56740463"/>
      <w:bookmarkStart w:id="1059" w:name="_Toc56739700"/>
      <w:bookmarkStart w:id="1060" w:name="_Toc54794107"/>
      <w:bookmarkStart w:id="1061" w:name="_Toc54796249"/>
      <w:bookmarkStart w:id="1062" w:name="_Toc55592181"/>
      <w:r>
        <w:rPr>
          <w:sz w:val="26"/>
          <w:szCs w:val="26"/>
          <w:lang w:val="nl-NL"/>
        </w:rPr>
        <w:t xml:space="preserve">Để nâng cao hiệu quả công tác bảo vệ môi trường nói chung và công tác quản lý CTR nói riêng, trong thời gian qua, UBND tỉnh đã trình Ban Thường vụ Tỉnh ủy ban hành </w:t>
      </w:r>
      <w:r>
        <w:rPr>
          <w:sz w:val="26"/>
          <w:szCs w:val="26"/>
          <w:lang w:val="vi-VN"/>
        </w:rPr>
        <w:t xml:space="preserve">Nghị quyết </w:t>
      </w:r>
      <w:r>
        <w:rPr>
          <w:sz w:val="26"/>
          <w:szCs w:val="26"/>
          <w:lang w:val="nl-NL"/>
        </w:rPr>
        <w:t xml:space="preserve">số </w:t>
      </w:r>
      <w:r>
        <w:rPr>
          <w:sz w:val="26"/>
          <w:szCs w:val="26"/>
          <w:lang w:val="vi-VN"/>
        </w:rPr>
        <w:t>05/NQ-TU ngày 08/12/2017 về tăng cường sự lãnh đạo của Đảng đối với một số lĩnh vực bảo vệ môi trường đến năm 2025 và những năm tiếp theo</w:t>
      </w:r>
      <w:r>
        <w:rPr>
          <w:sz w:val="26"/>
          <w:szCs w:val="26"/>
          <w:lang w:val="nl-NL"/>
        </w:rPr>
        <w:t xml:space="preserve">; trình HĐND tỉnh ban hành các Nghị quyết: số 97/2022/NQ-HĐND ngày 16/12/2022 quy định một số chính sách hỗ trợ hoạt động bảo vệ môi trường giai đoạn 2023 - 2025; số 133/2024/NQ-HĐND ngày 30/9/2024, số 155/2025/NQ-HĐND ngày 24/7/2025 sửa đổi một số điều của Nghị quyết số 97/2022/NQ-HĐND; số 121/2023/NQ-HĐND ngày 8/12/2023 quy định mức thu, đơn vị tính phí bảo vệ môi trường đối với hoạt động khai thác khoáng sản; </w:t>
      </w:r>
      <w:bookmarkStart w:id="1063" w:name="loai_1_name"/>
      <w:r>
        <w:rPr>
          <w:sz w:val="26"/>
          <w:szCs w:val="26"/>
          <w:lang w:val="nl-NL"/>
        </w:rPr>
        <w:t>số 253/2020/NQ-HĐND ngày 08/12/2020, số 101/2023/NQ-HĐND ngày 14/7/2023 quy định về mức thu, miễn, giảm, thu nộp, quản lý và sử dụng các khoản phí, lệ phí trên địa bàn tỉnh Hà Tĩnh; số 73/2022/NQ-HĐND ngày 15/7/2022, số 161/2025/NQ-HĐND</w:t>
      </w:r>
      <w:r w:rsidR="006915DC">
        <w:rPr>
          <w:sz w:val="26"/>
          <w:szCs w:val="26"/>
          <w:lang w:val="nl-NL"/>
        </w:rPr>
        <w:t xml:space="preserve"> </w:t>
      </w:r>
      <w:r>
        <w:rPr>
          <w:sz w:val="26"/>
          <w:szCs w:val="26"/>
          <w:lang w:val="nl-NL"/>
        </w:rPr>
        <w:t>ngày 29/10/2025 quy định phân định các nhiệm vụ chi bảo vệ môi trường trên địa bàn tỉnh Hà Tĩnh; số 154/2025/NQ-HĐND ngày 24/7/2025 quy định một số mức chi sự nghiệp tài nguyên môi trường và bảo vệ môi trường trên địa bàn tỉnh.</w:t>
      </w:r>
    </w:p>
    <w:p w14:paraId="6B859280" w14:textId="4966487C" w:rsidR="00085789" w:rsidRDefault="00000000">
      <w:pPr>
        <w:spacing w:before="120" w:line="240" w:lineRule="auto"/>
        <w:ind w:firstLine="709"/>
        <w:jc w:val="both"/>
        <w:rPr>
          <w:b/>
          <w:sz w:val="26"/>
          <w:szCs w:val="26"/>
          <w:lang w:val="hsb-DE"/>
        </w:rPr>
      </w:pPr>
      <w:bookmarkStart w:id="1064" w:name="_Toc54796248"/>
      <w:bookmarkStart w:id="1065" w:name="_Toc55007858"/>
      <w:bookmarkStart w:id="1066" w:name="_Toc54795534"/>
      <w:bookmarkStart w:id="1067" w:name="_Toc56736794"/>
      <w:bookmarkStart w:id="1068" w:name="_Toc54810539"/>
      <w:bookmarkStart w:id="1069" w:name="_Toc56738956"/>
      <w:bookmarkStart w:id="1070" w:name="_Toc54794106"/>
      <w:bookmarkStart w:id="1071" w:name="_Toc54794820"/>
      <w:bookmarkStart w:id="1072" w:name="_Toc56737515"/>
      <w:bookmarkStart w:id="1073" w:name="_Toc56739699"/>
      <w:bookmarkStart w:id="1074" w:name="_Toc55592180"/>
      <w:bookmarkStart w:id="1075" w:name="_Toc55594741"/>
      <w:bookmarkStart w:id="1076" w:name="_Toc56740462"/>
      <w:bookmarkEnd w:id="1063"/>
      <w:r>
        <w:rPr>
          <w:rFonts w:eastAsia="Calibri"/>
          <w:sz w:val="26"/>
          <w:szCs w:val="26"/>
          <w:lang w:val="nl-NL"/>
        </w:rPr>
        <w:t xml:space="preserve">UBND tỉnh cũng đã ban hành nhiều quy định để triển khai các quy định của Luật Bảo vệ môi trường năm 2020: Quyết định số 15/2023/QĐ-UBND ngày 01/3/2023 quy định quản lý CTRSH trên địa bàn tỉnh Hà Tĩnh; số 34/2023/QĐ-UBND ngày 31/7/2023 quy định về thu gom, vận chuyển và xử lý CTR y tế nguy hại trên địa bàn tỉnh Hà Tĩnh; số 22/2025/QĐ-UBND ngày 14/3/2025 quy định quản lý CTR xây dựng, bùn thải từ bể phốt, hầm cầy và bùn thải từ hệ thống thoát nước trên địa bàn tỉnh Hà Tĩnh; số 67/2025/QĐ-UBND ngày 16/10/2025 sửa đổi, bổ sung các Quyết định số 34/2023/QĐ-UBND và số 22/2025/QĐ-UBND ngày 14/3/2025; số </w:t>
      </w:r>
      <w:r>
        <w:rPr>
          <w:sz w:val="26"/>
          <w:szCs w:val="26"/>
          <w:lang w:val="nl-NL"/>
        </w:rPr>
        <w:t xml:space="preserve">14/2021/QĐ-UBND ngày 25/3/2021 sửa đổi, bổ sung Quyết định số 33/2017/QĐ-UBND ngày 30/6/2017 của UBND tỉnh quy định mức giá tối đa đối với dịch vụ thu gom, vận chuyển và xử lý rác thải sinh hoạt trên địa bàn tỉnh; </w:t>
      </w:r>
      <w:r>
        <w:rPr>
          <w:rFonts w:eastAsia="Calibri"/>
          <w:sz w:val="26"/>
          <w:szCs w:val="26"/>
          <w:lang w:val="nl-NL"/>
        </w:rPr>
        <w:t xml:space="preserve">số 07/2024/QĐ-UBND ngày 10/4/2024 quy định về tuyến đường và thời gian vận chuyển CTRCNTT, CTNH trên địa bàn tỉnh Hà Tĩnh; số 2770/QĐ-UBND ngày 26/10/2023 phê duyệt Đề án thu gom, vận chuyển, xử lý CTRSH trên địa bàn tỉnh đến năm 2025; Kế hoạch số 204/KH-UBND ngày 17/5/2024 về triển khai thực hiện phân loại CTRSH tại nguồn trên địa bàn tỉnh. </w:t>
      </w:r>
      <w:r>
        <w:rPr>
          <w:rFonts w:eastAsia="Arial"/>
          <w:sz w:val="26"/>
          <w:szCs w:val="26"/>
          <w:lang w:val="vi-VN"/>
        </w:rPr>
        <w:t xml:space="preserve">Hiện nay, UBND tỉnh đang chỉ đạo Sở </w:t>
      </w:r>
      <w:r>
        <w:rPr>
          <w:rFonts w:eastAsia="Arial"/>
          <w:sz w:val="26"/>
          <w:szCs w:val="26"/>
          <w:lang w:val="hsb-DE"/>
        </w:rPr>
        <w:t>Nông nghiệp và môi trường</w:t>
      </w:r>
      <w:r>
        <w:rPr>
          <w:rFonts w:eastAsia="Arial"/>
          <w:sz w:val="26"/>
          <w:szCs w:val="26"/>
          <w:lang w:val="vi-VN"/>
        </w:rPr>
        <w:t xml:space="preserve"> tham mưu</w:t>
      </w:r>
      <w:r>
        <w:rPr>
          <w:rFonts w:eastAsia="Arial"/>
          <w:sz w:val="26"/>
          <w:szCs w:val="26"/>
          <w:lang w:val="hsb-DE"/>
        </w:rPr>
        <w:t xml:space="preserve"> Quyết định</w:t>
      </w:r>
      <w:r>
        <w:rPr>
          <w:sz w:val="26"/>
          <w:szCs w:val="26"/>
          <w:lang w:val="hsb-DE"/>
        </w:rPr>
        <w:t xml:space="preserve"> thay thế Quyết định số 15/2023/QĐ-UBND ngày 01/3/2025 quy định về quản lý CTRSH trên địa bàn tỉnh</w:t>
      </w:r>
      <w:r>
        <w:rPr>
          <w:rFonts w:eastAsia="Arial"/>
          <w:sz w:val="26"/>
          <w:szCs w:val="26"/>
          <w:lang w:val="hsb-DE"/>
        </w:rPr>
        <w:t xml:space="preserve"> (dự thảo</w:t>
      </w:r>
      <w:r>
        <w:rPr>
          <w:rFonts w:eastAsia="Arial"/>
          <w:sz w:val="26"/>
          <w:szCs w:val="26"/>
          <w:lang w:val="vi-VN"/>
        </w:rPr>
        <w:t xml:space="preserve"> </w:t>
      </w:r>
      <w:r>
        <w:rPr>
          <w:rFonts w:eastAsia="Arial"/>
          <w:sz w:val="26"/>
          <w:szCs w:val="26"/>
          <w:lang w:val="hsb-DE"/>
        </w:rPr>
        <w:t xml:space="preserve">hiện nay đã trình UBND tỉnh); chỉ đạo Sở Tài chính tham mưu </w:t>
      </w:r>
      <w:r>
        <w:rPr>
          <w:bCs/>
          <w:sz w:val="26"/>
          <w:szCs w:val="26"/>
          <w:lang w:val="hsb-DE"/>
        </w:rPr>
        <w:t>Nghị quyết sửa đổi, bổ sung một số điều của nghị quyết phí, lệ phí, trong đó có phí thuộc lĩnh vực môi trường (</w:t>
      </w:r>
      <w:r>
        <w:rPr>
          <w:rFonts w:eastAsia="Arial"/>
          <w:sz w:val="26"/>
          <w:szCs w:val="26"/>
          <w:lang w:val="hsb-DE"/>
        </w:rPr>
        <w:t>dự thảo</w:t>
      </w:r>
      <w:r>
        <w:rPr>
          <w:rFonts w:eastAsia="Arial"/>
          <w:sz w:val="26"/>
          <w:szCs w:val="26"/>
          <w:lang w:val="vi-VN"/>
        </w:rPr>
        <w:t xml:space="preserve"> đang lấy ý kiến góp ý của các sở, ngành, địa phương, đơn vị liên quan</w:t>
      </w:r>
      <w:r>
        <w:rPr>
          <w:rFonts w:eastAsia="Arial"/>
          <w:sz w:val="26"/>
          <w:szCs w:val="26"/>
          <w:lang w:val="hsb-DE"/>
        </w:rPr>
        <w:t>)</w:t>
      </w:r>
      <w:r>
        <w:rPr>
          <w:rFonts w:eastAsia="Arial"/>
          <w:sz w:val="26"/>
          <w:szCs w:val="26"/>
          <w:lang w:val="vi-VN"/>
        </w:rPr>
        <w:t xml:space="preserve">.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521FBF" w14:textId="77777777" w:rsidR="00085789" w:rsidRDefault="00000000">
      <w:pPr>
        <w:pBdr>
          <w:bottom w:val="none" w:sz="4" w:space="31" w:color="000000"/>
        </w:pBdr>
        <w:spacing w:before="120" w:line="240" w:lineRule="auto"/>
        <w:ind w:firstLine="720"/>
        <w:jc w:val="both"/>
        <w:rPr>
          <w:b/>
          <w:lang w:val="hsb-DE"/>
        </w:rPr>
      </w:pPr>
      <w:r>
        <w:rPr>
          <w:sz w:val="26"/>
          <w:szCs w:val="26"/>
          <w:lang w:val="nl-NL"/>
        </w:rPr>
        <w:t>Thường xuyên tổ chức hoạt động tuyên truyền, vận động nhằm nâng cao nhận thức của người dân, doanh nghiệp về công tác quản lý CTR và giữ vệ sinh môi trường; vận động sự tham gia của cộng đồng dân cư, doanh nghiệp trong thực hiện phân loại CTR tại nguồn (từ các hộ gia đình, từ các cơ quan, xí nghiệp,...).</w:t>
      </w:r>
    </w:p>
    <w:p w14:paraId="2F98EE47" w14:textId="77777777" w:rsidR="00085789" w:rsidRDefault="00000000">
      <w:pPr>
        <w:pBdr>
          <w:bottom w:val="none" w:sz="4" w:space="31" w:color="000000"/>
        </w:pBdr>
        <w:spacing w:before="120" w:line="240" w:lineRule="auto"/>
        <w:ind w:firstLine="720"/>
        <w:jc w:val="both"/>
        <w:rPr>
          <w:spacing w:val="-4"/>
          <w:sz w:val="26"/>
          <w:szCs w:val="26"/>
          <w:lang w:val="pt-BR"/>
        </w:rPr>
      </w:pPr>
      <w:r>
        <w:rPr>
          <w:sz w:val="26"/>
          <w:szCs w:val="26"/>
          <w:lang w:val="nl-NL"/>
        </w:rPr>
        <w:t xml:space="preserve">Bố trí kinh phí chi sự nghiệp môi trường chiếm trên 1% tổng chi ngân sách địa phương. Trong đó phân bổ dự toán chi sự nghiệp môi trường cho các cấp, các ngành chiếm 60 %; 40 % chi hỗ trợ các xã, thị trấn thu gom, xử lý và xây dựng khu xử lý rác thải nông </w:t>
      </w:r>
      <w:r>
        <w:rPr>
          <w:sz w:val="26"/>
          <w:szCs w:val="26"/>
          <w:lang w:val="nl-NL"/>
        </w:rPr>
        <w:lastRenderedPageBreak/>
        <w:t xml:space="preserve">thôn và các dự án xử lý môi trường cấp bách. Tổng kinh phí sự nghiệp môi trường từ năm 2021-2025 là </w:t>
      </w:r>
      <w:r>
        <w:rPr>
          <w:spacing w:val="-4"/>
          <w:sz w:val="26"/>
          <w:szCs w:val="26"/>
          <w:lang w:val="pt-BR"/>
        </w:rPr>
        <w:t>1.083.622 triệu đồng.</w:t>
      </w:r>
    </w:p>
    <w:p w14:paraId="18F9F86E" w14:textId="77777777" w:rsidR="00085789" w:rsidRDefault="00000000">
      <w:pPr>
        <w:pBdr>
          <w:bottom w:val="none" w:sz="4" w:space="31" w:color="000000"/>
        </w:pBdr>
        <w:spacing w:before="120" w:line="240" w:lineRule="auto"/>
        <w:ind w:firstLine="720"/>
        <w:jc w:val="both"/>
        <w:rPr>
          <w:b/>
          <w:lang w:val="hsb-DE"/>
        </w:rPr>
      </w:pPr>
      <w:r>
        <w:rPr>
          <w:sz w:val="26"/>
          <w:szCs w:val="26"/>
          <w:lang w:val="nl-NL"/>
        </w:rPr>
        <w:t>Mạng lưới thu gom, xử lý CTR tỉnh Hà Tĩnh đã được đầu tư từ đô thị đến nông thôn. Đến nay, toàn tỉnh có 12 khu xử lý CTRSH đang hoạt động với 03 loại hình công nghệ (03 nhà máy, 03 bãi chôn lấp và 06 lò đốt độc lập) với tổng công suất trên 600 tấn/ngày.</w:t>
      </w:r>
    </w:p>
    <w:p w14:paraId="48BC573F" w14:textId="77777777" w:rsidR="00085789" w:rsidRDefault="00000000">
      <w:pPr>
        <w:pBdr>
          <w:bottom w:val="none" w:sz="4" w:space="31" w:color="000000"/>
        </w:pBdr>
        <w:spacing w:before="120" w:line="240" w:lineRule="auto"/>
        <w:ind w:firstLine="720"/>
        <w:jc w:val="both"/>
        <w:rPr>
          <w:b/>
          <w:lang w:val="hsb-DE"/>
        </w:rPr>
      </w:pPr>
      <w:r>
        <w:rPr>
          <w:sz w:val="26"/>
          <w:szCs w:val="26"/>
          <w:lang w:val="nl-NL"/>
        </w:rPr>
        <w:t>Hiện trạng các cơ sở xử lý CTR trên địa bàn tỉnh Hà Tĩnh được thể hiện chi tiết ở bảng sau:</w:t>
      </w:r>
    </w:p>
    <w:p w14:paraId="7C6BEA11" w14:textId="77777777" w:rsidR="00085789" w:rsidRDefault="00000000">
      <w:pPr>
        <w:spacing w:before="120" w:line="240" w:lineRule="auto"/>
        <w:rPr>
          <w:b/>
          <w:bCs/>
          <w:i/>
          <w:spacing w:val="-6"/>
          <w:sz w:val="26"/>
          <w:szCs w:val="26"/>
          <w:lang w:val="nl-NL"/>
        </w:rPr>
      </w:pPr>
      <w:bookmarkStart w:id="1077" w:name="_Toc56740510"/>
      <w:bookmarkStart w:id="1078" w:name="_Toc56737563"/>
      <w:bookmarkStart w:id="1079" w:name="_Toc54795561"/>
      <w:bookmarkStart w:id="1080" w:name="_Toc55007905"/>
      <w:bookmarkStart w:id="1081" w:name="_Toc54794133"/>
      <w:bookmarkStart w:id="1082" w:name="_Toc56739747"/>
      <w:bookmarkStart w:id="1083" w:name="_Toc54796275"/>
      <w:bookmarkStart w:id="1084" w:name="_Toc56736842"/>
      <w:bookmarkStart w:id="1085" w:name="_Toc55592227"/>
      <w:bookmarkStart w:id="1086" w:name="_Toc56739004"/>
      <w:r>
        <w:rPr>
          <w:i/>
          <w:spacing w:val="-6"/>
          <w:lang w:val="nl-NL"/>
        </w:rPr>
        <w:br w:type="page"/>
      </w:r>
    </w:p>
    <w:p w14:paraId="52FF9ABE" w14:textId="77777777" w:rsidR="00085789" w:rsidRDefault="00085789">
      <w:pPr>
        <w:keepNext/>
        <w:spacing w:before="60" w:line="360" w:lineRule="exact"/>
        <w:ind w:firstLine="680"/>
        <w:jc w:val="center"/>
        <w:outlineLvl w:val="2"/>
        <w:rPr>
          <w:b/>
          <w:bCs/>
          <w:i/>
          <w:spacing w:val="-6"/>
          <w:sz w:val="26"/>
          <w:szCs w:val="26"/>
          <w:lang w:val="nl-NL"/>
        </w:rPr>
        <w:sectPr w:rsidR="00085789">
          <w:footerReference w:type="default" r:id="rId146"/>
          <w:pgSz w:w="11909" w:h="16834" w:code="9"/>
          <w:pgMar w:top="1134" w:right="1134" w:bottom="1134" w:left="1418" w:header="720" w:footer="833" w:gutter="0"/>
          <w:cols w:space="720"/>
          <w:docGrid w:linePitch="381"/>
        </w:sectPr>
      </w:pPr>
    </w:p>
    <w:p w14:paraId="32E03B93" w14:textId="77777777" w:rsidR="00085789" w:rsidRDefault="00000000">
      <w:pPr>
        <w:pStyle w:val="-bac4"/>
        <w:rPr>
          <w:lang w:val="nl-NL"/>
        </w:rPr>
      </w:pPr>
      <w:bookmarkStart w:id="1087" w:name="_Toc205915871"/>
      <w:bookmarkStart w:id="1088" w:name="_Toc213597562"/>
      <w:bookmarkStart w:id="1089" w:name="_Toc213600872"/>
      <w:r>
        <w:rPr>
          <w:lang w:val="nl-NL"/>
        </w:rPr>
        <w:lastRenderedPageBreak/>
        <w:t>Bảng 7.1. Hiện trạng cơ sở xử lý CTR sinh hoạt trên địa bàn tỉnh</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p>
    <w:tbl>
      <w:tblPr>
        <w:tblW w:w="15463" w:type="dxa"/>
        <w:tblInd w:w="-5" w:type="dxa"/>
        <w:tblLook w:val="04A0" w:firstRow="1" w:lastRow="0" w:firstColumn="1" w:lastColumn="0" w:noHBand="0" w:noVBand="1"/>
      </w:tblPr>
      <w:tblGrid>
        <w:gridCol w:w="512"/>
        <w:gridCol w:w="1607"/>
        <w:gridCol w:w="1415"/>
        <w:gridCol w:w="1416"/>
        <w:gridCol w:w="1429"/>
        <w:gridCol w:w="1417"/>
        <w:gridCol w:w="1558"/>
        <w:gridCol w:w="1561"/>
        <w:gridCol w:w="2121"/>
        <w:gridCol w:w="2404"/>
        <w:gridCol w:w="23"/>
      </w:tblGrid>
      <w:tr w:rsidR="00085789" w14:paraId="745BAF03" w14:textId="77777777">
        <w:trPr>
          <w:gridAfter w:val="1"/>
          <w:wAfter w:w="23" w:type="dxa"/>
          <w:trHeight w:val="1494"/>
          <w:tblHeader/>
        </w:trPr>
        <w:tc>
          <w:tcPr>
            <w:tcW w:w="512" w:type="dxa"/>
            <w:tcBorders>
              <w:top w:val="single" w:sz="4" w:space="0" w:color="auto"/>
              <w:left w:val="single" w:sz="4" w:space="0" w:color="auto"/>
              <w:bottom w:val="single" w:sz="4" w:space="0" w:color="auto"/>
              <w:right w:val="single" w:sz="4" w:space="0" w:color="auto"/>
            </w:tcBorders>
            <w:shd w:val="clear" w:color="auto" w:fill="FFFFFF"/>
            <w:vAlign w:val="center"/>
          </w:tcPr>
          <w:p w14:paraId="5F5A33FE" w14:textId="77777777" w:rsidR="00085789" w:rsidRDefault="00000000">
            <w:pPr>
              <w:spacing w:line="240" w:lineRule="auto"/>
              <w:jc w:val="center"/>
              <w:rPr>
                <w:b/>
                <w:bCs/>
                <w:color w:val="000000" w:themeColor="text1"/>
                <w:sz w:val="22"/>
                <w:szCs w:val="22"/>
              </w:rPr>
            </w:pPr>
            <w:r>
              <w:rPr>
                <w:b/>
                <w:bCs/>
                <w:color w:val="000000" w:themeColor="text1"/>
                <w:sz w:val="22"/>
                <w:szCs w:val="22"/>
              </w:rPr>
              <w:t>TT</w:t>
            </w:r>
          </w:p>
        </w:tc>
        <w:tc>
          <w:tcPr>
            <w:tcW w:w="1607" w:type="dxa"/>
            <w:tcBorders>
              <w:top w:val="single" w:sz="4" w:space="0" w:color="auto"/>
              <w:left w:val="nil"/>
              <w:bottom w:val="single" w:sz="4" w:space="0" w:color="auto"/>
              <w:right w:val="single" w:sz="4" w:space="0" w:color="auto"/>
            </w:tcBorders>
            <w:shd w:val="clear" w:color="auto" w:fill="FFFFFF"/>
            <w:vAlign w:val="center"/>
          </w:tcPr>
          <w:p w14:paraId="22897CF4" w14:textId="77777777" w:rsidR="00085789" w:rsidRDefault="00000000">
            <w:pPr>
              <w:spacing w:line="240" w:lineRule="auto"/>
              <w:jc w:val="center"/>
              <w:rPr>
                <w:b/>
                <w:bCs/>
                <w:color w:val="000000" w:themeColor="text1"/>
                <w:sz w:val="22"/>
                <w:szCs w:val="22"/>
              </w:rPr>
            </w:pPr>
            <w:r>
              <w:rPr>
                <w:b/>
                <w:bCs/>
                <w:color w:val="000000" w:themeColor="text1"/>
                <w:sz w:val="22"/>
                <w:szCs w:val="22"/>
              </w:rPr>
              <w:t>Tên cơ sở xử lý</w:t>
            </w:r>
          </w:p>
        </w:tc>
        <w:tc>
          <w:tcPr>
            <w:tcW w:w="1415" w:type="dxa"/>
            <w:tcBorders>
              <w:top w:val="single" w:sz="4" w:space="0" w:color="auto"/>
              <w:left w:val="nil"/>
              <w:bottom w:val="single" w:sz="4" w:space="0" w:color="auto"/>
              <w:right w:val="single" w:sz="4" w:space="0" w:color="auto"/>
            </w:tcBorders>
            <w:shd w:val="clear" w:color="auto" w:fill="FFFFFF"/>
            <w:vAlign w:val="center"/>
          </w:tcPr>
          <w:p w14:paraId="0F8B62C7" w14:textId="77777777" w:rsidR="00085789" w:rsidRDefault="00000000">
            <w:pPr>
              <w:spacing w:line="240" w:lineRule="auto"/>
              <w:jc w:val="center"/>
              <w:rPr>
                <w:b/>
                <w:bCs/>
                <w:color w:val="000000" w:themeColor="text1"/>
                <w:sz w:val="22"/>
                <w:szCs w:val="22"/>
              </w:rPr>
            </w:pPr>
            <w:r>
              <w:rPr>
                <w:b/>
                <w:bCs/>
                <w:color w:val="000000" w:themeColor="text1"/>
                <w:sz w:val="22"/>
                <w:szCs w:val="22"/>
              </w:rPr>
              <w:t>Chủ đầu tư</w:t>
            </w:r>
          </w:p>
        </w:tc>
        <w:tc>
          <w:tcPr>
            <w:tcW w:w="1416" w:type="dxa"/>
            <w:tcBorders>
              <w:top w:val="single" w:sz="4" w:space="0" w:color="auto"/>
              <w:left w:val="nil"/>
              <w:bottom w:val="single" w:sz="4" w:space="0" w:color="auto"/>
              <w:right w:val="single" w:sz="4" w:space="0" w:color="auto"/>
            </w:tcBorders>
            <w:shd w:val="clear" w:color="auto" w:fill="FFFFFF"/>
            <w:vAlign w:val="center"/>
          </w:tcPr>
          <w:p w14:paraId="7159205E" w14:textId="77777777" w:rsidR="00085789" w:rsidRDefault="00000000">
            <w:pPr>
              <w:spacing w:line="240" w:lineRule="auto"/>
              <w:jc w:val="center"/>
              <w:rPr>
                <w:b/>
                <w:bCs/>
                <w:color w:val="000000" w:themeColor="text1"/>
                <w:sz w:val="22"/>
                <w:szCs w:val="22"/>
              </w:rPr>
            </w:pPr>
            <w:r>
              <w:rPr>
                <w:b/>
                <w:bCs/>
                <w:color w:val="000000" w:themeColor="text1"/>
                <w:sz w:val="22"/>
                <w:szCs w:val="22"/>
              </w:rPr>
              <w:t>Địa điểm</w:t>
            </w:r>
          </w:p>
        </w:tc>
        <w:tc>
          <w:tcPr>
            <w:tcW w:w="1429" w:type="dxa"/>
            <w:tcBorders>
              <w:top w:val="single" w:sz="4" w:space="0" w:color="auto"/>
              <w:left w:val="nil"/>
              <w:bottom w:val="single" w:sz="4" w:space="0" w:color="auto"/>
              <w:right w:val="single" w:sz="4" w:space="0" w:color="auto"/>
            </w:tcBorders>
            <w:shd w:val="clear" w:color="auto" w:fill="FFFFFF"/>
            <w:vAlign w:val="center"/>
          </w:tcPr>
          <w:p w14:paraId="033B9935" w14:textId="77777777" w:rsidR="00085789" w:rsidRDefault="00000000">
            <w:pPr>
              <w:spacing w:line="240" w:lineRule="auto"/>
              <w:jc w:val="center"/>
              <w:rPr>
                <w:b/>
                <w:bCs/>
                <w:color w:val="000000" w:themeColor="text1"/>
                <w:sz w:val="22"/>
                <w:szCs w:val="22"/>
              </w:rPr>
            </w:pPr>
            <w:r>
              <w:rPr>
                <w:b/>
                <w:bCs/>
                <w:color w:val="000000" w:themeColor="text1"/>
                <w:sz w:val="22"/>
                <w:szCs w:val="22"/>
              </w:rPr>
              <w:t xml:space="preserve"> Công suất theo thiết kế </w:t>
            </w:r>
            <w:r>
              <w:rPr>
                <w:b/>
                <w:bCs/>
                <w:color w:val="000000" w:themeColor="text1"/>
                <w:sz w:val="22"/>
                <w:szCs w:val="22"/>
              </w:rPr>
              <w:br/>
              <w:t xml:space="preserve">(tấn/ngày đêm)  </w:t>
            </w:r>
          </w:p>
        </w:tc>
        <w:tc>
          <w:tcPr>
            <w:tcW w:w="1417" w:type="dxa"/>
            <w:tcBorders>
              <w:top w:val="single" w:sz="4" w:space="0" w:color="auto"/>
              <w:left w:val="nil"/>
              <w:bottom w:val="single" w:sz="4" w:space="0" w:color="auto"/>
              <w:right w:val="single" w:sz="4" w:space="0" w:color="auto"/>
            </w:tcBorders>
            <w:shd w:val="clear" w:color="auto" w:fill="FFFFFF"/>
            <w:vAlign w:val="center"/>
          </w:tcPr>
          <w:p w14:paraId="20713ED4" w14:textId="77777777" w:rsidR="00085789" w:rsidRDefault="00000000">
            <w:pPr>
              <w:spacing w:line="240" w:lineRule="auto"/>
              <w:jc w:val="center"/>
              <w:rPr>
                <w:b/>
                <w:bCs/>
                <w:color w:val="000000" w:themeColor="text1"/>
                <w:sz w:val="22"/>
                <w:szCs w:val="22"/>
              </w:rPr>
            </w:pPr>
            <w:r>
              <w:rPr>
                <w:b/>
                <w:bCs/>
                <w:color w:val="000000" w:themeColor="text1"/>
                <w:sz w:val="22"/>
                <w:szCs w:val="22"/>
              </w:rPr>
              <w:t>Công suất theo thực tế từ năm 2020</w:t>
            </w:r>
            <w:r>
              <w:rPr>
                <w:b/>
                <w:bCs/>
                <w:color w:val="000000" w:themeColor="text1"/>
                <w:sz w:val="22"/>
                <w:szCs w:val="22"/>
              </w:rPr>
              <w:br/>
              <w:t xml:space="preserve"> (tấn/ngày đêm)  </w:t>
            </w:r>
          </w:p>
        </w:tc>
        <w:tc>
          <w:tcPr>
            <w:tcW w:w="1558" w:type="dxa"/>
            <w:tcBorders>
              <w:top w:val="single" w:sz="4" w:space="0" w:color="auto"/>
              <w:left w:val="nil"/>
              <w:bottom w:val="single" w:sz="4" w:space="0" w:color="auto"/>
              <w:right w:val="single" w:sz="4" w:space="0" w:color="auto"/>
            </w:tcBorders>
            <w:shd w:val="clear" w:color="auto" w:fill="FFFFFF"/>
            <w:vAlign w:val="center"/>
          </w:tcPr>
          <w:p w14:paraId="338403D1" w14:textId="77777777" w:rsidR="00085789" w:rsidRDefault="00000000">
            <w:pPr>
              <w:spacing w:line="240" w:lineRule="auto"/>
              <w:jc w:val="center"/>
              <w:rPr>
                <w:b/>
                <w:bCs/>
                <w:color w:val="000000" w:themeColor="text1"/>
                <w:sz w:val="22"/>
                <w:szCs w:val="22"/>
              </w:rPr>
            </w:pPr>
            <w:r>
              <w:rPr>
                <w:b/>
                <w:bCs/>
                <w:color w:val="000000" w:themeColor="text1"/>
                <w:sz w:val="22"/>
                <w:szCs w:val="22"/>
              </w:rPr>
              <w:t>Kinh phí đầu tư theo QĐ phê duyệt chủ trương ĐT (triệu đồng)</w:t>
            </w:r>
          </w:p>
        </w:tc>
        <w:tc>
          <w:tcPr>
            <w:tcW w:w="1561" w:type="dxa"/>
            <w:tcBorders>
              <w:top w:val="single" w:sz="4" w:space="0" w:color="auto"/>
              <w:left w:val="nil"/>
              <w:bottom w:val="single" w:sz="4" w:space="0" w:color="auto"/>
              <w:right w:val="single" w:sz="4" w:space="0" w:color="auto"/>
            </w:tcBorders>
            <w:shd w:val="clear" w:color="auto" w:fill="FFFFFF"/>
            <w:vAlign w:val="center"/>
          </w:tcPr>
          <w:p w14:paraId="6A932744" w14:textId="77777777" w:rsidR="00085789" w:rsidRDefault="00000000">
            <w:pPr>
              <w:spacing w:line="240" w:lineRule="auto"/>
              <w:jc w:val="center"/>
              <w:rPr>
                <w:b/>
                <w:bCs/>
                <w:color w:val="000000" w:themeColor="text1"/>
                <w:sz w:val="22"/>
                <w:szCs w:val="22"/>
              </w:rPr>
            </w:pPr>
            <w:r>
              <w:rPr>
                <w:b/>
                <w:bCs/>
                <w:color w:val="000000" w:themeColor="text1"/>
                <w:sz w:val="22"/>
                <w:szCs w:val="22"/>
              </w:rPr>
              <w:t>Nguồn vốn</w:t>
            </w:r>
          </w:p>
        </w:tc>
        <w:tc>
          <w:tcPr>
            <w:tcW w:w="2121" w:type="dxa"/>
            <w:tcBorders>
              <w:top w:val="single" w:sz="4" w:space="0" w:color="auto"/>
              <w:left w:val="nil"/>
              <w:bottom w:val="single" w:sz="4" w:space="0" w:color="auto"/>
              <w:right w:val="single" w:sz="4" w:space="0" w:color="auto"/>
            </w:tcBorders>
            <w:shd w:val="clear" w:color="auto" w:fill="FFFFFF"/>
            <w:vAlign w:val="center"/>
          </w:tcPr>
          <w:p w14:paraId="2A563A57" w14:textId="77777777" w:rsidR="00085789" w:rsidRDefault="00000000">
            <w:pPr>
              <w:spacing w:line="240" w:lineRule="auto"/>
              <w:jc w:val="center"/>
              <w:rPr>
                <w:b/>
                <w:bCs/>
                <w:color w:val="000000" w:themeColor="text1"/>
                <w:sz w:val="22"/>
                <w:szCs w:val="22"/>
              </w:rPr>
            </w:pPr>
            <w:r>
              <w:rPr>
                <w:b/>
                <w:bCs/>
                <w:color w:val="000000" w:themeColor="text1"/>
                <w:sz w:val="22"/>
                <w:szCs w:val="22"/>
              </w:rPr>
              <w:t>Thời hạn hoạt động</w:t>
            </w:r>
          </w:p>
        </w:tc>
        <w:tc>
          <w:tcPr>
            <w:tcW w:w="2404" w:type="dxa"/>
            <w:tcBorders>
              <w:top w:val="single" w:sz="4" w:space="0" w:color="auto"/>
              <w:left w:val="nil"/>
              <w:bottom w:val="single" w:sz="4" w:space="0" w:color="auto"/>
              <w:right w:val="single" w:sz="4" w:space="0" w:color="auto"/>
            </w:tcBorders>
            <w:shd w:val="clear" w:color="auto" w:fill="FFFFFF"/>
            <w:vAlign w:val="center"/>
          </w:tcPr>
          <w:p w14:paraId="4908DEE4" w14:textId="77777777" w:rsidR="00085789" w:rsidRDefault="00000000">
            <w:pPr>
              <w:spacing w:line="240" w:lineRule="auto"/>
              <w:jc w:val="center"/>
              <w:rPr>
                <w:b/>
                <w:bCs/>
                <w:color w:val="000000" w:themeColor="text1"/>
                <w:sz w:val="22"/>
                <w:szCs w:val="22"/>
              </w:rPr>
            </w:pPr>
            <w:r>
              <w:rPr>
                <w:b/>
                <w:bCs/>
                <w:color w:val="000000" w:themeColor="text1"/>
                <w:sz w:val="22"/>
                <w:szCs w:val="22"/>
              </w:rPr>
              <w:t>Ghi chú</w:t>
            </w:r>
          </w:p>
        </w:tc>
      </w:tr>
      <w:tr w:rsidR="00085789" w14:paraId="6FB0460C" w14:textId="77777777">
        <w:trPr>
          <w:gridAfter w:val="1"/>
          <w:wAfter w:w="23" w:type="dxa"/>
          <w:trHeight w:val="450"/>
        </w:trPr>
        <w:tc>
          <w:tcPr>
            <w:tcW w:w="512" w:type="dxa"/>
            <w:tcBorders>
              <w:top w:val="nil"/>
              <w:left w:val="single" w:sz="4" w:space="0" w:color="auto"/>
              <w:bottom w:val="single" w:sz="4" w:space="0" w:color="auto"/>
              <w:right w:val="single" w:sz="4" w:space="0" w:color="auto"/>
            </w:tcBorders>
            <w:shd w:val="clear" w:color="auto" w:fill="FFFFFF"/>
            <w:vAlign w:val="center"/>
          </w:tcPr>
          <w:p w14:paraId="7C55EC4A" w14:textId="77777777" w:rsidR="00085789" w:rsidRDefault="00000000">
            <w:pPr>
              <w:spacing w:line="240" w:lineRule="auto"/>
              <w:jc w:val="center"/>
              <w:rPr>
                <w:b/>
                <w:bCs/>
                <w:color w:val="000000" w:themeColor="text1"/>
                <w:sz w:val="22"/>
                <w:szCs w:val="22"/>
              </w:rPr>
            </w:pPr>
            <w:r>
              <w:rPr>
                <w:b/>
                <w:bCs/>
                <w:color w:val="000000" w:themeColor="text1"/>
                <w:sz w:val="22"/>
                <w:szCs w:val="22"/>
              </w:rPr>
              <w:t>A</w:t>
            </w:r>
          </w:p>
        </w:tc>
        <w:tc>
          <w:tcPr>
            <w:tcW w:w="4438" w:type="dxa"/>
            <w:gridSpan w:val="3"/>
            <w:tcBorders>
              <w:top w:val="single" w:sz="4" w:space="0" w:color="auto"/>
              <w:left w:val="nil"/>
              <w:bottom w:val="single" w:sz="4" w:space="0" w:color="auto"/>
              <w:right w:val="single" w:sz="4" w:space="0" w:color="auto"/>
            </w:tcBorders>
            <w:shd w:val="clear" w:color="auto" w:fill="FFFFFF"/>
            <w:vAlign w:val="center"/>
          </w:tcPr>
          <w:p w14:paraId="0756C9CC" w14:textId="77777777" w:rsidR="00085789" w:rsidRDefault="00000000">
            <w:pPr>
              <w:spacing w:line="240" w:lineRule="auto"/>
              <w:rPr>
                <w:b/>
                <w:bCs/>
                <w:color w:val="000000" w:themeColor="text1"/>
                <w:sz w:val="22"/>
                <w:szCs w:val="22"/>
              </w:rPr>
            </w:pPr>
            <w:r>
              <w:rPr>
                <w:b/>
                <w:bCs/>
                <w:color w:val="000000" w:themeColor="text1"/>
                <w:sz w:val="22"/>
                <w:szCs w:val="22"/>
              </w:rPr>
              <w:t>CÁC KHU XỬ LÝ ĐANG HOẠT ĐỘNG</w:t>
            </w:r>
          </w:p>
        </w:tc>
        <w:tc>
          <w:tcPr>
            <w:tcW w:w="1429" w:type="dxa"/>
            <w:tcBorders>
              <w:top w:val="single" w:sz="4" w:space="0" w:color="auto"/>
              <w:left w:val="single" w:sz="4" w:space="0" w:color="auto"/>
              <w:bottom w:val="single" w:sz="4" w:space="0" w:color="auto"/>
              <w:right w:val="single" w:sz="4" w:space="0" w:color="auto"/>
            </w:tcBorders>
            <w:shd w:val="clear" w:color="auto" w:fill="FFFFFF"/>
            <w:vAlign w:val="center"/>
          </w:tcPr>
          <w:p w14:paraId="278854C7" w14:textId="77777777" w:rsidR="00085789" w:rsidRDefault="00000000">
            <w:pPr>
              <w:spacing w:line="240" w:lineRule="auto"/>
              <w:jc w:val="center"/>
              <w:rPr>
                <w:b/>
                <w:bCs/>
                <w:color w:val="000000" w:themeColor="text1"/>
                <w:sz w:val="22"/>
                <w:szCs w:val="22"/>
              </w:rPr>
            </w:pPr>
            <w:r>
              <w:rPr>
                <w:b/>
                <w:bCs/>
                <w:color w:val="000000" w:themeColor="text1"/>
                <w:sz w:val="22"/>
                <w:szCs w:val="22"/>
              </w:rPr>
              <w:t>669,25</w:t>
            </w:r>
          </w:p>
        </w:tc>
        <w:tc>
          <w:tcPr>
            <w:tcW w:w="1417" w:type="dxa"/>
            <w:tcBorders>
              <w:top w:val="single" w:sz="4" w:space="0" w:color="auto"/>
              <w:left w:val="single" w:sz="4" w:space="0" w:color="auto"/>
              <w:bottom w:val="single" w:sz="4" w:space="0" w:color="auto"/>
              <w:right w:val="single" w:sz="4" w:space="0" w:color="auto"/>
            </w:tcBorders>
            <w:shd w:val="clear" w:color="auto" w:fill="FFFFFF"/>
            <w:vAlign w:val="center"/>
          </w:tcPr>
          <w:p w14:paraId="34291C94" w14:textId="77777777" w:rsidR="00085789" w:rsidRDefault="00000000">
            <w:pPr>
              <w:spacing w:line="240" w:lineRule="auto"/>
              <w:jc w:val="center"/>
              <w:rPr>
                <w:b/>
                <w:bCs/>
                <w:color w:val="000000" w:themeColor="text1"/>
                <w:sz w:val="22"/>
                <w:szCs w:val="22"/>
              </w:rPr>
            </w:pPr>
            <w:r>
              <w:rPr>
                <w:b/>
                <w:bCs/>
                <w:color w:val="000000" w:themeColor="text1"/>
                <w:sz w:val="22"/>
                <w:szCs w:val="22"/>
              </w:rPr>
              <w:t>371,60</w:t>
            </w:r>
          </w:p>
        </w:tc>
        <w:tc>
          <w:tcPr>
            <w:tcW w:w="1558" w:type="dxa"/>
            <w:tcBorders>
              <w:top w:val="single" w:sz="4" w:space="0" w:color="auto"/>
              <w:left w:val="single" w:sz="4" w:space="0" w:color="auto"/>
              <w:bottom w:val="single" w:sz="4" w:space="0" w:color="auto"/>
              <w:right w:val="single" w:sz="4" w:space="0" w:color="auto"/>
            </w:tcBorders>
            <w:shd w:val="clear" w:color="auto" w:fill="FFFFFF"/>
            <w:vAlign w:val="center"/>
          </w:tcPr>
          <w:p w14:paraId="283A1BC7"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auto" w:fill="FFFFFF"/>
            <w:vAlign w:val="center"/>
          </w:tcPr>
          <w:p w14:paraId="58487C1B"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auto" w:fill="FFFFFF"/>
            <w:vAlign w:val="center"/>
          </w:tcPr>
          <w:p w14:paraId="6FCDF757"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auto" w:fill="FFFFFF"/>
            <w:vAlign w:val="center"/>
          </w:tcPr>
          <w:p w14:paraId="4B96B526"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r>
      <w:tr w:rsidR="00085789" w14:paraId="2B1DC954" w14:textId="77777777">
        <w:trPr>
          <w:gridAfter w:val="1"/>
          <w:wAfter w:w="23" w:type="dxa"/>
          <w:trHeight w:val="420"/>
        </w:trPr>
        <w:tc>
          <w:tcPr>
            <w:tcW w:w="512" w:type="dxa"/>
            <w:tcBorders>
              <w:top w:val="nil"/>
              <w:left w:val="single" w:sz="4" w:space="0" w:color="auto"/>
              <w:bottom w:val="single" w:sz="4" w:space="0" w:color="auto"/>
              <w:right w:val="single" w:sz="4" w:space="0" w:color="auto"/>
            </w:tcBorders>
            <w:shd w:val="clear" w:color="auto" w:fill="FFFFFF"/>
            <w:vAlign w:val="center"/>
          </w:tcPr>
          <w:p w14:paraId="587C32FE" w14:textId="77777777" w:rsidR="00085789" w:rsidRDefault="00000000">
            <w:pPr>
              <w:spacing w:line="240" w:lineRule="auto"/>
              <w:jc w:val="center"/>
              <w:rPr>
                <w:b/>
                <w:bCs/>
                <w:color w:val="000000" w:themeColor="text1"/>
                <w:sz w:val="22"/>
                <w:szCs w:val="22"/>
              </w:rPr>
            </w:pPr>
            <w:r>
              <w:rPr>
                <w:b/>
                <w:bCs/>
                <w:color w:val="000000" w:themeColor="text1"/>
                <w:sz w:val="22"/>
                <w:szCs w:val="22"/>
              </w:rPr>
              <w:t>I</w:t>
            </w:r>
          </w:p>
        </w:tc>
        <w:tc>
          <w:tcPr>
            <w:tcW w:w="4438" w:type="dxa"/>
            <w:gridSpan w:val="3"/>
            <w:tcBorders>
              <w:top w:val="single" w:sz="4" w:space="0" w:color="auto"/>
              <w:left w:val="nil"/>
              <w:bottom w:val="single" w:sz="4" w:space="0" w:color="auto"/>
              <w:right w:val="nil"/>
            </w:tcBorders>
            <w:shd w:val="clear" w:color="auto" w:fill="FFFFFF"/>
            <w:vAlign w:val="center"/>
          </w:tcPr>
          <w:p w14:paraId="2FBD2533" w14:textId="77777777" w:rsidR="00085789" w:rsidRDefault="00000000">
            <w:pPr>
              <w:spacing w:line="240" w:lineRule="auto"/>
              <w:jc w:val="center"/>
              <w:rPr>
                <w:b/>
                <w:bCs/>
                <w:color w:val="000000" w:themeColor="text1"/>
                <w:sz w:val="22"/>
                <w:szCs w:val="22"/>
              </w:rPr>
            </w:pPr>
            <w:r>
              <w:rPr>
                <w:b/>
                <w:bCs/>
                <w:color w:val="000000" w:themeColor="text1"/>
                <w:sz w:val="22"/>
                <w:szCs w:val="22"/>
              </w:rPr>
              <w:t>Nhà máy xử lý đang hoạt động</w:t>
            </w:r>
          </w:p>
        </w:tc>
        <w:tc>
          <w:tcPr>
            <w:tcW w:w="1429" w:type="dxa"/>
            <w:tcBorders>
              <w:top w:val="nil"/>
              <w:left w:val="single" w:sz="4" w:space="0" w:color="auto"/>
              <w:bottom w:val="single" w:sz="4" w:space="0" w:color="auto"/>
              <w:right w:val="single" w:sz="4" w:space="0" w:color="auto"/>
            </w:tcBorders>
            <w:shd w:val="clear" w:color="auto" w:fill="FFFFFF"/>
            <w:vAlign w:val="center"/>
          </w:tcPr>
          <w:p w14:paraId="0648D0B9" w14:textId="77777777" w:rsidR="00085789" w:rsidRDefault="00000000">
            <w:pPr>
              <w:spacing w:line="240" w:lineRule="auto"/>
              <w:jc w:val="center"/>
              <w:rPr>
                <w:b/>
                <w:bCs/>
                <w:color w:val="000000" w:themeColor="text1"/>
                <w:sz w:val="22"/>
                <w:szCs w:val="22"/>
              </w:rPr>
            </w:pPr>
            <w:r>
              <w:rPr>
                <w:b/>
                <w:bCs/>
                <w:color w:val="000000" w:themeColor="text1"/>
                <w:sz w:val="22"/>
                <w:szCs w:val="22"/>
              </w:rPr>
              <w:t>480,00</w:t>
            </w:r>
          </w:p>
        </w:tc>
        <w:tc>
          <w:tcPr>
            <w:tcW w:w="1417" w:type="dxa"/>
            <w:tcBorders>
              <w:top w:val="nil"/>
              <w:left w:val="nil"/>
              <w:bottom w:val="single" w:sz="4" w:space="0" w:color="auto"/>
              <w:right w:val="single" w:sz="4" w:space="0" w:color="auto"/>
            </w:tcBorders>
            <w:shd w:val="clear" w:color="auto" w:fill="FFFFFF"/>
            <w:vAlign w:val="center"/>
          </w:tcPr>
          <w:p w14:paraId="327C0FB7" w14:textId="77777777" w:rsidR="00085789" w:rsidRDefault="00000000">
            <w:pPr>
              <w:spacing w:line="240" w:lineRule="auto"/>
              <w:jc w:val="center"/>
              <w:rPr>
                <w:b/>
                <w:bCs/>
                <w:color w:val="000000" w:themeColor="text1"/>
                <w:sz w:val="22"/>
                <w:szCs w:val="22"/>
              </w:rPr>
            </w:pPr>
            <w:r>
              <w:rPr>
                <w:b/>
                <w:bCs/>
                <w:color w:val="000000" w:themeColor="text1"/>
                <w:sz w:val="22"/>
                <w:szCs w:val="22"/>
              </w:rPr>
              <w:t>250,00</w:t>
            </w:r>
          </w:p>
        </w:tc>
        <w:tc>
          <w:tcPr>
            <w:tcW w:w="1558" w:type="dxa"/>
            <w:tcBorders>
              <w:top w:val="single" w:sz="4" w:space="0" w:color="auto"/>
              <w:left w:val="single" w:sz="4" w:space="0" w:color="auto"/>
              <w:bottom w:val="single" w:sz="4" w:space="0" w:color="auto"/>
              <w:right w:val="single" w:sz="4" w:space="0" w:color="auto"/>
            </w:tcBorders>
            <w:shd w:val="clear" w:color="auto" w:fill="FFFFFF"/>
            <w:vAlign w:val="center"/>
          </w:tcPr>
          <w:p w14:paraId="5C73B665" w14:textId="77777777" w:rsidR="00085789" w:rsidRDefault="00000000">
            <w:pPr>
              <w:spacing w:line="240" w:lineRule="auto"/>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auto" w:fill="FFFFFF"/>
            <w:vAlign w:val="center"/>
          </w:tcPr>
          <w:p w14:paraId="5E293581" w14:textId="77777777" w:rsidR="00085789" w:rsidRDefault="00000000">
            <w:pPr>
              <w:spacing w:line="240" w:lineRule="auto"/>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auto" w:fill="FFFFFF"/>
            <w:vAlign w:val="center"/>
          </w:tcPr>
          <w:p w14:paraId="6DF67685"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auto" w:fill="FFFFFF"/>
            <w:vAlign w:val="center"/>
          </w:tcPr>
          <w:p w14:paraId="232DB24C"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r>
      <w:tr w:rsidR="00085789" w14:paraId="008B6E6F" w14:textId="77777777">
        <w:trPr>
          <w:gridAfter w:val="1"/>
          <w:wAfter w:w="23" w:type="dxa"/>
          <w:trHeight w:val="1202"/>
        </w:trPr>
        <w:tc>
          <w:tcPr>
            <w:tcW w:w="512" w:type="dxa"/>
            <w:tcBorders>
              <w:top w:val="nil"/>
              <w:left w:val="single" w:sz="4" w:space="0" w:color="auto"/>
              <w:bottom w:val="single" w:sz="4" w:space="0" w:color="auto"/>
              <w:right w:val="single" w:sz="4" w:space="0" w:color="auto"/>
            </w:tcBorders>
            <w:vAlign w:val="center"/>
          </w:tcPr>
          <w:p w14:paraId="30C16C70" w14:textId="77777777" w:rsidR="00085789" w:rsidRDefault="00000000">
            <w:pPr>
              <w:spacing w:line="240" w:lineRule="auto"/>
              <w:jc w:val="center"/>
              <w:outlineLvl w:val="0"/>
              <w:rPr>
                <w:color w:val="000000" w:themeColor="text1"/>
                <w:sz w:val="22"/>
                <w:szCs w:val="22"/>
              </w:rPr>
            </w:pPr>
            <w:r>
              <w:rPr>
                <w:color w:val="000000" w:themeColor="text1"/>
                <w:sz w:val="22"/>
                <w:szCs w:val="22"/>
              </w:rPr>
              <w:t>1</w:t>
            </w:r>
          </w:p>
        </w:tc>
        <w:tc>
          <w:tcPr>
            <w:tcW w:w="1607" w:type="dxa"/>
            <w:tcBorders>
              <w:top w:val="nil"/>
              <w:left w:val="nil"/>
              <w:bottom w:val="single" w:sz="4" w:space="0" w:color="auto"/>
              <w:right w:val="single" w:sz="4" w:space="0" w:color="auto"/>
            </w:tcBorders>
            <w:vAlign w:val="center"/>
          </w:tcPr>
          <w:p w14:paraId="0769E520" w14:textId="77777777" w:rsidR="00085789" w:rsidRDefault="00000000">
            <w:pPr>
              <w:spacing w:line="240" w:lineRule="auto"/>
              <w:outlineLvl w:val="0"/>
              <w:rPr>
                <w:color w:val="000000" w:themeColor="text1"/>
                <w:sz w:val="22"/>
                <w:szCs w:val="22"/>
              </w:rPr>
            </w:pPr>
            <w:r>
              <w:rPr>
                <w:color w:val="000000" w:themeColor="text1"/>
                <w:sz w:val="22"/>
                <w:szCs w:val="22"/>
              </w:rPr>
              <w:t xml:space="preserve">Nhà máy chế biến phân hữu cơ từ rác thải sinh hoạt </w:t>
            </w:r>
          </w:p>
        </w:tc>
        <w:tc>
          <w:tcPr>
            <w:tcW w:w="1415" w:type="dxa"/>
            <w:tcBorders>
              <w:top w:val="nil"/>
              <w:left w:val="nil"/>
              <w:bottom w:val="single" w:sz="4" w:space="0" w:color="auto"/>
              <w:right w:val="single" w:sz="4" w:space="0" w:color="auto"/>
            </w:tcBorders>
            <w:vAlign w:val="center"/>
          </w:tcPr>
          <w:p w14:paraId="0487A757" w14:textId="77777777" w:rsidR="00085789" w:rsidRDefault="00000000">
            <w:pPr>
              <w:spacing w:line="240" w:lineRule="auto"/>
              <w:jc w:val="center"/>
              <w:outlineLvl w:val="0"/>
              <w:rPr>
                <w:color w:val="000000" w:themeColor="text1"/>
                <w:sz w:val="22"/>
                <w:szCs w:val="22"/>
              </w:rPr>
            </w:pPr>
            <w:r>
              <w:rPr>
                <w:color w:val="000000" w:themeColor="text1"/>
                <w:sz w:val="22"/>
                <w:szCs w:val="22"/>
              </w:rPr>
              <w:t xml:space="preserve">Công ty CP môi trường và quản lý đô thị Hà Tĩnh </w:t>
            </w:r>
          </w:p>
        </w:tc>
        <w:tc>
          <w:tcPr>
            <w:tcW w:w="1416" w:type="dxa"/>
            <w:tcBorders>
              <w:top w:val="nil"/>
              <w:left w:val="nil"/>
              <w:bottom w:val="single" w:sz="4" w:space="0" w:color="auto"/>
              <w:right w:val="single" w:sz="4" w:space="0" w:color="auto"/>
            </w:tcBorders>
            <w:vAlign w:val="center"/>
          </w:tcPr>
          <w:p w14:paraId="632B563F" w14:textId="77777777" w:rsidR="00085789" w:rsidRDefault="00000000">
            <w:pPr>
              <w:spacing w:line="240" w:lineRule="auto"/>
              <w:jc w:val="center"/>
              <w:outlineLvl w:val="0"/>
              <w:rPr>
                <w:color w:val="000000" w:themeColor="text1"/>
                <w:sz w:val="22"/>
                <w:szCs w:val="22"/>
              </w:rPr>
            </w:pPr>
            <w:r>
              <w:rPr>
                <w:color w:val="000000" w:themeColor="text1"/>
                <w:sz w:val="22"/>
                <w:szCs w:val="22"/>
              </w:rPr>
              <w:t>Xã Cẩm Xuyên, tỉnh Hà Tĩnh</w:t>
            </w:r>
          </w:p>
        </w:tc>
        <w:tc>
          <w:tcPr>
            <w:tcW w:w="1429" w:type="dxa"/>
            <w:tcBorders>
              <w:top w:val="nil"/>
              <w:left w:val="nil"/>
              <w:bottom w:val="single" w:sz="4" w:space="0" w:color="auto"/>
              <w:right w:val="single" w:sz="4" w:space="0" w:color="auto"/>
            </w:tcBorders>
            <w:vAlign w:val="center"/>
          </w:tcPr>
          <w:p w14:paraId="10989E15" w14:textId="77777777" w:rsidR="00085789" w:rsidRDefault="00000000">
            <w:pPr>
              <w:spacing w:line="240" w:lineRule="auto"/>
              <w:jc w:val="center"/>
              <w:outlineLvl w:val="0"/>
              <w:rPr>
                <w:color w:val="000000" w:themeColor="text1"/>
                <w:sz w:val="22"/>
                <w:szCs w:val="22"/>
              </w:rPr>
            </w:pPr>
            <w:r>
              <w:rPr>
                <w:color w:val="000000" w:themeColor="text1"/>
                <w:sz w:val="22"/>
                <w:szCs w:val="22"/>
              </w:rPr>
              <w:t>200</w:t>
            </w:r>
          </w:p>
        </w:tc>
        <w:tc>
          <w:tcPr>
            <w:tcW w:w="1417" w:type="dxa"/>
            <w:tcBorders>
              <w:top w:val="nil"/>
              <w:left w:val="nil"/>
              <w:bottom w:val="single" w:sz="4" w:space="0" w:color="auto"/>
              <w:right w:val="single" w:sz="4" w:space="0" w:color="auto"/>
            </w:tcBorders>
            <w:vAlign w:val="center"/>
          </w:tcPr>
          <w:p w14:paraId="49F55462" w14:textId="77777777" w:rsidR="00085789" w:rsidRDefault="00000000">
            <w:pPr>
              <w:spacing w:line="240" w:lineRule="auto"/>
              <w:jc w:val="center"/>
              <w:outlineLvl w:val="0"/>
              <w:rPr>
                <w:color w:val="000000" w:themeColor="text1"/>
                <w:sz w:val="22"/>
                <w:szCs w:val="22"/>
              </w:rPr>
            </w:pPr>
            <w:r>
              <w:rPr>
                <w:color w:val="000000" w:themeColor="text1"/>
                <w:sz w:val="22"/>
                <w:szCs w:val="22"/>
              </w:rPr>
              <w:t>130</w:t>
            </w:r>
          </w:p>
        </w:tc>
        <w:tc>
          <w:tcPr>
            <w:tcW w:w="1558" w:type="dxa"/>
            <w:tcBorders>
              <w:top w:val="nil"/>
              <w:left w:val="nil"/>
              <w:bottom w:val="single" w:sz="4" w:space="0" w:color="auto"/>
              <w:right w:val="single" w:sz="4" w:space="0" w:color="auto"/>
            </w:tcBorders>
            <w:vAlign w:val="center"/>
          </w:tcPr>
          <w:p w14:paraId="63B31BC0" w14:textId="77777777" w:rsidR="00085789" w:rsidRDefault="00000000">
            <w:pPr>
              <w:spacing w:line="240" w:lineRule="auto"/>
              <w:jc w:val="center"/>
              <w:outlineLvl w:val="0"/>
              <w:rPr>
                <w:color w:val="000000" w:themeColor="text1"/>
                <w:sz w:val="22"/>
                <w:szCs w:val="22"/>
              </w:rPr>
            </w:pPr>
            <w:r>
              <w:rPr>
                <w:color w:val="000000" w:themeColor="text1"/>
                <w:sz w:val="22"/>
                <w:szCs w:val="22"/>
              </w:rPr>
              <w:t>179.833</w:t>
            </w:r>
          </w:p>
        </w:tc>
        <w:tc>
          <w:tcPr>
            <w:tcW w:w="1561" w:type="dxa"/>
            <w:tcBorders>
              <w:top w:val="nil"/>
              <w:left w:val="nil"/>
              <w:bottom w:val="single" w:sz="4" w:space="0" w:color="auto"/>
              <w:right w:val="single" w:sz="4" w:space="0" w:color="auto"/>
            </w:tcBorders>
            <w:vAlign w:val="center"/>
          </w:tcPr>
          <w:p w14:paraId="693C8105" w14:textId="77777777" w:rsidR="00085789" w:rsidRDefault="00000000">
            <w:pPr>
              <w:spacing w:line="240" w:lineRule="auto"/>
              <w:jc w:val="center"/>
              <w:outlineLvl w:val="0"/>
              <w:rPr>
                <w:color w:val="000000" w:themeColor="text1"/>
                <w:sz w:val="22"/>
                <w:szCs w:val="22"/>
              </w:rPr>
            </w:pPr>
            <w:r>
              <w:rPr>
                <w:color w:val="000000" w:themeColor="text1"/>
                <w:sz w:val="22"/>
                <w:szCs w:val="22"/>
              </w:rPr>
              <w:t>Ngân sách nhà nước</w:t>
            </w:r>
          </w:p>
        </w:tc>
        <w:tc>
          <w:tcPr>
            <w:tcW w:w="2121" w:type="dxa"/>
            <w:tcBorders>
              <w:top w:val="nil"/>
              <w:left w:val="nil"/>
              <w:bottom w:val="single" w:sz="4" w:space="0" w:color="auto"/>
              <w:right w:val="single" w:sz="4" w:space="0" w:color="auto"/>
            </w:tcBorders>
            <w:vAlign w:val="center"/>
          </w:tcPr>
          <w:p w14:paraId="512E88B6" w14:textId="77777777" w:rsidR="00085789" w:rsidRDefault="00000000">
            <w:pPr>
              <w:spacing w:line="240" w:lineRule="auto"/>
              <w:jc w:val="center"/>
              <w:outlineLvl w:val="0"/>
              <w:rPr>
                <w:color w:val="000000" w:themeColor="text1"/>
                <w:sz w:val="22"/>
                <w:szCs w:val="22"/>
              </w:rPr>
            </w:pPr>
            <w:r>
              <w:rPr>
                <w:color w:val="000000" w:themeColor="text1"/>
                <w:sz w:val="22"/>
                <w:szCs w:val="22"/>
              </w:rPr>
              <w:t>50 năm tính từ năm 2011</w:t>
            </w:r>
          </w:p>
        </w:tc>
        <w:tc>
          <w:tcPr>
            <w:tcW w:w="2404" w:type="dxa"/>
            <w:tcBorders>
              <w:top w:val="nil"/>
              <w:left w:val="nil"/>
              <w:bottom w:val="single" w:sz="4" w:space="0" w:color="auto"/>
              <w:right w:val="single" w:sz="4" w:space="0" w:color="auto"/>
            </w:tcBorders>
            <w:vAlign w:val="center"/>
          </w:tcPr>
          <w:p w14:paraId="013F9D8A" w14:textId="77777777" w:rsidR="00085789" w:rsidRDefault="00000000">
            <w:pPr>
              <w:spacing w:line="240" w:lineRule="auto"/>
              <w:jc w:val="center"/>
              <w:outlineLvl w:val="0"/>
              <w:rPr>
                <w:color w:val="000000" w:themeColor="text1"/>
                <w:sz w:val="22"/>
                <w:szCs w:val="22"/>
              </w:rPr>
            </w:pPr>
            <w:r>
              <w:rPr>
                <w:color w:val="000000" w:themeColor="text1"/>
                <w:sz w:val="22"/>
                <w:szCs w:val="22"/>
              </w:rPr>
              <w:t>QĐ số 2585/QĐ-UBND ngày 05/8/2011; QĐ số 4174/QĐ-UBND ngày 30/10/2015</w:t>
            </w:r>
          </w:p>
        </w:tc>
      </w:tr>
      <w:tr w:rsidR="00085789" w14:paraId="0A62C1D8" w14:textId="77777777">
        <w:trPr>
          <w:gridAfter w:val="1"/>
          <w:wAfter w:w="23" w:type="dxa"/>
          <w:trHeight w:val="1403"/>
        </w:trPr>
        <w:tc>
          <w:tcPr>
            <w:tcW w:w="512" w:type="dxa"/>
            <w:tcBorders>
              <w:top w:val="nil"/>
              <w:left w:val="single" w:sz="4" w:space="0" w:color="auto"/>
              <w:bottom w:val="single" w:sz="4" w:space="0" w:color="auto"/>
              <w:right w:val="single" w:sz="4" w:space="0" w:color="auto"/>
            </w:tcBorders>
            <w:vAlign w:val="center"/>
          </w:tcPr>
          <w:p w14:paraId="00184DC1" w14:textId="77777777" w:rsidR="00085789" w:rsidRDefault="00000000">
            <w:pPr>
              <w:spacing w:line="240" w:lineRule="auto"/>
              <w:jc w:val="center"/>
              <w:outlineLvl w:val="0"/>
              <w:rPr>
                <w:color w:val="000000" w:themeColor="text1"/>
                <w:sz w:val="22"/>
                <w:szCs w:val="22"/>
              </w:rPr>
            </w:pPr>
            <w:r>
              <w:rPr>
                <w:color w:val="000000" w:themeColor="text1"/>
                <w:sz w:val="22"/>
                <w:szCs w:val="22"/>
              </w:rPr>
              <w:t>2</w:t>
            </w:r>
          </w:p>
        </w:tc>
        <w:tc>
          <w:tcPr>
            <w:tcW w:w="1607" w:type="dxa"/>
            <w:tcBorders>
              <w:top w:val="nil"/>
              <w:left w:val="nil"/>
              <w:bottom w:val="single" w:sz="4" w:space="0" w:color="auto"/>
              <w:right w:val="single" w:sz="4" w:space="0" w:color="auto"/>
            </w:tcBorders>
            <w:vAlign w:val="center"/>
          </w:tcPr>
          <w:p w14:paraId="3F6B9148" w14:textId="77777777" w:rsidR="00085789" w:rsidRDefault="00000000">
            <w:pPr>
              <w:spacing w:line="240" w:lineRule="auto"/>
              <w:outlineLvl w:val="0"/>
              <w:rPr>
                <w:color w:val="000000" w:themeColor="text1"/>
                <w:sz w:val="22"/>
                <w:szCs w:val="22"/>
              </w:rPr>
            </w:pPr>
            <w:r>
              <w:rPr>
                <w:color w:val="000000" w:themeColor="text1"/>
                <w:sz w:val="22"/>
                <w:szCs w:val="22"/>
              </w:rPr>
              <w:t xml:space="preserve">Nhà máy chế biến rác thải sinh hoạt Hoành Sơn </w:t>
            </w:r>
          </w:p>
        </w:tc>
        <w:tc>
          <w:tcPr>
            <w:tcW w:w="1415" w:type="dxa"/>
            <w:tcBorders>
              <w:top w:val="nil"/>
              <w:left w:val="nil"/>
              <w:bottom w:val="single" w:sz="4" w:space="0" w:color="auto"/>
              <w:right w:val="single" w:sz="4" w:space="0" w:color="auto"/>
            </w:tcBorders>
            <w:vAlign w:val="center"/>
          </w:tcPr>
          <w:p w14:paraId="1CB15025" w14:textId="77777777" w:rsidR="00085789" w:rsidRDefault="00000000">
            <w:pPr>
              <w:spacing w:line="240" w:lineRule="auto"/>
              <w:jc w:val="center"/>
              <w:outlineLvl w:val="0"/>
              <w:rPr>
                <w:color w:val="000000" w:themeColor="text1"/>
                <w:sz w:val="22"/>
                <w:szCs w:val="22"/>
              </w:rPr>
            </w:pPr>
            <w:r>
              <w:rPr>
                <w:color w:val="000000" w:themeColor="text1"/>
                <w:sz w:val="22"/>
                <w:szCs w:val="22"/>
              </w:rPr>
              <w:t xml:space="preserve"> Công ty TNHH MTV chế biến rác thải sinh hoạt Hoành Sơn</w:t>
            </w:r>
          </w:p>
        </w:tc>
        <w:tc>
          <w:tcPr>
            <w:tcW w:w="1416" w:type="dxa"/>
            <w:tcBorders>
              <w:top w:val="nil"/>
              <w:left w:val="nil"/>
              <w:bottom w:val="single" w:sz="4" w:space="0" w:color="auto"/>
              <w:right w:val="single" w:sz="4" w:space="0" w:color="auto"/>
            </w:tcBorders>
            <w:vAlign w:val="center"/>
          </w:tcPr>
          <w:p w14:paraId="595C5C67" w14:textId="77777777" w:rsidR="00085789" w:rsidRDefault="00000000">
            <w:pPr>
              <w:spacing w:line="240" w:lineRule="auto"/>
              <w:jc w:val="center"/>
              <w:outlineLvl w:val="0"/>
              <w:rPr>
                <w:color w:val="000000" w:themeColor="text1"/>
                <w:sz w:val="22"/>
                <w:szCs w:val="22"/>
              </w:rPr>
            </w:pPr>
            <w:r>
              <w:rPr>
                <w:color w:val="000000" w:themeColor="text1"/>
                <w:sz w:val="22"/>
                <w:szCs w:val="22"/>
              </w:rPr>
              <w:t>Thôn Nam Xuân Sơn, xã Kỳ Hoa, tỉnh Hà Tĩnh</w:t>
            </w:r>
          </w:p>
        </w:tc>
        <w:tc>
          <w:tcPr>
            <w:tcW w:w="1429" w:type="dxa"/>
            <w:tcBorders>
              <w:top w:val="nil"/>
              <w:left w:val="nil"/>
              <w:bottom w:val="single" w:sz="4" w:space="0" w:color="auto"/>
              <w:right w:val="single" w:sz="4" w:space="0" w:color="auto"/>
            </w:tcBorders>
            <w:vAlign w:val="center"/>
          </w:tcPr>
          <w:p w14:paraId="4751C7C4" w14:textId="77777777" w:rsidR="00085789" w:rsidRDefault="00000000">
            <w:pPr>
              <w:spacing w:line="240" w:lineRule="auto"/>
              <w:jc w:val="center"/>
              <w:outlineLvl w:val="0"/>
              <w:rPr>
                <w:color w:val="000000" w:themeColor="text1"/>
                <w:sz w:val="22"/>
                <w:szCs w:val="22"/>
              </w:rPr>
            </w:pPr>
            <w:r>
              <w:rPr>
                <w:color w:val="000000" w:themeColor="text1"/>
                <w:sz w:val="22"/>
                <w:szCs w:val="22"/>
              </w:rPr>
              <w:t>240</w:t>
            </w:r>
          </w:p>
        </w:tc>
        <w:tc>
          <w:tcPr>
            <w:tcW w:w="1417" w:type="dxa"/>
            <w:tcBorders>
              <w:top w:val="nil"/>
              <w:left w:val="nil"/>
              <w:bottom w:val="single" w:sz="4" w:space="0" w:color="auto"/>
              <w:right w:val="single" w:sz="4" w:space="0" w:color="auto"/>
            </w:tcBorders>
            <w:vAlign w:val="center"/>
          </w:tcPr>
          <w:p w14:paraId="276976B5" w14:textId="77777777" w:rsidR="00085789" w:rsidRDefault="00000000">
            <w:pPr>
              <w:spacing w:line="240" w:lineRule="auto"/>
              <w:jc w:val="center"/>
              <w:outlineLvl w:val="0"/>
              <w:rPr>
                <w:color w:val="000000" w:themeColor="text1"/>
                <w:sz w:val="22"/>
                <w:szCs w:val="22"/>
              </w:rPr>
            </w:pPr>
            <w:r>
              <w:rPr>
                <w:color w:val="000000" w:themeColor="text1"/>
                <w:sz w:val="22"/>
                <w:szCs w:val="22"/>
              </w:rPr>
              <w:t>80</w:t>
            </w:r>
          </w:p>
        </w:tc>
        <w:tc>
          <w:tcPr>
            <w:tcW w:w="1558" w:type="dxa"/>
            <w:tcBorders>
              <w:top w:val="nil"/>
              <w:left w:val="nil"/>
              <w:bottom w:val="single" w:sz="4" w:space="0" w:color="auto"/>
              <w:right w:val="single" w:sz="4" w:space="0" w:color="auto"/>
            </w:tcBorders>
            <w:vAlign w:val="center"/>
          </w:tcPr>
          <w:p w14:paraId="13FBC2B1" w14:textId="77777777" w:rsidR="00085789" w:rsidRDefault="00000000">
            <w:pPr>
              <w:spacing w:line="240" w:lineRule="auto"/>
              <w:jc w:val="center"/>
              <w:outlineLvl w:val="0"/>
              <w:rPr>
                <w:color w:val="000000" w:themeColor="text1"/>
                <w:sz w:val="22"/>
                <w:szCs w:val="22"/>
              </w:rPr>
            </w:pPr>
            <w:r>
              <w:rPr>
                <w:color w:val="000000" w:themeColor="text1"/>
                <w:sz w:val="22"/>
                <w:szCs w:val="22"/>
              </w:rPr>
              <w:t>424.900</w:t>
            </w:r>
          </w:p>
        </w:tc>
        <w:tc>
          <w:tcPr>
            <w:tcW w:w="1561" w:type="dxa"/>
            <w:tcBorders>
              <w:top w:val="nil"/>
              <w:left w:val="nil"/>
              <w:bottom w:val="single" w:sz="4" w:space="0" w:color="auto"/>
              <w:right w:val="single" w:sz="4" w:space="0" w:color="auto"/>
            </w:tcBorders>
            <w:vAlign w:val="center"/>
          </w:tcPr>
          <w:p w14:paraId="3C68B7F9" w14:textId="77777777" w:rsidR="00085789" w:rsidRDefault="00000000">
            <w:pPr>
              <w:spacing w:line="240" w:lineRule="auto"/>
              <w:jc w:val="center"/>
              <w:outlineLvl w:val="0"/>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1866A3BA" w14:textId="77777777" w:rsidR="00085789" w:rsidRDefault="00000000">
            <w:pPr>
              <w:spacing w:line="240" w:lineRule="auto"/>
              <w:jc w:val="center"/>
              <w:outlineLvl w:val="0"/>
              <w:rPr>
                <w:color w:val="000000" w:themeColor="text1"/>
                <w:sz w:val="22"/>
                <w:szCs w:val="22"/>
              </w:rPr>
            </w:pPr>
            <w:r>
              <w:rPr>
                <w:color w:val="000000" w:themeColor="text1"/>
                <w:sz w:val="22"/>
                <w:szCs w:val="22"/>
              </w:rPr>
              <w:t>50 năm tính từ năm 2014</w:t>
            </w:r>
          </w:p>
        </w:tc>
        <w:tc>
          <w:tcPr>
            <w:tcW w:w="2404" w:type="dxa"/>
            <w:tcBorders>
              <w:top w:val="nil"/>
              <w:left w:val="nil"/>
              <w:bottom w:val="single" w:sz="4" w:space="0" w:color="auto"/>
              <w:right w:val="single" w:sz="4" w:space="0" w:color="auto"/>
            </w:tcBorders>
            <w:vAlign w:val="center"/>
          </w:tcPr>
          <w:p w14:paraId="34A3C900" w14:textId="77777777" w:rsidR="00085789" w:rsidRDefault="00000000">
            <w:pPr>
              <w:spacing w:line="240" w:lineRule="auto"/>
              <w:jc w:val="center"/>
              <w:outlineLvl w:val="0"/>
              <w:rPr>
                <w:color w:val="000000" w:themeColor="text1"/>
                <w:sz w:val="22"/>
                <w:szCs w:val="22"/>
              </w:rPr>
            </w:pPr>
            <w:r>
              <w:rPr>
                <w:color w:val="000000" w:themeColor="text1"/>
                <w:sz w:val="22"/>
                <w:szCs w:val="22"/>
              </w:rPr>
              <w:t>QĐ số 2626/QĐ-UBND ngày 12/9/2014 của UBND tỉnh</w:t>
            </w:r>
          </w:p>
        </w:tc>
      </w:tr>
      <w:tr w:rsidR="00085789" w14:paraId="60ECDFA4" w14:textId="77777777">
        <w:trPr>
          <w:gridAfter w:val="1"/>
          <w:wAfter w:w="23" w:type="dxa"/>
          <w:trHeight w:val="1104"/>
        </w:trPr>
        <w:tc>
          <w:tcPr>
            <w:tcW w:w="512" w:type="dxa"/>
            <w:tcBorders>
              <w:top w:val="nil"/>
              <w:left w:val="single" w:sz="4" w:space="0" w:color="auto"/>
              <w:bottom w:val="single" w:sz="4" w:space="0" w:color="auto"/>
              <w:right w:val="single" w:sz="4" w:space="0" w:color="auto"/>
            </w:tcBorders>
            <w:vAlign w:val="center"/>
          </w:tcPr>
          <w:p w14:paraId="09B341D4" w14:textId="77777777" w:rsidR="00085789" w:rsidRDefault="00000000">
            <w:pPr>
              <w:spacing w:line="240" w:lineRule="auto"/>
              <w:jc w:val="center"/>
              <w:rPr>
                <w:color w:val="000000" w:themeColor="text1"/>
                <w:sz w:val="22"/>
                <w:szCs w:val="22"/>
              </w:rPr>
            </w:pPr>
            <w:r>
              <w:rPr>
                <w:color w:val="000000" w:themeColor="text1"/>
                <w:sz w:val="22"/>
                <w:szCs w:val="22"/>
              </w:rPr>
              <w:t>3</w:t>
            </w:r>
          </w:p>
        </w:tc>
        <w:tc>
          <w:tcPr>
            <w:tcW w:w="1607" w:type="dxa"/>
            <w:tcBorders>
              <w:top w:val="nil"/>
              <w:left w:val="nil"/>
              <w:bottom w:val="single" w:sz="4" w:space="0" w:color="auto"/>
              <w:right w:val="single" w:sz="4" w:space="0" w:color="auto"/>
            </w:tcBorders>
            <w:vAlign w:val="center"/>
          </w:tcPr>
          <w:p w14:paraId="3CF12AFF" w14:textId="77777777" w:rsidR="00085789" w:rsidRDefault="00000000">
            <w:pPr>
              <w:spacing w:line="240" w:lineRule="auto"/>
              <w:rPr>
                <w:color w:val="000000" w:themeColor="text1"/>
                <w:sz w:val="22"/>
                <w:szCs w:val="22"/>
              </w:rPr>
            </w:pPr>
            <w:r>
              <w:rPr>
                <w:color w:val="000000" w:themeColor="text1"/>
                <w:sz w:val="22"/>
                <w:szCs w:val="22"/>
              </w:rPr>
              <w:t>Nhà máy xử lý rác thải xã Can Lộc</w:t>
            </w:r>
          </w:p>
        </w:tc>
        <w:tc>
          <w:tcPr>
            <w:tcW w:w="1415" w:type="dxa"/>
            <w:tcBorders>
              <w:top w:val="nil"/>
              <w:left w:val="nil"/>
              <w:bottom w:val="single" w:sz="4" w:space="0" w:color="auto"/>
              <w:right w:val="single" w:sz="4" w:space="0" w:color="auto"/>
            </w:tcBorders>
            <w:vAlign w:val="center"/>
          </w:tcPr>
          <w:p w14:paraId="0B0B4F55" w14:textId="77777777" w:rsidR="00085789" w:rsidRDefault="00000000">
            <w:pPr>
              <w:spacing w:line="240" w:lineRule="auto"/>
              <w:jc w:val="center"/>
              <w:rPr>
                <w:color w:val="000000" w:themeColor="text1"/>
                <w:sz w:val="22"/>
                <w:szCs w:val="22"/>
              </w:rPr>
            </w:pPr>
            <w:r>
              <w:rPr>
                <w:color w:val="000000" w:themeColor="text1"/>
                <w:sz w:val="22"/>
                <w:szCs w:val="22"/>
              </w:rPr>
              <w:t>Công ty TNHH thương mại và xử lý môi trường Can Lộc</w:t>
            </w:r>
          </w:p>
        </w:tc>
        <w:tc>
          <w:tcPr>
            <w:tcW w:w="1416" w:type="dxa"/>
            <w:tcBorders>
              <w:top w:val="nil"/>
              <w:left w:val="nil"/>
              <w:bottom w:val="single" w:sz="4" w:space="0" w:color="auto"/>
              <w:right w:val="single" w:sz="4" w:space="0" w:color="auto"/>
            </w:tcBorders>
            <w:vAlign w:val="center"/>
          </w:tcPr>
          <w:p w14:paraId="4BEF296C" w14:textId="77777777" w:rsidR="00085789" w:rsidRDefault="00000000">
            <w:pPr>
              <w:spacing w:line="240" w:lineRule="auto"/>
              <w:jc w:val="center"/>
              <w:rPr>
                <w:color w:val="000000" w:themeColor="text1"/>
                <w:sz w:val="22"/>
                <w:szCs w:val="22"/>
              </w:rPr>
            </w:pPr>
            <w:r>
              <w:rPr>
                <w:color w:val="000000" w:themeColor="text1"/>
                <w:sz w:val="22"/>
                <w:szCs w:val="22"/>
              </w:rPr>
              <w:t>Khối Bắc Sơn, xã Can Lộc</w:t>
            </w:r>
          </w:p>
        </w:tc>
        <w:tc>
          <w:tcPr>
            <w:tcW w:w="1429" w:type="dxa"/>
            <w:tcBorders>
              <w:top w:val="nil"/>
              <w:left w:val="nil"/>
              <w:bottom w:val="single" w:sz="4" w:space="0" w:color="auto"/>
              <w:right w:val="single" w:sz="4" w:space="0" w:color="auto"/>
            </w:tcBorders>
            <w:vAlign w:val="center"/>
          </w:tcPr>
          <w:p w14:paraId="31150142" w14:textId="77777777" w:rsidR="00085789" w:rsidRDefault="00000000">
            <w:pPr>
              <w:spacing w:line="240" w:lineRule="auto"/>
              <w:jc w:val="center"/>
              <w:rPr>
                <w:color w:val="000000" w:themeColor="text1"/>
                <w:sz w:val="22"/>
                <w:szCs w:val="22"/>
              </w:rPr>
            </w:pPr>
            <w:r>
              <w:rPr>
                <w:color w:val="000000" w:themeColor="text1"/>
                <w:sz w:val="22"/>
                <w:szCs w:val="22"/>
              </w:rPr>
              <w:t>40</w:t>
            </w:r>
          </w:p>
        </w:tc>
        <w:tc>
          <w:tcPr>
            <w:tcW w:w="1417" w:type="dxa"/>
            <w:tcBorders>
              <w:top w:val="nil"/>
              <w:left w:val="nil"/>
              <w:bottom w:val="single" w:sz="4" w:space="0" w:color="auto"/>
              <w:right w:val="single" w:sz="4" w:space="0" w:color="auto"/>
            </w:tcBorders>
            <w:vAlign w:val="center"/>
          </w:tcPr>
          <w:p w14:paraId="0DDDFF78" w14:textId="77777777" w:rsidR="00085789" w:rsidRDefault="00000000">
            <w:pPr>
              <w:spacing w:line="240" w:lineRule="auto"/>
              <w:jc w:val="center"/>
              <w:rPr>
                <w:color w:val="000000" w:themeColor="text1"/>
                <w:sz w:val="22"/>
                <w:szCs w:val="22"/>
              </w:rPr>
            </w:pPr>
            <w:r>
              <w:rPr>
                <w:color w:val="000000" w:themeColor="text1"/>
                <w:sz w:val="22"/>
                <w:szCs w:val="22"/>
              </w:rPr>
              <w:t>40</w:t>
            </w:r>
          </w:p>
        </w:tc>
        <w:tc>
          <w:tcPr>
            <w:tcW w:w="1558" w:type="dxa"/>
            <w:tcBorders>
              <w:top w:val="nil"/>
              <w:left w:val="nil"/>
              <w:bottom w:val="single" w:sz="4" w:space="0" w:color="auto"/>
              <w:right w:val="single" w:sz="4" w:space="0" w:color="auto"/>
            </w:tcBorders>
            <w:vAlign w:val="center"/>
          </w:tcPr>
          <w:p w14:paraId="189E64CE" w14:textId="77777777" w:rsidR="00085789" w:rsidRDefault="00000000">
            <w:pPr>
              <w:spacing w:line="240" w:lineRule="auto"/>
              <w:jc w:val="center"/>
              <w:rPr>
                <w:color w:val="000000" w:themeColor="text1"/>
                <w:sz w:val="22"/>
                <w:szCs w:val="22"/>
              </w:rPr>
            </w:pPr>
            <w:r>
              <w:rPr>
                <w:color w:val="000000" w:themeColor="text1"/>
                <w:sz w:val="22"/>
                <w:szCs w:val="22"/>
              </w:rPr>
              <w:t>45.000</w:t>
            </w:r>
          </w:p>
        </w:tc>
        <w:tc>
          <w:tcPr>
            <w:tcW w:w="1561" w:type="dxa"/>
            <w:tcBorders>
              <w:top w:val="nil"/>
              <w:left w:val="nil"/>
              <w:bottom w:val="single" w:sz="4" w:space="0" w:color="auto"/>
              <w:right w:val="single" w:sz="4" w:space="0" w:color="auto"/>
            </w:tcBorders>
            <w:vAlign w:val="center"/>
          </w:tcPr>
          <w:p w14:paraId="0F8DEDE2" w14:textId="77777777" w:rsidR="00085789" w:rsidRDefault="00000000">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52EBAFAC" w14:textId="77777777" w:rsidR="00085789" w:rsidRDefault="00000000">
            <w:pPr>
              <w:spacing w:line="240" w:lineRule="auto"/>
              <w:jc w:val="center"/>
              <w:rPr>
                <w:color w:val="000000" w:themeColor="text1"/>
                <w:sz w:val="22"/>
                <w:szCs w:val="22"/>
              </w:rPr>
            </w:pPr>
            <w:r>
              <w:rPr>
                <w:color w:val="000000" w:themeColor="text1"/>
                <w:sz w:val="22"/>
                <w:szCs w:val="22"/>
              </w:rPr>
              <w:t>50 năm tính từ năm 2017</w:t>
            </w:r>
          </w:p>
        </w:tc>
        <w:tc>
          <w:tcPr>
            <w:tcW w:w="2404" w:type="dxa"/>
            <w:tcBorders>
              <w:top w:val="nil"/>
              <w:left w:val="nil"/>
              <w:bottom w:val="single" w:sz="4" w:space="0" w:color="auto"/>
              <w:right w:val="single" w:sz="4" w:space="0" w:color="auto"/>
            </w:tcBorders>
            <w:vAlign w:val="center"/>
          </w:tcPr>
          <w:p w14:paraId="36BF38A5" w14:textId="77777777" w:rsidR="00085789" w:rsidRDefault="00000000">
            <w:pPr>
              <w:spacing w:line="240" w:lineRule="auto"/>
              <w:jc w:val="center"/>
              <w:rPr>
                <w:color w:val="000000" w:themeColor="text1"/>
                <w:sz w:val="22"/>
                <w:szCs w:val="22"/>
              </w:rPr>
            </w:pPr>
            <w:r>
              <w:rPr>
                <w:color w:val="000000" w:themeColor="text1"/>
                <w:sz w:val="22"/>
                <w:szCs w:val="22"/>
              </w:rPr>
              <w:t>QĐ số 432/QĐ-UBND ngày 07/2/2017 của UBND tỉnh</w:t>
            </w:r>
          </w:p>
        </w:tc>
      </w:tr>
      <w:tr w:rsidR="00085789" w14:paraId="07EF8F6A" w14:textId="77777777">
        <w:trPr>
          <w:gridAfter w:val="1"/>
          <w:wAfter w:w="23" w:type="dxa"/>
          <w:trHeight w:val="495"/>
        </w:trPr>
        <w:tc>
          <w:tcPr>
            <w:tcW w:w="512" w:type="dxa"/>
            <w:tcBorders>
              <w:top w:val="nil"/>
              <w:left w:val="single" w:sz="4" w:space="0" w:color="auto"/>
              <w:bottom w:val="single" w:sz="4" w:space="0" w:color="auto"/>
              <w:right w:val="single" w:sz="4" w:space="0" w:color="auto"/>
            </w:tcBorders>
            <w:shd w:val="clear" w:color="000000" w:fill="FFFFFF"/>
            <w:vAlign w:val="center"/>
          </w:tcPr>
          <w:p w14:paraId="7A4C7E47" w14:textId="77777777" w:rsidR="00085789" w:rsidRDefault="00000000">
            <w:pPr>
              <w:spacing w:line="240" w:lineRule="auto"/>
              <w:jc w:val="center"/>
              <w:outlineLvl w:val="0"/>
              <w:rPr>
                <w:b/>
                <w:bCs/>
                <w:color w:val="000000" w:themeColor="text1"/>
                <w:sz w:val="22"/>
                <w:szCs w:val="22"/>
              </w:rPr>
            </w:pPr>
            <w:r>
              <w:rPr>
                <w:b/>
                <w:bCs/>
                <w:color w:val="000000" w:themeColor="text1"/>
                <w:sz w:val="22"/>
                <w:szCs w:val="22"/>
              </w:rPr>
              <w:t>II</w:t>
            </w:r>
          </w:p>
        </w:tc>
        <w:tc>
          <w:tcPr>
            <w:tcW w:w="4438" w:type="dxa"/>
            <w:gridSpan w:val="3"/>
            <w:tcBorders>
              <w:top w:val="single" w:sz="4" w:space="0" w:color="auto"/>
              <w:left w:val="nil"/>
              <w:bottom w:val="single" w:sz="4" w:space="0" w:color="auto"/>
              <w:right w:val="nil"/>
            </w:tcBorders>
            <w:shd w:val="clear" w:color="000000" w:fill="FFFFFF"/>
            <w:vAlign w:val="center"/>
          </w:tcPr>
          <w:p w14:paraId="6395529E" w14:textId="77777777" w:rsidR="00085789" w:rsidRDefault="00000000">
            <w:pPr>
              <w:spacing w:line="240" w:lineRule="auto"/>
              <w:jc w:val="center"/>
              <w:outlineLvl w:val="0"/>
              <w:rPr>
                <w:b/>
                <w:bCs/>
                <w:color w:val="000000" w:themeColor="text1"/>
                <w:sz w:val="22"/>
                <w:szCs w:val="22"/>
              </w:rPr>
            </w:pPr>
            <w:r>
              <w:rPr>
                <w:b/>
                <w:bCs/>
                <w:color w:val="000000" w:themeColor="text1"/>
                <w:sz w:val="22"/>
                <w:szCs w:val="22"/>
              </w:rPr>
              <w:t>Bãi chôn lấp đang hoạt động</w:t>
            </w:r>
          </w:p>
        </w:tc>
        <w:tc>
          <w:tcPr>
            <w:tcW w:w="1429" w:type="dxa"/>
            <w:tcBorders>
              <w:top w:val="nil"/>
              <w:left w:val="single" w:sz="4" w:space="0" w:color="auto"/>
              <w:bottom w:val="single" w:sz="4" w:space="0" w:color="auto"/>
              <w:right w:val="single" w:sz="4" w:space="0" w:color="auto"/>
            </w:tcBorders>
            <w:shd w:val="clear" w:color="000000" w:fill="FFFFFF"/>
            <w:vAlign w:val="center"/>
          </w:tcPr>
          <w:p w14:paraId="728F55BB" w14:textId="77777777" w:rsidR="00085789" w:rsidRDefault="00000000">
            <w:pPr>
              <w:spacing w:line="240" w:lineRule="auto"/>
              <w:jc w:val="center"/>
              <w:outlineLvl w:val="0"/>
              <w:rPr>
                <w:b/>
                <w:bCs/>
                <w:color w:val="000000" w:themeColor="text1"/>
                <w:sz w:val="22"/>
                <w:szCs w:val="22"/>
              </w:rPr>
            </w:pPr>
            <w:r>
              <w:rPr>
                <w:b/>
                <w:bCs/>
                <w:color w:val="000000" w:themeColor="text1"/>
                <w:sz w:val="22"/>
                <w:szCs w:val="22"/>
              </w:rPr>
              <w:t>100,85</w:t>
            </w:r>
          </w:p>
        </w:tc>
        <w:tc>
          <w:tcPr>
            <w:tcW w:w="1417" w:type="dxa"/>
            <w:tcBorders>
              <w:top w:val="nil"/>
              <w:left w:val="nil"/>
              <w:bottom w:val="single" w:sz="4" w:space="0" w:color="auto"/>
              <w:right w:val="single" w:sz="4" w:space="0" w:color="auto"/>
            </w:tcBorders>
            <w:shd w:val="clear" w:color="000000" w:fill="FFFFFF"/>
            <w:vAlign w:val="center"/>
          </w:tcPr>
          <w:p w14:paraId="7FD8DB12" w14:textId="77777777" w:rsidR="00085789" w:rsidRDefault="00000000">
            <w:pPr>
              <w:spacing w:line="240" w:lineRule="auto"/>
              <w:jc w:val="center"/>
              <w:outlineLvl w:val="0"/>
              <w:rPr>
                <w:b/>
                <w:bCs/>
                <w:color w:val="000000" w:themeColor="text1"/>
                <w:sz w:val="22"/>
                <w:szCs w:val="22"/>
              </w:rPr>
            </w:pPr>
            <w:r>
              <w:rPr>
                <w:b/>
                <w:bCs/>
                <w:color w:val="000000" w:themeColor="text1"/>
                <w:sz w:val="22"/>
                <w:szCs w:val="22"/>
              </w:rPr>
              <w:t>62,4</w:t>
            </w:r>
          </w:p>
        </w:tc>
        <w:tc>
          <w:tcPr>
            <w:tcW w:w="1558" w:type="dxa"/>
            <w:tcBorders>
              <w:top w:val="single" w:sz="4" w:space="0" w:color="auto"/>
              <w:left w:val="single" w:sz="4" w:space="0" w:color="auto"/>
              <w:bottom w:val="single" w:sz="4" w:space="0" w:color="auto"/>
              <w:right w:val="single" w:sz="4" w:space="0" w:color="auto"/>
            </w:tcBorders>
            <w:shd w:val="clear" w:color="000000" w:fill="FFFFFF"/>
            <w:vAlign w:val="center"/>
          </w:tcPr>
          <w:p w14:paraId="3D59305C" w14:textId="77777777" w:rsidR="00085789" w:rsidRDefault="00000000">
            <w:pPr>
              <w:spacing w:line="240" w:lineRule="auto"/>
              <w:outlineLvl w:val="0"/>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000000" w:fill="FFFFFF"/>
            <w:vAlign w:val="center"/>
          </w:tcPr>
          <w:p w14:paraId="21A105C7" w14:textId="77777777" w:rsidR="00085789" w:rsidRDefault="00000000">
            <w:pPr>
              <w:spacing w:line="240" w:lineRule="auto"/>
              <w:outlineLvl w:val="0"/>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000000" w:fill="FFFFFF"/>
            <w:vAlign w:val="center"/>
          </w:tcPr>
          <w:p w14:paraId="39675A4B" w14:textId="77777777" w:rsidR="00085789" w:rsidRDefault="00000000">
            <w:pPr>
              <w:spacing w:line="240" w:lineRule="auto"/>
              <w:jc w:val="center"/>
              <w:outlineLvl w:val="0"/>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000000" w:fill="FFFFFF"/>
            <w:vAlign w:val="center"/>
          </w:tcPr>
          <w:p w14:paraId="4CFFAF29" w14:textId="77777777" w:rsidR="00085789" w:rsidRDefault="00000000">
            <w:pPr>
              <w:spacing w:line="240" w:lineRule="auto"/>
              <w:jc w:val="center"/>
              <w:outlineLvl w:val="0"/>
              <w:rPr>
                <w:b/>
                <w:bCs/>
                <w:color w:val="000000" w:themeColor="text1"/>
                <w:sz w:val="22"/>
                <w:szCs w:val="22"/>
              </w:rPr>
            </w:pPr>
            <w:r>
              <w:rPr>
                <w:b/>
                <w:bCs/>
                <w:color w:val="000000" w:themeColor="text1"/>
                <w:sz w:val="22"/>
                <w:szCs w:val="22"/>
              </w:rPr>
              <w:t> </w:t>
            </w:r>
          </w:p>
        </w:tc>
      </w:tr>
      <w:tr w:rsidR="00085789" w14:paraId="3CC32B9C" w14:textId="77777777">
        <w:trPr>
          <w:gridAfter w:val="1"/>
          <w:wAfter w:w="23" w:type="dxa"/>
          <w:trHeight w:val="1656"/>
        </w:trPr>
        <w:tc>
          <w:tcPr>
            <w:tcW w:w="512" w:type="dxa"/>
            <w:tcBorders>
              <w:top w:val="nil"/>
              <w:left w:val="single" w:sz="4" w:space="0" w:color="auto"/>
              <w:bottom w:val="single" w:sz="4" w:space="0" w:color="auto"/>
              <w:right w:val="single" w:sz="4" w:space="0" w:color="auto"/>
            </w:tcBorders>
            <w:vAlign w:val="center"/>
          </w:tcPr>
          <w:p w14:paraId="0C5D8EFB" w14:textId="77777777" w:rsidR="00085789" w:rsidRDefault="00000000">
            <w:pPr>
              <w:spacing w:line="240" w:lineRule="auto"/>
              <w:jc w:val="center"/>
              <w:outlineLvl w:val="0"/>
              <w:rPr>
                <w:color w:val="000000" w:themeColor="text1"/>
                <w:sz w:val="22"/>
                <w:szCs w:val="22"/>
              </w:rPr>
            </w:pPr>
            <w:r>
              <w:rPr>
                <w:color w:val="000000" w:themeColor="text1"/>
                <w:sz w:val="22"/>
                <w:szCs w:val="22"/>
              </w:rPr>
              <w:t>1</w:t>
            </w:r>
          </w:p>
        </w:tc>
        <w:tc>
          <w:tcPr>
            <w:tcW w:w="1607" w:type="dxa"/>
            <w:tcBorders>
              <w:top w:val="nil"/>
              <w:left w:val="nil"/>
              <w:bottom w:val="single" w:sz="4" w:space="0" w:color="auto"/>
              <w:right w:val="single" w:sz="4" w:space="0" w:color="auto"/>
            </w:tcBorders>
            <w:vAlign w:val="center"/>
          </w:tcPr>
          <w:p w14:paraId="7C42F2DF" w14:textId="77777777" w:rsidR="00085789" w:rsidRDefault="00000000">
            <w:pPr>
              <w:spacing w:line="240" w:lineRule="auto"/>
              <w:outlineLvl w:val="0"/>
              <w:rPr>
                <w:color w:val="000000" w:themeColor="text1"/>
                <w:sz w:val="22"/>
                <w:szCs w:val="22"/>
              </w:rPr>
            </w:pPr>
            <w:r>
              <w:rPr>
                <w:color w:val="000000" w:themeColor="text1"/>
                <w:sz w:val="22"/>
                <w:szCs w:val="22"/>
              </w:rPr>
              <w:t>Bãi chôn lấp CTR sinh hoạt thị xã Hồng Lĩnh</w:t>
            </w:r>
          </w:p>
        </w:tc>
        <w:tc>
          <w:tcPr>
            <w:tcW w:w="1415" w:type="dxa"/>
            <w:tcBorders>
              <w:top w:val="nil"/>
              <w:left w:val="nil"/>
              <w:bottom w:val="single" w:sz="4" w:space="0" w:color="auto"/>
              <w:right w:val="single" w:sz="4" w:space="0" w:color="auto"/>
            </w:tcBorders>
            <w:vAlign w:val="center"/>
          </w:tcPr>
          <w:p w14:paraId="2F6C3DFD" w14:textId="77777777" w:rsidR="00085789" w:rsidRDefault="00000000">
            <w:pPr>
              <w:spacing w:line="240" w:lineRule="auto"/>
              <w:jc w:val="center"/>
              <w:outlineLvl w:val="0"/>
              <w:rPr>
                <w:color w:val="000000" w:themeColor="text1"/>
                <w:sz w:val="22"/>
                <w:szCs w:val="22"/>
              </w:rPr>
            </w:pPr>
            <w:r>
              <w:rPr>
                <w:color w:val="000000" w:themeColor="text1"/>
                <w:sz w:val="22"/>
                <w:szCs w:val="22"/>
              </w:rPr>
              <w:t>Công ty CP môi trường đô thị Hồng Lĩnh</w:t>
            </w:r>
          </w:p>
        </w:tc>
        <w:tc>
          <w:tcPr>
            <w:tcW w:w="1416" w:type="dxa"/>
            <w:tcBorders>
              <w:top w:val="nil"/>
              <w:left w:val="nil"/>
              <w:bottom w:val="single" w:sz="4" w:space="0" w:color="auto"/>
              <w:right w:val="single" w:sz="4" w:space="0" w:color="auto"/>
            </w:tcBorders>
            <w:vAlign w:val="center"/>
          </w:tcPr>
          <w:p w14:paraId="6692D8D1" w14:textId="77777777" w:rsidR="00085789" w:rsidRDefault="00000000">
            <w:pPr>
              <w:spacing w:line="240" w:lineRule="auto"/>
              <w:jc w:val="center"/>
              <w:outlineLvl w:val="0"/>
              <w:rPr>
                <w:color w:val="000000" w:themeColor="text1"/>
                <w:sz w:val="22"/>
                <w:szCs w:val="22"/>
              </w:rPr>
            </w:pPr>
            <w:r>
              <w:rPr>
                <w:color w:val="000000" w:themeColor="text1"/>
                <w:sz w:val="22"/>
                <w:szCs w:val="22"/>
              </w:rPr>
              <w:t>Phường Nam Hồng Lĩnh</w:t>
            </w:r>
          </w:p>
        </w:tc>
        <w:tc>
          <w:tcPr>
            <w:tcW w:w="1429" w:type="dxa"/>
            <w:tcBorders>
              <w:top w:val="nil"/>
              <w:left w:val="nil"/>
              <w:bottom w:val="single" w:sz="4" w:space="0" w:color="auto"/>
              <w:right w:val="single" w:sz="4" w:space="0" w:color="auto"/>
            </w:tcBorders>
            <w:vAlign w:val="center"/>
          </w:tcPr>
          <w:p w14:paraId="2A94B5D3" w14:textId="77777777" w:rsidR="00085789" w:rsidRDefault="00000000">
            <w:pPr>
              <w:spacing w:line="240" w:lineRule="auto"/>
              <w:jc w:val="center"/>
              <w:outlineLvl w:val="0"/>
              <w:rPr>
                <w:color w:val="000000" w:themeColor="text1"/>
                <w:sz w:val="22"/>
                <w:szCs w:val="22"/>
              </w:rPr>
            </w:pPr>
            <w:r>
              <w:rPr>
                <w:color w:val="000000" w:themeColor="text1"/>
                <w:sz w:val="22"/>
                <w:szCs w:val="22"/>
              </w:rPr>
              <w:t>36</w:t>
            </w:r>
          </w:p>
        </w:tc>
        <w:tc>
          <w:tcPr>
            <w:tcW w:w="1417" w:type="dxa"/>
            <w:tcBorders>
              <w:top w:val="nil"/>
              <w:left w:val="nil"/>
              <w:bottom w:val="single" w:sz="4" w:space="0" w:color="auto"/>
              <w:right w:val="single" w:sz="4" w:space="0" w:color="auto"/>
            </w:tcBorders>
            <w:vAlign w:val="center"/>
          </w:tcPr>
          <w:p w14:paraId="261028B6" w14:textId="77777777" w:rsidR="00085789" w:rsidRDefault="00000000">
            <w:pPr>
              <w:spacing w:line="240" w:lineRule="auto"/>
              <w:jc w:val="center"/>
              <w:outlineLvl w:val="0"/>
              <w:rPr>
                <w:color w:val="000000" w:themeColor="text1"/>
                <w:sz w:val="22"/>
                <w:szCs w:val="22"/>
              </w:rPr>
            </w:pPr>
            <w:r>
              <w:rPr>
                <w:color w:val="000000" w:themeColor="text1"/>
                <w:sz w:val="22"/>
                <w:szCs w:val="22"/>
              </w:rPr>
              <w:t>28,7</w:t>
            </w:r>
          </w:p>
        </w:tc>
        <w:tc>
          <w:tcPr>
            <w:tcW w:w="1558" w:type="dxa"/>
            <w:tcBorders>
              <w:top w:val="nil"/>
              <w:left w:val="nil"/>
              <w:bottom w:val="single" w:sz="4" w:space="0" w:color="auto"/>
              <w:right w:val="single" w:sz="4" w:space="0" w:color="auto"/>
            </w:tcBorders>
            <w:vAlign w:val="center"/>
          </w:tcPr>
          <w:p w14:paraId="54F6856A" w14:textId="77777777" w:rsidR="00085789" w:rsidRDefault="00000000">
            <w:pPr>
              <w:spacing w:line="240" w:lineRule="auto"/>
              <w:jc w:val="center"/>
              <w:outlineLvl w:val="0"/>
              <w:rPr>
                <w:color w:val="000000" w:themeColor="text1"/>
                <w:sz w:val="22"/>
                <w:szCs w:val="22"/>
              </w:rPr>
            </w:pPr>
            <w:r>
              <w:rPr>
                <w:color w:val="000000" w:themeColor="text1"/>
                <w:sz w:val="22"/>
                <w:szCs w:val="22"/>
              </w:rPr>
              <w:t>35.789</w:t>
            </w:r>
          </w:p>
        </w:tc>
        <w:tc>
          <w:tcPr>
            <w:tcW w:w="1561" w:type="dxa"/>
            <w:tcBorders>
              <w:top w:val="nil"/>
              <w:left w:val="nil"/>
              <w:bottom w:val="single" w:sz="4" w:space="0" w:color="auto"/>
              <w:right w:val="single" w:sz="4" w:space="0" w:color="auto"/>
            </w:tcBorders>
            <w:vAlign w:val="center"/>
          </w:tcPr>
          <w:p w14:paraId="10690F4C" w14:textId="77777777" w:rsidR="00085789" w:rsidRDefault="00000000">
            <w:pPr>
              <w:spacing w:line="240" w:lineRule="auto"/>
              <w:jc w:val="center"/>
              <w:outlineLvl w:val="0"/>
              <w:rPr>
                <w:color w:val="000000" w:themeColor="text1"/>
                <w:sz w:val="22"/>
                <w:szCs w:val="22"/>
              </w:rPr>
            </w:pPr>
            <w:r>
              <w:rPr>
                <w:color w:val="000000" w:themeColor="text1"/>
                <w:sz w:val="22"/>
                <w:szCs w:val="22"/>
              </w:rPr>
              <w:t> </w:t>
            </w:r>
          </w:p>
        </w:tc>
        <w:tc>
          <w:tcPr>
            <w:tcW w:w="2121" w:type="dxa"/>
            <w:tcBorders>
              <w:top w:val="nil"/>
              <w:left w:val="nil"/>
              <w:bottom w:val="single" w:sz="4" w:space="0" w:color="auto"/>
              <w:right w:val="single" w:sz="4" w:space="0" w:color="auto"/>
            </w:tcBorders>
            <w:vAlign w:val="center"/>
          </w:tcPr>
          <w:p w14:paraId="297C9DA5" w14:textId="77777777" w:rsidR="00085789" w:rsidRDefault="00000000">
            <w:pPr>
              <w:spacing w:line="240" w:lineRule="auto"/>
              <w:jc w:val="center"/>
              <w:outlineLvl w:val="0"/>
              <w:rPr>
                <w:color w:val="000000" w:themeColor="text1"/>
                <w:sz w:val="22"/>
                <w:szCs w:val="22"/>
              </w:rPr>
            </w:pPr>
            <w:r>
              <w:rPr>
                <w:color w:val="000000" w:themeColor="text1"/>
                <w:sz w:val="22"/>
                <w:szCs w:val="22"/>
              </w:rPr>
              <w:t>Theo thiết kế đến năm 2020, theo thực tế đến khoảng năm 2022</w:t>
            </w:r>
          </w:p>
        </w:tc>
        <w:tc>
          <w:tcPr>
            <w:tcW w:w="2404" w:type="dxa"/>
            <w:tcBorders>
              <w:top w:val="nil"/>
              <w:left w:val="nil"/>
              <w:bottom w:val="single" w:sz="4" w:space="0" w:color="auto"/>
              <w:right w:val="single" w:sz="4" w:space="0" w:color="auto"/>
            </w:tcBorders>
            <w:vAlign w:val="center"/>
          </w:tcPr>
          <w:p w14:paraId="2CB87DE9" w14:textId="77777777" w:rsidR="00085789" w:rsidRDefault="00000000">
            <w:pPr>
              <w:spacing w:line="240" w:lineRule="auto"/>
              <w:jc w:val="center"/>
              <w:outlineLvl w:val="0"/>
              <w:rPr>
                <w:color w:val="000000" w:themeColor="text1"/>
                <w:sz w:val="22"/>
                <w:szCs w:val="22"/>
              </w:rPr>
            </w:pPr>
            <w:r>
              <w:rPr>
                <w:color w:val="000000" w:themeColor="text1"/>
                <w:sz w:val="22"/>
                <w:szCs w:val="22"/>
              </w:rPr>
              <w:t xml:space="preserve">QĐ số 1616/QĐ-UBND ngày 06/6/2012 </w:t>
            </w:r>
          </w:p>
        </w:tc>
      </w:tr>
      <w:tr w:rsidR="00085789" w14:paraId="7DF729CC" w14:textId="77777777">
        <w:trPr>
          <w:gridAfter w:val="1"/>
          <w:wAfter w:w="23" w:type="dxa"/>
          <w:trHeight w:val="757"/>
        </w:trPr>
        <w:tc>
          <w:tcPr>
            <w:tcW w:w="512" w:type="dxa"/>
            <w:tcBorders>
              <w:top w:val="nil"/>
              <w:left w:val="single" w:sz="4" w:space="0" w:color="auto"/>
              <w:bottom w:val="single" w:sz="4" w:space="0" w:color="auto"/>
              <w:right w:val="single" w:sz="4" w:space="0" w:color="auto"/>
            </w:tcBorders>
            <w:vAlign w:val="center"/>
          </w:tcPr>
          <w:p w14:paraId="266CE2F4" w14:textId="77777777" w:rsidR="00085789" w:rsidRDefault="00000000">
            <w:pPr>
              <w:spacing w:line="240" w:lineRule="auto"/>
              <w:jc w:val="center"/>
              <w:outlineLvl w:val="0"/>
              <w:rPr>
                <w:color w:val="000000" w:themeColor="text1"/>
                <w:sz w:val="22"/>
                <w:szCs w:val="22"/>
              </w:rPr>
            </w:pPr>
            <w:r>
              <w:rPr>
                <w:color w:val="000000" w:themeColor="text1"/>
                <w:sz w:val="22"/>
                <w:szCs w:val="22"/>
              </w:rPr>
              <w:lastRenderedPageBreak/>
              <w:t>2</w:t>
            </w:r>
          </w:p>
        </w:tc>
        <w:tc>
          <w:tcPr>
            <w:tcW w:w="1607" w:type="dxa"/>
            <w:tcBorders>
              <w:top w:val="nil"/>
              <w:left w:val="nil"/>
              <w:bottom w:val="single" w:sz="4" w:space="0" w:color="auto"/>
              <w:right w:val="single" w:sz="4" w:space="0" w:color="auto"/>
            </w:tcBorders>
            <w:vAlign w:val="center"/>
          </w:tcPr>
          <w:p w14:paraId="3A4B77F8" w14:textId="77777777" w:rsidR="00085789" w:rsidRDefault="00000000">
            <w:pPr>
              <w:spacing w:line="240" w:lineRule="auto"/>
              <w:outlineLvl w:val="0"/>
              <w:rPr>
                <w:color w:val="000000" w:themeColor="text1"/>
                <w:sz w:val="22"/>
                <w:szCs w:val="22"/>
              </w:rPr>
            </w:pPr>
            <w:r>
              <w:rPr>
                <w:color w:val="000000" w:themeColor="text1"/>
                <w:sz w:val="22"/>
                <w:szCs w:val="22"/>
              </w:rPr>
              <w:t>Bãi chôn lấp CTR Lộc Hà</w:t>
            </w:r>
          </w:p>
        </w:tc>
        <w:tc>
          <w:tcPr>
            <w:tcW w:w="1415" w:type="dxa"/>
            <w:tcBorders>
              <w:top w:val="nil"/>
              <w:left w:val="nil"/>
              <w:bottom w:val="single" w:sz="4" w:space="0" w:color="auto"/>
              <w:right w:val="single" w:sz="4" w:space="0" w:color="auto"/>
            </w:tcBorders>
            <w:vAlign w:val="center"/>
          </w:tcPr>
          <w:p w14:paraId="7C4629F3" w14:textId="77777777" w:rsidR="00085789" w:rsidRDefault="00000000">
            <w:pPr>
              <w:spacing w:line="240" w:lineRule="auto"/>
              <w:jc w:val="center"/>
              <w:outlineLvl w:val="0"/>
              <w:rPr>
                <w:color w:val="000000" w:themeColor="text1"/>
                <w:sz w:val="22"/>
                <w:szCs w:val="22"/>
              </w:rPr>
            </w:pPr>
            <w:r>
              <w:rPr>
                <w:color w:val="000000" w:themeColor="text1"/>
                <w:sz w:val="22"/>
                <w:szCs w:val="22"/>
              </w:rPr>
              <w:t>UBND xã Lộc Hà</w:t>
            </w:r>
          </w:p>
        </w:tc>
        <w:tc>
          <w:tcPr>
            <w:tcW w:w="1416" w:type="dxa"/>
            <w:tcBorders>
              <w:top w:val="nil"/>
              <w:left w:val="nil"/>
              <w:bottom w:val="single" w:sz="4" w:space="0" w:color="auto"/>
              <w:right w:val="single" w:sz="4" w:space="0" w:color="auto"/>
            </w:tcBorders>
            <w:vAlign w:val="center"/>
          </w:tcPr>
          <w:p w14:paraId="2AC44CB5" w14:textId="77777777" w:rsidR="00085789" w:rsidRDefault="00000000">
            <w:pPr>
              <w:spacing w:line="240" w:lineRule="auto"/>
              <w:jc w:val="center"/>
              <w:outlineLvl w:val="0"/>
              <w:rPr>
                <w:color w:val="000000" w:themeColor="text1"/>
                <w:sz w:val="22"/>
                <w:szCs w:val="22"/>
              </w:rPr>
            </w:pPr>
            <w:r>
              <w:rPr>
                <w:color w:val="000000" w:themeColor="text1"/>
                <w:sz w:val="22"/>
                <w:szCs w:val="22"/>
              </w:rPr>
              <w:t>Xã Hồng Lộc</w:t>
            </w:r>
          </w:p>
        </w:tc>
        <w:tc>
          <w:tcPr>
            <w:tcW w:w="1429" w:type="dxa"/>
            <w:tcBorders>
              <w:top w:val="nil"/>
              <w:left w:val="nil"/>
              <w:bottom w:val="single" w:sz="4" w:space="0" w:color="auto"/>
              <w:right w:val="single" w:sz="4" w:space="0" w:color="auto"/>
            </w:tcBorders>
            <w:vAlign w:val="center"/>
          </w:tcPr>
          <w:p w14:paraId="47BF984A" w14:textId="77777777" w:rsidR="00085789" w:rsidRDefault="00000000">
            <w:pPr>
              <w:spacing w:line="240" w:lineRule="auto"/>
              <w:jc w:val="center"/>
              <w:outlineLvl w:val="0"/>
              <w:rPr>
                <w:color w:val="000000" w:themeColor="text1"/>
                <w:sz w:val="22"/>
                <w:szCs w:val="22"/>
              </w:rPr>
            </w:pPr>
            <w:r>
              <w:rPr>
                <w:color w:val="000000" w:themeColor="text1"/>
                <w:sz w:val="22"/>
                <w:szCs w:val="22"/>
              </w:rPr>
              <w:t>54,85</w:t>
            </w:r>
          </w:p>
        </w:tc>
        <w:tc>
          <w:tcPr>
            <w:tcW w:w="1417" w:type="dxa"/>
            <w:tcBorders>
              <w:top w:val="nil"/>
              <w:left w:val="nil"/>
              <w:bottom w:val="single" w:sz="4" w:space="0" w:color="auto"/>
              <w:right w:val="single" w:sz="4" w:space="0" w:color="auto"/>
            </w:tcBorders>
            <w:vAlign w:val="center"/>
          </w:tcPr>
          <w:p w14:paraId="1C42353D" w14:textId="77777777" w:rsidR="00085789" w:rsidRDefault="00000000">
            <w:pPr>
              <w:spacing w:line="240" w:lineRule="auto"/>
              <w:jc w:val="center"/>
              <w:outlineLvl w:val="0"/>
              <w:rPr>
                <w:color w:val="000000" w:themeColor="text1"/>
                <w:sz w:val="22"/>
                <w:szCs w:val="22"/>
              </w:rPr>
            </w:pPr>
            <w:r>
              <w:rPr>
                <w:color w:val="000000" w:themeColor="text1"/>
                <w:sz w:val="22"/>
                <w:szCs w:val="22"/>
              </w:rPr>
              <w:t>23,7</w:t>
            </w:r>
          </w:p>
        </w:tc>
        <w:tc>
          <w:tcPr>
            <w:tcW w:w="1558" w:type="dxa"/>
            <w:tcBorders>
              <w:top w:val="nil"/>
              <w:left w:val="nil"/>
              <w:bottom w:val="single" w:sz="4" w:space="0" w:color="auto"/>
              <w:right w:val="single" w:sz="4" w:space="0" w:color="auto"/>
            </w:tcBorders>
            <w:vAlign w:val="center"/>
          </w:tcPr>
          <w:p w14:paraId="33011D48" w14:textId="77777777" w:rsidR="00085789" w:rsidRDefault="00000000">
            <w:pPr>
              <w:spacing w:line="240" w:lineRule="auto"/>
              <w:jc w:val="center"/>
              <w:outlineLvl w:val="0"/>
              <w:rPr>
                <w:color w:val="000000" w:themeColor="text1"/>
                <w:sz w:val="22"/>
                <w:szCs w:val="22"/>
              </w:rPr>
            </w:pPr>
            <w:r>
              <w:rPr>
                <w:color w:val="000000" w:themeColor="text1"/>
                <w:sz w:val="22"/>
                <w:szCs w:val="22"/>
              </w:rPr>
              <w:t>52.369</w:t>
            </w:r>
          </w:p>
        </w:tc>
        <w:tc>
          <w:tcPr>
            <w:tcW w:w="1561" w:type="dxa"/>
            <w:tcBorders>
              <w:top w:val="nil"/>
              <w:left w:val="nil"/>
              <w:bottom w:val="single" w:sz="4" w:space="0" w:color="auto"/>
              <w:right w:val="single" w:sz="4" w:space="0" w:color="auto"/>
            </w:tcBorders>
            <w:vAlign w:val="center"/>
          </w:tcPr>
          <w:p w14:paraId="4CCD2EDE" w14:textId="77777777" w:rsidR="00085789" w:rsidRDefault="00000000">
            <w:pPr>
              <w:spacing w:line="240" w:lineRule="auto"/>
              <w:jc w:val="center"/>
              <w:outlineLvl w:val="0"/>
              <w:rPr>
                <w:color w:val="000000" w:themeColor="text1"/>
                <w:sz w:val="22"/>
                <w:szCs w:val="22"/>
              </w:rPr>
            </w:pPr>
            <w:r>
              <w:rPr>
                <w:color w:val="000000" w:themeColor="text1"/>
                <w:sz w:val="22"/>
                <w:szCs w:val="22"/>
              </w:rPr>
              <w:t xml:space="preserve">Vốn Ngân sách  </w:t>
            </w:r>
          </w:p>
        </w:tc>
        <w:tc>
          <w:tcPr>
            <w:tcW w:w="2121" w:type="dxa"/>
            <w:tcBorders>
              <w:top w:val="nil"/>
              <w:left w:val="nil"/>
              <w:bottom w:val="single" w:sz="4" w:space="0" w:color="auto"/>
              <w:right w:val="single" w:sz="4" w:space="0" w:color="auto"/>
            </w:tcBorders>
            <w:vAlign w:val="center"/>
          </w:tcPr>
          <w:p w14:paraId="768BE113" w14:textId="77777777" w:rsidR="00085789" w:rsidRDefault="00000000">
            <w:pPr>
              <w:spacing w:line="240" w:lineRule="auto"/>
              <w:jc w:val="center"/>
              <w:outlineLvl w:val="0"/>
              <w:rPr>
                <w:color w:val="000000" w:themeColor="text1"/>
                <w:sz w:val="22"/>
                <w:szCs w:val="22"/>
              </w:rPr>
            </w:pPr>
            <w:r>
              <w:rPr>
                <w:color w:val="000000" w:themeColor="text1"/>
                <w:sz w:val="22"/>
                <w:szCs w:val="22"/>
              </w:rPr>
              <w:t>Theo thiết kế đến năm 2020, theo thực tế đến năm 2030</w:t>
            </w:r>
          </w:p>
        </w:tc>
        <w:tc>
          <w:tcPr>
            <w:tcW w:w="2404" w:type="dxa"/>
            <w:tcBorders>
              <w:top w:val="nil"/>
              <w:left w:val="nil"/>
              <w:bottom w:val="single" w:sz="4" w:space="0" w:color="auto"/>
              <w:right w:val="single" w:sz="4" w:space="0" w:color="auto"/>
            </w:tcBorders>
            <w:vAlign w:val="center"/>
          </w:tcPr>
          <w:p w14:paraId="6F467B5A" w14:textId="77777777" w:rsidR="00085789" w:rsidRDefault="00000000">
            <w:pPr>
              <w:spacing w:line="240" w:lineRule="auto"/>
              <w:jc w:val="center"/>
              <w:outlineLvl w:val="0"/>
              <w:rPr>
                <w:color w:val="000000" w:themeColor="text1"/>
                <w:sz w:val="22"/>
                <w:szCs w:val="22"/>
              </w:rPr>
            </w:pPr>
            <w:r>
              <w:rPr>
                <w:color w:val="000000" w:themeColor="text1"/>
                <w:sz w:val="22"/>
                <w:szCs w:val="22"/>
              </w:rPr>
              <w:t xml:space="preserve">QĐ số 3584/QĐ-UBND ngày 11/11/2011 </w:t>
            </w:r>
          </w:p>
        </w:tc>
      </w:tr>
      <w:tr w:rsidR="00085789" w14:paraId="618EBE4A" w14:textId="77777777">
        <w:trPr>
          <w:gridAfter w:val="1"/>
          <w:wAfter w:w="23" w:type="dxa"/>
          <w:trHeight w:val="1265"/>
        </w:trPr>
        <w:tc>
          <w:tcPr>
            <w:tcW w:w="512" w:type="dxa"/>
            <w:tcBorders>
              <w:top w:val="nil"/>
              <w:left w:val="single" w:sz="4" w:space="0" w:color="auto"/>
              <w:bottom w:val="single" w:sz="4" w:space="0" w:color="auto"/>
              <w:right w:val="single" w:sz="4" w:space="0" w:color="auto"/>
            </w:tcBorders>
            <w:vAlign w:val="center"/>
          </w:tcPr>
          <w:p w14:paraId="0E0B6BED" w14:textId="77777777" w:rsidR="00085789" w:rsidRDefault="00000000">
            <w:pPr>
              <w:spacing w:line="240" w:lineRule="auto"/>
              <w:jc w:val="center"/>
              <w:outlineLvl w:val="0"/>
              <w:rPr>
                <w:color w:val="000000" w:themeColor="text1"/>
                <w:sz w:val="22"/>
                <w:szCs w:val="22"/>
              </w:rPr>
            </w:pPr>
            <w:r>
              <w:rPr>
                <w:color w:val="000000" w:themeColor="text1"/>
                <w:sz w:val="22"/>
                <w:szCs w:val="22"/>
              </w:rPr>
              <w:t>3</w:t>
            </w:r>
          </w:p>
        </w:tc>
        <w:tc>
          <w:tcPr>
            <w:tcW w:w="1607" w:type="dxa"/>
            <w:tcBorders>
              <w:top w:val="nil"/>
              <w:left w:val="nil"/>
              <w:bottom w:val="single" w:sz="4" w:space="0" w:color="auto"/>
              <w:right w:val="single" w:sz="4" w:space="0" w:color="auto"/>
            </w:tcBorders>
            <w:vAlign w:val="center"/>
          </w:tcPr>
          <w:p w14:paraId="67381D77" w14:textId="77777777" w:rsidR="00085789" w:rsidRDefault="00000000">
            <w:pPr>
              <w:spacing w:line="240" w:lineRule="auto"/>
              <w:outlineLvl w:val="0"/>
              <w:rPr>
                <w:color w:val="000000" w:themeColor="text1"/>
                <w:sz w:val="22"/>
                <w:szCs w:val="22"/>
              </w:rPr>
            </w:pPr>
            <w:r>
              <w:rPr>
                <w:color w:val="000000" w:themeColor="text1"/>
                <w:sz w:val="22"/>
                <w:szCs w:val="22"/>
              </w:rPr>
              <w:t>Bãi chôn lấp CTRSH tại khối phố 6, thị trấn Tây Sơn</w:t>
            </w:r>
          </w:p>
        </w:tc>
        <w:tc>
          <w:tcPr>
            <w:tcW w:w="1415" w:type="dxa"/>
            <w:tcBorders>
              <w:top w:val="nil"/>
              <w:left w:val="nil"/>
              <w:bottom w:val="single" w:sz="4" w:space="0" w:color="auto"/>
              <w:right w:val="single" w:sz="4" w:space="0" w:color="auto"/>
            </w:tcBorders>
            <w:vAlign w:val="center"/>
          </w:tcPr>
          <w:p w14:paraId="6ECF4B2C" w14:textId="77777777" w:rsidR="00085789" w:rsidRDefault="00000000">
            <w:pPr>
              <w:spacing w:line="240" w:lineRule="auto"/>
              <w:jc w:val="center"/>
              <w:outlineLvl w:val="0"/>
              <w:rPr>
                <w:color w:val="000000" w:themeColor="text1"/>
                <w:sz w:val="22"/>
                <w:szCs w:val="22"/>
              </w:rPr>
            </w:pPr>
            <w:r>
              <w:rPr>
                <w:color w:val="000000" w:themeColor="text1"/>
                <w:sz w:val="22"/>
                <w:szCs w:val="22"/>
              </w:rPr>
              <w:t>Ban quản lý Khu KT cửa khẩu Cầu Treo</w:t>
            </w:r>
          </w:p>
        </w:tc>
        <w:tc>
          <w:tcPr>
            <w:tcW w:w="1416" w:type="dxa"/>
            <w:tcBorders>
              <w:top w:val="nil"/>
              <w:left w:val="nil"/>
              <w:bottom w:val="single" w:sz="4" w:space="0" w:color="auto"/>
              <w:right w:val="single" w:sz="4" w:space="0" w:color="auto"/>
            </w:tcBorders>
            <w:vAlign w:val="center"/>
          </w:tcPr>
          <w:p w14:paraId="2183DB3C" w14:textId="77777777" w:rsidR="00085789" w:rsidRDefault="00000000">
            <w:pPr>
              <w:spacing w:line="240" w:lineRule="auto"/>
              <w:jc w:val="center"/>
              <w:outlineLvl w:val="0"/>
              <w:rPr>
                <w:color w:val="000000" w:themeColor="text1"/>
                <w:sz w:val="22"/>
                <w:szCs w:val="22"/>
                <w:lang w:val="sv-SE"/>
              </w:rPr>
            </w:pPr>
            <w:r>
              <w:rPr>
                <w:color w:val="000000" w:themeColor="text1"/>
                <w:sz w:val="22"/>
                <w:szCs w:val="22"/>
              </w:rPr>
              <w:t xml:space="preserve"> </w:t>
            </w:r>
            <w:r>
              <w:rPr>
                <w:color w:val="000000" w:themeColor="text1"/>
                <w:sz w:val="22"/>
                <w:szCs w:val="22"/>
                <w:lang w:val="sv-SE"/>
              </w:rPr>
              <w:t>Khối phố 6, Sơn Tây (2,1 ha)</w:t>
            </w:r>
          </w:p>
        </w:tc>
        <w:tc>
          <w:tcPr>
            <w:tcW w:w="1429" w:type="dxa"/>
            <w:tcBorders>
              <w:top w:val="nil"/>
              <w:left w:val="nil"/>
              <w:bottom w:val="single" w:sz="4" w:space="0" w:color="auto"/>
              <w:right w:val="single" w:sz="4" w:space="0" w:color="auto"/>
            </w:tcBorders>
            <w:vAlign w:val="center"/>
          </w:tcPr>
          <w:p w14:paraId="5A7E5733" w14:textId="77777777" w:rsidR="00085789" w:rsidRDefault="00000000">
            <w:pPr>
              <w:spacing w:line="240" w:lineRule="auto"/>
              <w:jc w:val="center"/>
              <w:outlineLvl w:val="0"/>
              <w:rPr>
                <w:color w:val="000000" w:themeColor="text1"/>
                <w:sz w:val="22"/>
                <w:szCs w:val="22"/>
              </w:rPr>
            </w:pPr>
            <w:r>
              <w:rPr>
                <w:color w:val="000000" w:themeColor="text1"/>
                <w:sz w:val="22"/>
                <w:szCs w:val="22"/>
              </w:rPr>
              <w:t>10</w:t>
            </w:r>
          </w:p>
        </w:tc>
        <w:tc>
          <w:tcPr>
            <w:tcW w:w="1417" w:type="dxa"/>
            <w:tcBorders>
              <w:top w:val="nil"/>
              <w:left w:val="nil"/>
              <w:bottom w:val="single" w:sz="4" w:space="0" w:color="auto"/>
              <w:right w:val="single" w:sz="4" w:space="0" w:color="auto"/>
            </w:tcBorders>
            <w:vAlign w:val="center"/>
          </w:tcPr>
          <w:p w14:paraId="3BE42787" w14:textId="77777777" w:rsidR="00085789" w:rsidRDefault="00000000">
            <w:pPr>
              <w:spacing w:line="240" w:lineRule="auto"/>
              <w:jc w:val="center"/>
              <w:outlineLvl w:val="0"/>
              <w:rPr>
                <w:color w:val="000000" w:themeColor="text1"/>
                <w:sz w:val="22"/>
                <w:szCs w:val="22"/>
              </w:rPr>
            </w:pPr>
            <w:r>
              <w:rPr>
                <w:color w:val="000000" w:themeColor="text1"/>
                <w:sz w:val="22"/>
                <w:szCs w:val="22"/>
              </w:rPr>
              <w:t>10</w:t>
            </w:r>
          </w:p>
        </w:tc>
        <w:tc>
          <w:tcPr>
            <w:tcW w:w="1558" w:type="dxa"/>
            <w:tcBorders>
              <w:top w:val="nil"/>
              <w:left w:val="nil"/>
              <w:bottom w:val="single" w:sz="4" w:space="0" w:color="auto"/>
              <w:right w:val="single" w:sz="4" w:space="0" w:color="auto"/>
            </w:tcBorders>
            <w:vAlign w:val="center"/>
          </w:tcPr>
          <w:p w14:paraId="3ACD4461" w14:textId="77777777" w:rsidR="00085789" w:rsidRDefault="00000000">
            <w:pPr>
              <w:spacing w:line="240" w:lineRule="auto"/>
              <w:jc w:val="center"/>
              <w:outlineLvl w:val="0"/>
              <w:rPr>
                <w:color w:val="000000" w:themeColor="text1"/>
                <w:sz w:val="22"/>
                <w:szCs w:val="22"/>
              </w:rPr>
            </w:pPr>
            <w:r>
              <w:rPr>
                <w:color w:val="000000" w:themeColor="text1"/>
                <w:sz w:val="22"/>
                <w:szCs w:val="22"/>
              </w:rPr>
              <w:t> </w:t>
            </w:r>
          </w:p>
        </w:tc>
        <w:tc>
          <w:tcPr>
            <w:tcW w:w="1561" w:type="dxa"/>
            <w:tcBorders>
              <w:top w:val="nil"/>
              <w:left w:val="nil"/>
              <w:bottom w:val="single" w:sz="4" w:space="0" w:color="auto"/>
              <w:right w:val="single" w:sz="4" w:space="0" w:color="auto"/>
            </w:tcBorders>
            <w:vAlign w:val="center"/>
          </w:tcPr>
          <w:p w14:paraId="6FC50B03" w14:textId="77777777" w:rsidR="00085789" w:rsidRDefault="00000000">
            <w:pPr>
              <w:spacing w:line="240" w:lineRule="auto"/>
              <w:jc w:val="center"/>
              <w:outlineLvl w:val="0"/>
              <w:rPr>
                <w:color w:val="000000" w:themeColor="text1"/>
                <w:sz w:val="22"/>
                <w:szCs w:val="22"/>
              </w:rPr>
            </w:pPr>
            <w:r>
              <w:rPr>
                <w:color w:val="000000" w:themeColor="text1"/>
                <w:sz w:val="22"/>
                <w:szCs w:val="22"/>
              </w:rPr>
              <w:t xml:space="preserve">Ngân sách </w:t>
            </w:r>
          </w:p>
        </w:tc>
        <w:tc>
          <w:tcPr>
            <w:tcW w:w="2121" w:type="dxa"/>
            <w:tcBorders>
              <w:top w:val="nil"/>
              <w:left w:val="nil"/>
              <w:bottom w:val="single" w:sz="4" w:space="0" w:color="auto"/>
              <w:right w:val="single" w:sz="4" w:space="0" w:color="auto"/>
            </w:tcBorders>
            <w:vAlign w:val="center"/>
          </w:tcPr>
          <w:p w14:paraId="754460C2" w14:textId="77777777" w:rsidR="00085789" w:rsidRDefault="00000000">
            <w:pPr>
              <w:spacing w:line="240" w:lineRule="auto"/>
              <w:jc w:val="center"/>
              <w:outlineLvl w:val="0"/>
              <w:rPr>
                <w:color w:val="000000" w:themeColor="text1"/>
                <w:sz w:val="22"/>
                <w:szCs w:val="22"/>
              </w:rPr>
            </w:pPr>
            <w:r>
              <w:rPr>
                <w:color w:val="000000" w:themeColor="text1"/>
                <w:sz w:val="22"/>
                <w:szCs w:val="22"/>
              </w:rPr>
              <w:t>Quy hoạch đến năm 2026, hiện tại quỹ đất còn nhiều, dự kiến đến 2035 mới hết công suất</w:t>
            </w:r>
          </w:p>
        </w:tc>
        <w:tc>
          <w:tcPr>
            <w:tcW w:w="2404" w:type="dxa"/>
            <w:tcBorders>
              <w:top w:val="nil"/>
              <w:left w:val="nil"/>
              <w:bottom w:val="single" w:sz="4" w:space="0" w:color="auto"/>
              <w:right w:val="single" w:sz="4" w:space="0" w:color="auto"/>
            </w:tcBorders>
            <w:vAlign w:val="center"/>
          </w:tcPr>
          <w:p w14:paraId="5B40D741" w14:textId="77777777" w:rsidR="00085789" w:rsidRDefault="00000000">
            <w:pPr>
              <w:spacing w:line="240" w:lineRule="auto"/>
              <w:jc w:val="center"/>
              <w:outlineLvl w:val="0"/>
              <w:rPr>
                <w:color w:val="000000" w:themeColor="text1"/>
                <w:sz w:val="22"/>
                <w:szCs w:val="22"/>
              </w:rPr>
            </w:pPr>
            <w:r>
              <w:rPr>
                <w:color w:val="000000" w:themeColor="text1"/>
                <w:sz w:val="22"/>
                <w:szCs w:val="22"/>
              </w:rPr>
              <w:t>Đến năm 2020 sức chứa còn lại khoảng 200.000m</w:t>
            </w:r>
            <w:r>
              <w:rPr>
                <w:color w:val="000000" w:themeColor="text1"/>
                <w:sz w:val="22"/>
                <w:szCs w:val="22"/>
                <w:vertAlign w:val="superscript"/>
              </w:rPr>
              <w:t>3</w:t>
            </w:r>
          </w:p>
        </w:tc>
      </w:tr>
      <w:tr w:rsidR="00085789" w14:paraId="02648A6F" w14:textId="77777777">
        <w:trPr>
          <w:gridAfter w:val="1"/>
          <w:wAfter w:w="23" w:type="dxa"/>
          <w:trHeight w:val="300"/>
        </w:trPr>
        <w:tc>
          <w:tcPr>
            <w:tcW w:w="512" w:type="dxa"/>
            <w:tcBorders>
              <w:top w:val="nil"/>
              <w:left w:val="single" w:sz="4" w:space="0" w:color="auto"/>
              <w:bottom w:val="single" w:sz="4" w:space="0" w:color="auto"/>
              <w:right w:val="single" w:sz="4" w:space="0" w:color="auto"/>
            </w:tcBorders>
            <w:shd w:val="clear" w:color="000000" w:fill="FFFFFF"/>
            <w:vAlign w:val="center"/>
          </w:tcPr>
          <w:p w14:paraId="3C270961" w14:textId="77777777" w:rsidR="00085789" w:rsidRDefault="00000000">
            <w:pPr>
              <w:spacing w:line="240" w:lineRule="auto"/>
              <w:jc w:val="center"/>
              <w:rPr>
                <w:b/>
                <w:bCs/>
                <w:color w:val="000000" w:themeColor="text1"/>
                <w:sz w:val="22"/>
                <w:szCs w:val="22"/>
              </w:rPr>
            </w:pPr>
            <w:r>
              <w:rPr>
                <w:b/>
                <w:bCs/>
                <w:color w:val="000000" w:themeColor="text1"/>
                <w:sz w:val="22"/>
                <w:szCs w:val="22"/>
              </w:rPr>
              <w:t>III</w:t>
            </w:r>
          </w:p>
        </w:tc>
        <w:tc>
          <w:tcPr>
            <w:tcW w:w="4438" w:type="dxa"/>
            <w:gridSpan w:val="3"/>
            <w:tcBorders>
              <w:top w:val="single" w:sz="4" w:space="0" w:color="auto"/>
              <w:left w:val="nil"/>
              <w:bottom w:val="single" w:sz="4" w:space="0" w:color="auto"/>
              <w:right w:val="nil"/>
            </w:tcBorders>
            <w:shd w:val="clear" w:color="000000" w:fill="FFFFFF"/>
            <w:vAlign w:val="center"/>
          </w:tcPr>
          <w:p w14:paraId="409FA8AD" w14:textId="77777777" w:rsidR="00085789" w:rsidRDefault="00000000">
            <w:pPr>
              <w:spacing w:line="240" w:lineRule="auto"/>
              <w:jc w:val="center"/>
              <w:rPr>
                <w:b/>
                <w:bCs/>
                <w:color w:val="000000" w:themeColor="text1"/>
                <w:sz w:val="22"/>
                <w:szCs w:val="22"/>
              </w:rPr>
            </w:pPr>
            <w:r>
              <w:rPr>
                <w:b/>
                <w:bCs/>
                <w:color w:val="000000" w:themeColor="text1"/>
                <w:sz w:val="22"/>
                <w:szCs w:val="22"/>
              </w:rPr>
              <w:t>Lò đốt rác thải sinh hoạt đang hoạt động</w:t>
            </w:r>
          </w:p>
        </w:tc>
        <w:tc>
          <w:tcPr>
            <w:tcW w:w="1429" w:type="dxa"/>
            <w:tcBorders>
              <w:top w:val="nil"/>
              <w:left w:val="single" w:sz="4" w:space="0" w:color="auto"/>
              <w:bottom w:val="single" w:sz="4" w:space="0" w:color="auto"/>
              <w:right w:val="single" w:sz="4" w:space="0" w:color="auto"/>
            </w:tcBorders>
            <w:shd w:val="clear" w:color="000000" w:fill="FFFFFF"/>
            <w:vAlign w:val="center"/>
          </w:tcPr>
          <w:p w14:paraId="4816D7E7" w14:textId="77777777" w:rsidR="00085789" w:rsidRDefault="00000000">
            <w:pPr>
              <w:spacing w:line="240" w:lineRule="auto"/>
              <w:jc w:val="center"/>
              <w:rPr>
                <w:b/>
                <w:bCs/>
                <w:color w:val="000000" w:themeColor="text1"/>
                <w:sz w:val="22"/>
                <w:szCs w:val="22"/>
              </w:rPr>
            </w:pPr>
            <w:r>
              <w:rPr>
                <w:b/>
                <w:bCs/>
                <w:color w:val="000000" w:themeColor="text1"/>
                <w:sz w:val="22"/>
                <w:szCs w:val="22"/>
              </w:rPr>
              <w:t>86,40</w:t>
            </w:r>
          </w:p>
        </w:tc>
        <w:tc>
          <w:tcPr>
            <w:tcW w:w="1417" w:type="dxa"/>
            <w:tcBorders>
              <w:top w:val="nil"/>
              <w:left w:val="nil"/>
              <w:bottom w:val="single" w:sz="4" w:space="0" w:color="auto"/>
              <w:right w:val="single" w:sz="4" w:space="0" w:color="auto"/>
            </w:tcBorders>
            <w:shd w:val="clear" w:color="000000" w:fill="FFFFFF"/>
            <w:vAlign w:val="center"/>
          </w:tcPr>
          <w:p w14:paraId="2F6597B4" w14:textId="77777777" w:rsidR="00085789" w:rsidRDefault="00000000">
            <w:pPr>
              <w:spacing w:line="240" w:lineRule="auto"/>
              <w:jc w:val="center"/>
              <w:rPr>
                <w:b/>
                <w:bCs/>
                <w:color w:val="000000" w:themeColor="text1"/>
                <w:sz w:val="22"/>
                <w:szCs w:val="22"/>
              </w:rPr>
            </w:pPr>
            <w:r>
              <w:rPr>
                <w:b/>
                <w:bCs/>
                <w:color w:val="000000" w:themeColor="text1"/>
                <w:sz w:val="22"/>
                <w:szCs w:val="22"/>
              </w:rPr>
              <w:t>57,70</w:t>
            </w:r>
          </w:p>
        </w:tc>
        <w:tc>
          <w:tcPr>
            <w:tcW w:w="1558" w:type="dxa"/>
            <w:tcBorders>
              <w:top w:val="single" w:sz="4" w:space="0" w:color="auto"/>
              <w:left w:val="single" w:sz="4" w:space="0" w:color="auto"/>
              <w:bottom w:val="single" w:sz="4" w:space="0" w:color="auto"/>
              <w:right w:val="single" w:sz="4" w:space="0" w:color="auto"/>
            </w:tcBorders>
            <w:shd w:val="clear" w:color="000000" w:fill="FFFFFF"/>
            <w:vAlign w:val="center"/>
          </w:tcPr>
          <w:p w14:paraId="6779A59C" w14:textId="77777777" w:rsidR="00085789" w:rsidRDefault="00000000">
            <w:pPr>
              <w:spacing w:line="240" w:lineRule="auto"/>
              <w:rPr>
                <w:b/>
                <w:bCs/>
                <w:color w:val="000000" w:themeColor="text1"/>
                <w:sz w:val="22"/>
                <w:szCs w:val="22"/>
              </w:rPr>
            </w:pPr>
            <w:r>
              <w:rPr>
                <w:b/>
                <w:bCs/>
                <w:color w:val="000000" w:themeColor="text1"/>
                <w:sz w:val="22"/>
                <w:szCs w:val="22"/>
              </w:rPr>
              <w:t> </w:t>
            </w:r>
          </w:p>
        </w:tc>
        <w:tc>
          <w:tcPr>
            <w:tcW w:w="1561" w:type="dxa"/>
            <w:tcBorders>
              <w:top w:val="nil"/>
              <w:left w:val="nil"/>
              <w:bottom w:val="single" w:sz="4" w:space="0" w:color="auto"/>
              <w:right w:val="single" w:sz="4" w:space="0" w:color="auto"/>
            </w:tcBorders>
            <w:shd w:val="clear" w:color="000000" w:fill="FFFFFF"/>
            <w:vAlign w:val="center"/>
          </w:tcPr>
          <w:p w14:paraId="40D34DFA" w14:textId="77777777" w:rsidR="00085789" w:rsidRDefault="00000000">
            <w:pPr>
              <w:spacing w:line="240" w:lineRule="auto"/>
              <w:rPr>
                <w:b/>
                <w:bCs/>
                <w:color w:val="000000" w:themeColor="text1"/>
                <w:sz w:val="22"/>
                <w:szCs w:val="22"/>
              </w:rPr>
            </w:pPr>
            <w:r>
              <w:rPr>
                <w:b/>
                <w:bCs/>
                <w:color w:val="000000" w:themeColor="text1"/>
                <w:sz w:val="22"/>
                <w:szCs w:val="22"/>
              </w:rPr>
              <w:t> </w:t>
            </w:r>
          </w:p>
        </w:tc>
        <w:tc>
          <w:tcPr>
            <w:tcW w:w="2121" w:type="dxa"/>
            <w:tcBorders>
              <w:top w:val="nil"/>
              <w:left w:val="nil"/>
              <w:bottom w:val="single" w:sz="4" w:space="0" w:color="auto"/>
              <w:right w:val="single" w:sz="4" w:space="0" w:color="auto"/>
            </w:tcBorders>
            <w:shd w:val="clear" w:color="000000" w:fill="FFFFFF"/>
            <w:vAlign w:val="center"/>
          </w:tcPr>
          <w:p w14:paraId="056356C7"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c>
          <w:tcPr>
            <w:tcW w:w="2404" w:type="dxa"/>
            <w:tcBorders>
              <w:top w:val="nil"/>
              <w:left w:val="nil"/>
              <w:bottom w:val="single" w:sz="4" w:space="0" w:color="auto"/>
              <w:right w:val="single" w:sz="4" w:space="0" w:color="auto"/>
            </w:tcBorders>
            <w:shd w:val="clear" w:color="000000" w:fill="FFFFFF"/>
            <w:vAlign w:val="center"/>
          </w:tcPr>
          <w:p w14:paraId="4F04B36F" w14:textId="77777777" w:rsidR="00085789" w:rsidRDefault="00000000">
            <w:pPr>
              <w:spacing w:line="240" w:lineRule="auto"/>
              <w:jc w:val="center"/>
              <w:rPr>
                <w:b/>
                <w:bCs/>
                <w:color w:val="000000" w:themeColor="text1"/>
                <w:sz w:val="22"/>
                <w:szCs w:val="22"/>
              </w:rPr>
            </w:pPr>
            <w:r>
              <w:rPr>
                <w:b/>
                <w:bCs/>
                <w:color w:val="000000" w:themeColor="text1"/>
                <w:sz w:val="22"/>
                <w:szCs w:val="22"/>
              </w:rPr>
              <w:t> </w:t>
            </w:r>
          </w:p>
        </w:tc>
      </w:tr>
      <w:tr w:rsidR="00085789" w14:paraId="6CE76FF1" w14:textId="77777777">
        <w:trPr>
          <w:gridAfter w:val="1"/>
          <w:wAfter w:w="23" w:type="dxa"/>
          <w:trHeight w:val="962"/>
        </w:trPr>
        <w:tc>
          <w:tcPr>
            <w:tcW w:w="512" w:type="dxa"/>
            <w:tcBorders>
              <w:top w:val="nil"/>
              <w:left w:val="single" w:sz="4" w:space="0" w:color="auto"/>
              <w:bottom w:val="single" w:sz="4" w:space="0" w:color="auto"/>
              <w:right w:val="single" w:sz="4" w:space="0" w:color="auto"/>
            </w:tcBorders>
            <w:vAlign w:val="center"/>
          </w:tcPr>
          <w:p w14:paraId="661F8762" w14:textId="77777777" w:rsidR="00085789" w:rsidRDefault="00000000">
            <w:pPr>
              <w:spacing w:line="240" w:lineRule="auto"/>
              <w:jc w:val="center"/>
              <w:rPr>
                <w:color w:val="000000" w:themeColor="text1"/>
                <w:sz w:val="22"/>
                <w:szCs w:val="22"/>
              </w:rPr>
            </w:pPr>
            <w:r>
              <w:rPr>
                <w:color w:val="000000" w:themeColor="text1"/>
                <w:sz w:val="22"/>
                <w:szCs w:val="22"/>
              </w:rPr>
              <w:t>1</w:t>
            </w:r>
          </w:p>
        </w:tc>
        <w:tc>
          <w:tcPr>
            <w:tcW w:w="1607" w:type="dxa"/>
            <w:tcBorders>
              <w:top w:val="nil"/>
              <w:left w:val="nil"/>
              <w:bottom w:val="single" w:sz="4" w:space="0" w:color="auto"/>
              <w:right w:val="single" w:sz="4" w:space="0" w:color="auto"/>
            </w:tcBorders>
            <w:vAlign w:val="center"/>
          </w:tcPr>
          <w:p w14:paraId="6299AA3F" w14:textId="77777777" w:rsidR="00085789" w:rsidRDefault="00000000">
            <w:pPr>
              <w:spacing w:line="240" w:lineRule="auto"/>
              <w:jc w:val="center"/>
              <w:rPr>
                <w:color w:val="000000" w:themeColor="text1"/>
                <w:sz w:val="22"/>
                <w:szCs w:val="22"/>
              </w:rPr>
            </w:pPr>
            <w:r>
              <w:rPr>
                <w:color w:val="000000" w:themeColor="text1"/>
                <w:sz w:val="22"/>
                <w:szCs w:val="22"/>
              </w:rPr>
              <w:t>Lò đốt rác thải Cương Gián</w:t>
            </w:r>
          </w:p>
        </w:tc>
        <w:tc>
          <w:tcPr>
            <w:tcW w:w="1415" w:type="dxa"/>
            <w:tcBorders>
              <w:top w:val="nil"/>
              <w:left w:val="nil"/>
              <w:bottom w:val="single" w:sz="4" w:space="0" w:color="auto"/>
              <w:right w:val="single" w:sz="4" w:space="0" w:color="auto"/>
            </w:tcBorders>
            <w:vAlign w:val="center"/>
          </w:tcPr>
          <w:p w14:paraId="3C251618" w14:textId="77777777" w:rsidR="00085789" w:rsidRDefault="00000000">
            <w:pPr>
              <w:spacing w:line="240" w:lineRule="auto"/>
              <w:jc w:val="center"/>
              <w:rPr>
                <w:color w:val="000000" w:themeColor="text1"/>
                <w:sz w:val="22"/>
                <w:szCs w:val="22"/>
              </w:rPr>
            </w:pPr>
            <w:r>
              <w:rPr>
                <w:color w:val="000000" w:themeColor="text1"/>
                <w:sz w:val="22"/>
                <w:szCs w:val="22"/>
              </w:rPr>
              <w:t xml:space="preserve">HTX dịch vụ môi trường Tân Phát </w:t>
            </w:r>
          </w:p>
        </w:tc>
        <w:tc>
          <w:tcPr>
            <w:tcW w:w="1416" w:type="dxa"/>
            <w:tcBorders>
              <w:top w:val="nil"/>
              <w:left w:val="nil"/>
              <w:bottom w:val="single" w:sz="4" w:space="0" w:color="auto"/>
              <w:right w:val="single" w:sz="4" w:space="0" w:color="auto"/>
            </w:tcBorders>
            <w:vAlign w:val="center"/>
          </w:tcPr>
          <w:p w14:paraId="75CD5D13" w14:textId="77777777" w:rsidR="00085789" w:rsidRDefault="00000000">
            <w:pPr>
              <w:spacing w:line="240" w:lineRule="auto"/>
              <w:jc w:val="center"/>
              <w:rPr>
                <w:color w:val="000000" w:themeColor="text1"/>
                <w:sz w:val="22"/>
                <w:szCs w:val="22"/>
              </w:rPr>
            </w:pPr>
            <w:r>
              <w:rPr>
                <w:color w:val="000000" w:themeColor="text1"/>
                <w:sz w:val="22"/>
                <w:szCs w:val="22"/>
              </w:rPr>
              <w:t>Xã Cương Gián, huyện Nghi Xuân</w:t>
            </w:r>
          </w:p>
        </w:tc>
        <w:tc>
          <w:tcPr>
            <w:tcW w:w="1429" w:type="dxa"/>
            <w:tcBorders>
              <w:top w:val="nil"/>
              <w:left w:val="nil"/>
              <w:bottom w:val="single" w:sz="4" w:space="0" w:color="auto"/>
              <w:right w:val="single" w:sz="4" w:space="0" w:color="auto"/>
            </w:tcBorders>
            <w:vAlign w:val="center"/>
          </w:tcPr>
          <w:p w14:paraId="6278913E" w14:textId="77777777" w:rsidR="00085789" w:rsidRDefault="00000000">
            <w:pPr>
              <w:spacing w:line="240" w:lineRule="auto"/>
              <w:jc w:val="center"/>
              <w:rPr>
                <w:color w:val="000000" w:themeColor="text1"/>
                <w:sz w:val="22"/>
                <w:szCs w:val="22"/>
              </w:rPr>
            </w:pPr>
            <w:r>
              <w:rPr>
                <w:color w:val="000000" w:themeColor="text1"/>
                <w:sz w:val="22"/>
                <w:szCs w:val="22"/>
              </w:rPr>
              <w:t>16,8</w:t>
            </w:r>
          </w:p>
        </w:tc>
        <w:tc>
          <w:tcPr>
            <w:tcW w:w="1417" w:type="dxa"/>
            <w:tcBorders>
              <w:top w:val="nil"/>
              <w:left w:val="nil"/>
              <w:bottom w:val="single" w:sz="4" w:space="0" w:color="auto"/>
              <w:right w:val="single" w:sz="4" w:space="0" w:color="auto"/>
            </w:tcBorders>
            <w:vAlign w:val="center"/>
          </w:tcPr>
          <w:p w14:paraId="4668F4BB" w14:textId="77777777" w:rsidR="00085789" w:rsidRDefault="00000000">
            <w:pPr>
              <w:spacing w:line="240" w:lineRule="auto"/>
              <w:jc w:val="center"/>
              <w:rPr>
                <w:color w:val="000000" w:themeColor="text1"/>
                <w:sz w:val="22"/>
                <w:szCs w:val="22"/>
              </w:rPr>
            </w:pPr>
            <w:r>
              <w:rPr>
                <w:color w:val="000000" w:themeColor="text1"/>
                <w:sz w:val="22"/>
                <w:szCs w:val="22"/>
              </w:rPr>
              <w:t>11,2</w:t>
            </w:r>
          </w:p>
        </w:tc>
        <w:tc>
          <w:tcPr>
            <w:tcW w:w="1558" w:type="dxa"/>
            <w:tcBorders>
              <w:top w:val="nil"/>
              <w:left w:val="nil"/>
              <w:bottom w:val="single" w:sz="4" w:space="0" w:color="auto"/>
              <w:right w:val="single" w:sz="4" w:space="0" w:color="auto"/>
            </w:tcBorders>
            <w:vAlign w:val="center"/>
          </w:tcPr>
          <w:p w14:paraId="4381716A" w14:textId="77777777" w:rsidR="00085789" w:rsidRDefault="00000000">
            <w:pPr>
              <w:spacing w:line="240" w:lineRule="auto"/>
              <w:jc w:val="center"/>
              <w:rPr>
                <w:color w:val="000000" w:themeColor="text1"/>
                <w:sz w:val="22"/>
                <w:szCs w:val="22"/>
              </w:rPr>
            </w:pPr>
            <w:r>
              <w:rPr>
                <w:color w:val="000000" w:themeColor="text1"/>
                <w:sz w:val="22"/>
                <w:szCs w:val="22"/>
              </w:rPr>
              <w:t>5.500</w:t>
            </w:r>
          </w:p>
        </w:tc>
        <w:tc>
          <w:tcPr>
            <w:tcW w:w="1561" w:type="dxa"/>
            <w:tcBorders>
              <w:top w:val="nil"/>
              <w:left w:val="nil"/>
              <w:bottom w:val="single" w:sz="4" w:space="0" w:color="auto"/>
              <w:right w:val="single" w:sz="4" w:space="0" w:color="auto"/>
            </w:tcBorders>
            <w:vAlign w:val="center"/>
          </w:tcPr>
          <w:p w14:paraId="57E8D449" w14:textId="77777777" w:rsidR="00085789" w:rsidRDefault="00000000">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1A24DA20" w14:textId="77777777" w:rsidR="00085789" w:rsidRDefault="00000000">
            <w:pPr>
              <w:spacing w:line="240" w:lineRule="auto"/>
              <w:jc w:val="center"/>
              <w:rPr>
                <w:color w:val="000000" w:themeColor="text1"/>
                <w:sz w:val="22"/>
                <w:szCs w:val="22"/>
              </w:rPr>
            </w:pPr>
            <w:r>
              <w:rPr>
                <w:color w:val="000000" w:themeColor="text1"/>
                <w:sz w:val="22"/>
                <w:szCs w:val="22"/>
              </w:rPr>
              <w:t>Tuổi thọ của lò đốt 10 năm kể từ năm 2016</w:t>
            </w:r>
          </w:p>
        </w:tc>
        <w:tc>
          <w:tcPr>
            <w:tcW w:w="2404" w:type="dxa"/>
            <w:tcBorders>
              <w:top w:val="nil"/>
              <w:left w:val="nil"/>
              <w:bottom w:val="single" w:sz="4" w:space="0" w:color="auto"/>
              <w:right w:val="single" w:sz="4" w:space="0" w:color="auto"/>
            </w:tcBorders>
            <w:vAlign w:val="center"/>
          </w:tcPr>
          <w:p w14:paraId="12D0BCCB" w14:textId="77777777" w:rsidR="00085789" w:rsidRDefault="00000000">
            <w:pPr>
              <w:spacing w:line="240" w:lineRule="auto"/>
              <w:jc w:val="center"/>
              <w:rPr>
                <w:color w:val="000000" w:themeColor="text1"/>
                <w:sz w:val="22"/>
                <w:szCs w:val="22"/>
              </w:rPr>
            </w:pPr>
            <w:r>
              <w:rPr>
                <w:color w:val="000000" w:themeColor="text1"/>
                <w:sz w:val="22"/>
                <w:szCs w:val="22"/>
              </w:rPr>
              <w:t>Quyết định số 1383/QĐ-UBND ngày 02/6/2016 của UBND tỉnh</w:t>
            </w:r>
          </w:p>
        </w:tc>
      </w:tr>
      <w:tr w:rsidR="00085789" w14:paraId="35338D0E" w14:textId="77777777">
        <w:trPr>
          <w:gridAfter w:val="1"/>
          <w:wAfter w:w="23" w:type="dxa"/>
          <w:trHeight w:val="1060"/>
        </w:trPr>
        <w:tc>
          <w:tcPr>
            <w:tcW w:w="512" w:type="dxa"/>
            <w:tcBorders>
              <w:top w:val="nil"/>
              <w:left w:val="single" w:sz="4" w:space="0" w:color="auto"/>
              <w:bottom w:val="single" w:sz="4" w:space="0" w:color="auto"/>
              <w:right w:val="single" w:sz="4" w:space="0" w:color="auto"/>
            </w:tcBorders>
            <w:vAlign w:val="center"/>
          </w:tcPr>
          <w:p w14:paraId="05BE533C" w14:textId="77777777" w:rsidR="00085789" w:rsidRDefault="00000000">
            <w:pPr>
              <w:spacing w:line="240" w:lineRule="auto"/>
              <w:jc w:val="center"/>
              <w:rPr>
                <w:color w:val="000000" w:themeColor="text1"/>
                <w:sz w:val="22"/>
                <w:szCs w:val="22"/>
              </w:rPr>
            </w:pPr>
            <w:r>
              <w:rPr>
                <w:color w:val="000000" w:themeColor="text1"/>
                <w:sz w:val="22"/>
                <w:szCs w:val="22"/>
              </w:rPr>
              <w:t>2</w:t>
            </w:r>
          </w:p>
        </w:tc>
        <w:tc>
          <w:tcPr>
            <w:tcW w:w="1607" w:type="dxa"/>
            <w:tcBorders>
              <w:top w:val="nil"/>
              <w:left w:val="nil"/>
              <w:bottom w:val="single" w:sz="4" w:space="0" w:color="auto"/>
              <w:right w:val="single" w:sz="4" w:space="0" w:color="auto"/>
            </w:tcBorders>
            <w:vAlign w:val="center"/>
          </w:tcPr>
          <w:p w14:paraId="718BE0D0" w14:textId="77777777" w:rsidR="00085789" w:rsidRDefault="00000000">
            <w:pPr>
              <w:spacing w:line="240" w:lineRule="auto"/>
              <w:jc w:val="center"/>
              <w:rPr>
                <w:color w:val="000000" w:themeColor="text1"/>
                <w:sz w:val="22"/>
                <w:szCs w:val="22"/>
              </w:rPr>
            </w:pPr>
            <w:r>
              <w:rPr>
                <w:color w:val="000000" w:themeColor="text1"/>
                <w:sz w:val="22"/>
                <w:szCs w:val="22"/>
              </w:rPr>
              <w:t>Lò đốt rác thải sinh hoạt Xuân Thành</w:t>
            </w:r>
          </w:p>
        </w:tc>
        <w:tc>
          <w:tcPr>
            <w:tcW w:w="1415" w:type="dxa"/>
            <w:tcBorders>
              <w:top w:val="nil"/>
              <w:left w:val="nil"/>
              <w:bottom w:val="single" w:sz="4" w:space="0" w:color="auto"/>
              <w:right w:val="single" w:sz="4" w:space="0" w:color="auto"/>
            </w:tcBorders>
            <w:vAlign w:val="center"/>
          </w:tcPr>
          <w:p w14:paraId="1E3C785C" w14:textId="77777777" w:rsidR="00085789" w:rsidRDefault="00000000">
            <w:pPr>
              <w:spacing w:line="240" w:lineRule="auto"/>
              <w:jc w:val="center"/>
              <w:rPr>
                <w:color w:val="000000" w:themeColor="text1"/>
                <w:sz w:val="22"/>
                <w:szCs w:val="22"/>
              </w:rPr>
            </w:pPr>
            <w:r>
              <w:rPr>
                <w:color w:val="000000" w:themeColor="text1"/>
                <w:sz w:val="22"/>
                <w:szCs w:val="22"/>
              </w:rPr>
              <w:t xml:space="preserve">Công ty TNHH DV môi trường Nghi Xuân </w:t>
            </w:r>
          </w:p>
        </w:tc>
        <w:tc>
          <w:tcPr>
            <w:tcW w:w="1416" w:type="dxa"/>
            <w:tcBorders>
              <w:top w:val="nil"/>
              <w:left w:val="nil"/>
              <w:bottom w:val="single" w:sz="4" w:space="0" w:color="auto"/>
              <w:right w:val="single" w:sz="4" w:space="0" w:color="auto"/>
            </w:tcBorders>
            <w:vAlign w:val="center"/>
          </w:tcPr>
          <w:p w14:paraId="10E23160" w14:textId="77777777" w:rsidR="00085789" w:rsidRDefault="00000000">
            <w:pPr>
              <w:spacing w:line="240" w:lineRule="auto"/>
              <w:jc w:val="center"/>
              <w:rPr>
                <w:color w:val="000000" w:themeColor="text1"/>
                <w:sz w:val="22"/>
                <w:szCs w:val="22"/>
              </w:rPr>
            </w:pPr>
            <w:r>
              <w:rPr>
                <w:color w:val="000000" w:themeColor="text1"/>
                <w:sz w:val="22"/>
                <w:szCs w:val="22"/>
              </w:rPr>
              <w:t>Xã Tiên Điền</w:t>
            </w:r>
          </w:p>
        </w:tc>
        <w:tc>
          <w:tcPr>
            <w:tcW w:w="1429" w:type="dxa"/>
            <w:tcBorders>
              <w:top w:val="nil"/>
              <w:left w:val="nil"/>
              <w:bottom w:val="single" w:sz="4" w:space="0" w:color="auto"/>
              <w:right w:val="single" w:sz="4" w:space="0" w:color="auto"/>
            </w:tcBorders>
            <w:vAlign w:val="center"/>
          </w:tcPr>
          <w:p w14:paraId="508CDC15" w14:textId="77777777" w:rsidR="00085789" w:rsidRDefault="00000000">
            <w:pPr>
              <w:spacing w:line="240" w:lineRule="auto"/>
              <w:jc w:val="center"/>
              <w:rPr>
                <w:color w:val="000000" w:themeColor="text1"/>
                <w:sz w:val="22"/>
                <w:szCs w:val="22"/>
              </w:rPr>
            </w:pPr>
            <w:r>
              <w:rPr>
                <w:color w:val="000000" w:themeColor="text1"/>
                <w:sz w:val="22"/>
                <w:szCs w:val="22"/>
              </w:rPr>
              <w:t>24</w:t>
            </w:r>
          </w:p>
        </w:tc>
        <w:tc>
          <w:tcPr>
            <w:tcW w:w="1417" w:type="dxa"/>
            <w:tcBorders>
              <w:top w:val="nil"/>
              <w:left w:val="nil"/>
              <w:bottom w:val="single" w:sz="4" w:space="0" w:color="auto"/>
              <w:right w:val="single" w:sz="4" w:space="0" w:color="auto"/>
            </w:tcBorders>
            <w:vAlign w:val="center"/>
          </w:tcPr>
          <w:p w14:paraId="46E3F1E9" w14:textId="77777777" w:rsidR="00085789" w:rsidRDefault="00000000">
            <w:pPr>
              <w:spacing w:line="240" w:lineRule="auto"/>
              <w:jc w:val="center"/>
              <w:rPr>
                <w:color w:val="000000" w:themeColor="text1"/>
                <w:sz w:val="22"/>
                <w:szCs w:val="22"/>
              </w:rPr>
            </w:pPr>
            <w:r>
              <w:rPr>
                <w:color w:val="000000" w:themeColor="text1"/>
                <w:sz w:val="22"/>
                <w:szCs w:val="22"/>
              </w:rPr>
              <w:t>16</w:t>
            </w:r>
          </w:p>
        </w:tc>
        <w:tc>
          <w:tcPr>
            <w:tcW w:w="1558" w:type="dxa"/>
            <w:tcBorders>
              <w:top w:val="nil"/>
              <w:left w:val="nil"/>
              <w:bottom w:val="single" w:sz="4" w:space="0" w:color="auto"/>
              <w:right w:val="single" w:sz="4" w:space="0" w:color="auto"/>
            </w:tcBorders>
            <w:vAlign w:val="center"/>
          </w:tcPr>
          <w:p w14:paraId="31C46125" w14:textId="77777777" w:rsidR="00085789" w:rsidRDefault="00000000">
            <w:pPr>
              <w:spacing w:line="240" w:lineRule="auto"/>
              <w:jc w:val="center"/>
              <w:rPr>
                <w:color w:val="000000" w:themeColor="text1"/>
                <w:sz w:val="22"/>
                <w:szCs w:val="22"/>
              </w:rPr>
            </w:pPr>
            <w:r>
              <w:rPr>
                <w:color w:val="000000" w:themeColor="text1"/>
                <w:sz w:val="22"/>
                <w:szCs w:val="22"/>
              </w:rPr>
              <w:t>14.740</w:t>
            </w:r>
          </w:p>
        </w:tc>
        <w:tc>
          <w:tcPr>
            <w:tcW w:w="1561" w:type="dxa"/>
            <w:tcBorders>
              <w:top w:val="nil"/>
              <w:left w:val="nil"/>
              <w:bottom w:val="single" w:sz="4" w:space="0" w:color="auto"/>
              <w:right w:val="single" w:sz="4" w:space="0" w:color="auto"/>
            </w:tcBorders>
            <w:vAlign w:val="center"/>
          </w:tcPr>
          <w:p w14:paraId="55CF98B0" w14:textId="77777777" w:rsidR="00085789" w:rsidRDefault="00000000">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18218662" w14:textId="77777777" w:rsidR="00085789" w:rsidRDefault="00000000">
            <w:pPr>
              <w:spacing w:line="240" w:lineRule="auto"/>
              <w:jc w:val="center"/>
              <w:rPr>
                <w:color w:val="000000" w:themeColor="text1"/>
                <w:sz w:val="22"/>
                <w:szCs w:val="22"/>
              </w:rPr>
            </w:pPr>
            <w:r>
              <w:rPr>
                <w:color w:val="000000" w:themeColor="text1"/>
                <w:sz w:val="22"/>
                <w:szCs w:val="22"/>
              </w:rPr>
              <w:t>Tuổi thọ của lò đốt 10 năm kể từ năm 2016</w:t>
            </w:r>
          </w:p>
        </w:tc>
        <w:tc>
          <w:tcPr>
            <w:tcW w:w="2404" w:type="dxa"/>
            <w:tcBorders>
              <w:top w:val="nil"/>
              <w:left w:val="nil"/>
              <w:bottom w:val="single" w:sz="4" w:space="0" w:color="auto"/>
              <w:right w:val="single" w:sz="4" w:space="0" w:color="auto"/>
            </w:tcBorders>
            <w:vAlign w:val="center"/>
          </w:tcPr>
          <w:p w14:paraId="592D2D66" w14:textId="77777777" w:rsidR="00085789" w:rsidRDefault="00000000">
            <w:pPr>
              <w:spacing w:line="240" w:lineRule="auto"/>
              <w:jc w:val="center"/>
              <w:rPr>
                <w:color w:val="000000" w:themeColor="text1"/>
                <w:sz w:val="22"/>
                <w:szCs w:val="22"/>
              </w:rPr>
            </w:pPr>
            <w:r>
              <w:rPr>
                <w:color w:val="000000" w:themeColor="text1"/>
                <w:sz w:val="22"/>
                <w:szCs w:val="22"/>
              </w:rPr>
              <w:t>Quyết định số 66/QĐ-UBND ngày 07/01/2014 của UBND tỉnh</w:t>
            </w:r>
          </w:p>
        </w:tc>
      </w:tr>
      <w:tr w:rsidR="00085789" w14:paraId="3FCF47F9" w14:textId="77777777">
        <w:trPr>
          <w:gridAfter w:val="1"/>
          <w:wAfter w:w="23" w:type="dxa"/>
          <w:trHeight w:val="1008"/>
        </w:trPr>
        <w:tc>
          <w:tcPr>
            <w:tcW w:w="512" w:type="dxa"/>
            <w:tcBorders>
              <w:top w:val="nil"/>
              <w:left w:val="single" w:sz="4" w:space="0" w:color="auto"/>
              <w:bottom w:val="single" w:sz="4" w:space="0" w:color="auto"/>
              <w:right w:val="single" w:sz="4" w:space="0" w:color="auto"/>
            </w:tcBorders>
            <w:vAlign w:val="center"/>
          </w:tcPr>
          <w:p w14:paraId="15B71440" w14:textId="77777777" w:rsidR="00085789" w:rsidRDefault="00000000">
            <w:pPr>
              <w:spacing w:line="240" w:lineRule="auto"/>
              <w:jc w:val="center"/>
              <w:rPr>
                <w:color w:val="000000" w:themeColor="text1"/>
                <w:sz w:val="22"/>
                <w:szCs w:val="22"/>
              </w:rPr>
            </w:pPr>
            <w:r>
              <w:rPr>
                <w:color w:val="000000" w:themeColor="text1"/>
                <w:sz w:val="22"/>
                <w:szCs w:val="22"/>
              </w:rPr>
              <w:t>3</w:t>
            </w:r>
          </w:p>
        </w:tc>
        <w:tc>
          <w:tcPr>
            <w:tcW w:w="1607" w:type="dxa"/>
            <w:tcBorders>
              <w:top w:val="nil"/>
              <w:left w:val="nil"/>
              <w:bottom w:val="single" w:sz="4" w:space="0" w:color="auto"/>
              <w:right w:val="single" w:sz="4" w:space="0" w:color="auto"/>
            </w:tcBorders>
            <w:vAlign w:val="center"/>
          </w:tcPr>
          <w:p w14:paraId="2B909DA3" w14:textId="77777777" w:rsidR="00085789" w:rsidRDefault="00000000">
            <w:pPr>
              <w:spacing w:line="240" w:lineRule="auto"/>
              <w:jc w:val="center"/>
              <w:rPr>
                <w:color w:val="000000" w:themeColor="text1"/>
                <w:sz w:val="22"/>
                <w:szCs w:val="22"/>
              </w:rPr>
            </w:pPr>
            <w:r>
              <w:rPr>
                <w:color w:val="000000" w:themeColor="text1"/>
                <w:sz w:val="22"/>
                <w:szCs w:val="22"/>
              </w:rPr>
              <w:t>Lò đốt rác thải sinh hoạt Phù Việt</w:t>
            </w:r>
          </w:p>
        </w:tc>
        <w:tc>
          <w:tcPr>
            <w:tcW w:w="1415" w:type="dxa"/>
            <w:tcBorders>
              <w:top w:val="nil"/>
              <w:left w:val="nil"/>
              <w:bottom w:val="single" w:sz="4" w:space="0" w:color="auto"/>
              <w:right w:val="single" w:sz="4" w:space="0" w:color="auto"/>
            </w:tcBorders>
            <w:vAlign w:val="center"/>
          </w:tcPr>
          <w:p w14:paraId="65FC4D81" w14:textId="77777777" w:rsidR="00085789" w:rsidRDefault="00000000">
            <w:pPr>
              <w:spacing w:line="240" w:lineRule="auto"/>
              <w:jc w:val="center"/>
              <w:rPr>
                <w:color w:val="000000" w:themeColor="text1"/>
                <w:sz w:val="22"/>
                <w:szCs w:val="22"/>
              </w:rPr>
            </w:pPr>
            <w:r>
              <w:rPr>
                <w:color w:val="000000" w:themeColor="text1"/>
                <w:sz w:val="22"/>
                <w:szCs w:val="22"/>
              </w:rPr>
              <w:t>HTX Môi trường Việt Tiến</w:t>
            </w:r>
          </w:p>
        </w:tc>
        <w:tc>
          <w:tcPr>
            <w:tcW w:w="1416" w:type="dxa"/>
            <w:tcBorders>
              <w:top w:val="nil"/>
              <w:left w:val="nil"/>
              <w:bottom w:val="single" w:sz="4" w:space="0" w:color="auto"/>
              <w:right w:val="single" w:sz="4" w:space="0" w:color="auto"/>
            </w:tcBorders>
            <w:vAlign w:val="center"/>
          </w:tcPr>
          <w:p w14:paraId="1B363F28" w14:textId="77777777" w:rsidR="00085789" w:rsidRDefault="00000000">
            <w:pPr>
              <w:spacing w:line="240" w:lineRule="auto"/>
              <w:jc w:val="center"/>
              <w:rPr>
                <w:color w:val="000000" w:themeColor="text1"/>
                <w:sz w:val="22"/>
                <w:szCs w:val="22"/>
              </w:rPr>
            </w:pPr>
            <w:r>
              <w:rPr>
                <w:color w:val="000000" w:themeColor="text1"/>
                <w:sz w:val="22"/>
                <w:szCs w:val="22"/>
              </w:rPr>
              <w:t>Xã Việt Xuyên</w:t>
            </w:r>
          </w:p>
        </w:tc>
        <w:tc>
          <w:tcPr>
            <w:tcW w:w="1429" w:type="dxa"/>
            <w:tcBorders>
              <w:top w:val="nil"/>
              <w:left w:val="nil"/>
              <w:bottom w:val="single" w:sz="4" w:space="0" w:color="auto"/>
              <w:right w:val="single" w:sz="4" w:space="0" w:color="auto"/>
            </w:tcBorders>
            <w:vAlign w:val="center"/>
          </w:tcPr>
          <w:p w14:paraId="0B21AD96" w14:textId="77777777" w:rsidR="00085789" w:rsidRDefault="00000000">
            <w:pPr>
              <w:spacing w:line="240" w:lineRule="auto"/>
              <w:jc w:val="center"/>
              <w:rPr>
                <w:color w:val="000000" w:themeColor="text1"/>
                <w:sz w:val="22"/>
                <w:szCs w:val="22"/>
              </w:rPr>
            </w:pPr>
            <w:r>
              <w:rPr>
                <w:color w:val="000000" w:themeColor="text1"/>
                <w:sz w:val="22"/>
                <w:szCs w:val="22"/>
              </w:rPr>
              <w:t>7,2</w:t>
            </w:r>
          </w:p>
        </w:tc>
        <w:tc>
          <w:tcPr>
            <w:tcW w:w="1417" w:type="dxa"/>
            <w:tcBorders>
              <w:top w:val="nil"/>
              <w:left w:val="nil"/>
              <w:bottom w:val="single" w:sz="4" w:space="0" w:color="auto"/>
              <w:right w:val="single" w:sz="4" w:space="0" w:color="auto"/>
            </w:tcBorders>
            <w:vAlign w:val="center"/>
          </w:tcPr>
          <w:p w14:paraId="260D14FB" w14:textId="77777777" w:rsidR="00085789" w:rsidRDefault="00000000">
            <w:pPr>
              <w:spacing w:line="240" w:lineRule="auto"/>
              <w:jc w:val="center"/>
              <w:rPr>
                <w:color w:val="000000" w:themeColor="text1"/>
                <w:sz w:val="22"/>
                <w:szCs w:val="22"/>
              </w:rPr>
            </w:pPr>
            <w:r>
              <w:rPr>
                <w:color w:val="000000" w:themeColor="text1"/>
                <w:sz w:val="22"/>
                <w:szCs w:val="22"/>
              </w:rPr>
              <w:t>5</w:t>
            </w:r>
          </w:p>
        </w:tc>
        <w:tc>
          <w:tcPr>
            <w:tcW w:w="1558" w:type="dxa"/>
            <w:tcBorders>
              <w:top w:val="nil"/>
              <w:left w:val="nil"/>
              <w:bottom w:val="single" w:sz="4" w:space="0" w:color="auto"/>
              <w:right w:val="single" w:sz="4" w:space="0" w:color="auto"/>
            </w:tcBorders>
            <w:vAlign w:val="center"/>
          </w:tcPr>
          <w:p w14:paraId="5EEAB195" w14:textId="77777777" w:rsidR="00085789" w:rsidRDefault="00000000">
            <w:pPr>
              <w:spacing w:line="240" w:lineRule="auto"/>
              <w:jc w:val="center"/>
              <w:rPr>
                <w:color w:val="000000" w:themeColor="text1"/>
                <w:sz w:val="22"/>
                <w:szCs w:val="22"/>
              </w:rPr>
            </w:pPr>
            <w:r>
              <w:rPr>
                <w:color w:val="000000" w:themeColor="text1"/>
                <w:sz w:val="22"/>
                <w:szCs w:val="22"/>
              </w:rPr>
              <w:t>3.629</w:t>
            </w:r>
          </w:p>
        </w:tc>
        <w:tc>
          <w:tcPr>
            <w:tcW w:w="1561" w:type="dxa"/>
            <w:tcBorders>
              <w:top w:val="nil"/>
              <w:left w:val="nil"/>
              <w:bottom w:val="single" w:sz="4" w:space="0" w:color="auto"/>
              <w:right w:val="single" w:sz="4" w:space="0" w:color="auto"/>
            </w:tcBorders>
            <w:vAlign w:val="center"/>
          </w:tcPr>
          <w:p w14:paraId="6CAB7725" w14:textId="77777777" w:rsidR="00085789" w:rsidRDefault="00000000">
            <w:pPr>
              <w:spacing w:line="240" w:lineRule="auto"/>
              <w:jc w:val="center"/>
              <w:rPr>
                <w:color w:val="000000" w:themeColor="text1"/>
                <w:sz w:val="22"/>
                <w:szCs w:val="22"/>
              </w:rPr>
            </w:pPr>
            <w:r>
              <w:rPr>
                <w:color w:val="000000" w:themeColor="text1"/>
                <w:sz w:val="22"/>
                <w:szCs w:val="22"/>
              </w:rPr>
              <w:t>Ngân sách cấp huyện</w:t>
            </w:r>
          </w:p>
        </w:tc>
        <w:tc>
          <w:tcPr>
            <w:tcW w:w="2121" w:type="dxa"/>
            <w:tcBorders>
              <w:top w:val="nil"/>
              <w:left w:val="nil"/>
              <w:bottom w:val="single" w:sz="4" w:space="0" w:color="auto"/>
              <w:right w:val="single" w:sz="4" w:space="0" w:color="auto"/>
            </w:tcBorders>
            <w:vAlign w:val="center"/>
          </w:tcPr>
          <w:p w14:paraId="0906B45D" w14:textId="77777777" w:rsidR="00085789" w:rsidRDefault="00000000">
            <w:pPr>
              <w:spacing w:line="240" w:lineRule="auto"/>
              <w:jc w:val="center"/>
              <w:rPr>
                <w:color w:val="000000" w:themeColor="text1"/>
                <w:sz w:val="22"/>
                <w:szCs w:val="22"/>
              </w:rPr>
            </w:pPr>
            <w:r>
              <w:rPr>
                <w:color w:val="000000" w:themeColor="text1"/>
                <w:sz w:val="22"/>
                <w:szCs w:val="22"/>
              </w:rPr>
              <w:t>Tuổi thọ của lò đốt 10 năm kể từ năm 2015, hiện đã bị xuống cấp</w:t>
            </w:r>
          </w:p>
        </w:tc>
        <w:tc>
          <w:tcPr>
            <w:tcW w:w="2404" w:type="dxa"/>
            <w:tcBorders>
              <w:top w:val="nil"/>
              <w:left w:val="nil"/>
              <w:bottom w:val="single" w:sz="4" w:space="0" w:color="auto"/>
              <w:right w:val="single" w:sz="4" w:space="0" w:color="auto"/>
            </w:tcBorders>
            <w:vAlign w:val="center"/>
          </w:tcPr>
          <w:p w14:paraId="6142193E" w14:textId="77777777" w:rsidR="00085789" w:rsidRDefault="00000000">
            <w:pPr>
              <w:spacing w:line="240" w:lineRule="auto"/>
              <w:jc w:val="center"/>
              <w:rPr>
                <w:color w:val="000000" w:themeColor="text1"/>
                <w:sz w:val="22"/>
                <w:szCs w:val="22"/>
              </w:rPr>
            </w:pPr>
            <w:r>
              <w:rPr>
                <w:color w:val="000000" w:themeColor="text1"/>
                <w:sz w:val="22"/>
                <w:szCs w:val="22"/>
              </w:rPr>
              <w:t>QĐ số 11328/QĐ-UBND ngày 21/12/2016 của UBND huyện Thạch Hà</w:t>
            </w:r>
          </w:p>
        </w:tc>
      </w:tr>
      <w:tr w:rsidR="00085789" w14:paraId="56D635DC" w14:textId="77777777">
        <w:trPr>
          <w:gridAfter w:val="1"/>
          <w:wAfter w:w="23" w:type="dxa"/>
          <w:trHeight w:val="557"/>
        </w:trPr>
        <w:tc>
          <w:tcPr>
            <w:tcW w:w="512" w:type="dxa"/>
            <w:tcBorders>
              <w:top w:val="nil"/>
              <w:left w:val="single" w:sz="4" w:space="0" w:color="auto"/>
              <w:bottom w:val="single" w:sz="4" w:space="0" w:color="auto"/>
              <w:right w:val="single" w:sz="4" w:space="0" w:color="auto"/>
            </w:tcBorders>
            <w:vAlign w:val="center"/>
          </w:tcPr>
          <w:p w14:paraId="0E08FD3E" w14:textId="77777777" w:rsidR="00085789" w:rsidRDefault="00000000">
            <w:pPr>
              <w:spacing w:line="240" w:lineRule="auto"/>
              <w:jc w:val="center"/>
              <w:rPr>
                <w:color w:val="000000" w:themeColor="text1"/>
                <w:sz w:val="22"/>
                <w:szCs w:val="22"/>
              </w:rPr>
            </w:pPr>
            <w:r>
              <w:rPr>
                <w:color w:val="000000" w:themeColor="text1"/>
                <w:sz w:val="22"/>
                <w:szCs w:val="22"/>
              </w:rPr>
              <w:t>4</w:t>
            </w:r>
          </w:p>
        </w:tc>
        <w:tc>
          <w:tcPr>
            <w:tcW w:w="1607" w:type="dxa"/>
            <w:tcBorders>
              <w:top w:val="nil"/>
              <w:left w:val="nil"/>
              <w:bottom w:val="single" w:sz="4" w:space="0" w:color="auto"/>
              <w:right w:val="single" w:sz="4" w:space="0" w:color="auto"/>
            </w:tcBorders>
            <w:vAlign w:val="center"/>
          </w:tcPr>
          <w:p w14:paraId="09E7E894" w14:textId="77777777" w:rsidR="00085789" w:rsidRDefault="00000000">
            <w:pPr>
              <w:spacing w:line="240" w:lineRule="auto"/>
              <w:jc w:val="center"/>
              <w:rPr>
                <w:color w:val="000000" w:themeColor="text1"/>
                <w:sz w:val="22"/>
                <w:szCs w:val="22"/>
              </w:rPr>
            </w:pPr>
            <w:r>
              <w:rPr>
                <w:color w:val="000000" w:themeColor="text1"/>
                <w:sz w:val="22"/>
                <w:szCs w:val="22"/>
              </w:rPr>
              <w:t>Lò đốt rác thải sinh hoạt Phố Châu</w:t>
            </w:r>
          </w:p>
        </w:tc>
        <w:tc>
          <w:tcPr>
            <w:tcW w:w="1415" w:type="dxa"/>
            <w:tcBorders>
              <w:top w:val="nil"/>
              <w:left w:val="nil"/>
              <w:bottom w:val="single" w:sz="4" w:space="0" w:color="auto"/>
              <w:right w:val="single" w:sz="4" w:space="0" w:color="auto"/>
            </w:tcBorders>
            <w:vAlign w:val="center"/>
          </w:tcPr>
          <w:p w14:paraId="20D219F5"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1416" w:type="dxa"/>
            <w:tcBorders>
              <w:top w:val="nil"/>
              <w:left w:val="nil"/>
              <w:bottom w:val="single" w:sz="4" w:space="0" w:color="auto"/>
              <w:right w:val="single" w:sz="4" w:space="0" w:color="auto"/>
            </w:tcBorders>
            <w:vAlign w:val="center"/>
          </w:tcPr>
          <w:p w14:paraId="373A9B94" w14:textId="77777777" w:rsidR="00085789" w:rsidRDefault="00000000">
            <w:pPr>
              <w:spacing w:line="240" w:lineRule="auto"/>
              <w:jc w:val="center"/>
              <w:rPr>
                <w:color w:val="000000" w:themeColor="text1"/>
                <w:sz w:val="22"/>
                <w:szCs w:val="22"/>
              </w:rPr>
            </w:pPr>
            <w:r>
              <w:rPr>
                <w:color w:val="000000" w:themeColor="text1"/>
                <w:sz w:val="22"/>
                <w:szCs w:val="22"/>
              </w:rPr>
              <w:t>Xã Hương Sơn</w:t>
            </w:r>
          </w:p>
        </w:tc>
        <w:tc>
          <w:tcPr>
            <w:tcW w:w="1429" w:type="dxa"/>
            <w:tcBorders>
              <w:top w:val="nil"/>
              <w:left w:val="nil"/>
              <w:bottom w:val="single" w:sz="4" w:space="0" w:color="auto"/>
              <w:right w:val="single" w:sz="4" w:space="0" w:color="auto"/>
            </w:tcBorders>
            <w:vAlign w:val="center"/>
          </w:tcPr>
          <w:p w14:paraId="5E6F52DB" w14:textId="77777777" w:rsidR="00085789" w:rsidRDefault="00000000">
            <w:pPr>
              <w:spacing w:line="240" w:lineRule="auto"/>
              <w:jc w:val="center"/>
              <w:rPr>
                <w:color w:val="000000" w:themeColor="text1"/>
                <w:sz w:val="22"/>
                <w:szCs w:val="22"/>
              </w:rPr>
            </w:pPr>
            <w:r>
              <w:rPr>
                <w:color w:val="000000" w:themeColor="text1"/>
                <w:sz w:val="22"/>
                <w:szCs w:val="22"/>
              </w:rPr>
              <w:t>14,4</w:t>
            </w:r>
          </w:p>
        </w:tc>
        <w:tc>
          <w:tcPr>
            <w:tcW w:w="1417" w:type="dxa"/>
            <w:tcBorders>
              <w:top w:val="nil"/>
              <w:left w:val="nil"/>
              <w:bottom w:val="single" w:sz="4" w:space="0" w:color="auto"/>
              <w:right w:val="single" w:sz="4" w:space="0" w:color="auto"/>
            </w:tcBorders>
            <w:vAlign w:val="center"/>
          </w:tcPr>
          <w:p w14:paraId="6FCA9072" w14:textId="77777777" w:rsidR="00085789" w:rsidRDefault="00000000">
            <w:pPr>
              <w:spacing w:line="240" w:lineRule="auto"/>
              <w:jc w:val="center"/>
              <w:rPr>
                <w:color w:val="000000" w:themeColor="text1"/>
                <w:sz w:val="22"/>
                <w:szCs w:val="22"/>
              </w:rPr>
            </w:pPr>
            <w:r>
              <w:rPr>
                <w:color w:val="000000" w:themeColor="text1"/>
                <w:sz w:val="22"/>
                <w:szCs w:val="22"/>
              </w:rPr>
              <w:t>7,5</w:t>
            </w:r>
          </w:p>
        </w:tc>
        <w:tc>
          <w:tcPr>
            <w:tcW w:w="1558" w:type="dxa"/>
            <w:tcBorders>
              <w:top w:val="nil"/>
              <w:left w:val="nil"/>
              <w:bottom w:val="single" w:sz="4" w:space="0" w:color="auto"/>
              <w:right w:val="single" w:sz="4" w:space="0" w:color="auto"/>
            </w:tcBorders>
            <w:vAlign w:val="center"/>
          </w:tcPr>
          <w:p w14:paraId="49144D0A" w14:textId="77777777" w:rsidR="00085789" w:rsidRDefault="00000000">
            <w:pPr>
              <w:spacing w:line="240" w:lineRule="auto"/>
              <w:jc w:val="center"/>
              <w:rPr>
                <w:color w:val="000000" w:themeColor="text1"/>
                <w:sz w:val="22"/>
                <w:szCs w:val="22"/>
              </w:rPr>
            </w:pPr>
            <w:r>
              <w:rPr>
                <w:color w:val="000000" w:themeColor="text1"/>
                <w:sz w:val="22"/>
                <w:szCs w:val="22"/>
              </w:rPr>
              <w:t>3.299</w:t>
            </w:r>
          </w:p>
        </w:tc>
        <w:tc>
          <w:tcPr>
            <w:tcW w:w="1561" w:type="dxa"/>
            <w:tcBorders>
              <w:top w:val="nil"/>
              <w:left w:val="nil"/>
              <w:bottom w:val="single" w:sz="4" w:space="0" w:color="auto"/>
              <w:right w:val="single" w:sz="4" w:space="0" w:color="auto"/>
            </w:tcBorders>
            <w:vAlign w:val="center"/>
          </w:tcPr>
          <w:p w14:paraId="2ADC5A91" w14:textId="77777777" w:rsidR="00085789" w:rsidRDefault="00000000">
            <w:pPr>
              <w:spacing w:line="240" w:lineRule="auto"/>
              <w:jc w:val="center"/>
              <w:rPr>
                <w:color w:val="000000" w:themeColor="text1"/>
                <w:sz w:val="22"/>
                <w:szCs w:val="22"/>
              </w:rPr>
            </w:pPr>
            <w:r>
              <w:rPr>
                <w:color w:val="000000" w:themeColor="text1"/>
                <w:sz w:val="22"/>
                <w:szCs w:val="22"/>
              </w:rPr>
              <w:t>Vốn tự có của DN và nguồn vốn huy động hợp pháp khác</w:t>
            </w:r>
          </w:p>
        </w:tc>
        <w:tc>
          <w:tcPr>
            <w:tcW w:w="2121" w:type="dxa"/>
            <w:tcBorders>
              <w:top w:val="nil"/>
              <w:left w:val="nil"/>
              <w:bottom w:val="single" w:sz="4" w:space="0" w:color="auto"/>
              <w:right w:val="single" w:sz="4" w:space="0" w:color="auto"/>
            </w:tcBorders>
            <w:vAlign w:val="center"/>
          </w:tcPr>
          <w:p w14:paraId="628B2FA9" w14:textId="77777777" w:rsidR="00085789" w:rsidRDefault="00000000">
            <w:pPr>
              <w:spacing w:line="240" w:lineRule="auto"/>
              <w:jc w:val="center"/>
              <w:rPr>
                <w:color w:val="000000" w:themeColor="text1"/>
                <w:sz w:val="22"/>
                <w:szCs w:val="22"/>
              </w:rPr>
            </w:pPr>
            <w:r>
              <w:rPr>
                <w:color w:val="000000" w:themeColor="text1"/>
                <w:sz w:val="22"/>
                <w:szCs w:val="22"/>
              </w:rPr>
              <w:t>Tuổi thọ của lò đốt 10 năm kể từ năm 2018</w:t>
            </w:r>
          </w:p>
        </w:tc>
        <w:tc>
          <w:tcPr>
            <w:tcW w:w="2404" w:type="dxa"/>
            <w:tcBorders>
              <w:top w:val="nil"/>
              <w:left w:val="nil"/>
              <w:bottom w:val="single" w:sz="4" w:space="0" w:color="auto"/>
              <w:right w:val="single" w:sz="4" w:space="0" w:color="auto"/>
            </w:tcBorders>
            <w:vAlign w:val="center"/>
          </w:tcPr>
          <w:p w14:paraId="10B04F13" w14:textId="77777777" w:rsidR="00085789" w:rsidRDefault="00000000">
            <w:pPr>
              <w:spacing w:line="240" w:lineRule="auto"/>
              <w:jc w:val="center"/>
              <w:rPr>
                <w:color w:val="000000" w:themeColor="text1"/>
                <w:sz w:val="22"/>
                <w:szCs w:val="22"/>
              </w:rPr>
            </w:pPr>
            <w:r>
              <w:rPr>
                <w:color w:val="000000" w:themeColor="text1"/>
                <w:sz w:val="22"/>
                <w:szCs w:val="22"/>
              </w:rPr>
              <w:t>Quyết định 5978/QĐ-UBND ngày 20/12/2017 của UBND huyện Hương Sơn</w:t>
            </w:r>
          </w:p>
        </w:tc>
      </w:tr>
      <w:tr w:rsidR="00085789" w14:paraId="68BD23E0" w14:textId="77777777">
        <w:trPr>
          <w:gridAfter w:val="1"/>
          <w:wAfter w:w="23" w:type="dxa"/>
          <w:trHeight w:val="1327"/>
        </w:trPr>
        <w:tc>
          <w:tcPr>
            <w:tcW w:w="512" w:type="dxa"/>
            <w:tcBorders>
              <w:top w:val="nil"/>
              <w:left w:val="single" w:sz="4" w:space="0" w:color="auto"/>
              <w:bottom w:val="single" w:sz="4" w:space="0" w:color="auto"/>
              <w:right w:val="single" w:sz="4" w:space="0" w:color="auto"/>
            </w:tcBorders>
            <w:vAlign w:val="center"/>
          </w:tcPr>
          <w:p w14:paraId="72DD2E55" w14:textId="77777777" w:rsidR="00085789" w:rsidRDefault="00000000">
            <w:pPr>
              <w:spacing w:line="240" w:lineRule="auto"/>
              <w:jc w:val="center"/>
              <w:rPr>
                <w:color w:val="000000" w:themeColor="text1"/>
                <w:sz w:val="22"/>
                <w:szCs w:val="22"/>
              </w:rPr>
            </w:pPr>
            <w:r>
              <w:rPr>
                <w:color w:val="000000" w:themeColor="text1"/>
                <w:sz w:val="22"/>
                <w:szCs w:val="22"/>
              </w:rPr>
              <w:lastRenderedPageBreak/>
              <w:t>5</w:t>
            </w:r>
          </w:p>
        </w:tc>
        <w:tc>
          <w:tcPr>
            <w:tcW w:w="1607" w:type="dxa"/>
            <w:tcBorders>
              <w:top w:val="nil"/>
              <w:left w:val="nil"/>
              <w:bottom w:val="single" w:sz="4" w:space="0" w:color="auto"/>
              <w:right w:val="single" w:sz="4" w:space="0" w:color="auto"/>
            </w:tcBorders>
            <w:vAlign w:val="center"/>
          </w:tcPr>
          <w:p w14:paraId="2A4764EC" w14:textId="77777777" w:rsidR="00085789" w:rsidRDefault="00000000">
            <w:pPr>
              <w:spacing w:line="240" w:lineRule="auto"/>
              <w:jc w:val="center"/>
              <w:rPr>
                <w:color w:val="000000" w:themeColor="text1"/>
                <w:sz w:val="22"/>
                <w:szCs w:val="22"/>
              </w:rPr>
            </w:pPr>
            <w:r>
              <w:rPr>
                <w:color w:val="000000" w:themeColor="text1"/>
                <w:sz w:val="22"/>
                <w:szCs w:val="22"/>
              </w:rPr>
              <w:t>Lò đốt rác thải sinh hoạt Thạch Trị, Thạch Lạc (lò đốt Lạc Trị)</w:t>
            </w:r>
          </w:p>
        </w:tc>
        <w:tc>
          <w:tcPr>
            <w:tcW w:w="1415" w:type="dxa"/>
            <w:tcBorders>
              <w:top w:val="nil"/>
              <w:left w:val="nil"/>
              <w:bottom w:val="single" w:sz="4" w:space="0" w:color="auto"/>
              <w:right w:val="single" w:sz="4" w:space="0" w:color="auto"/>
            </w:tcBorders>
            <w:vAlign w:val="center"/>
          </w:tcPr>
          <w:p w14:paraId="0FF776E5"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1416" w:type="dxa"/>
            <w:tcBorders>
              <w:top w:val="nil"/>
              <w:left w:val="nil"/>
              <w:bottom w:val="single" w:sz="4" w:space="0" w:color="auto"/>
              <w:right w:val="single" w:sz="4" w:space="0" w:color="auto"/>
            </w:tcBorders>
            <w:vAlign w:val="center"/>
          </w:tcPr>
          <w:p w14:paraId="2398FBC5" w14:textId="77777777" w:rsidR="00085789" w:rsidRDefault="00000000">
            <w:pPr>
              <w:spacing w:line="240" w:lineRule="auto"/>
              <w:jc w:val="center"/>
              <w:rPr>
                <w:color w:val="000000" w:themeColor="text1"/>
                <w:sz w:val="22"/>
                <w:szCs w:val="22"/>
              </w:rPr>
            </w:pPr>
            <w:r>
              <w:rPr>
                <w:color w:val="000000" w:themeColor="text1"/>
                <w:sz w:val="22"/>
                <w:szCs w:val="22"/>
              </w:rPr>
              <w:t>Xã Thạch Trị</w:t>
            </w:r>
          </w:p>
        </w:tc>
        <w:tc>
          <w:tcPr>
            <w:tcW w:w="1429" w:type="dxa"/>
            <w:tcBorders>
              <w:top w:val="nil"/>
              <w:left w:val="nil"/>
              <w:bottom w:val="single" w:sz="4" w:space="0" w:color="auto"/>
              <w:right w:val="single" w:sz="4" w:space="0" w:color="auto"/>
            </w:tcBorders>
            <w:vAlign w:val="center"/>
          </w:tcPr>
          <w:p w14:paraId="3EFF8078" w14:textId="77777777" w:rsidR="00085789" w:rsidRDefault="00000000">
            <w:pPr>
              <w:spacing w:line="240" w:lineRule="auto"/>
              <w:jc w:val="center"/>
              <w:rPr>
                <w:color w:val="000000" w:themeColor="text1"/>
                <w:sz w:val="22"/>
                <w:szCs w:val="22"/>
              </w:rPr>
            </w:pPr>
            <w:r>
              <w:rPr>
                <w:color w:val="000000" w:themeColor="text1"/>
                <w:sz w:val="22"/>
                <w:szCs w:val="22"/>
              </w:rPr>
              <w:t>24</w:t>
            </w:r>
          </w:p>
        </w:tc>
        <w:tc>
          <w:tcPr>
            <w:tcW w:w="1417" w:type="dxa"/>
            <w:tcBorders>
              <w:top w:val="nil"/>
              <w:left w:val="nil"/>
              <w:bottom w:val="single" w:sz="4" w:space="0" w:color="auto"/>
              <w:right w:val="single" w:sz="4" w:space="0" w:color="auto"/>
            </w:tcBorders>
            <w:vAlign w:val="center"/>
          </w:tcPr>
          <w:p w14:paraId="6AF05581" w14:textId="77777777" w:rsidR="00085789" w:rsidRDefault="00000000">
            <w:pPr>
              <w:spacing w:line="240" w:lineRule="auto"/>
              <w:jc w:val="center"/>
              <w:rPr>
                <w:color w:val="000000" w:themeColor="text1"/>
                <w:sz w:val="22"/>
                <w:szCs w:val="22"/>
              </w:rPr>
            </w:pPr>
            <w:r>
              <w:rPr>
                <w:color w:val="000000" w:themeColor="text1"/>
                <w:sz w:val="22"/>
                <w:szCs w:val="22"/>
              </w:rPr>
              <w:t>18</w:t>
            </w:r>
          </w:p>
        </w:tc>
        <w:tc>
          <w:tcPr>
            <w:tcW w:w="1558" w:type="dxa"/>
            <w:tcBorders>
              <w:top w:val="nil"/>
              <w:left w:val="nil"/>
              <w:bottom w:val="single" w:sz="4" w:space="0" w:color="auto"/>
              <w:right w:val="single" w:sz="4" w:space="0" w:color="auto"/>
            </w:tcBorders>
            <w:vAlign w:val="center"/>
          </w:tcPr>
          <w:p w14:paraId="210D34DE"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1561" w:type="dxa"/>
            <w:tcBorders>
              <w:top w:val="nil"/>
              <w:left w:val="nil"/>
              <w:bottom w:val="single" w:sz="4" w:space="0" w:color="auto"/>
              <w:right w:val="single" w:sz="4" w:space="0" w:color="auto"/>
            </w:tcBorders>
            <w:vAlign w:val="center"/>
          </w:tcPr>
          <w:p w14:paraId="12B1FDFF"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2121" w:type="dxa"/>
            <w:tcBorders>
              <w:top w:val="nil"/>
              <w:left w:val="nil"/>
              <w:bottom w:val="single" w:sz="4" w:space="0" w:color="auto"/>
              <w:right w:val="single" w:sz="4" w:space="0" w:color="auto"/>
            </w:tcBorders>
            <w:vAlign w:val="center"/>
          </w:tcPr>
          <w:p w14:paraId="5169CED7"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2404" w:type="dxa"/>
            <w:tcBorders>
              <w:top w:val="nil"/>
              <w:left w:val="nil"/>
              <w:bottom w:val="single" w:sz="4" w:space="0" w:color="auto"/>
              <w:right w:val="single" w:sz="4" w:space="0" w:color="auto"/>
            </w:tcBorders>
            <w:vAlign w:val="center"/>
          </w:tcPr>
          <w:p w14:paraId="6330F894" w14:textId="77777777" w:rsidR="00085789" w:rsidRDefault="00000000">
            <w:pPr>
              <w:spacing w:line="240" w:lineRule="auto"/>
              <w:jc w:val="center"/>
              <w:rPr>
                <w:color w:val="000000" w:themeColor="text1"/>
                <w:sz w:val="22"/>
                <w:szCs w:val="22"/>
              </w:rPr>
            </w:pPr>
            <w:r>
              <w:rPr>
                <w:color w:val="000000" w:themeColor="text1"/>
                <w:sz w:val="22"/>
                <w:szCs w:val="22"/>
              </w:rPr>
              <w:t>-</w:t>
            </w:r>
          </w:p>
        </w:tc>
      </w:tr>
      <w:tr w:rsidR="00085789" w14:paraId="0BB0D3BF" w14:textId="77777777">
        <w:trPr>
          <w:gridAfter w:val="1"/>
          <w:wAfter w:w="23" w:type="dxa"/>
          <w:trHeight w:val="1408"/>
        </w:trPr>
        <w:tc>
          <w:tcPr>
            <w:tcW w:w="512" w:type="dxa"/>
            <w:tcBorders>
              <w:top w:val="nil"/>
              <w:left w:val="single" w:sz="4" w:space="0" w:color="auto"/>
              <w:bottom w:val="single" w:sz="4" w:space="0" w:color="auto"/>
              <w:right w:val="single" w:sz="4" w:space="0" w:color="auto"/>
            </w:tcBorders>
            <w:vAlign w:val="center"/>
          </w:tcPr>
          <w:p w14:paraId="3B16279C" w14:textId="77777777" w:rsidR="00085789" w:rsidRDefault="00000000">
            <w:pPr>
              <w:spacing w:line="240" w:lineRule="auto"/>
              <w:jc w:val="center"/>
              <w:rPr>
                <w:color w:val="000000" w:themeColor="text1"/>
                <w:sz w:val="22"/>
                <w:szCs w:val="22"/>
              </w:rPr>
            </w:pPr>
            <w:r>
              <w:rPr>
                <w:color w:val="000000" w:themeColor="text1"/>
                <w:sz w:val="22"/>
                <w:szCs w:val="22"/>
              </w:rPr>
              <w:t>6</w:t>
            </w:r>
          </w:p>
        </w:tc>
        <w:tc>
          <w:tcPr>
            <w:tcW w:w="1607" w:type="dxa"/>
            <w:tcBorders>
              <w:top w:val="nil"/>
              <w:left w:val="nil"/>
              <w:bottom w:val="single" w:sz="4" w:space="0" w:color="auto"/>
              <w:right w:val="single" w:sz="4" w:space="0" w:color="auto"/>
            </w:tcBorders>
            <w:vAlign w:val="center"/>
          </w:tcPr>
          <w:p w14:paraId="5BFA6057" w14:textId="77777777" w:rsidR="00085789" w:rsidRDefault="00000000">
            <w:pPr>
              <w:spacing w:line="240" w:lineRule="auto"/>
              <w:jc w:val="center"/>
              <w:rPr>
                <w:color w:val="000000" w:themeColor="text1"/>
                <w:sz w:val="22"/>
                <w:szCs w:val="22"/>
              </w:rPr>
            </w:pPr>
            <w:r>
              <w:rPr>
                <w:color w:val="000000" w:themeColor="text1"/>
                <w:sz w:val="22"/>
                <w:szCs w:val="22"/>
              </w:rPr>
              <w:t>Lò đốt rác Đức Hương</w:t>
            </w:r>
          </w:p>
        </w:tc>
        <w:tc>
          <w:tcPr>
            <w:tcW w:w="1415" w:type="dxa"/>
            <w:tcBorders>
              <w:top w:val="nil"/>
              <w:left w:val="nil"/>
              <w:bottom w:val="single" w:sz="4" w:space="0" w:color="auto"/>
              <w:right w:val="single" w:sz="4" w:space="0" w:color="auto"/>
            </w:tcBorders>
            <w:vAlign w:val="center"/>
          </w:tcPr>
          <w:p w14:paraId="2F4ECD30" w14:textId="77777777" w:rsidR="00085789" w:rsidRDefault="00000000">
            <w:pPr>
              <w:spacing w:line="240" w:lineRule="auto"/>
              <w:jc w:val="center"/>
              <w:rPr>
                <w:color w:val="000000" w:themeColor="text1"/>
                <w:sz w:val="22"/>
                <w:szCs w:val="22"/>
              </w:rPr>
            </w:pPr>
            <w:r>
              <w:rPr>
                <w:color w:val="000000" w:themeColor="text1"/>
                <w:sz w:val="22"/>
                <w:szCs w:val="22"/>
              </w:rPr>
              <w:t>UBND xã Thượng Đức</w:t>
            </w:r>
          </w:p>
        </w:tc>
        <w:tc>
          <w:tcPr>
            <w:tcW w:w="1416" w:type="dxa"/>
            <w:tcBorders>
              <w:top w:val="nil"/>
              <w:left w:val="nil"/>
              <w:bottom w:val="single" w:sz="4" w:space="0" w:color="auto"/>
              <w:right w:val="single" w:sz="4" w:space="0" w:color="auto"/>
            </w:tcBorders>
            <w:vAlign w:val="center"/>
          </w:tcPr>
          <w:p w14:paraId="7D226D45" w14:textId="77777777" w:rsidR="00085789" w:rsidRDefault="00000000">
            <w:pPr>
              <w:spacing w:line="240" w:lineRule="auto"/>
              <w:jc w:val="center"/>
              <w:rPr>
                <w:color w:val="000000" w:themeColor="text1"/>
                <w:sz w:val="22"/>
                <w:szCs w:val="22"/>
              </w:rPr>
            </w:pPr>
            <w:r>
              <w:rPr>
                <w:color w:val="000000" w:themeColor="text1"/>
                <w:sz w:val="22"/>
                <w:szCs w:val="22"/>
              </w:rPr>
              <w:t>Xã Thượng Đức</w:t>
            </w:r>
          </w:p>
        </w:tc>
        <w:tc>
          <w:tcPr>
            <w:tcW w:w="1429" w:type="dxa"/>
            <w:tcBorders>
              <w:top w:val="nil"/>
              <w:left w:val="nil"/>
              <w:bottom w:val="single" w:sz="4" w:space="0" w:color="auto"/>
              <w:right w:val="single" w:sz="4" w:space="0" w:color="auto"/>
            </w:tcBorders>
            <w:vAlign w:val="center"/>
          </w:tcPr>
          <w:p w14:paraId="2CC6F12B" w14:textId="77777777" w:rsidR="00085789" w:rsidRDefault="00000000">
            <w:pPr>
              <w:spacing w:line="240" w:lineRule="auto"/>
              <w:jc w:val="center"/>
              <w:rPr>
                <w:color w:val="000000" w:themeColor="text1"/>
                <w:sz w:val="22"/>
                <w:szCs w:val="22"/>
              </w:rPr>
            </w:pPr>
            <w:r>
              <w:rPr>
                <w:color w:val="000000" w:themeColor="text1"/>
                <w:sz w:val="22"/>
                <w:szCs w:val="22"/>
              </w:rPr>
              <w:t>16,8</w:t>
            </w:r>
          </w:p>
        </w:tc>
        <w:tc>
          <w:tcPr>
            <w:tcW w:w="1417" w:type="dxa"/>
            <w:tcBorders>
              <w:top w:val="nil"/>
              <w:left w:val="nil"/>
              <w:bottom w:val="single" w:sz="4" w:space="0" w:color="auto"/>
              <w:right w:val="single" w:sz="4" w:space="0" w:color="auto"/>
            </w:tcBorders>
            <w:vAlign w:val="center"/>
          </w:tcPr>
          <w:p w14:paraId="671ED742"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1558" w:type="dxa"/>
            <w:tcBorders>
              <w:top w:val="nil"/>
              <w:left w:val="nil"/>
              <w:bottom w:val="single" w:sz="4" w:space="0" w:color="auto"/>
              <w:right w:val="single" w:sz="4" w:space="0" w:color="auto"/>
            </w:tcBorders>
            <w:vAlign w:val="center"/>
          </w:tcPr>
          <w:p w14:paraId="2534FA9C"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1561" w:type="dxa"/>
            <w:tcBorders>
              <w:top w:val="nil"/>
              <w:left w:val="nil"/>
              <w:bottom w:val="single" w:sz="4" w:space="0" w:color="auto"/>
              <w:right w:val="single" w:sz="4" w:space="0" w:color="auto"/>
            </w:tcBorders>
            <w:vAlign w:val="center"/>
          </w:tcPr>
          <w:p w14:paraId="7C7F0145" w14:textId="77777777" w:rsidR="00085789" w:rsidRDefault="00000000">
            <w:pPr>
              <w:spacing w:line="240" w:lineRule="auto"/>
              <w:jc w:val="center"/>
              <w:rPr>
                <w:color w:val="000000" w:themeColor="text1"/>
                <w:sz w:val="22"/>
                <w:szCs w:val="22"/>
              </w:rPr>
            </w:pPr>
            <w:r>
              <w:rPr>
                <w:color w:val="000000" w:themeColor="text1"/>
                <w:sz w:val="22"/>
                <w:szCs w:val="22"/>
              </w:rPr>
              <w:t>Ngân sách nhà nước</w:t>
            </w:r>
          </w:p>
        </w:tc>
        <w:tc>
          <w:tcPr>
            <w:tcW w:w="2121" w:type="dxa"/>
            <w:tcBorders>
              <w:top w:val="nil"/>
              <w:left w:val="nil"/>
              <w:bottom w:val="single" w:sz="4" w:space="0" w:color="auto"/>
              <w:right w:val="single" w:sz="4" w:space="0" w:color="auto"/>
            </w:tcBorders>
            <w:vAlign w:val="center"/>
          </w:tcPr>
          <w:p w14:paraId="2F60A2A9" w14:textId="77777777" w:rsidR="00085789" w:rsidRDefault="00000000">
            <w:pPr>
              <w:spacing w:line="240" w:lineRule="auto"/>
              <w:jc w:val="center"/>
              <w:rPr>
                <w:color w:val="000000" w:themeColor="text1"/>
                <w:sz w:val="22"/>
                <w:szCs w:val="22"/>
              </w:rPr>
            </w:pPr>
            <w:r>
              <w:rPr>
                <w:color w:val="000000" w:themeColor="text1"/>
                <w:sz w:val="22"/>
                <w:szCs w:val="22"/>
              </w:rPr>
              <w:t>10 năm (đến  năm 2032)</w:t>
            </w:r>
          </w:p>
        </w:tc>
        <w:tc>
          <w:tcPr>
            <w:tcW w:w="2404" w:type="dxa"/>
            <w:tcBorders>
              <w:top w:val="nil"/>
              <w:left w:val="nil"/>
              <w:bottom w:val="single" w:sz="4" w:space="0" w:color="auto"/>
              <w:right w:val="single" w:sz="4" w:space="0" w:color="auto"/>
            </w:tcBorders>
            <w:vAlign w:val="center"/>
          </w:tcPr>
          <w:p w14:paraId="294D0B22" w14:textId="77777777" w:rsidR="00085789" w:rsidRDefault="00000000">
            <w:pPr>
              <w:spacing w:line="240" w:lineRule="auto"/>
              <w:jc w:val="center"/>
              <w:rPr>
                <w:color w:val="000000" w:themeColor="text1"/>
                <w:sz w:val="22"/>
                <w:szCs w:val="22"/>
              </w:rPr>
            </w:pPr>
            <w:r>
              <w:rPr>
                <w:color w:val="000000" w:themeColor="text1"/>
                <w:sz w:val="22"/>
                <w:szCs w:val="22"/>
              </w:rPr>
              <w:t>Sử dụng công nghệ lò đốt DCI do Công ty CP đầu tư phát triển và xây dựng quốc tế lắp đặt và xây dựng, đã có GPMT</w:t>
            </w:r>
          </w:p>
        </w:tc>
      </w:tr>
      <w:tr w:rsidR="00085789" w14:paraId="70213CB0" w14:textId="77777777">
        <w:trPr>
          <w:gridAfter w:val="1"/>
          <w:wAfter w:w="23" w:type="dxa"/>
          <w:trHeight w:val="1118"/>
        </w:trPr>
        <w:tc>
          <w:tcPr>
            <w:tcW w:w="512" w:type="dxa"/>
            <w:tcBorders>
              <w:top w:val="nil"/>
              <w:left w:val="single" w:sz="4" w:space="0" w:color="auto"/>
              <w:bottom w:val="single" w:sz="4" w:space="0" w:color="auto"/>
              <w:right w:val="single" w:sz="4" w:space="0" w:color="auto"/>
            </w:tcBorders>
            <w:vAlign w:val="center"/>
          </w:tcPr>
          <w:p w14:paraId="19B8094D" w14:textId="77777777" w:rsidR="00085789" w:rsidRDefault="00000000">
            <w:pPr>
              <w:spacing w:line="240" w:lineRule="auto"/>
              <w:jc w:val="center"/>
              <w:rPr>
                <w:color w:val="000000" w:themeColor="text1"/>
                <w:sz w:val="22"/>
                <w:szCs w:val="22"/>
              </w:rPr>
            </w:pPr>
            <w:r>
              <w:rPr>
                <w:color w:val="000000" w:themeColor="text1"/>
                <w:sz w:val="22"/>
                <w:szCs w:val="22"/>
              </w:rPr>
              <w:t>7</w:t>
            </w:r>
          </w:p>
        </w:tc>
        <w:tc>
          <w:tcPr>
            <w:tcW w:w="1607" w:type="dxa"/>
            <w:tcBorders>
              <w:top w:val="nil"/>
              <w:left w:val="nil"/>
              <w:bottom w:val="single" w:sz="4" w:space="0" w:color="auto"/>
              <w:right w:val="single" w:sz="4" w:space="0" w:color="auto"/>
            </w:tcBorders>
            <w:vAlign w:val="center"/>
          </w:tcPr>
          <w:p w14:paraId="44498A51" w14:textId="77777777" w:rsidR="00085789" w:rsidRDefault="00000000">
            <w:pPr>
              <w:spacing w:line="240" w:lineRule="auto"/>
              <w:jc w:val="center"/>
              <w:rPr>
                <w:color w:val="000000" w:themeColor="text1"/>
                <w:sz w:val="22"/>
                <w:szCs w:val="22"/>
              </w:rPr>
            </w:pPr>
            <w:r>
              <w:rPr>
                <w:color w:val="000000" w:themeColor="text1"/>
                <w:sz w:val="22"/>
                <w:szCs w:val="22"/>
              </w:rPr>
              <w:t>Khu xử lý rác Hương Thủy- Hương Khê</w:t>
            </w:r>
          </w:p>
        </w:tc>
        <w:tc>
          <w:tcPr>
            <w:tcW w:w="1415" w:type="dxa"/>
            <w:tcBorders>
              <w:top w:val="nil"/>
              <w:left w:val="nil"/>
              <w:bottom w:val="single" w:sz="4" w:space="0" w:color="auto"/>
              <w:right w:val="single" w:sz="4" w:space="0" w:color="auto"/>
            </w:tcBorders>
            <w:vAlign w:val="center"/>
          </w:tcPr>
          <w:p w14:paraId="544C19DE" w14:textId="77777777" w:rsidR="00085789" w:rsidRDefault="00000000">
            <w:pPr>
              <w:spacing w:line="240" w:lineRule="auto"/>
              <w:jc w:val="center"/>
              <w:rPr>
                <w:color w:val="000000" w:themeColor="text1"/>
                <w:sz w:val="22"/>
                <w:szCs w:val="22"/>
              </w:rPr>
            </w:pPr>
            <w:r>
              <w:rPr>
                <w:color w:val="000000" w:themeColor="text1"/>
                <w:sz w:val="22"/>
                <w:szCs w:val="22"/>
              </w:rPr>
              <w:t>-</w:t>
            </w:r>
          </w:p>
        </w:tc>
        <w:tc>
          <w:tcPr>
            <w:tcW w:w="1416" w:type="dxa"/>
            <w:tcBorders>
              <w:top w:val="nil"/>
              <w:left w:val="nil"/>
              <w:bottom w:val="single" w:sz="4" w:space="0" w:color="auto"/>
              <w:right w:val="single" w:sz="4" w:space="0" w:color="auto"/>
            </w:tcBorders>
            <w:vAlign w:val="center"/>
          </w:tcPr>
          <w:p w14:paraId="06894EB1" w14:textId="77777777" w:rsidR="00085789" w:rsidRDefault="00000000">
            <w:pPr>
              <w:spacing w:line="240" w:lineRule="auto"/>
              <w:jc w:val="center"/>
              <w:rPr>
                <w:color w:val="000000" w:themeColor="text1"/>
                <w:sz w:val="22"/>
                <w:szCs w:val="22"/>
              </w:rPr>
            </w:pPr>
            <w:r>
              <w:rPr>
                <w:color w:val="000000" w:themeColor="text1"/>
                <w:sz w:val="22"/>
                <w:szCs w:val="22"/>
              </w:rPr>
              <w:t>Xã Hương Phố</w:t>
            </w:r>
          </w:p>
        </w:tc>
        <w:tc>
          <w:tcPr>
            <w:tcW w:w="1429" w:type="dxa"/>
            <w:tcBorders>
              <w:top w:val="nil"/>
              <w:left w:val="nil"/>
              <w:bottom w:val="single" w:sz="4" w:space="0" w:color="auto"/>
              <w:right w:val="single" w:sz="4" w:space="0" w:color="auto"/>
            </w:tcBorders>
            <w:vAlign w:val="center"/>
          </w:tcPr>
          <w:p w14:paraId="5C9C8523" w14:textId="77777777" w:rsidR="00085789" w:rsidRDefault="00000000">
            <w:pPr>
              <w:spacing w:line="240" w:lineRule="auto"/>
              <w:jc w:val="center"/>
              <w:rPr>
                <w:color w:val="000000" w:themeColor="text1"/>
                <w:sz w:val="22"/>
                <w:szCs w:val="22"/>
              </w:rPr>
            </w:pPr>
            <w:r>
              <w:rPr>
                <w:color w:val="000000" w:themeColor="text1"/>
                <w:sz w:val="22"/>
                <w:szCs w:val="22"/>
              </w:rPr>
              <w:t>24</w:t>
            </w:r>
          </w:p>
        </w:tc>
        <w:tc>
          <w:tcPr>
            <w:tcW w:w="1417" w:type="dxa"/>
            <w:tcBorders>
              <w:top w:val="nil"/>
              <w:left w:val="nil"/>
              <w:bottom w:val="single" w:sz="4" w:space="0" w:color="auto"/>
              <w:right w:val="single" w:sz="4" w:space="0" w:color="auto"/>
            </w:tcBorders>
            <w:vAlign w:val="center"/>
          </w:tcPr>
          <w:p w14:paraId="7BAC6953" w14:textId="77777777" w:rsidR="00085789" w:rsidRDefault="00000000">
            <w:pPr>
              <w:spacing w:line="240" w:lineRule="auto"/>
              <w:jc w:val="center"/>
              <w:rPr>
                <w:color w:val="000000" w:themeColor="text1"/>
                <w:sz w:val="22"/>
                <w:szCs w:val="22"/>
              </w:rPr>
            </w:pPr>
            <w:r>
              <w:rPr>
                <w:color w:val="000000" w:themeColor="text1"/>
                <w:sz w:val="22"/>
                <w:szCs w:val="22"/>
              </w:rPr>
              <w:t> </w:t>
            </w:r>
          </w:p>
        </w:tc>
        <w:tc>
          <w:tcPr>
            <w:tcW w:w="1558" w:type="dxa"/>
            <w:tcBorders>
              <w:top w:val="nil"/>
              <w:left w:val="nil"/>
              <w:bottom w:val="single" w:sz="4" w:space="0" w:color="auto"/>
              <w:right w:val="single" w:sz="4" w:space="0" w:color="auto"/>
            </w:tcBorders>
            <w:vAlign w:val="center"/>
          </w:tcPr>
          <w:p w14:paraId="20519EA6" w14:textId="77777777" w:rsidR="00085789" w:rsidRDefault="00000000">
            <w:pPr>
              <w:spacing w:line="240" w:lineRule="auto"/>
              <w:jc w:val="center"/>
              <w:rPr>
                <w:color w:val="000000" w:themeColor="text1"/>
                <w:sz w:val="22"/>
                <w:szCs w:val="22"/>
              </w:rPr>
            </w:pPr>
            <w:r>
              <w:rPr>
                <w:color w:val="000000" w:themeColor="text1"/>
                <w:sz w:val="22"/>
                <w:szCs w:val="22"/>
              </w:rPr>
              <w:t xml:space="preserve">          23.317,00 </w:t>
            </w:r>
          </w:p>
        </w:tc>
        <w:tc>
          <w:tcPr>
            <w:tcW w:w="1561" w:type="dxa"/>
            <w:tcBorders>
              <w:top w:val="nil"/>
              <w:left w:val="nil"/>
              <w:bottom w:val="single" w:sz="4" w:space="0" w:color="auto"/>
              <w:right w:val="single" w:sz="4" w:space="0" w:color="auto"/>
            </w:tcBorders>
            <w:vAlign w:val="center"/>
          </w:tcPr>
          <w:p w14:paraId="764005C4" w14:textId="77777777" w:rsidR="00085789" w:rsidRDefault="00000000">
            <w:pPr>
              <w:spacing w:line="240" w:lineRule="auto"/>
              <w:jc w:val="center"/>
              <w:rPr>
                <w:color w:val="000000" w:themeColor="text1"/>
                <w:sz w:val="22"/>
                <w:szCs w:val="22"/>
              </w:rPr>
            </w:pPr>
            <w:r>
              <w:rPr>
                <w:color w:val="000000" w:themeColor="text1"/>
                <w:sz w:val="22"/>
                <w:szCs w:val="22"/>
              </w:rPr>
              <w:t>Ngân sách nhà nước</w:t>
            </w:r>
          </w:p>
        </w:tc>
        <w:tc>
          <w:tcPr>
            <w:tcW w:w="2121" w:type="dxa"/>
            <w:tcBorders>
              <w:top w:val="nil"/>
              <w:left w:val="nil"/>
              <w:bottom w:val="single" w:sz="4" w:space="0" w:color="auto"/>
              <w:right w:val="single" w:sz="4" w:space="0" w:color="auto"/>
            </w:tcBorders>
            <w:vAlign w:val="center"/>
          </w:tcPr>
          <w:p w14:paraId="112A2AA4" w14:textId="77777777" w:rsidR="00085789" w:rsidRDefault="00000000">
            <w:pPr>
              <w:spacing w:line="240" w:lineRule="auto"/>
              <w:jc w:val="center"/>
              <w:rPr>
                <w:color w:val="000000" w:themeColor="text1"/>
                <w:sz w:val="22"/>
                <w:szCs w:val="22"/>
              </w:rPr>
            </w:pPr>
            <w:r>
              <w:rPr>
                <w:color w:val="000000" w:themeColor="text1"/>
                <w:sz w:val="22"/>
                <w:szCs w:val="22"/>
              </w:rPr>
              <w:t>10 năm (đến  năm 2032)</w:t>
            </w:r>
          </w:p>
        </w:tc>
        <w:tc>
          <w:tcPr>
            <w:tcW w:w="2404" w:type="dxa"/>
            <w:tcBorders>
              <w:top w:val="nil"/>
              <w:left w:val="nil"/>
              <w:bottom w:val="single" w:sz="4" w:space="0" w:color="auto"/>
              <w:right w:val="single" w:sz="4" w:space="0" w:color="auto"/>
            </w:tcBorders>
            <w:vAlign w:val="center"/>
          </w:tcPr>
          <w:p w14:paraId="19B28190" w14:textId="77777777" w:rsidR="00085789" w:rsidRDefault="00000000">
            <w:pPr>
              <w:spacing w:line="240" w:lineRule="auto"/>
              <w:jc w:val="center"/>
              <w:rPr>
                <w:color w:val="000000" w:themeColor="text1"/>
                <w:sz w:val="22"/>
                <w:szCs w:val="22"/>
              </w:rPr>
            </w:pPr>
            <w:r>
              <w:rPr>
                <w:color w:val="000000" w:themeColor="text1"/>
                <w:sz w:val="22"/>
                <w:szCs w:val="22"/>
              </w:rPr>
              <w:t>loại lò Sankyo GF 1500 công suất 1 tấn/giờ , đã có GPMT</w:t>
            </w:r>
          </w:p>
        </w:tc>
      </w:tr>
      <w:tr w:rsidR="00085789" w14:paraId="52299419" w14:textId="77777777">
        <w:trPr>
          <w:trHeight w:val="273"/>
        </w:trPr>
        <w:tc>
          <w:tcPr>
            <w:tcW w:w="512" w:type="dxa"/>
            <w:tcBorders>
              <w:top w:val="nil"/>
              <w:left w:val="single" w:sz="4" w:space="0" w:color="auto"/>
              <w:bottom w:val="single" w:sz="4" w:space="0" w:color="auto"/>
              <w:right w:val="single" w:sz="4" w:space="0" w:color="auto"/>
            </w:tcBorders>
            <w:shd w:val="clear" w:color="000000" w:fill="FFFFFF"/>
            <w:vAlign w:val="center"/>
          </w:tcPr>
          <w:p w14:paraId="462221CD" w14:textId="77777777" w:rsidR="00085789" w:rsidRDefault="00000000">
            <w:pPr>
              <w:spacing w:line="240" w:lineRule="auto"/>
              <w:jc w:val="center"/>
              <w:rPr>
                <w:b/>
                <w:bCs/>
                <w:color w:val="000000" w:themeColor="text1"/>
                <w:sz w:val="22"/>
                <w:szCs w:val="22"/>
              </w:rPr>
            </w:pPr>
            <w:r>
              <w:rPr>
                <w:b/>
                <w:bCs/>
                <w:color w:val="000000" w:themeColor="text1"/>
                <w:sz w:val="22"/>
                <w:szCs w:val="22"/>
              </w:rPr>
              <w:t>IV</w:t>
            </w:r>
          </w:p>
        </w:tc>
        <w:tc>
          <w:tcPr>
            <w:tcW w:w="14951" w:type="dxa"/>
            <w:gridSpan w:val="10"/>
            <w:tcBorders>
              <w:top w:val="single" w:sz="4" w:space="0" w:color="auto"/>
              <w:left w:val="nil"/>
              <w:bottom w:val="single" w:sz="4" w:space="0" w:color="auto"/>
              <w:right w:val="single" w:sz="4" w:space="0" w:color="auto"/>
            </w:tcBorders>
            <w:shd w:val="clear" w:color="000000" w:fill="FFFFFF"/>
            <w:vAlign w:val="center"/>
          </w:tcPr>
          <w:p w14:paraId="267784AC" w14:textId="77777777" w:rsidR="00085789" w:rsidRDefault="00000000">
            <w:pPr>
              <w:spacing w:line="240" w:lineRule="auto"/>
              <w:rPr>
                <w:b/>
                <w:bCs/>
                <w:color w:val="000000" w:themeColor="text1"/>
                <w:sz w:val="22"/>
                <w:szCs w:val="22"/>
              </w:rPr>
            </w:pPr>
            <w:r>
              <w:rPr>
                <w:b/>
                <w:bCs/>
                <w:color w:val="000000" w:themeColor="text1"/>
                <w:sz w:val="22"/>
                <w:szCs w:val="22"/>
              </w:rPr>
              <w:t>Dự án đã có Chủ trương đầu tư</w:t>
            </w:r>
          </w:p>
        </w:tc>
      </w:tr>
      <w:tr w:rsidR="00085789" w14:paraId="6039E14F" w14:textId="77777777">
        <w:trPr>
          <w:gridAfter w:val="1"/>
          <w:wAfter w:w="23" w:type="dxa"/>
          <w:trHeight w:val="1104"/>
        </w:trPr>
        <w:tc>
          <w:tcPr>
            <w:tcW w:w="512" w:type="dxa"/>
            <w:tcBorders>
              <w:top w:val="single" w:sz="4" w:space="0" w:color="auto"/>
              <w:left w:val="single" w:sz="4" w:space="0" w:color="auto"/>
              <w:bottom w:val="single" w:sz="4" w:space="0" w:color="auto"/>
              <w:right w:val="single" w:sz="4" w:space="0" w:color="auto"/>
            </w:tcBorders>
            <w:vAlign w:val="center"/>
          </w:tcPr>
          <w:p w14:paraId="20236637" w14:textId="77777777" w:rsidR="00085789" w:rsidRDefault="00000000">
            <w:pPr>
              <w:spacing w:line="240" w:lineRule="auto"/>
              <w:jc w:val="center"/>
              <w:rPr>
                <w:color w:val="000000" w:themeColor="text1"/>
                <w:sz w:val="22"/>
                <w:szCs w:val="22"/>
              </w:rPr>
            </w:pPr>
            <w:r>
              <w:rPr>
                <w:color w:val="000000" w:themeColor="text1"/>
                <w:sz w:val="22"/>
                <w:szCs w:val="22"/>
              </w:rPr>
              <w:t>1</w:t>
            </w:r>
          </w:p>
        </w:tc>
        <w:tc>
          <w:tcPr>
            <w:tcW w:w="1607" w:type="dxa"/>
            <w:tcBorders>
              <w:top w:val="single" w:sz="4" w:space="0" w:color="auto"/>
              <w:left w:val="nil"/>
              <w:bottom w:val="single" w:sz="4" w:space="0" w:color="auto"/>
              <w:right w:val="single" w:sz="4" w:space="0" w:color="auto"/>
            </w:tcBorders>
            <w:vAlign w:val="center"/>
          </w:tcPr>
          <w:p w14:paraId="09150B60" w14:textId="77777777" w:rsidR="00085789" w:rsidRDefault="00000000">
            <w:pPr>
              <w:spacing w:line="240" w:lineRule="auto"/>
              <w:jc w:val="center"/>
              <w:rPr>
                <w:color w:val="000000" w:themeColor="text1"/>
                <w:sz w:val="22"/>
                <w:szCs w:val="22"/>
              </w:rPr>
            </w:pPr>
            <w:r>
              <w:rPr>
                <w:color w:val="000000" w:themeColor="text1"/>
                <w:sz w:val="22"/>
                <w:szCs w:val="22"/>
              </w:rPr>
              <w:t>Nhà máy điện rác Hồng Lộc</w:t>
            </w:r>
          </w:p>
        </w:tc>
        <w:tc>
          <w:tcPr>
            <w:tcW w:w="1415" w:type="dxa"/>
            <w:tcBorders>
              <w:top w:val="single" w:sz="4" w:space="0" w:color="auto"/>
              <w:left w:val="nil"/>
              <w:bottom w:val="single" w:sz="4" w:space="0" w:color="auto"/>
              <w:right w:val="single" w:sz="4" w:space="0" w:color="auto"/>
            </w:tcBorders>
            <w:vAlign w:val="center"/>
          </w:tcPr>
          <w:p w14:paraId="0762089E" w14:textId="77777777" w:rsidR="00085789" w:rsidRDefault="00000000">
            <w:pPr>
              <w:spacing w:line="240" w:lineRule="auto"/>
              <w:jc w:val="center"/>
              <w:rPr>
                <w:color w:val="000000" w:themeColor="text1"/>
                <w:sz w:val="22"/>
                <w:szCs w:val="22"/>
              </w:rPr>
            </w:pPr>
            <w:r>
              <w:rPr>
                <w:color w:val="000000" w:themeColor="text1"/>
                <w:sz w:val="22"/>
                <w:szCs w:val="22"/>
              </w:rPr>
              <w:t>Công ty CP môi trường và xử lý rác thải An Dương</w:t>
            </w:r>
          </w:p>
        </w:tc>
        <w:tc>
          <w:tcPr>
            <w:tcW w:w="1416" w:type="dxa"/>
            <w:tcBorders>
              <w:top w:val="single" w:sz="4" w:space="0" w:color="auto"/>
              <w:left w:val="nil"/>
              <w:bottom w:val="single" w:sz="4" w:space="0" w:color="auto"/>
              <w:right w:val="single" w:sz="4" w:space="0" w:color="auto"/>
            </w:tcBorders>
            <w:vAlign w:val="center"/>
          </w:tcPr>
          <w:p w14:paraId="56F1455A" w14:textId="77777777" w:rsidR="00085789" w:rsidRDefault="00000000">
            <w:pPr>
              <w:spacing w:line="240" w:lineRule="auto"/>
              <w:jc w:val="center"/>
              <w:rPr>
                <w:color w:val="000000" w:themeColor="text1"/>
                <w:sz w:val="22"/>
                <w:szCs w:val="22"/>
              </w:rPr>
            </w:pPr>
            <w:r>
              <w:rPr>
                <w:color w:val="000000" w:themeColor="text1"/>
                <w:sz w:val="22"/>
                <w:szCs w:val="22"/>
              </w:rPr>
              <w:t>Xã Hồng Lộc</w:t>
            </w:r>
          </w:p>
        </w:tc>
        <w:tc>
          <w:tcPr>
            <w:tcW w:w="1429" w:type="dxa"/>
            <w:tcBorders>
              <w:top w:val="single" w:sz="4" w:space="0" w:color="auto"/>
              <w:left w:val="nil"/>
              <w:bottom w:val="single" w:sz="4" w:space="0" w:color="auto"/>
              <w:right w:val="single" w:sz="4" w:space="0" w:color="auto"/>
            </w:tcBorders>
            <w:vAlign w:val="center"/>
          </w:tcPr>
          <w:p w14:paraId="00FE7121" w14:textId="77777777" w:rsidR="00085789" w:rsidRDefault="00000000">
            <w:pPr>
              <w:spacing w:line="240" w:lineRule="auto"/>
              <w:jc w:val="both"/>
              <w:rPr>
                <w:color w:val="000000" w:themeColor="text1"/>
                <w:sz w:val="22"/>
                <w:szCs w:val="22"/>
              </w:rPr>
            </w:pPr>
            <w:r>
              <w:rPr>
                <w:color w:val="000000" w:themeColor="text1"/>
                <w:sz w:val="22"/>
                <w:szCs w:val="22"/>
              </w:rPr>
              <w:t>Giai đoạn 1 xử lý 450 tấn rác/ngày, giai đoạn 2 sẽ xử lý 700 tấn rác/ngày</w:t>
            </w:r>
          </w:p>
        </w:tc>
        <w:tc>
          <w:tcPr>
            <w:tcW w:w="1417" w:type="dxa"/>
            <w:tcBorders>
              <w:top w:val="single" w:sz="4" w:space="0" w:color="auto"/>
              <w:left w:val="nil"/>
              <w:bottom w:val="single" w:sz="4" w:space="0" w:color="auto"/>
              <w:right w:val="single" w:sz="4" w:space="0" w:color="auto"/>
            </w:tcBorders>
            <w:vAlign w:val="center"/>
          </w:tcPr>
          <w:p w14:paraId="3C46B3E3" w14:textId="77777777" w:rsidR="00085789" w:rsidRDefault="00085789">
            <w:pPr>
              <w:spacing w:line="240" w:lineRule="auto"/>
              <w:jc w:val="center"/>
              <w:rPr>
                <w:color w:val="000000" w:themeColor="text1"/>
                <w:sz w:val="22"/>
                <w:szCs w:val="22"/>
              </w:rPr>
            </w:pPr>
          </w:p>
        </w:tc>
        <w:tc>
          <w:tcPr>
            <w:tcW w:w="1558" w:type="dxa"/>
            <w:tcBorders>
              <w:top w:val="single" w:sz="4" w:space="0" w:color="auto"/>
              <w:left w:val="nil"/>
              <w:bottom w:val="single" w:sz="4" w:space="0" w:color="auto"/>
              <w:right w:val="single" w:sz="4" w:space="0" w:color="auto"/>
            </w:tcBorders>
            <w:vAlign w:val="center"/>
          </w:tcPr>
          <w:p w14:paraId="7F6FEE71" w14:textId="77777777" w:rsidR="00085789" w:rsidRDefault="00085789">
            <w:pPr>
              <w:spacing w:line="240" w:lineRule="auto"/>
              <w:jc w:val="center"/>
              <w:rPr>
                <w:color w:val="000000" w:themeColor="text1"/>
                <w:sz w:val="22"/>
                <w:szCs w:val="22"/>
              </w:rPr>
            </w:pPr>
          </w:p>
        </w:tc>
        <w:tc>
          <w:tcPr>
            <w:tcW w:w="1561" w:type="dxa"/>
            <w:tcBorders>
              <w:top w:val="single" w:sz="4" w:space="0" w:color="auto"/>
              <w:left w:val="nil"/>
              <w:bottom w:val="single" w:sz="4" w:space="0" w:color="auto"/>
              <w:right w:val="single" w:sz="4" w:space="0" w:color="auto"/>
            </w:tcBorders>
            <w:vAlign w:val="center"/>
          </w:tcPr>
          <w:p w14:paraId="041B6EB3" w14:textId="77777777" w:rsidR="00085789" w:rsidRDefault="00085789">
            <w:pPr>
              <w:spacing w:line="240" w:lineRule="auto"/>
              <w:jc w:val="center"/>
              <w:rPr>
                <w:color w:val="000000" w:themeColor="text1"/>
                <w:sz w:val="22"/>
                <w:szCs w:val="22"/>
              </w:rPr>
            </w:pPr>
          </w:p>
        </w:tc>
        <w:tc>
          <w:tcPr>
            <w:tcW w:w="2121" w:type="dxa"/>
            <w:tcBorders>
              <w:top w:val="single" w:sz="4" w:space="0" w:color="auto"/>
              <w:left w:val="nil"/>
              <w:bottom w:val="single" w:sz="4" w:space="0" w:color="auto"/>
              <w:right w:val="single" w:sz="4" w:space="0" w:color="auto"/>
            </w:tcBorders>
            <w:vAlign w:val="center"/>
          </w:tcPr>
          <w:p w14:paraId="2B727011" w14:textId="77777777" w:rsidR="00085789" w:rsidRDefault="00085789">
            <w:pPr>
              <w:spacing w:line="240" w:lineRule="auto"/>
              <w:jc w:val="center"/>
              <w:rPr>
                <w:color w:val="000000" w:themeColor="text1"/>
                <w:sz w:val="22"/>
                <w:szCs w:val="22"/>
              </w:rPr>
            </w:pPr>
          </w:p>
        </w:tc>
        <w:tc>
          <w:tcPr>
            <w:tcW w:w="2404" w:type="dxa"/>
            <w:tcBorders>
              <w:top w:val="single" w:sz="4" w:space="0" w:color="auto"/>
              <w:left w:val="nil"/>
              <w:bottom w:val="single" w:sz="4" w:space="0" w:color="auto"/>
              <w:right w:val="single" w:sz="4" w:space="0" w:color="auto"/>
            </w:tcBorders>
            <w:vAlign w:val="center"/>
          </w:tcPr>
          <w:p w14:paraId="60420800" w14:textId="77777777" w:rsidR="00085789" w:rsidRDefault="00085789">
            <w:pPr>
              <w:spacing w:line="240" w:lineRule="auto"/>
              <w:jc w:val="center"/>
              <w:rPr>
                <w:color w:val="000000" w:themeColor="text1"/>
                <w:sz w:val="22"/>
                <w:szCs w:val="22"/>
              </w:rPr>
            </w:pPr>
          </w:p>
        </w:tc>
      </w:tr>
    </w:tbl>
    <w:p w14:paraId="27857076" w14:textId="77777777" w:rsidR="00085789" w:rsidRDefault="00085789">
      <w:pPr>
        <w:keepNext/>
        <w:spacing w:before="40" w:after="40" w:line="264" w:lineRule="auto"/>
        <w:jc w:val="both"/>
        <w:outlineLvl w:val="1"/>
        <w:rPr>
          <w:b/>
          <w:iCs/>
          <w:sz w:val="24"/>
          <w:szCs w:val="24"/>
          <w:lang w:val="nl-NL"/>
        </w:rPr>
        <w:sectPr w:rsidR="00085789">
          <w:pgSz w:w="16834" w:h="11909" w:orient="landscape" w:code="9"/>
          <w:pgMar w:top="1418" w:right="1134" w:bottom="1134" w:left="1134" w:header="720" w:footer="832" w:gutter="0"/>
          <w:cols w:space="720"/>
          <w:docGrid w:linePitch="381"/>
        </w:sectPr>
      </w:pPr>
      <w:bookmarkStart w:id="1090" w:name="_Toc54796252"/>
      <w:bookmarkStart w:id="1091" w:name="_Toc54810543"/>
      <w:bookmarkStart w:id="1092" w:name="_Toc54794110"/>
      <w:bookmarkStart w:id="1093" w:name="_Toc55007862"/>
      <w:bookmarkStart w:id="1094" w:name="_Toc55592184"/>
      <w:bookmarkStart w:id="1095" w:name="_Toc56736798"/>
      <w:bookmarkStart w:id="1096" w:name="_Toc55594745"/>
      <w:bookmarkStart w:id="1097" w:name="_Toc54794824"/>
      <w:bookmarkStart w:id="1098" w:name="_Toc56737519"/>
      <w:bookmarkStart w:id="1099" w:name="_Toc56738960"/>
      <w:bookmarkStart w:id="1100" w:name="_Toc54795538"/>
      <w:bookmarkStart w:id="1101" w:name="_Toc56740466"/>
      <w:bookmarkStart w:id="1102" w:name="_Toc56739703"/>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53833C3" w14:textId="77777777" w:rsidR="00085789" w:rsidRDefault="00085789">
      <w:pPr>
        <w:keepNext/>
        <w:spacing w:before="40" w:after="40" w:line="264" w:lineRule="auto"/>
        <w:jc w:val="both"/>
        <w:outlineLvl w:val="1"/>
        <w:rPr>
          <w:b/>
          <w:iCs/>
          <w:sz w:val="24"/>
          <w:szCs w:val="24"/>
          <w:lang w:val="nl-NL"/>
        </w:rPr>
        <w:sectPr w:rsidR="00085789">
          <w:type w:val="continuous"/>
          <w:pgSz w:w="16834" w:h="11909" w:orient="landscape" w:code="9"/>
          <w:pgMar w:top="1418" w:right="1134" w:bottom="1134" w:left="1134" w:header="720" w:footer="832" w:gutter="0"/>
          <w:cols w:space="720"/>
          <w:docGrid w:linePitch="381"/>
        </w:sectPr>
      </w:pPr>
    </w:p>
    <w:p w14:paraId="182691F7" w14:textId="77777777" w:rsidR="00085789" w:rsidRDefault="00000000">
      <w:pPr>
        <w:pStyle w:val="bac2"/>
        <w:spacing w:before="120" w:after="0" w:line="240" w:lineRule="auto"/>
        <w:rPr>
          <w:i/>
          <w:lang w:val="nl-NL"/>
        </w:rPr>
      </w:pPr>
      <w:bookmarkStart w:id="1103" w:name="_Toc214311277"/>
      <w:r>
        <w:rPr>
          <w:lang w:val="nl-NL"/>
        </w:rPr>
        <w:lastRenderedPageBreak/>
        <w:t>7.2. Quản lý CTR đô thị</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p>
    <w:bookmarkEnd w:id="1047"/>
    <w:bookmarkEnd w:id="1048"/>
    <w:bookmarkEnd w:id="1049"/>
    <w:p w14:paraId="1ABA6735" w14:textId="77777777" w:rsidR="00085789" w:rsidRDefault="00000000">
      <w:pPr>
        <w:spacing w:before="120" w:line="240" w:lineRule="auto"/>
        <w:ind w:firstLine="709"/>
        <w:jc w:val="both"/>
        <w:rPr>
          <w:sz w:val="26"/>
          <w:szCs w:val="26"/>
          <w:lang w:val="nl-NL"/>
        </w:rPr>
      </w:pPr>
      <w:r>
        <w:rPr>
          <w:sz w:val="26"/>
          <w:szCs w:val="26"/>
          <w:lang w:val="nl-NL"/>
        </w:rPr>
        <w:t>CTR đô thị bao gồm các loại CTR phát sinh từ các hộ gia đình, khu công cộng, khu thương mại, cơ quan, trường học, các cơ sở sản xuất, cơ sở y tế, các công trình xây dựng,.... Trong đó, CTRSH phát sinh từ các hộ gia đình chiếm tỷ lệ cao nhất. Thành phần của CTRSH gồm các chất có khả năng tái sử dụng, tái chế (kim loại, giấy,...), hữu cơ (thức ăn thừa, cây cối, rau quả thải, xác động vật,…) và các loại CTR khác. Túi nilon trong rác thải đang là vấn đề lo ngại do thói quen sử dụng túi nilon của người dân.</w:t>
      </w:r>
    </w:p>
    <w:p w14:paraId="7C1611C0" w14:textId="77777777" w:rsidR="00085789" w:rsidRDefault="00000000">
      <w:pPr>
        <w:spacing w:before="120" w:line="240" w:lineRule="auto"/>
        <w:ind w:firstLine="709"/>
        <w:jc w:val="both"/>
        <w:rPr>
          <w:rFonts w:ascii=".VnArial Narrow" w:hAnsi=".VnArial Narrow"/>
          <w:sz w:val="22"/>
          <w:lang w:val="it-IT"/>
        </w:rPr>
      </w:pPr>
      <w:bookmarkStart w:id="1104" w:name="_Toc55594776"/>
      <w:bookmarkStart w:id="1105" w:name="_Toc56737551"/>
      <w:bookmarkStart w:id="1106" w:name="_Toc54795550"/>
      <w:bookmarkStart w:id="1107" w:name="_Toc54794836"/>
      <w:bookmarkStart w:id="1108" w:name="_Toc55007893"/>
      <w:bookmarkStart w:id="1109" w:name="_Toc56736830"/>
      <w:bookmarkStart w:id="1110" w:name="_Toc54796264"/>
      <w:bookmarkStart w:id="1111" w:name="_Toc421888800"/>
      <w:bookmarkStart w:id="1112" w:name="_Toc55592215"/>
      <w:bookmarkStart w:id="1113" w:name="_Toc56738992"/>
      <w:bookmarkStart w:id="1114" w:name="_Toc56740498"/>
      <w:bookmarkStart w:id="1115" w:name="_Toc54794122"/>
      <w:bookmarkStart w:id="1116" w:name="_Toc54810553"/>
      <w:bookmarkStart w:id="1117" w:name="_Toc56739735"/>
      <w:bookmarkStart w:id="1118" w:name="_Toc421888794"/>
      <w:r>
        <w:rPr>
          <w:sz w:val="26"/>
          <w:szCs w:val="26"/>
          <w:lang w:val="it-IT"/>
        </w:rPr>
        <w:t>Việc phân loại CTRSH tại nguồn đã được người dân thực hiện nhưng còn hạn chế, chủ yếu mới chỉ phân loại được những</w:t>
      </w:r>
      <w:r>
        <w:rPr>
          <w:spacing w:val="-4"/>
          <w:sz w:val="26"/>
          <w:szCs w:val="26"/>
          <w:lang w:val="it-IT"/>
        </w:rPr>
        <w:t xml:space="preserve"> chất thải có thể tái sử dụng, tái chế được như giấy, bìa carton, kim loại,... và một phần chất thải thực phẩm; </w:t>
      </w:r>
      <w:bookmarkStart w:id="1119" w:name="_Toc56736832"/>
      <w:bookmarkStart w:id="1120" w:name="_Toc54794124"/>
      <w:bookmarkStart w:id="1121" w:name="_Toc54795552"/>
      <w:bookmarkStart w:id="1122" w:name="_Toc56740500"/>
      <w:bookmarkStart w:id="1123" w:name="_Toc55592217"/>
      <w:bookmarkStart w:id="1124" w:name="_Toc54794838"/>
      <w:bookmarkStart w:id="1125" w:name="_Toc54810555"/>
      <w:bookmarkStart w:id="1126" w:name="_Toc341858737"/>
      <w:bookmarkStart w:id="1127" w:name="_Toc56738994"/>
      <w:bookmarkStart w:id="1128" w:name="_Toc54796266"/>
      <w:bookmarkStart w:id="1129" w:name="_Toc55594778"/>
      <w:bookmarkStart w:id="1130" w:name="_Toc55007895"/>
      <w:bookmarkStart w:id="1131" w:name="_Toc56737553"/>
      <w:bookmarkStart w:id="1132" w:name="_Toc56739737"/>
      <w:bookmarkStart w:id="1133" w:name="_Toc54810556"/>
      <w:bookmarkStart w:id="1134" w:name="_Toc55007896"/>
      <w:bookmarkStart w:id="1135" w:name="_Toc54794839"/>
      <w:bookmarkStart w:id="1136" w:name="_Toc56739738"/>
      <w:bookmarkStart w:id="1137" w:name="_Toc423076236"/>
      <w:bookmarkStart w:id="1138" w:name="_Toc54796267"/>
      <w:bookmarkStart w:id="1139" w:name="_Toc56740501"/>
      <w:bookmarkStart w:id="1140" w:name="_Toc54795553"/>
      <w:bookmarkStart w:id="1141" w:name="_Toc55592218"/>
      <w:bookmarkStart w:id="1142" w:name="_Toc56737554"/>
      <w:bookmarkStart w:id="1143" w:name="_Toc55594779"/>
      <w:bookmarkStart w:id="1144" w:name="_Toc56736833"/>
      <w:bookmarkStart w:id="1145" w:name="_Toc54794125"/>
      <w:bookmarkStart w:id="1146" w:name="_Toc56738995"/>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r>
        <w:rPr>
          <w:sz w:val="26"/>
          <w:szCs w:val="26"/>
          <w:lang w:val="it-IT"/>
        </w:rPr>
        <w:t xml:space="preserve">Tỷ lệ tái chế các chất thải chỉ đạt khoảng 8-12 %. </w:t>
      </w:r>
    </w:p>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14:paraId="75B3E71C" w14:textId="77777777" w:rsidR="00085789" w:rsidRDefault="00000000">
      <w:pPr>
        <w:spacing w:before="120" w:line="240" w:lineRule="auto"/>
        <w:ind w:firstLine="720"/>
        <w:jc w:val="both"/>
        <w:rPr>
          <w:rFonts w:ascii="TimesNewRomanPSMT" w:hAnsi="TimesNewRomanPSMT"/>
          <w:sz w:val="26"/>
          <w:szCs w:val="26"/>
          <w:lang w:val="hsb-DE"/>
        </w:rPr>
      </w:pPr>
      <w:r>
        <w:rPr>
          <w:sz w:val="26"/>
          <w:szCs w:val="26"/>
          <w:lang w:val="hsb-DE"/>
        </w:rPr>
        <w:t>Hiện nay, CTR đô thị của Hà Tĩnh được xử lý như sau</w:t>
      </w:r>
      <w:r>
        <w:rPr>
          <w:rFonts w:ascii="TimesNewRomanPSMT" w:hAnsi="TimesNewRomanPSMT"/>
          <w:sz w:val="26"/>
          <w:szCs w:val="26"/>
          <w:lang w:val="hsb-DE"/>
        </w:rPr>
        <w:t>: Xử lý bằng công nghệ đốt và chế biến phân hữu cơ tại 02 nhà máy: ở xã Cẩm Quan, huyện Cẩm Xuyên (nay là xã Cẩm Xuyên); ở xã Kỳ Tân, huyện Kỳ Anh (nay là xã Kỳ Hoa). Xử lý chôn lấp tại 01 bãi chôn lấp: ở phường Nam Hồng, thị xã Hồng Lĩnh (nay là phường Nam Hồng Lĩnh).</w:t>
      </w:r>
    </w:p>
    <w:p w14:paraId="11B620D3" w14:textId="77777777" w:rsidR="00085789" w:rsidRDefault="00000000">
      <w:pPr>
        <w:spacing w:before="120" w:line="240" w:lineRule="auto"/>
        <w:ind w:firstLine="709"/>
        <w:jc w:val="both"/>
        <w:rPr>
          <w:spacing w:val="-4"/>
          <w:lang w:val="hsb-DE"/>
        </w:rPr>
      </w:pPr>
      <w:r>
        <w:rPr>
          <w:lang w:val="hsb-DE"/>
        </w:rPr>
        <w:t xml:space="preserve">Đối với </w:t>
      </w:r>
      <w:r>
        <w:rPr>
          <w:spacing w:val="-4"/>
          <w:sz w:val="26"/>
          <w:szCs w:val="26"/>
          <w:lang w:val="hsb-DE"/>
        </w:rPr>
        <w:t>CTNH có lẫn trong CTR sinh hoạt tại các đô thị trên địa bàn tỉnh vẫn chưa được phân loại, thu gom riêng, vẫn còn lẫn với CTRSH và được vận chuyển chung về Khu xử lý gây khó khăn trong quá trình xử lý. Tại đây, CTNH được công nhân phân loại, lưu giữ trong kho chứa CTNH nằm trong khuôn viên của Khu xử lý. Chủ các nhà máy xử lý CTR thực hiện hợp đồng với đơn vị có chức năng để xử lý theo đúng quy định</w:t>
      </w:r>
      <w:r>
        <w:rPr>
          <w:spacing w:val="-4"/>
          <w:lang w:val="hsb-DE"/>
        </w:rPr>
        <w:t>.</w:t>
      </w:r>
    </w:p>
    <w:p w14:paraId="1315F7AD" w14:textId="77777777" w:rsidR="00085789" w:rsidRDefault="00000000">
      <w:pPr>
        <w:pStyle w:val="bac2"/>
        <w:spacing w:before="120" w:after="0" w:line="240" w:lineRule="auto"/>
        <w:rPr>
          <w:lang w:val="nl-NL"/>
        </w:rPr>
      </w:pPr>
      <w:bookmarkStart w:id="1147" w:name="_Toc214311278"/>
      <w:r>
        <w:rPr>
          <w:lang w:val="nl-NL"/>
        </w:rPr>
        <w:t>7.3. Quản lý CTR nông nghiệp, nông thôn</w:t>
      </w:r>
      <w:bookmarkEnd w:id="1118"/>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4CCB6417" w14:textId="77777777" w:rsidR="00085789" w:rsidRDefault="00000000">
      <w:pPr>
        <w:spacing w:before="120" w:line="240" w:lineRule="auto"/>
        <w:ind w:firstLine="709"/>
        <w:jc w:val="both"/>
        <w:rPr>
          <w:sz w:val="26"/>
          <w:szCs w:val="26"/>
          <w:lang w:val="sq-AL"/>
        </w:rPr>
      </w:pPr>
      <w:bookmarkStart w:id="1148" w:name="_Toc54796268"/>
      <w:bookmarkStart w:id="1149" w:name="_Toc341858752"/>
      <w:bookmarkStart w:id="1150" w:name="_Toc56738996"/>
      <w:bookmarkStart w:id="1151" w:name="_Toc54794840"/>
      <w:bookmarkStart w:id="1152" w:name="_Toc55592219"/>
      <w:bookmarkStart w:id="1153" w:name="_Toc56737555"/>
      <w:bookmarkStart w:id="1154" w:name="_Toc54795554"/>
      <w:bookmarkStart w:id="1155" w:name="_Toc55594780"/>
      <w:bookmarkStart w:id="1156" w:name="_Toc56739739"/>
      <w:bookmarkStart w:id="1157" w:name="_Toc54810557"/>
      <w:bookmarkStart w:id="1158" w:name="_Toc55007897"/>
      <w:bookmarkStart w:id="1159" w:name="_Toc54794126"/>
      <w:bookmarkStart w:id="1160" w:name="_Toc56740502"/>
      <w:bookmarkStart w:id="1161" w:name="_Toc421888795"/>
      <w:bookmarkStart w:id="1162" w:name="_Toc56736834"/>
      <w:r>
        <w:rPr>
          <w:bCs/>
          <w:sz w:val="26"/>
          <w:szCs w:val="26"/>
          <w:lang w:val="nl-NL"/>
        </w:rPr>
        <w:t xml:space="preserve">- </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r>
        <w:rPr>
          <w:spacing w:val="-4"/>
          <w:sz w:val="26"/>
          <w:szCs w:val="26"/>
          <w:lang w:val="sq-AL"/>
        </w:rPr>
        <w:t xml:space="preserve">CTR nông nghiệp gồm nhiều loại khác nhau, phần lớn là các thành phần có thể phân hủy sinh học như rơm rạ, phân gia súc, chất thải chăn nuôi và một phần là các chất thải khó phân hủy như bao bì đựng phân bón, hóa chất BVTV, phát sinh từ các lĩnh vực trồng trọt, chăn nuôi, nuôi trồng thủy hải sản, phát triển nông thôn, cụ thể như sau, gồm: lĩnh vực trồng trọt chủ yếu là phụ phẩm nông nghiệp với khoảng </w:t>
      </w:r>
      <w:r>
        <w:rPr>
          <w:bCs/>
          <w:sz w:val="26"/>
          <w:szCs w:val="26"/>
          <w:lang w:val="sq-AL"/>
        </w:rPr>
        <w:t>839.818 tấn</w:t>
      </w:r>
      <w:r>
        <w:rPr>
          <w:spacing w:val="-4"/>
          <w:sz w:val="26"/>
          <w:szCs w:val="26"/>
          <w:lang w:val="sq-AL"/>
        </w:rPr>
        <w:t xml:space="preserve">/năm, </w:t>
      </w:r>
      <w:r>
        <w:rPr>
          <w:bCs/>
          <w:sz w:val="26"/>
          <w:szCs w:val="26"/>
          <w:lang w:val="sq-AL"/>
        </w:rPr>
        <w:t>bao bì vỏ chai thuốc bảo vệ thực vật khoảng 38.500 kg/năm; từ hoạt động chăn nuôi khoảng gần 1.500 tấn/năm. Đối với các loại phụ phẩm nông nghiệp chủ yếu được tận dụng làm thức ăn cho gia súc, hoặc làm phân, một số được đốt tại chỗ có nguy cơ gây ô nhiễm môi trường không khí. Đối với bao gói thuốc BVTV được thu gom, vận chuyển xử lý đạt tỷ lệ 95 % (</w:t>
      </w:r>
      <w:r>
        <w:rPr>
          <w:sz w:val="26"/>
          <w:szCs w:val="26"/>
          <w:lang w:val="sq-AL"/>
        </w:rPr>
        <w:t>toàn tỉnh đã có hơn 5.000 bể chứa thu gom bao gói thuốc BVTV trên các cánh đồng).</w:t>
      </w:r>
    </w:p>
    <w:p w14:paraId="31CBA1B2" w14:textId="77777777" w:rsidR="00085789" w:rsidRDefault="00000000">
      <w:pPr>
        <w:spacing w:before="120" w:line="240" w:lineRule="auto"/>
        <w:ind w:firstLine="709"/>
        <w:jc w:val="both"/>
        <w:rPr>
          <w:i/>
          <w:iCs/>
          <w:sz w:val="26"/>
          <w:szCs w:val="26"/>
          <w:lang w:val="hsb-DE"/>
        </w:rPr>
      </w:pPr>
      <w:r>
        <w:rPr>
          <w:sz w:val="26"/>
          <w:szCs w:val="26"/>
          <w:lang w:val="sq-AL"/>
        </w:rPr>
        <w:t xml:space="preserve">- CTRSH nông thôn: phát sinh từ các nguồn: hộ gia đình, chợ, nhà kho, trường học, bệnh viện, cơ quan hành chính,.... Khối lượng CTRSH khu vực nông thôn gia tăng hằng năm và ngày càng cao. CTRSH nông thôn chủ yếu bao gồm thành phần hữu cơ dễ phân hủy (thực phẩm thải, chất thải vườn) với độ ẩm thường trên 60 %; chất hữu cơ khó phân hủy, chất vô cơ (chủ yếu là các loại phế thải thủy tinh, sành sứ, kim loại, giấy, nhựa, đô điện gia dụng hỏng,...) và đặc biệt là túi ni lông xuất hiện ngày càng nhiều. </w:t>
      </w:r>
    </w:p>
    <w:p w14:paraId="6C06ED3F" w14:textId="77777777" w:rsidR="00085789" w:rsidRDefault="00000000">
      <w:pPr>
        <w:spacing w:before="120" w:line="240" w:lineRule="auto"/>
        <w:ind w:firstLine="567"/>
        <w:jc w:val="both"/>
        <w:rPr>
          <w:sz w:val="26"/>
          <w:szCs w:val="26"/>
          <w:lang w:val="hsb-DE"/>
        </w:rPr>
      </w:pPr>
      <w:r>
        <w:rPr>
          <w:sz w:val="26"/>
          <w:szCs w:val="26"/>
          <w:lang w:val="hsb-DE"/>
        </w:rPr>
        <w:tab/>
        <w:t>Hiện nay, việc phân loại CTRSH vùng nông thôn đã triển khai đồng loạt tại các địa phương trên địa bàn; theo đó, CTRSH phân loại thành 03 loại như: CTRSH có khả năng tái chế, tái sử dụng (có nguồn gốc bằng kim loại hoặc nhựa như các vỏ lon đựng nước giải khát, giấy loại,...); chất thải thực phẩm (thức ăn dư thừa, rau củ, quả bỉ hỏng,...) và CTRSH khác (chất thải còn lại). Tỷ lệ thu gom CTRSH vùng nông thôn đạt 93,42 % và tỷ lệ xử lý đạt 92 %.</w:t>
      </w:r>
    </w:p>
    <w:p w14:paraId="60C883F1" w14:textId="77777777" w:rsidR="00085789" w:rsidRDefault="00000000">
      <w:pPr>
        <w:pStyle w:val="bac2"/>
        <w:spacing w:before="120" w:after="0" w:line="240" w:lineRule="auto"/>
        <w:rPr>
          <w:lang w:val="nl-NL"/>
        </w:rPr>
      </w:pPr>
      <w:bookmarkStart w:id="1163" w:name="_Toc55594852"/>
      <w:bookmarkStart w:id="1164" w:name="_Toc56739068"/>
      <w:bookmarkStart w:id="1165" w:name="_Toc55007969"/>
      <w:bookmarkStart w:id="1166" w:name="_Toc54794197"/>
      <w:bookmarkStart w:id="1167" w:name="_Toc54795625"/>
      <w:bookmarkStart w:id="1168" w:name="_Toc56736906"/>
      <w:bookmarkStart w:id="1169" w:name="_Toc56739811"/>
      <w:bookmarkStart w:id="1170" w:name="_Toc56737627"/>
      <w:bookmarkStart w:id="1171" w:name="_Toc54794911"/>
      <w:bookmarkStart w:id="1172" w:name="_Toc56740574"/>
      <w:bookmarkStart w:id="1173" w:name="_Toc54810628"/>
      <w:bookmarkStart w:id="1174" w:name="_Toc55592291"/>
      <w:bookmarkStart w:id="1175" w:name="_Toc54796339"/>
      <w:bookmarkStart w:id="1176" w:name="_Toc214311279"/>
      <w:r>
        <w:rPr>
          <w:lang w:val="nl-NL"/>
        </w:rPr>
        <w:t>7.4. Quản lý CTR công nghiệp</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077AB0B6" w14:textId="77777777" w:rsidR="00085789" w:rsidRDefault="00000000">
      <w:pPr>
        <w:pStyle w:val="-bac3"/>
        <w:spacing w:before="120" w:after="0" w:line="240" w:lineRule="auto"/>
        <w:rPr>
          <w:lang w:val="nl-NL"/>
        </w:rPr>
      </w:pPr>
      <w:bookmarkStart w:id="1177" w:name="_Toc54796340"/>
      <w:bookmarkStart w:id="1178" w:name="_Toc55594853"/>
      <w:bookmarkStart w:id="1179" w:name="_Toc56737628"/>
      <w:bookmarkStart w:id="1180" w:name="_Toc54794198"/>
      <w:bookmarkStart w:id="1181" w:name="_Toc55007970"/>
      <w:bookmarkStart w:id="1182" w:name="_Toc56739069"/>
      <w:bookmarkStart w:id="1183" w:name="_Toc56740575"/>
      <w:bookmarkStart w:id="1184" w:name="_Toc56739812"/>
      <w:bookmarkStart w:id="1185" w:name="_Toc54810629"/>
      <w:bookmarkStart w:id="1186" w:name="_Toc54794912"/>
      <w:bookmarkStart w:id="1187" w:name="_Toc56736907"/>
      <w:bookmarkStart w:id="1188" w:name="_Toc54795626"/>
      <w:bookmarkStart w:id="1189" w:name="_Toc55592292"/>
      <w:bookmarkStart w:id="1190" w:name="_Toc214311280"/>
      <w:r>
        <w:rPr>
          <w:lang w:val="nl-NL"/>
        </w:rPr>
        <w:lastRenderedPageBreak/>
        <w:t>7.4.1. Nguồn phát sinh CTR công nghiệp</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08D9E8C6" w14:textId="73F793D0" w:rsidR="00085789" w:rsidRDefault="00000000">
      <w:pPr>
        <w:spacing w:before="120" w:line="240" w:lineRule="auto"/>
        <w:ind w:firstLine="720"/>
        <w:jc w:val="both"/>
        <w:rPr>
          <w:sz w:val="26"/>
          <w:szCs w:val="26"/>
          <w:shd w:val="clear" w:color="auto" w:fill="FFFFFF"/>
          <w:lang w:val="sq-AL"/>
        </w:rPr>
      </w:pPr>
      <w:bookmarkStart w:id="1191" w:name="_Toc56739815"/>
      <w:bookmarkStart w:id="1192" w:name="_Toc55007973"/>
      <w:bookmarkStart w:id="1193" w:name="_Toc56736910"/>
      <w:bookmarkStart w:id="1194" w:name="_Toc55594856"/>
      <w:bookmarkStart w:id="1195" w:name="_Toc56740578"/>
      <w:bookmarkStart w:id="1196" w:name="_Toc56737631"/>
      <w:bookmarkStart w:id="1197" w:name="_Toc55592295"/>
      <w:bookmarkStart w:id="1198" w:name="_Toc56739072"/>
      <w:r>
        <w:rPr>
          <w:sz w:val="26"/>
          <w:szCs w:val="26"/>
          <w:shd w:val="clear" w:color="auto" w:fill="FFFFFF"/>
          <w:lang w:val="sq-AL"/>
        </w:rPr>
        <w:t>Hoạt động sản xuất công nghiệp trên địa bàn tỉnh đã phát sinh một lượng lớn chất thải rắn khoảng trên 4 triệu tấn/năm, chủ yếu tập trung ở các dự án lớn như dự án Formosa, Nhà máy Nhiệt điện Vũng Áng 1.</w:t>
      </w:r>
    </w:p>
    <w:p w14:paraId="2AC39F51" w14:textId="77777777" w:rsidR="00085789" w:rsidRDefault="00000000">
      <w:pPr>
        <w:spacing w:before="120" w:line="240" w:lineRule="auto"/>
        <w:ind w:firstLine="720"/>
        <w:jc w:val="both"/>
        <w:rPr>
          <w:sz w:val="26"/>
          <w:szCs w:val="26"/>
          <w:lang w:val="de-DE"/>
        </w:rPr>
      </w:pPr>
      <w:r>
        <w:rPr>
          <w:sz w:val="26"/>
          <w:szCs w:val="26"/>
          <w:lang w:val="de-DE"/>
        </w:rPr>
        <w:t>Với định hướng phát triển công nghiệp của tỉnh đến năm 2030, tập trung phát triển một số ngành công nghiệp như: sản xuất thép, chế tạo sau thép; sản xuất điện; công nghiệp thực phẩm, chế biến nông sản; công nghiệp dệt may; công nghiệp chế biến gỗ nên lượng CTR công nghiệp phát sinh sẽ ngày càng tăng.</w:t>
      </w:r>
    </w:p>
    <w:p w14:paraId="2DC3A06C" w14:textId="77777777" w:rsidR="00085789" w:rsidRDefault="00000000">
      <w:pPr>
        <w:tabs>
          <w:tab w:val="left" w:pos="0"/>
        </w:tabs>
        <w:spacing w:before="120" w:line="240" w:lineRule="auto"/>
        <w:ind w:right="74" w:firstLine="709"/>
        <w:jc w:val="both"/>
        <w:rPr>
          <w:iCs/>
          <w:spacing w:val="-2"/>
          <w:sz w:val="26"/>
          <w:szCs w:val="26"/>
          <w:lang w:val="hsb-DE"/>
        </w:rPr>
      </w:pPr>
      <w:r>
        <w:rPr>
          <w:sz w:val="26"/>
          <w:szCs w:val="26"/>
          <w:lang w:val="de-DE"/>
        </w:rPr>
        <w:t xml:space="preserve">Đối với CTNH: </w:t>
      </w:r>
      <w:r>
        <w:rPr>
          <w:spacing w:val="-2"/>
          <w:sz w:val="26"/>
          <w:szCs w:val="26"/>
          <w:lang w:val="hsb-DE"/>
        </w:rPr>
        <w:t xml:space="preserve">Trong năm 2025, khối lượng CTNH phát sinh </w:t>
      </w:r>
      <w:r>
        <w:rPr>
          <w:iCs/>
          <w:spacing w:val="-2"/>
          <w:sz w:val="26"/>
          <w:szCs w:val="26"/>
          <w:lang w:val="hsb-DE"/>
        </w:rPr>
        <w:t>khoảng hơn 8.925 tấn các loại và khoảng hơn 174 tấn chất thải y tế nguy hại.</w:t>
      </w:r>
    </w:p>
    <w:bookmarkEnd w:id="1191"/>
    <w:bookmarkEnd w:id="1192"/>
    <w:bookmarkEnd w:id="1193"/>
    <w:bookmarkEnd w:id="1194"/>
    <w:bookmarkEnd w:id="1195"/>
    <w:bookmarkEnd w:id="1196"/>
    <w:bookmarkEnd w:id="1197"/>
    <w:bookmarkEnd w:id="1198"/>
    <w:p w14:paraId="44EE1957" w14:textId="77777777" w:rsidR="00085789" w:rsidRDefault="00000000">
      <w:pPr>
        <w:spacing w:before="120" w:line="240" w:lineRule="auto"/>
        <w:jc w:val="both"/>
        <w:rPr>
          <w:sz w:val="26"/>
          <w:szCs w:val="26"/>
          <w:shd w:val="clear" w:color="auto" w:fill="FFFFFF"/>
          <w:lang w:val="sq-AL"/>
        </w:rPr>
      </w:pPr>
      <w:r>
        <w:rPr>
          <w:b/>
          <w:sz w:val="26"/>
          <w:szCs w:val="26"/>
          <w:lang w:val="sq-AL"/>
        </w:rPr>
        <w:tab/>
      </w:r>
      <w:r>
        <w:rPr>
          <w:sz w:val="26"/>
          <w:szCs w:val="26"/>
          <w:shd w:val="clear" w:color="auto" w:fill="FFFFFF"/>
          <w:lang w:val="sq-AL"/>
        </w:rPr>
        <w:t>Thành phần CTRCN nói chung phụ thuộc rất nhiều vào loại hình sản xuất trong các cơ sở công nghiệp và trình độ công nghệ, cụ thể theo bảng sau:</w:t>
      </w:r>
    </w:p>
    <w:p w14:paraId="7D4EEABB" w14:textId="77777777" w:rsidR="00085789" w:rsidRDefault="00000000">
      <w:pPr>
        <w:pStyle w:val="-bac4"/>
        <w:spacing w:before="120" w:after="0" w:line="240" w:lineRule="auto"/>
        <w:rPr>
          <w:lang w:val="de-DE"/>
        </w:rPr>
      </w:pPr>
      <w:bookmarkStart w:id="1199" w:name="_Toc56740582"/>
      <w:bookmarkStart w:id="1200" w:name="_Toc54795631"/>
      <w:bookmarkStart w:id="1201" w:name="_Toc54794203"/>
      <w:bookmarkStart w:id="1202" w:name="_Toc56737635"/>
      <w:bookmarkStart w:id="1203" w:name="_Toc54796345"/>
      <w:bookmarkStart w:id="1204" w:name="_Toc56739819"/>
      <w:bookmarkStart w:id="1205" w:name="_Toc55592299"/>
      <w:bookmarkStart w:id="1206" w:name="_Toc56736914"/>
      <w:bookmarkStart w:id="1207" w:name="_Toc422474619"/>
      <w:bookmarkStart w:id="1208" w:name="_Toc56739076"/>
      <w:bookmarkStart w:id="1209" w:name="_Toc205915889"/>
      <w:bookmarkStart w:id="1210" w:name="_Toc213597580"/>
      <w:bookmarkStart w:id="1211" w:name="_Toc213600879"/>
      <w:r>
        <w:rPr>
          <w:lang w:val="de-DE"/>
        </w:rPr>
        <w:t>Bảng 7.2. Thành phần chính trong CTRCN của một số ngành CN ở Hà Tĩnh</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578FF6C0" w14:textId="77777777" w:rsidR="00085789" w:rsidRDefault="00085789">
      <w:pPr>
        <w:pStyle w:val="-bac4"/>
        <w:spacing w:before="120" w:after="0" w:line="240" w:lineRule="auto"/>
        <w:rPr>
          <w:sz w:val="2"/>
          <w:szCs w:val="2"/>
          <w:lang w:val="de-DE"/>
        </w:rPr>
      </w:pPr>
    </w:p>
    <w:tbl>
      <w:tblPr>
        <w:tblW w:w="953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6492"/>
      </w:tblGrid>
      <w:tr w:rsidR="00085789" w14:paraId="5C4F7722" w14:textId="77777777">
        <w:trPr>
          <w:trHeight w:val="377"/>
          <w:tblHeader/>
        </w:trPr>
        <w:tc>
          <w:tcPr>
            <w:tcW w:w="3044" w:type="dxa"/>
            <w:vAlign w:val="center"/>
          </w:tcPr>
          <w:p w14:paraId="48FA1677" w14:textId="77777777" w:rsidR="00085789" w:rsidRDefault="00000000">
            <w:pPr>
              <w:spacing w:line="240" w:lineRule="auto"/>
              <w:jc w:val="both"/>
              <w:rPr>
                <w:b/>
                <w:sz w:val="26"/>
                <w:szCs w:val="26"/>
                <w:shd w:val="clear" w:color="auto" w:fill="FFFFFF"/>
                <w:lang w:val="sq-AL"/>
              </w:rPr>
            </w:pPr>
            <w:r>
              <w:rPr>
                <w:b/>
                <w:sz w:val="26"/>
                <w:szCs w:val="26"/>
                <w:shd w:val="clear" w:color="auto" w:fill="FFFFFF"/>
                <w:lang w:val="sq-AL"/>
              </w:rPr>
              <w:t>Loại hình công nghiệp</w:t>
            </w:r>
          </w:p>
        </w:tc>
        <w:tc>
          <w:tcPr>
            <w:tcW w:w="6492" w:type="dxa"/>
            <w:vAlign w:val="center"/>
          </w:tcPr>
          <w:p w14:paraId="3D3CB097" w14:textId="77777777" w:rsidR="00085789" w:rsidRDefault="00000000">
            <w:pPr>
              <w:spacing w:line="240" w:lineRule="auto"/>
              <w:jc w:val="both"/>
              <w:rPr>
                <w:b/>
                <w:sz w:val="26"/>
                <w:szCs w:val="26"/>
                <w:shd w:val="clear" w:color="auto" w:fill="FFFFFF"/>
                <w:lang w:val="sq-AL"/>
              </w:rPr>
            </w:pPr>
            <w:r>
              <w:rPr>
                <w:b/>
                <w:sz w:val="26"/>
                <w:szCs w:val="26"/>
                <w:shd w:val="clear" w:color="auto" w:fill="FFFFFF"/>
                <w:lang w:val="sq-AL"/>
              </w:rPr>
              <w:t>Khối lượng và thành phần CTRCN</w:t>
            </w:r>
          </w:p>
        </w:tc>
      </w:tr>
      <w:tr w:rsidR="00085789" w14:paraId="1B4762D0" w14:textId="77777777">
        <w:trPr>
          <w:trHeight w:val="365"/>
        </w:trPr>
        <w:tc>
          <w:tcPr>
            <w:tcW w:w="3044" w:type="dxa"/>
            <w:vAlign w:val="center"/>
          </w:tcPr>
          <w:p w14:paraId="6F9A2ADD" w14:textId="77777777" w:rsidR="00085789" w:rsidRDefault="00000000">
            <w:pPr>
              <w:spacing w:line="240" w:lineRule="auto"/>
              <w:rPr>
                <w:sz w:val="26"/>
                <w:szCs w:val="26"/>
                <w:shd w:val="clear" w:color="auto" w:fill="FFFFFF"/>
                <w:lang w:val="sq-AL"/>
              </w:rPr>
            </w:pPr>
            <w:r>
              <w:rPr>
                <w:sz w:val="26"/>
                <w:szCs w:val="26"/>
                <w:shd w:val="clear" w:color="auto" w:fill="FFFFFF"/>
                <w:lang w:val="sq-AL"/>
              </w:rPr>
              <w:t>Khai thác đá xây dựng</w:t>
            </w:r>
          </w:p>
        </w:tc>
        <w:tc>
          <w:tcPr>
            <w:tcW w:w="6492" w:type="dxa"/>
          </w:tcPr>
          <w:p w14:paraId="086B667C"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Đất thải, đá loại... chủ yếu được tận dụng làm vật liệu san lấp</w:t>
            </w:r>
          </w:p>
        </w:tc>
      </w:tr>
      <w:tr w:rsidR="00085789" w14:paraId="4F7FFD78" w14:textId="77777777">
        <w:trPr>
          <w:trHeight w:val="393"/>
        </w:trPr>
        <w:tc>
          <w:tcPr>
            <w:tcW w:w="3044" w:type="dxa"/>
            <w:vAlign w:val="center"/>
          </w:tcPr>
          <w:p w14:paraId="1CA68F25" w14:textId="77777777" w:rsidR="00085789" w:rsidRDefault="00000000">
            <w:pPr>
              <w:spacing w:line="240" w:lineRule="auto"/>
              <w:rPr>
                <w:sz w:val="26"/>
                <w:szCs w:val="26"/>
                <w:shd w:val="clear" w:color="auto" w:fill="FFFFFF"/>
                <w:lang w:val="sq-AL"/>
              </w:rPr>
            </w:pPr>
            <w:r>
              <w:rPr>
                <w:sz w:val="26"/>
                <w:szCs w:val="26"/>
                <w:shd w:val="clear" w:color="auto" w:fill="FFFFFF"/>
                <w:lang w:val="sq-AL"/>
              </w:rPr>
              <w:t>Luyện than cốc</w:t>
            </w:r>
          </w:p>
        </w:tc>
        <w:tc>
          <w:tcPr>
            <w:tcW w:w="6492" w:type="dxa"/>
          </w:tcPr>
          <w:p w14:paraId="3CCE4027"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CaSO</w:t>
            </w:r>
            <w:r>
              <w:rPr>
                <w:sz w:val="26"/>
                <w:szCs w:val="26"/>
                <w:shd w:val="clear" w:color="auto" w:fill="FFFFFF"/>
                <w:vertAlign w:val="subscript"/>
                <w:lang w:val="sq-AL"/>
              </w:rPr>
              <w:t>4</w:t>
            </w:r>
            <w:r>
              <w:rPr>
                <w:sz w:val="26"/>
                <w:szCs w:val="26"/>
                <w:shd w:val="clear" w:color="auto" w:fill="FFFFFF"/>
                <w:lang w:val="sq-AL"/>
              </w:rPr>
              <w:t>, CaCO</w:t>
            </w:r>
            <w:r>
              <w:rPr>
                <w:sz w:val="26"/>
                <w:szCs w:val="26"/>
                <w:shd w:val="clear" w:color="auto" w:fill="FFFFFF"/>
                <w:vertAlign w:val="subscript"/>
                <w:lang w:val="sq-AL"/>
              </w:rPr>
              <w:t>3</w:t>
            </w:r>
            <w:r>
              <w:rPr>
                <w:sz w:val="26"/>
                <w:szCs w:val="26"/>
                <w:shd w:val="clear" w:color="auto" w:fill="FFFFFF"/>
                <w:lang w:val="sq-AL"/>
              </w:rPr>
              <w:t xml:space="preserve"> chủ yếu được tận dụng để sản xuất VLXD</w:t>
            </w:r>
          </w:p>
        </w:tc>
      </w:tr>
      <w:tr w:rsidR="00085789" w14:paraId="4CFCC27A" w14:textId="77777777">
        <w:trPr>
          <w:trHeight w:val="1334"/>
        </w:trPr>
        <w:tc>
          <w:tcPr>
            <w:tcW w:w="3044" w:type="dxa"/>
            <w:vAlign w:val="center"/>
          </w:tcPr>
          <w:p w14:paraId="7C2BD49C" w14:textId="77777777" w:rsidR="00085789" w:rsidRDefault="00000000">
            <w:pPr>
              <w:spacing w:line="240" w:lineRule="auto"/>
              <w:rPr>
                <w:sz w:val="26"/>
                <w:szCs w:val="26"/>
                <w:shd w:val="clear" w:color="auto" w:fill="FFFFFF"/>
                <w:lang w:val="sq-AL"/>
              </w:rPr>
            </w:pPr>
            <w:r>
              <w:rPr>
                <w:sz w:val="26"/>
                <w:szCs w:val="26"/>
                <w:shd w:val="clear" w:color="auto" w:fill="FFFFFF"/>
                <w:lang w:val="sq-AL"/>
              </w:rPr>
              <w:t>Chế biến quặng sắt</w:t>
            </w:r>
          </w:p>
        </w:tc>
        <w:tc>
          <w:tcPr>
            <w:tcW w:w="6492" w:type="dxa"/>
          </w:tcPr>
          <w:p w14:paraId="388853B7"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Quặng sắt: 20 - 30 % lượng quặng nguyên liệu;</w:t>
            </w:r>
          </w:p>
          <w:p w14:paraId="610074D0"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Đá vôi: 5 - 15 % lượng đá vôi nguyên liệu;</w:t>
            </w:r>
          </w:p>
          <w:p w14:paraId="698E2787"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Than cám: 1 - 3 % lượng than nguyên liệu;</w:t>
            </w:r>
          </w:p>
          <w:p w14:paraId="0D8F4954"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Bùn, xỉ, quặng đuôi, đất đá thải.</w:t>
            </w:r>
          </w:p>
        </w:tc>
      </w:tr>
      <w:tr w:rsidR="00085789" w14:paraId="401E4542" w14:textId="77777777">
        <w:trPr>
          <w:trHeight w:val="273"/>
        </w:trPr>
        <w:tc>
          <w:tcPr>
            <w:tcW w:w="3044" w:type="dxa"/>
            <w:vAlign w:val="center"/>
          </w:tcPr>
          <w:p w14:paraId="17BDAD8C" w14:textId="77777777" w:rsidR="00085789" w:rsidRDefault="00000000">
            <w:pPr>
              <w:spacing w:line="240" w:lineRule="auto"/>
              <w:rPr>
                <w:sz w:val="26"/>
                <w:szCs w:val="26"/>
                <w:shd w:val="clear" w:color="auto" w:fill="FFFFFF"/>
                <w:lang w:val="sq-AL"/>
              </w:rPr>
            </w:pPr>
            <w:r>
              <w:rPr>
                <w:sz w:val="26"/>
                <w:szCs w:val="26"/>
                <w:shd w:val="clear" w:color="auto" w:fill="FFFFFF"/>
                <w:lang w:val="sq-AL"/>
              </w:rPr>
              <w:t>Sản xuất dược phẩm</w:t>
            </w:r>
          </w:p>
        </w:tc>
        <w:tc>
          <w:tcPr>
            <w:tcW w:w="6492" w:type="dxa"/>
          </w:tcPr>
          <w:p w14:paraId="62B78490"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Mùn, vỏ cây, phế liệu: 5 - 15% nguyên liệu thô;</w:t>
            </w:r>
          </w:p>
          <w:p w14:paraId="356564B3"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Bao bì hỏng: 0,1 - 0,3 % lượng bao bì sử dụng;</w:t>
            </w:r>
          </w:p>
          <w:p w14:paraId="0DD4FF72"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Sản phẩm lỗi: 0,0001% - 0,001 % tổng sản phẩm;</w:t>
            </w:r>
          </w:p>
          <w:p w14:paraId="3F5878C7"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Cặn tro, xỉ than: 10 - 15 % lượng than tiêu thụ.</w:t>
            </w:r>
          </w:p>
        </w:tc>
      </w:tr>
      <w:tr w:rsidR="00085789" w14:paraId="2D7DD34F" w14:textId="77777777">
        <w:trPr>
          <w:trHeight w:val="443"/>
        </w:trPr>
        <w:tc>
          <w:tcPr>
            <w:tcW w:w="3044" w:type="dxa"/>
            <w:vAlign w:val="center"/>
          </w:tcPr>
          <w:p w14:paraId="6453BC15" w14:textId="77777777" w:rsidR="00085789" w:rsidRDefault="00000000">
            <w:pPr>
              <w:spacing w:line="240" w:lineRule="auto"/>
              <w:rPr>
                <w:spacing w:val="-6"/>
                <w:sz w:val="26"/>
                <w:szCs w:val="26"/>
                <w:shd w:val="clear" w:color="auto" w:fill="FFFFFF"/>
                <w:lang w:val="sq-AL"/>
              </w:rPr>
            </w:pPr>
            <w:r>
              <w:rPr>
                <w:spacing w:val="-6"/>
                <w:sz w:val="26"/>
                <w:szCs w:val="26"/>
                <w:shd w:val="clear" w:color="auto" w:fill="FFFFFF"/>
                <w:lang w:val="sq-AL"/>
              </w:rPr>
              <w:t>Gia công chất dẻo và cao su</w:t>
            </w:r>
          </w:p>
        </w:tc>
        <w:tc>
          <w:tcPr>
            <w:tcW w:w="6492" w:type="dxa"/>
          </w:tcPr>
          <w:p w14:paraId="7B6359ED"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Khoảng 2 kg nhựa/tấn sản phẩm, trong đó 10 – 40 % được tái chế tại chỗ</w:t>
            </w:r>
          </w:p>
        </w:tc>
      </w:tr>
      <w:tr w:rsidR="00085789" w14:paraId="5FA9B43E" w14:textId="77777777">
        <w:trPr>
          <w:trHeight w:val="705"/>
        </w:trPr>
        <w:tc>
          <w:tcPr>
            <w:tcW w:w="3044" w:type="dxa"/>
            <w:vAlign w:val="center"/>
          </w:tcPr>
          <w:p w14:paraId="4F203B11" w14:textId="77777777" w:rsidR="00085789" w:rsidRDefault="00000000">
            <w:pPr>
              <w:spacing w:line="240" w:lineRule="auto"/>
              <w:rPr>
                <w:sz w:val="26"/>
                <w:szCs w:val="26"/>
                <w:shd w:val="clear" w:color="auto" w:fill="FFFFFF"/>
                <w:lang w:val="sq-AL"/>
              </w:rPr>
            </w:pPr>
            <w:r>
              <w:rPr>
                <w:sz w:val="26"/>
                <w:szCs w:val="26"/>
                <w:shd w:val="clear" w:color="auto" w:fill="FFFFFF"/>
                <w:lang w:val="sq-AL"/>
              </w:rPr>
              <w:t>Công nghiệp dệt</w:t>
            </w:r>
          </w:p>
        </w:tc>
        <w:tc>
          <w:tcPr>
            <w:tcW w:w="6492" w:type="dxa"/>
          </w:tcPr>
          <w:p w14:paraId="2286CBF3"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4 - 6 % lượng bông đem xe sợi;</w:t>
            </w:r>
          </w:p>
          <w:p w14:paraId="284AFBC6"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2 % lượng sợi đem dệt.</w:t>
            </w:r>
          </w:p>
        </w:tc>
      </w:tr>
      <w:tr w:rsidR="00085789" w14:paraId="6D007A07" w14:textId="77777777">
        <w:trPr>
          <w:trHeight w:val="127"/>
        </w:trPr>
        <w:tc>
          <w:tcPr>
            <w:tcW w:w="3044" w:type="dxa"/>
            <w:vAlign w:val="center"/>
          </w:tcPr>
          <w:p w14:paraId="0C749C26" w14:textId="77777777" w:rsidR="00085789" w:rsidRDefault="00000000">
            <w:pPr>
              <w:spacing w:line="240" w:lineRule="auto"/>
              <w:rPr>
                <w:sz w:val="26"/>
                <w:szCs w:val="26"/>
                <w:shd w:val="clear" w:color="auto" w:fill="FFFFFF"/>
                <w:lang w:val="sq-AL"/>
              </w:rPr>
            </w:pPr>
            <w:r>
              <w:rPr>
                <w:sz w:val="26"/>
                <w:szCs w:val="26"/>
                <w:shd w:val="clear" w:color="auto" w:fill="FFFFFF"/>
                <w:lang w:val="sq-AL"/>
              </w:rPr>
              <w:t>Công nghiệp rượu bia</w:t>
            </w:r>
          </w:p>
        </w:tc>
        <w:tc>
          <w:tcPr>
            <w:tcW w:w="6492" w:type="dxa"/>
          </w:tcPr>
          <w:p w14:paraId="70970750"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Bã rượu: 300 -560 kg/1000 lít cồn; Xỉ than: 600 - 700 kg/1000 lít cồn</w:t>
            </w:r>
          </w:p>
        </w:tc>
      </w:tr>
      <w:tr w:rsidR="00085789" w14:paraId="6549CC32" w14:textId="77777777">
        <w:trPr>
          <w:trHeight w:val="127"/>
        </w:trPr>
        <w:tc>
          <w:tcPr>
            <w:tcW w:w="3044" w:type="dxa"/>
            <w:vAlign w:val="center"/>
          </w:tcPr>
          <w:p w14:paraId="46564306" w14:textId="77777777" w:rsidR="00085789" w:rsidRDefault="00000000">
            <w:pPr>
              <w:spacing w:line="240" w:lineRule="auto"/>
              <w:rPr>
                <w:sz w:val="26"/>
                <w:szCs w:val="26"/>
                <w:shd w:val="clear" w:color="auto" w:fill="FFFFFF"/>
                <w:lang w:val="sq-AL"/>
              </w:rPr>
            </w:pPr>
            <w:r>
              <w:rPr>
                <w:sz w:val="26"/>
                <w:szCs w:val="26"/>
                <w:shd w:val="clear" w:color="auto" w:fill="FFFFFF"/>
                <w:lang w:val="sq-AL"/>
              </w:rPr>
              <w:t>Sản xuất tinh bột sắn</w:t>
            </w:r>
          </w:p>
        </w:tc>
        <w:tc>
          <w:tcPr>
            <w:tcW w:w="6492" w:type="dxa"/>
          </w:tcPr>
          <w:p w14:paraId="765606FB"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Tạp chất và vỏ sắn: 150 - 160 kg;</w:t>
            </w:r>
          </w:p>
          <w:p w14:paraId="5D56C82A"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Bã xơ: 200 - 400 kg.</w:t>
            </w:r>
          </w:p>
        </w:tc>
      </w:tr>
      <w:tr w:rsidR="00085789" w14:paraId="3B2FB6AE" w14:textId="77777777">
        <w:trPr>
          <w:trHeight w:val="410"/>
        </w:trPr>
        <w:tc>
          <w:tcPr>
            <w:tcW w:w="3044" w:type="dxa"/>
            <w:vAlign w:val="center"/>
          </w:tcPr>
          <w:p w14:paraId="5B2B8B4E" w14:textId="77777777" w:rsidR="00085789" w:rsidRDefault="00000000">
            <w:pPr>
              <w:spacing w:line="240" w:lineRule="auto"/>
              <w:rPr>
                <w:sz w:val="26"/>
                <w:szCs w:val="26"/>
                <w:shd w:val="clear" w:color="auto" w:fill="FFFFFF"/>
                <w:lang w:val="sq-AL"/>
              </w:rPr>
            </w:pPr>
            <w:r>
              <w:rPr>
                <w:sz w:val="26"/>
                <w:szCs w:val="26"/>
                <w:shd w:val="clear" w:color="auto" w:fill="FFFFFF"/>
                <w:lang w:val="sq-AL"/>
              </w:rPr>
              <w:t>Sản xuất gạch</w:t>
            </w:r>
          </w:p>
        </w:tc>
        <w:tc>
          <w:tcPr>
            <w:tcW w:w="6492" w:type="dxa"/>
          </w:tcPr>
          <w:p w14:paraId="308C13D1"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Gạch, ngói vỡ: 1 % lượng sét đưa vào sản xuất</w:t>
            </w:r>
          </w:p>
          <w:p w14:paraId="08E102A9" w14:textId="77777777" w:rsidR="00085789" w:rsidRDefault="00000000">
            <w:pPr>
              <w:spacing w:line="240" w:lineRule="auto"/>
              <w:jc w:val="both"/>
              <w:rPr>
                <w:sz w:val="26"/>
                <w:szCs w:val="26"/>
                <w:shd w:val="clear" w:color="auto" w:fill="FFFFFF"/>
                <w:lang w:val="sq-AL"/>
              </w:rPr>
            </w:pPr>
            <w:r>
              <w:rPr>
                <w:sz w:val="26"/>
                <w:szCs w:val="26"/>
                <w:shd w:val="clear" w:color="auto" w:fill="FFFFFF"/>
                <w:lang w:val="sq-AL"/>
              </w:rPr>
              <w:t>Xỉ than: 2 % lượng than tiêu thụ</w:t>
            </w:r>
          </w:p>
        </w:tc>
      </w:tr>
    </w:tbl>
    <w:p w14:paraId="30800E46" w14:textId="77777777" w:rsidR="00085789" w:rsidRDefault="00000000">
      <w:pPr>
        <w:spacing w:before="120" w:line="240" w:lineRule="auto"/>
        <w:ind w:firstLine="680"/>
        <w:jc w:val="both"/>
        <w:rPr>
          <w:i/>
          <w:sz w:val="26"/>
          <w:szCs w:val="26"/>
          <w:lang w:val="it-IT"/>
        </w:rPr>
      </w:pPr>
      <w:r>
        <w:rPr>
          <w:i/>
          <w:sz w:val="26"/>
          <w:szCs w:val="26"/>
          <w:lang w:val="it-IT"/>
        </w:rPr>
        <w:t>* CTRCN phát sinh từ làng nghề</w:t>
      </w:r>
    </w:p>
    <w:p w14:paraId="3BB05DD6" w14:textId="77777777" w:rsidR="00085789" w:rsidRDefault="00000000">
      <w:pPr>
        <w:spacing w:before="120" w:line="240" w:lineRule="auto"/>
        <w:ind w:firstLine="709"/>
        <w:jc w:val="both"/>
        <w:rPr>
          <w:rFonts w:eastAsia="Calibri"/>
          <w:sz w:val="26"/>
          <w:szCs w:val="26"/>
          <w:lang w:val="es-MX"/>
        </w:rPr>
      </w:pPr>
      <w:r>
        <w:rPr>
          <w:rFonts w:eastAsia="Calibri"/>
          <w:sz w:val="26"/>
          <w:szCs w:val="26"/>
          <w:lang w:val="es-MX"/>
        </w:rPr>
        <w:t>Hà Tĩnh có 07 làng nghề</w:t>
      </w:r>
      <w:r>
        <w:rPr>
          <w:rFonts w:eastAsia="Calibri"/>
          <w:sz w:val="26"/>
          <w:szCs w:val="26"/>
          <w:vertAlign w:val="superscript"/>
          <w:lang w:val="es-MX"/>
        </w:rPr>
        <w:t xml:space="preserve"> </w:t>
      </w:r>
      <w:r>
        <w:rPr>
          <w:rFonts w:eastAsia="Calibri"/>
          <w:sz w:val="26"/>
          <w:szCs w:val="26"/>
          <w:lang w:val="es-MX"/>
        </w:rPr>
        <w:t>truyền thống, 06 làng nghề</w:t>
      </w:r>
      <w:r>
        <w:rPr>
          <w:sz w:val="26"/>
          <w:szCs w:val="26"/>
          <w:lang w:val="it-IT"/>
        </w:rPr>
        <w:t xml:space="preserve"> </w:t>
      </w:r>
      <w:r>
        <w:rPr>
          <w:rFonts w:eastAsia="Calibri"/>
          <w:sz w:val="26"/>
          <w:szCs w:val="26"/>
          <w:lang w:val="es-MX"/>
        </w:rPr>
        <w:t>đã được công nhận</w:t>
      </w:r>
      <w:r>
        <w:rPr>
          <w:sz w:val="26"/>
          <w:szCs w:val="26"/>
          <w:lang w:val="it-IT"/>
        </w:rPr>
        <w:t xml:space="preserve"> với các nghề chính như sản xuất đồ gỗ, hàng kim khí, chế biến lương thực, thực phẩm, chế biến thủy hải sản, sản xuất hàng mây tre đan, chiếu cói, nón lá,...</w:t>
      </w:r>
      <w:r>
        <w:rPr>
          <w:rFonts w:eastAsia="Calibri"/>
          <w:sz w:val="26"/>
          <w:szCs w:val="26"/>
          <w:lang w:val="es-MX"/>
        </w:rPr>
        <w:t>. Hình thức tổ chức sản xuất ở các làng nghề trên địa bàn tỉnh chủ yếu theo quy mô hộ gia đình với 2.832 hộ, 24 doanh nghiệp và 8 hợp tác xã; giải quyết việc làm cho 8.466 lao động, trong đó có 6.973 lao động thường xuyên</w:t>
      </w:r>
      <w:r>
        <w:rPr>
          <w:rFonts w:eastAsia="Calibri"/>
          <w:i/>
          <w:iCs/>
          <w:sz w:val="26"/>
          <w:szCs w:val="26"/>
          <w:lang w:val="es-MX"/>
        </w:rPr>
        <w:t>.</w:t>
      </w:r>
    </w:p>
    <w:p w14:paraId="780C9C60" w14:textId="77777777" w:rsidR="00085789" w:rsidRDefault="00000000">
      <w:pPr>
        <w:spacing w:before="120" w:line="240" w:lineRule="auto"/>
        <w:ind w:firstLine="567"/>
        <w:jc w:val="both"/>
        <w:rPr>
          <w:rFonts w:eastAsia="Calibri"/>
          <w:sz w:val="26"/>
          <w:szCs w:val="26"/>
          <w:lang w:val="it-IT"/>
        </w:rPr>
      </w:pPr>
      <w:r>
        <w:rPr>
          <w:sz w:val="26"/>
          <w:szCs w:val="26"/>
          <w:lang w:val="it-IT"/>
        </w:rPr>
        <w:t xml:space="preserve">Công tác phát triển nghề, khôi phục làng nghề được quan tâm, một số làng nghề đã chú trọng đổi mới thiết bị, công nghệ sản xuất và cải tiến mẫu mã sản phẩm, nên mở rộng </w:t>
      </w:r>
      <w:r>
        <w:rPr>
          <w:sz w:val="26"/>
          <w:szCs w:val="26"/>
          <w:lang w:val="it-IT"/>
        </w:rPr>
        <w:lastRenderedPageBreak/>
        <w:t>được quy mô sản xuất như mộc Thái Yên, mộc Tràng Đình, bánh đa nem thôn Bình,.... Nhờ vậy, kết quả hoạt động của các làng nghề đã được công nhận đạt kết quả khá cao, với doanh thu bình quân đạt khoảng 973,4 tỷ đồng/năm.</w:t>
      </w:r>
    </w:p>
    <w:p w14:paraId="16D81393" w14:textId="77777777" w:rsidR="00085789" w:rsidRDefault="00000000">
      <w:pPr>
        <w:spacing w:before="120" w:line="240" w:lineRule="auto"/>
        <w:ind w:firstLine="567"/>
        <w:jc w:val="both"/>
        <w:rPr>
          <w:rFonts w:eastAsia="Calibri"/>
          <w:sz w:val="26"/>
          <w:szCs w:val="26"/>
          <w:lang w:val="it-IT"/>
        </w:rPr>
      </w:pPr>
      <w:r>
        <w:rPr>
          <w:rFonts w:eastAsia="Calibri"/>
          <w:sz w:val="26"/>
          <w:szCs w:val="26"/>
          <w:lang w:val="it-IT"/>
        </w:rPr>
        <w:t xml:space="preserve">Để tạo điều kiện phát triển làng nghề, tỉnh đã quy hoạch 08 cụm công nghiệp làng nghề, gồm: CCN Thái Yên để phát triển nghề mộc; CCN Trường Sơn để phát triển nghề đóng thuyền; CCN Trung Lương phát triển nghề rèn, đúc; CCN Yên Huy phát triển nghề mộc; CCN Thạch Kim, CCN Cẩm Nhượng và CCN Kỳ Ninh phát triển nghề chế biến thủy, hải sản; CCN Thạch Đồng phát triển nghề may chăn ga gối đệm. Việc quy hoạch, xây dựng các CCN làng nghề đã góp phần mở rộng quy mô, phát huy giá trị của các làng nghề truyền thống, đồng thời góp phần giảm thiểu tác động của việc phát triển các làng nghề đối với chất lượng môi trường sống của các khu dân cư trên địa bàn. </w:t>
      </w:r>
      <w:r>
        <w:rPr>
          <w:rFonts w:eastAsia="Calibri"/>
          <w:sz w:val="26"/>
          <w:szCs w:val="26"/>
          <w:lang w:val="es-MX"/>
        </w:rPr>
        <w:t xml:space="preserve">Các làng nghề đã góp phần chuyển đổi cơ cấu kinh tế nông thôn, nâng cao thu nhập, đóng góp tích cực vào phát triển kinh tế trên địa bàn tỉnh. </w:t>
      </w:r>
    </w:p>
    <w:p w14:paraId="7A73BC40" w14:textId="77777777" w:rsidR="00085789" w:rsidRDefault="00000000">
      <w:pPr>
        <w:spacing w:before="120" w:line="240" w:lineRule="auto"/>
        <w:ind w:firstLine="680"/>
        <w:jc w:val="both"/>
        <w:rPr>
          <w:sz w:val="26"/>
          <w:szCs w:val="26"/>
          <w:lang w:val="it-IT"/>
        </w:rPr>
      </w:pPr>
      <w:r>
        <w:rPr>
          <w:rFonts w:eastAsia="Calibri"/>
          <w:sz w:val="26"/>
          <w:szCs w:val="26"/>
          <w:lang w:val="es-MX"/>
        </w:rPr>
        <w:t>Tùy theo mỗi loại hình sản</w:t>
      </w:r>
      <w:r>
        <w:rPr>
          <w:sz w:val="26"/>
          <w:szCs w:val="26"/>
          <w:lang w:val="it-IT"/>
        </w:rPr>
        <w:t xml:space="preserve"> xuất của mỗi làng nghề sẽ phát sinh loại CTR công nghiệp khác nhau, cụ thể:</w:t>
      </w:r>
    </w:p>
    <w:p w14:paraId="4509D8E3" w14:textId="77777777" w:rsidR="00085789" w:rsidRDefault="00000000">
      <w:pPr>
        <w:spacing w:before="120" w:line="240" w:lineRule="auto"/>
        <w:ind w:firstLine="709"/>
        <w:jc w:val="both"/>
        <w:rPr>
          <w:sz w:val="26"/>
          <w:szCs w:val="26"/>
          <w:lang w:val="it-IT"/>
        </w:rPr>
      </w:pPr>
      <w:r>
        <w:rPr>
          <w:sz w:val="26"/>
          <w:szCs w:val="26"/>
          <w:lang w:val="it-IT"/>
        </w:rPr>
        <w:t>- Làng nghề chế biến nông sản, thực phẩm (chè, miến, bún, mỳ...) phát sinh: Bã thực phẩm, vỏ nguyên liệu (vỏ củ, vỏ hạt...); bao bì, túi nilon, dây buộc,....</w:t>
      </w:r>
    </w:p>
    <w:p w14:paraId="25D25D33" w14:textId="77777777" w:rsidR="00085789" w:rsidRDefault="00000000">
      <w:pPr>
        <w:spacing w:before="120" w:line="240" w:lineRule="auto"/>
        <w:ind w:firstLine="709"/>
        <w:jc w:val="both"/>
        <w:rPr>
          <w:sz w:val="26"/>
          <w:szCs w:val="26"/>
          <w:lang w:val="it-IT"/>
        </w:rPr>
      </w:pPr>
      <w:r>
        <w:rPr>
          <w:sz w:val="26"/>
          <w:szCs w:val="26"/>
          <w:lang w:val="it-IT"/>
        </w:rPr>
        <w:t>- Làng nghề sản xuất đồ gỗ, mộc, làm hương phát sinh: Mùn cưa, dăm bào, gỗ vụn, bao bì, keo dán thừa, giấy nhám,....</w:t>
      </w:r>
    </w:p>
    <w:p w14:paraId="124E341D" w14:textId="77777777" w:rsidR="00085789" w:rsidRDefault="00000000">
      <w:pPr>
        <w:spacing w:before="120" w:line="240" w:lineRule="auto"/>
        <w:ind w:firstLine="709"/>
        <w:jc w:val="both"/>
        <w:rPr>
          <w:sz w:val="26"/>
          <w:szCs w:val="26"/>
          <w:lang w:val="it-IT"/>
        </w:rPr>
      </w:pPr>
      <w:r>
        <w:rPr>
          <w:sz w:val="26"/>
          <w:szCs w:val="26"/>
          <w:lang w:val="it-IT"/>
        </w:rPr>
        <w:t>- Làng nghề tái chế nhựa, kim loại, giấy phát sinh: Nhựa vụn, giấy vụn, bùn từ quá trình rửa vật liệu; phế phẩm không thể tái chế, hóa chất tẩy rửa, sơn.</w:t>
      </w:r>
    </w:p>
    <w:p w14:paraId="5D31F40E" w14:textId="77777777" w:rsidR="00085789" w:rsidRDefault="00000000">
      <w:pPr>
        <w:spacing w:before="120" w:line="240" w:lineRule="auto"/>
        <w:ind w:firstLine="709"/>
        <w:jc w:val="both"/>
        <w:rPr>
          <w:sz w:val="26"/>
          <w:szCs w:val="26"/>
          <w:lang w:val="it-IT"/>
        </w:rPr>
      </w:pPr>
      <w:r>
        <w:rPr>
          <w:sz w:val="26"/>
          <w:szCs w:val="26"/>
          <w:lang w:val="it-IT"/>
        </w:rPr>
        <w:t>- Làng nghề đúc kim loại, cơ khí phát sinh: Xỉ than, cát khuôn, kim loại vụn, dầu mỡ thải, bùn công nghiệp,....</w:t>
      </w:r>
    </w:p>
    <w:p w14:paraId="606CADC7" w14:textId="77777777" w:rsidR="00085789" w:rsidRDefault="00000000">
      <w:pPr>
        <w:pStyle w:val="bac2"/>
        <w:spacing w:before="120" w:after="0" w:line="240" w:lineRule="auto"/>
        <w:rPr>
          <w:lang w:val="nl-NL"/>
        </w:rPr>
      </w:pPr>
      <w:bookmarkStart w:id="1212" w:name="_Toc54796346"/>
      <w:bookmarkStart w:id="1213" w:name="_Toc55592300"/>
      <w:bookmarkStart w:id="1214" w:name="_Toc54794918"/>
      <w:bookmarkStart w:id="1215" w:name="_Toc56737636"/>
      <w:bookmarkStart w:id="1216" w:name="_Toc55594861"/>
      <w:bookmarkStart w:id="1217" w:name="_Toc54794204"/>
      <w:bookmarkStart w:id="1218" w:name="_Toc54810635"/>
      <w:bookmarkStart w:id="1219" w:name="_Toc54795632"/>
      <w:bookmarkStart w:id="1220" w:name="_Toc55007978"/>
      <w:bookmarkStart w:id="1221" w:name="_Toc56736915"/>
      <w:bookmarkStart w:id="1222" w:name="_Toc421888802"/>
      <w:bookmarkStart w:id="1223" w:name="_Toc56739077"/>
      <w:bookmarkStart w:id="1224" w:name="_Toc56740583"/>
      <w:bookmarkStart w:id="1225" w:name="_Toc423075988"/>
      <w:bookmarkStart w:id="1226" w:name="_Toc56739820"/>
      <w:bookmarkStart w:id="1227" w:name="_Toc423076242"/>
      <w:bookmarkStart w:id="1228" w:name="_Toc214311281"/>
      <w:bookmarkStart w:id="1229" w:name="_Toc421888797"/>
      <w:bookmarkStart w:id="1230" w:name="_Toc423076238"/>
      <w:bookmarkStart w:id="1231" w:name="_Toc423075984"/>
      <w:r>
        <w:rPr>
          <w:lang w:val="nl-NL"/>
        </w:rPr>
        <w:t>7.4.2. Thu gom và xử lý CTR</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r>
        <w:rPr>
          <w:lang w:val="nl-NL"/>
        </w:rPr>
        <w:t>CN</w:t>
      </w:r>
      <w:bookmarkEnd w:id="1228"/>
    </w:p>
    <w:p w14:paraId="44538C53" w14:textId="77777777" w:rsidR="00085789" w:rsidRDefault="00000000">
      <w:pPr>
        <w:keepNext/>
        <w:spacing w:before="120" w:line="240" w:lineRule="auto"/>
        <w:ind w:firstLine="709"/>
        <w:jc w:val="both"/>
        <w:outlineLvl w:val="1"/>
        <w:rPr>
          <w:bCs/>
          <w:sz w:val="26"/>
          <w:szCs w:val="26"/>
          <w:lang w:val="nl-NL"/>
        </w:rPr>
      </w:pPr>
      <w:bookmarkStart w:id="1232" w:name="_Toc56739078"/>
      <w:bookmarkStart w:id="1233" w:name="_Toc56739821"/>
      <w:bookmarkStart w:id="1234" w:name="_Toc54794919"/>
      <w:bookmarkStart w:id="1235" w:name="_Toc54796347"/>
      <w:bookmarkStart w:id="1236" w:name="_Toc55594862"/>
      <w:bookmarkStart w:id="1237" w:name="_Toc54794205"/>
      <w:bookmarkStart w:id="1238" w:name="_Toc55592301"/>
      <w:bookmarkStart w:id="1239" w:name="_Toc54795633"/>
      <w:bookmarkStart w:id="1240" w:name="_Toc55007979"/>
      <w:bookmarkStart w:id="1241" w:name="_Toc56740584"/>
      <w:bookmarkStart w:id="1242" w:name="_Toc56736916"/>
      <w:bookmarkStart w:id="1243" w:name="_Toc54810636"/>
      <w:bookmarkStart w:id="1244" w:name="_Toc56737637"/>
      <w:r>
        <w:rPr>
          <w:bCs/>
          <w:sz w:val="26"/>
          <w:szCs w:val="26"/>
          <w:lang w:val="nl-NL"/>
        </w:rPr>
        <w:t xml:space="preserve">Các loại CTRCN phát sinh tại các đơn vị được thu gom, phân loại, quản lý, lưu giữ, chuyển giao cho các đơn vị có năng lực xử lý theo quy định. Hà Tĩnh hiện có 01 nhà máy xử lý chất thải công nghiệp tại </w:t>
      </w:r>
      <w:r>
        <w:rPr>
          <w:sz w:val="26"/>
          <w:szCs w:val="26"/>
          <w:lang w:val="pt-BR"/>
        </w:rPr>
        <w:t>xã Kỳ Hoa</w:t>
      </w:r>
      <w:r>
        <w:rPr>
          <w:bCs/>
          <w:sz w:val="26"/>
          <w:szCs w:val="26"/>
          <w:lang w:val="nl-NL"/>
        </w:rPr>
        <w:t xml:space="preserve"> của Công ty TNHH MTV chế biến chất thải công nghiệp Hà Tĩnh đi vào hoạt động từ tháng 9/2016 (công suất 1.060 tấn/ngày), đã điều chỉnh lên 2.060 tấn/ngày đêm (Quyết định số 2142/QĐ-UBND ngày 09/7/2020 của UBND tỉnh) để xử lý CTRCN. Nhà máy đã được Bộ Tài nguyên và Môi trường (nay là Bộ Nông nghiệp và Môi trường) cấp Giấy phép xử lý CTNH (lần thứ 3) ngày 02/6/2021. </w:t>
      </w:r>
    </w:p>
    <w:p w14:paraId="543B2E9B" w14:textId="77777777" w:rsidR="00085789" w:rsidRDefault="00000000">
      <w:pPr>
        <w:pStyle w:val="bac2"/>
        <w:spacing w:before="120" w:after="0" w:line="240" w:lineRule="auto"/>
        <w:rPr>
          <w:lang w:val="nl-NL"/>
        </w:rPr>
      </w:pPr>
      <w:bookmarkStart w:id="1245" w:name="_Toc214311282"/>
      <w:r>
        <w:rPr>
          <w:lang w:val="nl-NL"/>
        </w:rPr>
        <w:t>7.5. Quản lý CTR y tế</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D77E412" w14:textId="77777777" w:rsidR="00085789" w:rsidRDefault="00000000">
      <w:pPr>
        <w:pStyle w:val="-bac3"/>
        <w:spacing w:before="120" w:after="0" w:line="240" w:lineRule="auto"/>
        <w:rPr>
          <w:lang w:val="it-IT"/>
        </w:rPr>
      </w:pPr>
      <w:bookmarkStart w:id="1246" w:name="_Toc56740585"/>
      <w:bookmarkStart w:id="1247" w:name="_Toc56739079"/>
      <w:bookmarkStart w:id="1248" w:name="_Toc54794206"/>
      <w:bookmarkStart w:id="1249" w:name="_Toc56736917"/>
      <w:bookmarkStart w:id="1250" w:name="_Toc56739822"/>
      <w:bookmarkStart w:id="1251" w:name="_Toc54794920"/>
      <w:bookmarkStart w:id="1252" w:name="_Toc56737638"/>
      <w:bookmarkStart w:id="1253" w:name="_Toc54810637"/>
      <w:bookmarkStart w:id="1254" w:name="_Toc54795634"/>
      <w:bookmarkStart w:id="1255" w:name="_Toc54796348"/>
      <w:bookmarkStart w:id="1256" w:name="_Toc214311283"/>
      <w:r>
        <w:rPr>
          <w:lang w:val="it-IT"/>
        </w:rPr>
        <w:t>7.5.1. Nguồn phát sinh CTR y tế</w:t>
      </w:r>
      <w:bookmarkEnd w:id="1246"/>
      <w:bookmarkEnd w:id="1247"/>
      <w:bookmarkEnd w:id="1248"/>
      <w:bookmarkEnd w:id="1249"/>
      <w:bookmarkEnd w:id="1250"/>
      <w:bookmarkEnd w:id="1251"/>
      <w:bookmarkEnd w:id="1252"/>
      <w:bookmarkEnd w:id="1253"/>
      <w:bookmarkEnd w:id="1254"/>
      <w:bookmarkEnd w:id="1255"/>
      <w:bookmarkEnd w:id="1256"/>
    </w:p>
    <w:p w14:paraId="7B7578BA" w14:textId="77777777" w:rsidR="00085789" w:rsidRDefault="00000000">
      <w:pPr>
        <w:spacing w:before="120" w:line="240" w:lineRule="auto"/>
        <w:ind w:firstLine="720"/>
        <w:jc w:val="both"/>
        <w:rPr>
          <w:bCs/>
          <w:iCs/>
          <w:sz w:val="26"/>
          <w:szCs w:val="26"/>
          <w:lang w:val="sq-AL"/>
        </w:rPr>
      </w:pPr>
      <w:r>
        <w:rPr>
          <w:bCs/>
          <w:iCs/>
          <w:sz w:val="26"/>
          <w:szCs w:val="26"/>
          <w:lang w:val="sq-AL"/>
        </w:rPr>
        <w:t xml:space="preserve">Nguồn phát sinh CTR y tế từ các cơ sở y tế bao gồm CTR y tế nguy hại và CTR thông thường. Chất thải y tế nguy hại là chất thải y tế chứa yếu tố lây nhiễm (bao gồm chất thải lây nhiễm và chất thải nguy hại không lây nhiễm) hoặc có đặc tính nguy hại khác vượt ngưỡng chất thải nguy hại. </w:t>
      </w:r>
    </w:p>
    <w:p w14:paraId="64A570E1" w14:textId="77777777" w:rsidR="00085789" w:rsidRDefault="00000000">
      <w:pPr>
        <w:spacing w:before="120" w:line="240" w:lineRule="auto"/>
        <w:ind w:firstLine="720"/>
        <w:jc w:val="both"/>
        <w:rPr>
          <w:sz w:val="26"/>
          <w:szCs w:val="26"/>
          <w:lang w:val="sq-AL"/>
        </w:rPr>
      </w:pPr>
      <w:r>
        <w:rPr>
          <w:sz w:val="26"/>
          <w:szCs w:val="26"/>
          <w:lang w:val="it-IT"/>
        </w:rPr>
        <w:t xml:space="preserve">Hiện nay trên địa bàn tỉnh Hà Tĩnh có </w:t>
      </w:r>
      <w:r>
        <w:rPr>
          <w:sz w:val="26"/>
          <w:szCs w:val="26"/>
          <w:lang w:val="sq-AL"/>
        </w:rPr>
        <w:t>608 cơ sở y tế, trong đó:</w:t>
      </w:r>
    </w:p>
    <w:p w14:paraId="39E84493" w14:textId="77777777" w:rsidR="00085789" w:rsidRDefault="00000000">
      <w:pPr>
        <w:spacing w:before="120" w:line="240" w:lineRule="auto"/>
        <w:ind w:firstLine="720"/>
        <w:jc w:val="both"/>
        <w:rPr>
          <w:sz w:val="26"/>
          <w:szCs w:val="26"/>
          <w:lang w:val="sq-AL"/>
        </w:rPr>
      </w:pPr>
      <w:r>
        <w:rPr>
          <w:sz w:val="26"/>
          <w:szCs w:val="26"/>
          <w:lang w:val="sq-AL"/>
        </w:rPr>
        <w:t>- Cơ sở khám chữa bệnh: 605 cơ sở; Cơ sở y tế dự phòng: 03 cơ sở (Trung tâm kiểm soát bệnh tật, Trung tâm Kiểm nghiệm thuốc - dược phẩm - mỹ phẩm; TTYT thị xã Kỳ Anh); Phòng khám tư nhân: 369 cơ sở.</w:t>
      </w:r>
    </w:p>
    <w:p w14:paraId="1E9B9744" w14:textId="77777777" w:rsidR="00085789" w:rsidRDefault="00000000">
      <w:pPr>
        <w:spacing w:before="120" w:line="240" w:lineRule="auto"/>
        <w:ind w:firstLine="720"/>
        <w:jc w:val="both"/>
        <w:rPr>
          <w:sz w:val="26"/>
          <w:szCs w:val="26"/>
          <w:lang w:val="sq-AL"/>
        </w:rPr>
      </w:pPr>
      <w:r>
        <w:rPr>
          <w:sz w:val="26"/>
          <w:szCs w:val="26"/>
          <w:lang w:val="sq-AL"/>
        </w:rPr>
        <w:t>Khối lượng CTR phát sinh bình quân trong 1 năm từ các cơ sở  y tế của toàn tỉnh là 2509 tấn CTR thông thường và 174 tấn chất thải y tế:</w:t>
      </w:r>
    </w:p>
    <w:p w14:paraId="5206D9B4" w14:textId="77777777" w:rsidR="00085789" w:rsidRDefault="00085789">
      <w:pPr>
        <w:spacing w:before="40" w:after="40" w:line="264" w:lineRule="auto"/>
        <w:jc w:val="center"/>
        <w:outlineLvl w:val="0"/>
        <w:rPr>
          <w:b/>
          <w:sz w:val="26"/>
          <w:szCs w:val="26"/>
          <w:lang w:val="de-DE"/>
        </w:rPr>
        <w:sectPr w:rsidR="00085789">
          <w:pgSz w:w="11909" w:h="16834" w:code="9"/>
          <w:pgMar w:top="1134" w:right="1134" w:bottom="1134" w:left="1418" w:header="567" w:footer="567" w:gutter="0"/>
          <w:cols w:space="720"/>
          <w:docGrid w:linePitch="381"/>
        </w:sectPr>
      </w:pPr>
      <w:bookmarkStart w:id="1257" w:name="_Toc422474620"/>
      <w:bookmarkStart w:id="1258" w:name="_Toc56739081"/>
      <w:bookmarkStart w:id="1259" w:name="_Toc54794207"/>
      <w:bookmarkStart w:id="1260" w:name="_Toc56740587"/>
      <w:bookmarkStart w:id="1261" w:name="_Toc56737640"/>
      <w:bookmarkStart w:id="1262" w:name="_Toc56739824"/>
      <w:bookmarkStart w:id="1263" w:name="_Toc54795635"/>
      <w:bookmarkStart w:id="1264" w:name="_Toc56736919"/>
      <w:bookmarkStart w:id="1265" w:name="_Toc54810638"/>
      <w:bookmarkStart w:id="1266" w:name="_Toc54796349"/>
    </w:p>
    <w:p w14:paraId="6BDAAB99" w14:textId="77777777" w:rsidR="00085789" w:rsidRDefault="00000000">
      <w:pPr>
        <w:pStyle w:val="-bac4"/>
        <w:rPr>
          <w:lang w:val="de-DE"/>
        </w:rPr>
      </w:pPr>
      <w:bookmarkStart w:id="1267" w:name="_Toc205915893"/>
      <w:bookmarkStart w:id="1268" w:name="_Toc213597584"/>
      <w:bookmarkStart w:id="1269" w:name="_Toc213600880"/>
      <w:r>
        <w:rPr>
          <w:lang w:val="de-DE"/>
        </w:rPr>
        <w:lastRenderedPageBreak/>
        <w:t>Bảng 7.3. Khối lượng CTR y tế phát sinh</w:t>
      </w:r>
      <w:bookmarkEnd w:id="1257"/>
      <w:r>
        <w:rPr>
          <w:lang w:val="de-DE"/>
        </w:rPr>
        <w:t xml:space="preserve"> tại các bệnh viện</w:t>
      </w:r>
      <w:bookmarkEnd w:id="1258"/>
      <w:bookmarkEnd w:id="1259"/>
      <w:bookmarkEnd w:id="1260"/>
      <w:bookmarkEnd w:id="1261"/>
      <w:bookmarkEnd w:id="1262"/>
      <w:bookmarkEnd w:id="1263"/>
      <w:bookmarkEnd w:id="1264"/>
      <w:bookmarkEnd w:id="1265"/>
      <w:bookmarkEnd w:id="1266"/>
      <w:bookmarkEnd w:id="1267"/>
      <w:bookmarkEnd w:id="1268"/>
      <w:bookmarkEnd w:id="1269"/>
    </w:p>
    <w:tbl>
      <w:tblPr>
        <w:tblW w:w="13951" w:type="dxa"/>
        <w:tblLook w:val="04A0" w:firstRow="1" w:lastRow="0" w:firstColumn="1" w:lastColumn="0" w:noHBand="0" w:noVBand="1"/>
      </w:tblPr>
      <w:tblGrid>
        <w:gridCol w:w="547"/>
        <w:gridCol w:w="1626"/>
        <w:gridCol w:w="965"/>
        <w:gridCol w:w="1236"/>
        <w:gridCol w:w="1158"/>
        <w:gridCol w:w="1133"/>
        <w:gridCol w:w="1158"/>
        <w:gridCol w:w="1109"/>
        <w:gridCol w:w="1158"/>
        <w:gridCol w:w="1171"/>
        <w:gridCol w:w="1158"/>
        <w:gridCol w:w="1532"/>
      </w:tblGrid>
      <w:tr w:rsidR="00085789" w14:paraId="46E86677" w14:textId="77777777">
        <w:trPr>
          <w:trHeight w:val="686"/>
          <w:tblHeader/>
        </w:trPr>
        <w:tc>
          <w:tcPr>
            <w:tcW w:w="547"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3EF60B49" w14:textId="77777777" w:rsidR="00085789" w:rsidRDefault="00000000">
            <w:pPr>
              <w:spacing w:line="240" w:lineRule="auto"/>
              <w:jc w:val="center"/>
              <w:rPr>
                <w:b/>
                <w:bCs/>
                <w:sz w:val="22"/>
                <w:szCs w:val="22"/>
              </w:rPr>
            </w:pPr>
            <w:r>
              <w:rPr>
                <w:b/>
                <w:bCs/>
                <w:sz w:val="22"/>
                <w:szCs w:val="22"/>
              </w:rPr>
              <w:t>TT</w:t>
            </w:r>
          </w:p>
        </w:tc>
        <w:tc>
          <w:tcPr>
            <w:tcW w:w="16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001BCF5B" w14:textId="77777777" w:rsidR="00085789" w:rsidRDefault="00000000">
            <w:pPr>
              <w:spacing w:line="240" w:lineRule="auto"/>
              <w:jc w:val="center"/>
              <w:rPr>
                <w:b/>
                <w:bCs/>
                <w:sz w:val="22"/>
                <w:szCs w:val="22"/>
              </w:rPr>
            </w:pPr>
            <w:r>
              <w:rPr>
                <w:b/>
                <w:bCs/>
                <w:sz w:val="22"/>
                <w:szCs w:val="22"/>
              </w:rPr>
              <w:t>Tên cơ sở</w:t>
            </w:r>
          </w:p>
        </w:tc>
        <w:tc>
          <w:tcPr>
            <w:tcW w:w="965"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45EE95BF" w14:textId="77777777" w:rsidR="00085789" w:rsidRDefault="00000000">
            <w:pPr>
              <w:spacing w:line="240" w:lineRule="auto"/>
              <w:jc w:val="center"/>
              <w:rPr>
                <w:b/>
                <w:bCs/>
                <w:sz w:val="22"/>
                <w:szCs w:val="22"/>
              </w:rPr>
            </w:pPr>
            <w:r>
              <w:rPr>
                <w:b/>
                <w:bCs/>
                <w:sz w:val="22"/>
                <w:szCs w:val="22"/>
              </w:rPr>
              <w:t>Chỉ tiêu giường bệnh kế hoạch</w:t>
            </w:r>
          </w:p>
        </w:tc>
        <w:tc>
          <w:tcPr>
            <w:tcW w:w="2394" w:type="dxa"/>
            <w:gridSpan w:val="2"/>
            <w:tcBorders>
              <w:top w:val="single" w:sz="4" w:space="0" w:color="auto"/>
              <w:left w:val="nil"/>
              <w:bottom w:val="single" w:sz="4" w:space="0" w:color="auto"/>
              <w:right w:val="single" w:sz="4" w:space="0" w:color="auto"/>
            </w:tcBorders>
            <w:shd w:val="clear" w:color="000000" w:fill="FFFFFF"/>
            <w:vAlign w:val="center"/>
          </w:tcPr>
          <w:p w14:paraId="6CF3A95C" w14:textId="77777777" w:rsidR="00085789" w:rsidRDefault="00000000">
            <w:pPr>
              <w:spacing w:line="240" w:lineRule="auto"/>
              <w:jc w:val="center"/>
              <w:rPr>
                <w:b/>
                <w:bCs/>
                <w:sz w:val="22"/>
                <w:szCs w:val="22"/>
              </w:rPr>
            </w:pPr>
            <w:r>
              <w:rPr>
                <w:b/>
                <w:bCs/>
                <w:sz w:val="22"/>
                <w:szCs w:val="22"/>
              </w:rPr>
              <w:t xml:space="preserve">Chất thải phát sinh năm 2021 </w:t>
            </w:r>
          </w:p>
        </w:tc>
        <w:tc>
          <w:tcPr>
            <w:tcW w:w="2291" w:type="dxa"/>
            <w:gridSpan w:val="2"/>
            <w:tcBorders>
              <w:top w:val="single" w:sz="4" w:space="0" w:color="auto"/>
              <w:left w:val="nil"/>
              <w:bottom w:val="single" w:sz="4" w:space="0" w:color="auto"/>
              <w:right w:val="single" w:sz="4" w:space="0" w:color="auto"/>
            </w:tcBorders>
            <w:shd w:val="clear" w:color="000000" w:fill="FFFFFF"/>
            <w:vAlign w:val="center"/>
          </w:tcPr>
          <w:p w14:paraId="5AB52901" w14:textId="77777777" w:rsidR="00085789" w:rsidRDefault="00000000">
            <w:pPr>
              <w:spacing w:line="240" w:lineRule="auto"/>
              <w:jc w:val="center"/>
              <w:rPr>
                <w:b/>
                <w:bCs/>
                <w:sz w:val="22"/>
                <w:szCs w:val="22"/>
              </w:rPr>
            </w:pPr>
            <w:r>
              <w:rPr>
                <w:b/>
                <w:bCs/>
                <w:sz w:val="22"/>
                <w:szCs w:val="22"/>
              </w:rPr>
              <w:t>Chất thải phát sinh năm 2022</w:t>
            </w:r>
          </w:p>
        </w:tc>
        <w:tc>
          <w:tcPr>
            <w:tcW w:w="2267" w:type="dxa"/>
            <w:gridSpan w:val="2"/>
            <w:tcBorders>
              <w:top w:val="single" w:sz="4" w:space="0" w:color="auto"/>
              <w:left w:val="nil"/>
              <w:bottom w:val="single" w:sz="4" w:space="0" w:color="auto"/>
              <w:right w:val="single" w:sz="4" w:space="0" w:color="auto"/>
            </w:tcBorders>
            <w:shd w:val="clear" w:color="000000" w:fill="FFFFFF"/>
            <w:vAlign w:val="center"/>
          </w:tcPr>
          <w:p w14:paraId="72F2EB7E" w14:textId="77777777" w:rsidR="00085789" w:rsidRDefault="00000000">
            <w:pPr>
              <w:spacing w:line="240" w:lineRule="auto"/>
              <w:jc w:val="center"/>
              <w:rPr>
                <w:b/>
                <w:bCs/>
                <w:sz w:val="22"/>
                <w:szCs w:val="22"/>
              </w:rPr>
            </w:pPr>
            <w:r>
              <w:rPr>
                <w:b/>
                <w:bCs/>
                <w:sz w:val="22"/>
                <w:szCs w:val="22"/>
              </w:rPr>
              <w:t xml:space="preserve">Chất thải phát sinh năm 2023 </w:t>
            </w:r>
          </w:p>
        </w:tc>
        <w:tc>
          <w:tcPr>
            <w:tcW w:w="2329" w:type="dxa"/>
            <w:gridSpan w:val="2"/>
            <w:tcBorders>
              <w:top w:val="single" w:sz="4" w:space="0" w:color="auto"/>
              <w:left w:val="nil"/>
              <w:bottom w:val="single" w:sz="4" w:space="0" w:color="auto"/>
              <w:right w:val="single" w:sz="4" w:space="0" w:color="auto"/>
            </w:tcBorders>
            <w:shd w:val="clear" w:color="000000" w:fill="FFFFFF"/>
            <w:vAlign w:val="center"/>
          </w:tcPr>
          <w:p w14:paraId="6C4142B2" w14:textId="77777777" w:rsidR="00085789" w:rsidRDefault="00000000">
            <w:pPr>
              <w:spacing w:line="240" w:lineRule="auto"/>
              <w:jc w:val="center"/>
              <w:rPr>
                <w:b/>
                <w:bCs/>
                <w:sz w:val="22"/>
                <w:szCs w:val="22"/>
              </w:rPr>
            </w:pPr>
            <w:r>
              <w:rPr>
                <w:b/>
                <w:bCs/>
                <w:sz w:val="22"/>
                <w:szCs w:val="22"/>
              </w:rPr>
              <w:t xml:space="preserve">Chất thải phát sinh năm 2024 </w:t>
            </w:r>
          </w:p>
        </w:tc>
        <w:tc>
          <w:tcPr>
            <w:tcW w:w="1532"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14:paraId="1EA8A5AB" w14:textId="77777777" w:rsidR="00085789" w:rsidRDefault="00000000">
            <w:pPr>
              <w:spacing w:line="240" w:lineRule="auto"/>
              <w:jc w:val="center"/>
              <w:rPr>
                <w:b/>
                <w:bCs/>
                <w:sz w:val="22"/>
                <w:szCs w:val="22"/>
              </w:rPr>
            </w:pPr>
            <w:r>
              <w:rPr>
                <w:b/>
                <w:bCs/>
                <w:sz w:val="22"/>
                <w:szCs w:val="22"/>
              </w:rPr>
              <w:t>Biện pháp xử lý CTYTNH hiện nay</w:t>
            </w:r>
          </w:p>
        </w:tc>
      </w:tr>
      <w:tr w:rsidR="00085789" w14:paraId="5265ECCC" w14:textId="77777777">
        <w:trPr>
          <w:trHeight w:val="993"/>
        </w:trPr>
        <w:tc>
          <w:tcPr>
            <w:tcW w:w="547" w:type="dxa"/>
            <w:vMerge/>
            <w:tcBorders>
              <w:top w:val="single" w:sz="4" w:space="0" w:color="auto"/>
              <w:left w:val="single" w:sz="4" w:space="0" w:color="auto"/>
              <w:bottom w:val="single" w:sz="4" w:space="0" w:color="auto"/>
              <w:right w:val="single" w:sz="4" w:space="0" w:color="auto"/>
            </w:tcBorders>
            <w:vAlign w:val="center"/>
          </w:tcPr>
          <w:p w14:paraId="5CAFB8CC" w14:textId="77777777" w:rsidR="00085789" w:rsidRDefault="00085789">
            <w:pPr>
              <w:spacing w:line="240" w:lineRule="auto"/>
              <w:rPr>
                <w:b/>
                <w:bCs/>
                <w:sz w:val="22"/>
                <w:szCs w:val="22"/>
              </w:rPr>
            </w:pPr>
          </w:p>
        </w:tc>
        <w:tc>
          <w:tcPr>
            <w:tcW w:w="1626" w:type="dxa"/>
            <w:vMerge/>
            <w:tcBorders>
              <w:top w:val="single" w:sz="4" w:space="0" w:color="auto"/>
              <w:left w:val="single" w:sz="4" w:space="0" w:color="auto"/>
              <w:bottom w:val="single" w:sz="4" w:space="0" w:color="auto"/>
              <w:right w:val="single" w:sz="4" w:space="0" w:color="auto"/>
            </w:tcBorders>
            <w:vAlign w:val="center"/>
          </w:tcPr>
          <w:p w14:paraId="5C515495" w14:textId="77777777" w:rsidR="00085789" w:rsidRDefault="00085789">
            <w:pPr>
              <w:spacing w:line="240" w:lineRule="auto"/>
              <w:rPr>
                <w:b/>
                <w:bCs/>
                <w:sz w:val="22"/>
                <w:szCs w:val="22"/>
              </w:rPr>
            </w:pPr>
          </w:p>
        </w:tc>
        <w:tc>
          <w:tcPr>
            <w:tcW w:w="965" w:type="dxa"/>
            <w:vMerge/>
            <w:tcBorders>
              <w:top w:val="single" w:sz="4" w:space="0" w:color="auto"/>
              <w:left w:val="single" w:sz="4" w:space="0" w:color="auto"/>
              <w:bottom w:val="single" w:sz="4" w:space="0" w:color="auto"/>
              <w:right w:val="single" w:sz="4" w:space="0" w:color="auto"/>
            </w:tcBorders>
            <w:vAlign w:val="center"/>
          </w:tcPr>
          <w:p w14:paraId="3726B63D" w14:textId="77777777" w:rsidR="00085789" w:rsidRDefault="00085789">
            <w:pPr>
              <w:spacing w:line="240" w:lineRule="auto"/>
              <w:rPr>
                <w:b/>
                <w:bCs/>
                <w:sz w:val="22"/>
                <w:szCs w:val="22"/>
              </w:rPr>
            </w:pPr>
          </w:p>
        </w:tc>
        <w:tc>
          <w:tcPr>
            <w:tcW w:w="1236" w:type="dxa"/>
            <w:tcBorders>
              <w:top w:val="nil"/>
              <w:left w:val="nil"/>
              <w:bottom w:val="single" w:sz="4" w:space="0" w:color="auto"/>
              <w:right w:val="single" w:sz="4" w:space="0" w:color="auto"/>
            </w:tcBorders>
            <w:shd w:val="clear" w:color="000000" w:fill="FFFFFF"/>
            <w:vAlign w:val="center"/>
          </w:tcPr>
          <w:p w14:paraId="632A2164" w14:textId="77777777" w:rsidR="00085789" w:rsidRDefault="00000000">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624FF45C" w14:textId="77777777" w:rsidR="00085789" w:rsidRDefault="00000000">
            <w:pPr>
              <w:spacing w:line="240" w:lineRule="auto"/>
              <w:jc w:val="center"/>
              <w:rPr>
                <w:b/>
                <w:bCs/>
                <w:sz w:val="22"/>
                <w:szCs w:val="22"/>
              </w:rPr>
            </w:pPr>
            <w:r>
              <w:rPr>
                <w:b/>
                <w:bCs/>
                <w:sz w:val="22"/>
                <w:szCs w:val="22"/>
              </w:rPr>
              <w:t>CTYTNH (kg/ngày)</w:t>
            </w:r>
          </w:p>
        </w:tc>
        <w:tc>
          <w:tcPr>
            <w:tcW w:w="1133" w:type="dxa"/>
            <w:tcBorders>
              <w:top w:val="nil"/>
              <w:left w:val="nil"/>
              <w:bottom w:val="single" w:sz="4" w:space="0" w:color="auto"/>
              <w:right w:val="single" w:sz="4" w:space="0" w:color="auto"/>
            </w:tcBorders>
            <w:shd w:val="clear" w:color="000000" w:fill="FFFFFF"/>
            <w:vAlign w:val="center"/>
          </w:tcPr>
          <w:p w14:paraId="305E5101" w14:textId="77777777" w:rsidR="00085789" w:rsidRDefault="00000000">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2D565633" w14:textId="77777777" w:rsidR="00085789" w:rsidRDefault="00000000">
            <w:pPr>
              <w:spacing w:line="240" w:lineRule="auto"/>
              <w:jc w:val="center"/>
              <w:rPr>
                <w:b/>
                <w:bCs/>
                <w:sz w:val="22"/>
                <w:szCs w:val="22"/>
              </w:rPr>
            </w:pPr>
            <w:r>
              <w:rPr>
                <w:b/>
                <w:bCs/>
                <w:sz w:val="22"/>
                <w:szCs w:val="22"/>
              </w:rPr>
              <w:t>CTYTNH (kg/ngày)</w:t>
            </w:r>
          </w:p>
        </w:tc>
        <w:tc>
          <w:tcPr>
            <w:tcW w:w="1109" w:type="dxa"/>
            <w:tcBorders>
              <w:top w:val="nil"/>
              <w:left w:val="nil"/>
              <w:bottom w:val="single" w:sz="4" w:space="0" w:color="auto"/>
              <w:right w:val="single" w:sz="4" w:space="0" w:color="auto"/>
            </w:tcBorders>
            <w:shd w:val="clear" w:color="000000" w:fill="FFFFFF"/>
            <w:vAlign w:val="center"/>
          </w:tcPr>
          <w:p w14:paraId="6435BD43" w14:textId="77777777" w:rsidR="00085789" w:rsidRDefault="00000000">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7CAAB244" w14:textId="77777777" w:rsidR="00085789" w:rsidRDefault="00000000">
            <w:pPr>
              <w:spacing w:line="240" w:lineRule="auto"/>
              <w:jc w:val="center"/>
              <w:rPr>
                <w:b/>
                <w:bCs/>
                <w:sz w:val="22"/>
                <w:szCs w:val="22"/>
              </w:rPr>
            </w:pPr>
            <w:r>
              <w:rPr>
                <w:b/>
                <w:bCs/>
                <w:sz w:val="22"/>
                <w:szCs w:val="22"/>
              </w:rPr>
              <w:t>CTYTNH (kg/ngày)</w:t>
            </w:r>
          </w:p>
        </w:tc>
        <w:tc>
          <w:tcPr>
            <w:tcW w:w="1171" w:type="dxa"/>
            <w:tcBorders>
              <w:top w:val="nil"/>
              <w:left w:val="nil"/>
              <w:bottom w:val="single" w:sz="4" w:space="0" w:color="auto"/>
              <w:right w:val="single" w:sz="4" w:space="0" w:color="auto"/>
            </w:tcBorders>
            <w:shd w:val="clear" w:color="000000" w:fill="FFFFFF"/>
            <w:vAlign w:val="center"/>
          </w:tcPr>
          <w:p w14:paraId="3B85CF5E" w14:textId="77777777" w:rsidR="00085789" w:rsidRDefault="00000000">
            <w:pPr>
              <w:spacing w:line="240" w:lineRule="auto"/>
              <w:jc w:val="center"/>
              <w:rPr>
                <w:b/>
                <w:bCs/>
                <w:sz w:val="22"/>
                <w:szCs w:val="22"/>
              </w:rPr>
            </w:pPr>
            <w:r>
              <w:rPr>
                <w:b/>
                <w:bCs/>
                <w:sz w:val="22"/>
                <w:szCs w:val="22"/>
              </w:rPr>
              <w:t>Chất thải sinh hoạt (kg/ngày)</w:t>
            </w:r>
          </w:p>
        </w:tc>
        <w:tc>
          <w:tcPr>
            <w:tcW w:w="1158" w:type="dxa"/>
            <w:tcBorders>
              <w:top w:val="nil"/>
              <w:left w:val="nil"/>
              <w:bottom w:val="single" w:sz="4" w:space="0" w:color="auto"/>
              <w:right w:val="single" w:sz="4" w:space="0" w:color="auto"/>
            </w:tcBorders>
            <w:shd w:val="clear" w:color="000000" w:fill="FFFFFF"/>
            <w:vAlign w:val="center"/>
          </w:tcPr>
          <w:p w14:paraId="17711BF2" w14:textId="77777777" w:rsidR="00085789" w:rsidRDefault="00000000">
            <w:pPr>
              <w:spacing w:line="240" w:lineRule="auto"/>
              <w:jc w:val="center"/>
              <w:rPr>
                <w:b/>
                <w:bCs/>
                <w:sz w:val="22"/>
                <w:szCs w:val="22"/>
              </w:rPr>
            </w:pPr>
            <w:r>
              <w:rPr>
                <w:b/>
                <w:bCs/>
                <w:sz w:val="22"/>
                <w:szCs w:val="22"/>
              </w:rPr>
              <w:t>CTYTNH (kg/ngày)</w:t>
            </w:r>
          </w:p>
        </w:tc>
        <w:tc>
          <w:tcPr>
            <w:tcW w:w="1532" w:type="dxa"/>
            <w:vMerge/>
            <w:tcBorders>
              <w:top w:val="single" w:sz="4" w:space="0" w:color="auto"/>
              <w:left w:val="single" w:sz="4" w:space="0" w:color="auto"/>
              <w:bottom w:val="single" w:sz="4" w:space="0" w:color="auto"/>
              <w:right w:val="single" w:sz="4" w:space="0" w:color="auto"/>
            </w:tcBorders>
            <w:vAlign w:val="center"/>
          </w:tcPr>
          <w:p w14:paraId="6949E1BD" w14:textId="77777777" w:rsidR="00085789" w:rsidRDefault="00085789">
            <w:pPr>
              <w:spacing w:line="240" w:lineRule="auto"/>
              <w:rPr>
                <w:b/>
                <w:bCs/>
                <w:sz w:val="22"/>
                <w:szCs w:val="22"/>
              </w:rPr>
            </w:pPr>
          </w:p>
        </w:tc>
      </w:tr>
      <w:tr w:rsidR="00085789" w14:paraId="5DCA204C"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B3A1F7C" w14:textId="77777777" w:rsidR="00085789" w:rsidRDefault="00000000">
            <w:pPr>
              <w:spacing w:line="240" w:lineRule="auto"/>
              <w:jc w:val="center"/>
              <w:rPr>
                <w:b/>
                <w:bCs/>
                <w:sz w:val="22"/>
                <w:szCs w:val="22"/>
              </w:rPr>
            </w:pPr>
            <w:r>
              <w:rPr>
                <w:b/>
                <w:bCs/>
                <w:sz w:val="22"/>
                <w:szCs w:val="22"/>
              </w:rPr>
              <w:t>A</w:t>
            </w:r>
          </w:p>
        </w:tc>
        <w:tc>
          <w:tcPr>
            <w:tcW w:w="1626" w:type="dxa"/>
            <w:tcBorders>
              <w:top w:val="nil"/>
              <w:left w:val="nil"/>
              <w:bottom w:val="single" w:sz="4" w:space="0" w:color="auto"/>
              <w:right w:val="single" w:sz="4" w:space="0" w:color="auto"/>
            </w:tcBorders>
            <w:shd w:val="clear" w:color="000000" w:fill="FFFFFF"/>
            <w:vAlign w:val="center"/>
          </w:tcPr>
          <w:p w14:paraId="6FD6958F" w14:textId="77777777" w:rsidR="00085789" w:rsidRDefault="00000000">
            <w:pPr>
              <w:spacing w:line="240" w:lineRule="auto"/>
              <w:rPr>
                <w:b/>
                <w:bCs/>
                <w:sz w:val="22"/>
                <w:szCs w:val="22"/>
              </w:rPr>
            </w:pPr>
            <w:r>
              <w:rPr>
                <w:b/>
                <w:bCs/>
                <w:sz w:val="22"/>
                <w:szCs w:val="22"/>
              </w:rPr>
              <w:t>CÁC CƠ SỞ KHÁM CHỮA BỆNH</w:t>
            </w:r>
          </w:p>
        </w:tc>
        <w:tc>
          <w:tcPr>
            <w:tcW w:w="965" w:type="dxa"/>
            <w:tcBorders>
              <w:top w:val="nil"/>
              <w:left w:val="nil"/>
              <w:bottom w:val="single" w:sz="4" w:space="0" w:color="auto"/>
              <w:right w:val="single" w:sz="4" w:space="0" w:color="auto"/>
            </w:tcBorders>
            <w:shd w:val="clear" w:color="000000" w:fill="FFFFFF"/>
            <w:vAlign w:val="center"/>
          </w:tcPr>
          <w:p w14:paraId="16349406" w14:textId="77777777" w:rsidR="00085789" w:rsidRDefault="00000000">
            <w:pPr>
              <w:spacing w:line="240" w:lineRule="auto"/>
              <w:jc w:val="center"/>
              <w:rPr>
                <w:b/>
                <w:bCs/>
                <w:sz w:val="22"/>
                <w:szCs w:val="22"/>
              </w:rPr>
            </w:pPr>
            <w:r>
              <w:rPr>
                <w:b/>
                <w:bCs/>
                <w:sz w:val="22"/>
                <w:szCs w:val="22"/>
              </w:rPr>
              <w:t>3934</w:t>
            </w:r>
          </w:p>
        </w:tc>
        <w:tc>
          <w:tcPr>
            <w:tcW w:w="1236" w:type="dxa"/>
            <w:tcBorders>
              <w:top w:val="nil"/>
              <w:left w:val="nil"/>
              <w:bottom w:val="single" w:sz="4" w:space="0" w:color="auto"/>
              <w:right w:val="single" w:sz="4" w:space="0" w:color="auto"/>
            </w:tcBorders>
            <w:shd w:val="clear" w:color="000000" w:fill="FFFFFF"/>
            <w:vAlign w:val="center"/>
          </w:tcPr>
          <w:p w14:paraId="7A1F746E" w14:textId="77777777" w:rsidR="00085789" w:rsidRDefault="00000000">
            <w:pPr>
              <w:spacing w:line="240" w:lineRule="auto"/>
              <w:jc w:val="center"/>
              <w:rPr>
                <w:b/>
                <w:bCs/>
                <w:sz w:val="22"/>
                <w:szCs w:val="22"/>
              </w:rPr>
            </w:pPr>
            <w:r>
              <w:rPr>
                <w:b/>
                <w:bCs/>
                <w:sz w:val="22"/>
                <w:szCs w:val="22"/>
              </w:rPr>
              <w:t>5866</w:t>
            </w:r>
          </w:p>
        </w:tc>
        <w:tc>
          <w:tcPr>
            <w:tcW w:w="1158" w:type="dxa"/>
            <w:tcBorders>
              <w:top w:val="nil"/>
              <w:left w:val="nil"/>
              <w:bottom w:val="single" w:sz="4" w:space="0" w:color="auto"/>
              <w:right w:val="single" w:sz="4" w:space="0" w:color="auto"/>
            </w:tcBorders>
            <w:shd w:val="clear" w:color="000000" w:fill="FFFFFF"/>
            <w:vAlign w:val="center"/>
          </w:tcPr>
          <w:p w14:paraId="23C2A064" w14:textId="77777777" w:rsidR="00085789" w:rsidRDefault="00000000">
            <w:pPr>
              <w:spacing w:line="240" w:lineRule="auto"/>
              <w:jc w:val="center"/>
              <w:rPr>
                <w:b/>
                <w:bCs/>
                <w:sz w:val="22"/>
                <w:szCs w:val="22"/>
              </w:rPr>
            </w:pPr>
            <w:r>
              <w:rPr>
                <w:b/>
                <w:bCs/>
                <w:sz w:val="22"/>
                <w:szCs w:val="22"/>
              </w:rPr>
              <w:t>640</w:t>
            </w:r>
          </w:p>
        </w:tc>
        <w:tc>
          <w:tcPr>
            <w:tcW w:w="1133" w:type="dxa"/>
            <w:tcBorders>
              <w:top w:val="nil"/>
              <w:left w:val="nil"/>
              <w:bottom w:val="single" w:sz="4" w:space="0" w:color="auto"/>
              <w:right w:val="single" w:sz="4" w:space="0" w:color="auto"/>
            </w:tcBorders>
            <w:shd w:val="clear" w:color="000000" w:fill="FFFFFF"/>
            <w:vAlign w:val="center"/>
          </w:tcPr>
          <w:p w14:paraId="7C8FDCB0" w14:textId="77777777" w:rsidR="00085789" w:rsidRDefault="00000000">
            <w:pPr>
              <w:spacing w:line="240" w:lineRule="auto"/>
              <w:jc w:val="center"/>
              <w:rPr>
                <w:b/>
                <w:bCs/>
                <w:sz w:val="22"/>
                <w:szCs w:val="22"/>
              </w:rPr>
            </w:pPr>
            <w:r>
              <w:rPr>
                <w:b/>
                <w:bCs/>
                <w:sz w:val="22"/>
                <w:szCs w:val="22"/>
              </w:rPr>
              <w:t>6875</w:t>
            </w:r>
          </w:p>
        </w:tc>
        <w:tc>
          <w:tcPr>
            <w:tcW w:w="1158" w:type="dxa"/>
            <w:tcBorders>
              <w:top w:val="nil"/>
              <w:left w:val="nil"/>
              <w:bottom w:val="single" w:sz="4" w:space="0" w:color="auto"/>
              <w:right w:val="single" w:sz="4" w:space="0" w:color="auto"/>
            </w:tcBorders>
            <w:shd w:val="clear" w:color="000000" w:fill="FFFFFF"/>
            <w:vAlign w:val="center"/>
          </w:tcPr>
          <w:p w14:paraId="36124D44" w14:textId="77777777" w:rsidR="00085789" w:rsidRDefault="00000000">
            <w:pPr>
              <w:spacing w:line="240" w:lineRule="auto"/>
              <w:jc w:val="center"/>
              <w:rPr>
                <w:b/>
                <w:bCs/>
                <w:sz w:val="22"/>
                <w:szCs w:val="22"/>
              </w:rPr>
            </w:pPr>
            <w:r>
              <w:rPr>
                <w:b/>
                <w:bCs/>
                <w:sz w:val="22"/>
                <w:szCs w:val="22"/>
              </w:rPr>
              <w:t>666</w:t>
            </w:r>
          </w:p>
        </w:tc>
        <w:tc>
          <w:tcPr>
            <w:tcW w:w="1109" w:type="dxa"/>
            <w:tcBorders>
              <w:top w:val="nil"/>
              <w:left w:val="nil"/>
              <w:bottom w:val="single" w:sz="4" w:space="0" w:color="auto"/>
              <w:right w:val="single" w:sz="4" w:space="0" w:color="auto"/>
            </w:tcBorders>
            <w:shd w:val="clear" w:color="000000" w:fill="FFFFFF"/>
            <w:vAlign w:val="center"/>
          </w:tcPr>
          <w:p w14:paraId="772AF0F5" w14:textId="77777777" w:rsidR="00085789" w:rsidRDefault="00000000">
            <w:pPr>
              <w:spacing w:line="240" w:lineRule="auto"/>
              <w:jc w:val="center"/>
              <w:rPr>
                <w:b/>
                <w:bCs/>
                <w:sz w:val="22"/>
                <w:szCs w:val="22"/>
              </w:rPr>
            </w:pPr>
            <w:r>
              <w:rPr>
                <w:b/>
                <w:bCs/>
                <w:sz w:val="22"/>
                <w:szCs w:val="22"/>
              </w:rPr>
              <w:t>6680,8</w:t>
            </w:r>
          </w:p>
        </w:tc>
        <w:tc>
          <w:tcPr>
            <w:tcW w:w="1158" w:type="dxa"/>
            <w:tcBorders>
              <w:top w:val="nil"/>
              <w:left w:val="nil"/>
              <w:bottom w:val="single" w:sz="4" w:space="0" w:color="auto"/>
              <w:right w:val="single" w:sz="4" w:space="0" w:color="auto"/>
            </w:tcBorders>
            <w:shd w:val="clear" w:color="000000" w:fill="FFFFFF"/>
            <w:vAlign w:val="center"/>
          </w:tcPr>
          <w:p w14:paraId="456ADD3E" w14:textId="77777777" w:rsidR="00085789" w:rsidRDefault="00000000">
            <w:pPr>
              <w:spacing w:line="240" w:lineRule="auto"/>
              <w:jc w:val="center"/>
              <w:rPr>
                <w:b/>
                <w:bCs/>
                <w:sz w:val="22"/>
                <w:szCs w:val="22"/>
              </w:rPr>
            </w:pPr>
            <w:r>
              <w:rPr>
                <w:b/>
                <w:bCs/>
                <w:sz w:val="22"/>
                <w:szCs w:val="22"/>
              </w:rPr>
              <w:t>679,5</w:t>
            </w:r>
          </w:p>
        </w:tc>
        <w:tc>
          <w:tcPr>
            <w:tcW w:w="1171" w:type="dxa"/>
            <w:tcBorders>
              <w:top w:val="nil"/>
              <w:left w:val="nil"/>
              <w:bottom w:val="single" w:sz="4" w:space="0" w:color="auto"/>
              <w:right w:val="single" w:sz="4" w:space="0" w:color="auto"/>
            </w:tcBorders>
            <w:shd w:val="clear" w:color="000000" w:fill="FFFFFF"/>
            <w:vAlign w:val="center"/>
          </w:tcPr>
          <w:p w14:paraId="2FB65F47" w14:textId="77777777" w:rsidR="00085789" w:rsidRDefault="00000000">
            <w:pPr>
              <w:spacing w:line="240" w:lineRule="auto"/>
              <w:jc w:val="center"/>
              <w:rPr>
                <w:b/>
                <w:bCs/>
                <w:sz w:val="22"/>
                <w:szCs w:val="22"/>
              </w:rPr>
            </w:pPr>
            <w:r>
              <w:rPr>
                <w:b/>
                <w:bCs/>
                <w:sz w:val="22"/>
                <w:szCs w:val="22"/>
              </w:rPr>
              <w:t>7656,9</w:t>
            </w:r>
          </w:p>
        </w:tc>
        <w:tc>
          <w:tcPr>
            <w:tcW w:w="1158" w:type="dxa"/>
            <w:tcBorders>
              <w:top w:val="nil"/>
              <w:left w:val="nil"/>
              <w:bottom w:val="single" w:sz="4" w:space="0" w:color="auto"/>
              <w:right w:val="single" w:sz="4" w:space="0" w:color="auto"/>
            </w:tcBorders>
            <w:shd w:val="clear" w:color="000000" w:fill="FFFFFF"/>
            <w:vAlign w:val="center"/>
          </w:tcPr>
          <w:p w14:paraId="0271F2C6" w14:textId="77777777" w:rsidR="00085789" w:rsidRDefault="00000000">
            <w:pPr>
              <w:spacing w:line="240" w:lineRule="auto"/>
              <w:jc w:val="center"/>
              <w:rPr>
                <w:b/>
                <w:bCs/>
                <w:sz w:val="22"/>
                <w:szCs w:val="22"/>
              </w:rPr>
            </w:pPr>
            <w:r>
              <w:rPr>
                <w:b/>
                <w:bCs/>
                <w:sz w:val="22"/>
                <w:szCs w:val="22"/>
              </w:rPr>
              <w:t>786,7</w:t>
            </w:r>
          </w:p>
        </w:tc>
        <w:tc>
          <w:tcPr>
            <w:tcW w:w="1532" w:type="dxa"/>
            <w:tcBorders>
              <w:top w:val="nil"/>
              <w:left w:val="nil"/>
              <w:bottom w:val="single" w:sz="4" w:space="0" w:color="auto"/>
              <w:right w:val="single" w:sz="4" w:space="0" w:color="auto"/>
            </w:tcBorders>
            <w:shd w:val="clear" w:color="000000" w:fill="FFFFFF"/>
            <w:vAlign w:val="center"/>
          </w:tcPr>
          <w:p w14:paraId="687B5072" w14:textId="77777777" w:rsidR="00085789" w:rsidRDefault="00000000">
            <w:pPr>
              <w:spacing w:line="240" w:lineRule="auto"/>
              <w:rPr>
                <w:sz w:val="22"/>
                <w:szCs w:val="22"/>
              </w:rPr>
            </w:pPr>
            <w:r>
              <w:rPr>
                <w:sz w:val="22"/>
                <w:szCs w:val="22"/>
              </w:rPr>
              <w:t> </w:t>
            </w:r>
          </w:p>
        </w:tc>
      </w:tr>
      <w:tr w:rsidR="00085789" w14:paraId="38F37C8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E45F042" w14:textId="77777777" w:rsidR="00085789" w:rsidRDefault="00000000">
            <w:pPr>
              <w:spacing w:line="240" w:lineRule="auto"/>
              <w:jc w:val="center"/>
              <w:rPr>
                <w:b/>
                <w:bCs/>
                <w:sz w:val="22"/>
                <w:szCs w:val="22"/>
              </w:rPr>
            </w:pPr>
            <w:r>
              <w:rPr>
                <w:b/>
                <w:bCs/>
                <w:sz w:val="22"/>
                <w:szCs w:val="22"/>
              </w:rPr>
              <w:t>I</w:t>
            </w:r>
          </w:p>
        </w:tc>
        <w:tc>
          <w:tcPr>
            <w:tcW w:w="1626" w:type="dxa"/>
            <w:tcBorders>
              <w:top w:val="nil"/>
              <w:left w:val="nil"/>
              <w:bottom w:val="single" w:sz="4" w:space="0" w:color="auto"/>
              <w:right w:val="single" w:sz="4" w:space="0" w:color="auto"/>
            </w:tcBorders>
            <w:shd w:val="clear" w:color="000000" w:fill="FFFFFF"/>
            <w:vAlign w:val="center"/>
          </w:tcPr>
          <w:p w14:paraId="4C1ED5FD" w14:textId="77777777" w:rsidR="00085789" w:rsidRDefault="00000000">
            <w:pPr>
              <w:spacing w:line="240" w:lineRule="auto"/>
              <w:rPr>
                <w:b/>
                <w:bCs/>
                <w:sz w:val="22"/>
                <w:szCs w:val="22"/>
              </w:rPr>
            </w:pPr>
            <w:r>
              <w:rPr>
                <w:b/>
                <w:bCs/>
                <w:sz w:val="22"/>
                <w:szCs w:val="22"/>
              </w:rPr>
              <w:t>Bệnh viện tuyến tỉnh (06 BV)</w:t>
            </w:r>
          </w:p>
        </w:tc>
        <w:tc>
          <w:tcPr>
            <w:tcW w:w="965" w:type="dxa"/>
            <w:tcBorders>
              <w:top w:val="nil"/>
              <w:left w:val="nil"/>
              <w:bottom w:val="single" w:sz="4" w:space="0" w:color="auto"/>
              <w:right w:val="single" w:sz="4" w:space="0" w:color="auto"/>
            </w:tcBorders>
            <w:shd w:val="clear" w:color="000000" w:fill="FFFFFF"/>
            <w:vAlign w:val="center"/>
          </w:tcPr>
          <w:p w14:paraId="560425B9" w14:textId="77777777" w:rsidR="00085789" w:rsidRDefault="00000000">
            <w:pPr>
              <w:spacing w:line="240" w:lineRule="auto"/>
              <w:jc w:val="center"/>
              <w:rPr>
                <w:b/>
                <w:bCs/>
                <w:sz w:val="22"/>
                <w:szCs w:val="22"/>
              </w:rPr>
            </w:pPr>
            <w:r>
              <w:rPr>
                <w:b/>
                <w:bCs/>
                <w:sz w:val="22"/>
                <w:szCs w:val="22"/>
              </w:rPr>
              <w:t>1340</w:t>
            </w:r>
          </w:p>
        </w:tc>
        <w:tc>
          <w:tcPr>
            <w:tcW w:w="1236" w:type="dxa"/>
            <w:tcBorders>
              <w:top w:val="nil"/>
              <w:left w:val="nil"/>
              <w:bottom w:val="single" w:sz="4" w:space="0" w:color="auto"/>
              <w:right w:val="single" w:sz="4" w:space="0" w:color="auto"/>
            </w:tcBorders>
            <w:shd w:val="clear" w:color="000000" w:fill="FFFFFF"/>
            <w:vAlign w:val="center"/>
          </w:tcPr>
          <w:p w14:paraId="782809BD" w14:textId="77777777" w:rsidR="00085789" w:rsidRDefault="00000000">
            <w:pPr>
              <w:spacing w:line="240" w:lineRule="auto"/>
              <w:jc w:val="center"/>
              <w:rPr>
                <w:b/>
                <w:bCs/>
                <w:sz w:val="22"/>
                <w:szCs w:val="22"/>
              </w:rPr>
            </w:pPr>
            <w:r>
              <w:rPr>
                <w:b/>
                <w:bCs/>
                <w:sz w:val="22"/>
                <w:szCs w:val="22"/>
              </w:rPr>
              <w:t>1799</w:t>
            </w:r>
          </w:p>
        </w:tc>
        <w:tc>
          <w:tcPr>
            <w:tcW w:w="1158" w:type="dxa"/>
            <w:tcBorders>
              <w:top w:val="nil"/>
              <w:left w:val="nil"/>
              <w:bottom w:val="single" w:sz="4" w:space="0" w:color="auto"/>
              <w:right w:val="single" w:sz="4" w:space="0" w:color="auto"/>
            </w:tcBorders>
            <w:shd w:val="clear" w:color="000000" w:fill="FFFFFF"/>
            <w:vAlign w:val="center"/>
          </w:tcPr>
          <w:p w14:paraId="330A8834" w14:textId="77777777" w:rsidR="00085789" w:rsidRDefault="00000000">
            <w:pPr>
              <w:spacing w:line="240" w:lineRule="auto"/>
              <w:jc w:val="center"/>
              <w:rPr>
                <w:b/>
                <w:bCs/>
                <w:sz w:val="22"/>
                <w:szCs w:val="22"/>
              </w:rPr>
            </w:pPr>
            <w:r>
              <w:rPr>
                <w:b/>
                <w:bCs/>
                <w:sz w:val="22"/>
                <w:szCs w:val="22"/>
              </w:rPr>
              <w:t>217</w:t>
            </w:r>
          </w:p>
        </w:tc>
        <w:tc>
          <w:tcPr>
            <w:tcW w:w="1133" w:type="dxa"/>
            <w:tcBorders>
              <w:top w:val="nil"/>
              <w:left w:val="nil"/>
              <w:bottom w:val="single" w:sz="4" w:space="0" w:color="auto"/>
              <w:right w:val="single" w:sz="4" w:space="0" w:color="auto"/>
            </w:tcBorders>
            <w:shd w:val="clear" w:color="000000" w:fill="FFFFFF"/>
            <w:vAlign w:val="center"/>
          </w:tcPr>
          <w:p w14:paraId="36180623" w14:textId="77777777" w:rsidR="00085789" w:rsidRDefault="00000000">
            <w:pPr>
              <w:spacing w:line="240" w:lineRule="auto"/>
              <w:jc w:val="center"/>
              <w:rPr>
                <w:b/>
                <w:bCs/>
                <w:sz w:val="22"/>
                <w:szCs w:val="22"/>
              </w:rPr>
            </w:pPr>
            <w:r>
              <w:rPr>
                <w:b/>
                <w:bCs/>
                <w:sz w:val="22"/>
                <w:szCs w:val="22"/>
              </w:rPr>
              <w:t>2160</w:t>
            </w:r>
          </w:p>
        </w:tc>
        <w:tc>
          <w:tcPr>
            <w:tcW w:w="1158" w:type="dxa"/>
            <w:tcBorders>
              <w:top w:val="nil"/>
              <w:left w:val="nil"/>
              <w:bottom w:val="single" w:sz="4" w:space="0" w:color="auto"/>
              <w:right w:val="single" w:sz="4" w:space="0" w:color="auto"/>
            </w:tcBorders>
            <w:shd w:val="clear" w:color="000000" w:fill="FFFFFF"/>
            <w:vAlign w:val="center"/>
          </w:tcPr>
          <w:p w14:paraId="52B03EFC" w14:textId="77777777" w:rsidR="00085789" w:rsidRDefault="00000000">
            <w:pPr>
              <w:spacing w:line="240" w:lineRule="auto"/>
              <w:jc w:val="center"/>
              <w:rPr>
                <w:b/>
                <w:bCs/>
                <w:sz w:val="22"/>
                <w:szCs w:val="22"/>
              </w:rPr>
            </w:pPr>
            <w:r>
              <w:rPr>
                <w:b/>
                <w:bCs/>
                <w:sz w:val="22"/>
                <w:szCs w:val="22"/>
              </w:rPr>
              <w:t>248</w:t>
            </w:r>
          </w:p>
        </w:tc>
        <w:tc>
          <w:tcPr>
            <w:tcW w:w="1109" w:type="dxa"/>
            <w:tcBorders>
              <w:top w:val="nil"/>
              <w:left w:val="nil"/>
              <w:bottom w:val="single" w:sz="4" w:space="0" w:color="auto"/>
              <w:right w:val="single" w:sz="4" w:space="0" w:color="auto"/>
            </w:tcBorders>
            <w:shd w:val="clear" w:color="000000" w:fill="FFFFFF"/>
            <w:vAlign w:val="center"/>
          </w:tcPr>
          <w:p w14:paraId="4E6D3452" w14:textId="77777777" w:rsidR="00085789" w:rsidRDefault="00000000">
            <w:pPr>
              <w:spacing w:line="240" w:lineRule="auto"/>
              <w:jc w:val="center"/>
              <w:rPr>
                <w:b/>
                <w:bCs/>
                <w:sz w:val="22"/>
                <w:szCs w:val="22"/>
              </w:rPr>
            </w:pPr>
            <w:r>
              <w:rPr>
                <w:b/>
                <w:bCs/>
                <w:sz w:val="22"/>
                <w:szCs w:val="22"/>
              </w:rPr>
              <w:t>2397,2</w:t>
            </w:r>
          </w:p>
        </w:tc>
        <w:tc>
          <w:tcPr>
            <w:tcW w:w="1158" w:type="dxa"/>
            <w:tcBorders>
              <w:top w:val="nil"/>
              <w:left w:val="nil"/>
              <w:bottom w:val="single" w:sz="4" w:space="0" w:color="auto"/>
              <w:right w:val="single" w:sz="4" w:space="0" w:color="auto"/>
            </w:tcBorders>
            <w:shd w:val="clear" w:color="000000" w:fill="FFFFFF"/>
            <w:vAlign w:val="center"/>
          </w:tcPr>
          <w:p w14:paraId="4E7D0169" w14:textId="77777777" w:rsidR="00085789" w:rsidRDefault="00000000">
            <w:pPr>
              <w:spacing w:line="240" w:lineRule="auto"/>
              <w:jc w:val="center"/>
              <w:rPr>
                <w:b/>
                <w:bCs/>
                <w:sz w:val="22"/>
                <w:szCs w:val="22"/>
              </w:rPr>
            </w:pPr>
            <w:r>
              <w:rPr>
                <w:b/>
                <w:bCs/>
                <w:sz w:val="22"/>
                <w:szCs w:val="22"/>
              </w:rPr>
              <w:t>260,2</w:t>
            </w:r>
          </w:p>
        </w:tc>
        <w:tc>
          <w:tcPr>
            <w:tcW w:w="1171" w:type="dxa"/>
            <w:tcBorders>
              <w:top w:val="nil"/>
              <w:left w:val="nil"/>
              <w:bottom w:val="single" w:sz="4" w:space="0" w:color="auto"/>
              <w:right w:val="single" w:sz="4" w:space="0" w:color="auto"/>
            </w:tcBorders>
            <w:shd w:val="clear" w:color="000000" w:fill="FFFFFF"/>
            <w:vAlign w:val="center"/>
          </w:tcPr>
          <w:p w14:paraId="2CABE7E5" w14:textId="77777777" w:rsidR="00085789" w:rsidRDefault="00000000">
            <w:pPr>
              <w:spacing w:line="240" w:lineRule="auto"/>
              <w:jc w:val="center"/>
              <w:rPr>
                <w:b/>
                <w:bCs/>
                <w:sz w:val="22"/>
                <w:szCs w:val="22"/>
              </w:rPr>
            </w:pPr>
            <w:r>
              <w:rPr>
                <w:b/>
                <w:bCs/>
                <w:sz w:val="22"/>
                <w:szCs w:val="22"/>
              </w:rPr>
              <w:t>2643,7</w:t>
            </w:r>
          </w:p>
        </w:tc>
        <w:tc>
          <w:tcPr>
            <w:tcW w:w="1158" w:type="dxa"/>
            <w:tcBorders>
              <w:top w:val="nil"/>
              <w:left w:val="nil"/>
              <w:bottom w:val="single" w:sz="4" w:space="0" w:color="auto"/>
              <w:right w:val="single" w:sz="4" w:space="0" w:color="auto"/>
            </w:tcBorders>
            <w:shd w:val="clear" w:color="000000" w:fill="FFFFFF"/>
            <w:vAlign w:val="center"/>
          </w:tcPr>
          <w:p w14:paraId="59EC125C" w14:textId="77777777" w:rsidR="00085789" w:rsidRDefault="00000000">
            <w:pPr>
              <w:spacing w:line="240" w:lineRule="auto"/>
              <w:jc w:val="center"/>
              <w:rPr>
                <w:b/>
                <w:bCs/>
                <w:sz w:val="22"/>
                <w:szCs w:val="22"/>
              </w:rPr>
            </w:pPr>
            <w:r>
              <w:rPr>
                <w:b/>
                <w:bCs/>
                <w:sz w:val="22"/>
                <w:szCs w:val="22"/>
              </w:rPr>
              <w:t>332,8</w:t>
            </w:r>
          </w:p>
        </w:tc>
        <w:tc>
          <w:tcPr>
            <w:tcW w:w="1532" w:type="dxa"/>
            <w:tcBorders>
              <w:top w:val="nil"/>
              <w:left w:val="nil"/>
              <w:bottom w:val="single" w:sz="4" w:space="0" w:color="auto"/>
              <w:right w:val="single" w:sz="4" w:space="0" w:color="auto"/>
            </w:tcBorders>
            <w:shd w:val="clear" w:color="000000" w:fill="FFFFFF"/>
            <w:vAlign w:val="center"/>
          </w:tcPr>
          <w:p w14:paraId="508928EA" w14:textId="77777777" w:rsidR="00085789" w:rsidRDefault="00000000">
            <w:pPr>
              <w:spacing w:line="240" w:lineRule="auto"/>
              <w:rPr>
                <w:sz w:val="22"/>
                <w:szCs w:val="22"/>
              </w:rPr>
            </w:pPr>
            <w:r>
              <w:rPr>
                <w:sz w:val="22"/>
                <w:szCs w:val="22"/>
              </w:rPr>
              <w:t> </w:t>
            </w:r>
          </w:p>
        </w:tc>
      </w:tr>
      <w:tr w:rsidR="00085789" w14:paraId="0E2ACE4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6FFC8FD1" w14:textId="77777777" w:rsidR="00085789" w:rsidRDefault="00000000">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47264A26" w14:textId="77777777" w:rsidR="00085789" w:rsidRDefault="00000000">
            <w:pPr>
              <w:spacing w:line="240" w:lineRule="auto"/>
              <w:rPr>
                <w:sz w:val="22"/>
                <w:szCs w:val="22"/>
              </w:rPr>
            </w:pPr>
            <w:r>
              <w:rPr>
                <w:sz w:val="22"/>
                <w:szCs w:val="22"/>
              </w:rPr>
              <w:t>Bệnh viện Đa khoa tỉnh</w:t>
            </w:r>
          </w:p>
        </w:tc>
        <w:tc>
          <w:tcPr>
            <w:tcW w:w="965" w:type="dxa"/>
            <w:tcBorders>
              <w:top w:val="nil"/>
              <w:left w:val="nil"/>
              <w:bottom w:val="single" w:sz="4" w:space="0" w:color="auto"/>
              <w:right w:val="single" w:sz="4" w:space="0" w:color="auto"/>
            </w:tcBorders>
            <w:shd w:val="clear" w:color="000000" w:fill="FFFFFF"/>
            <w:vAlign w:val="center"/>
          </w:tcPr>
          <w:p w14:paraId="22F76C26" w14:textId="77777777" w:rsidR="00085789" w:rsidRDefault="00000000">
            <w:pPr>
              <w:spacing w:line="240" w:lineRule="auto"/>
              <w:jc w:val="center"/>
              <w:rPr>
                <w:sz w:val="22"/>
                <w:szCs w:val="22"/>
              </w:rPr>
            </w:pPr>
            <w:r>
              <w:rPr>
                <w:sz w:val="22"/>
                <w:szCs w:val="22"/>
              </w:rPr>
              <w:t>800</w:t>
            </w:r>
          </w:p>
        </w:tc>
        <w:tc>
          <w:tcPr>
            <w:tcW w:w="1236" w:type="dxa"/>
            <w:tcBorders>
              <w:top w:val="nil"/>
              <w:left w:val="nil"/>
              <w:bottom w:val="single" w:sz="4" w:space="0" w:color="auto"/>
              <w:right w:val="single" w:sz="4" w:space="0" w:color="auto"/>
            </w:tcBorders>
            <w:shd w:val="clear" w:color="000000" w:fill="FFFFFF"/>
            <w:vAlign w:val="center"/>
          </w:tcPr>
          <w:p w14:paraId="08FCA734" w14:textId="77777777" w:rsidR="00085789" w:rsidRDefault="00000000">
            <w:pPr>
              <w:spacing w:line="240" w:lineRule="auto"/>
              <w:jc w:val="center"/>
              <w:rPr>
                <w:sz w:val="22"/>
                <w:szCs w:val="22"/>
              </w:rPr>
            </w:pPr>
            <w:r>
              <w:rPr>
                <w:sz w:val="22"/>
                <w:szCs w:val="22"/>
              </w:rPr>
              <w:t>1202</w:t>
            </w:r>
          </w:p>
        </w:tc>
        <w:tc>
          <w:tcPr>
            <w:tcW w:w="1158" w:type="dxa"/>
            <w:tcBorders>
              <w:top w:val="nil"/>
              <w:left w:val="nil"/>
              <w:bottom w:val="single" w:sz="4" w:space="0" w:color="auto"/>
              <w:right w:val="single" w:sz="4" w:space="0" w:color="auto"/>
            </w:tcBorders>
            <w:shd w:val="clear" w:color="000000" w:fill="FFFFFF"/>
            <w:vAlign w:val="center"/>
          </w:tcPr>
          <w:p w14:paraId="5FA72E9C" w14:textId="77777777" w:rsidR="00085789" w:rsidRDefault="00000000">
            <w:pPr>
              <w:spacing w:line="240" w:lineRule="auto"/>
              <w:jc w:val="center"/>
              <w:rPr>
                <w:sz w:val="22"/>
                <w:szCs w:val="22"/>
              </w:rPr>
            </w:pPr>
            <w:r>
              <w:rPr>
                <w:sz w:val="22"/>
                <w:szCs w:val="22"/>
              </w:rPr>
              <w:t>169</w:t>
            </w:r>
          </w:p>
        </w:tc>
        <w:tc>
          <w:tcPr>
            <w:tcW w:w="1133" w:type="dxa"/>
            <w:tcBorders>
              <w:top w:val="nil"/>
              <w:left w:val="nil"/>
              <w:bottom w:val="single" w:sz="4" w:space="0" w:color="auto"/>
              <w:right w:val="single" w:sz="4" w:space="0" w:color="auto"/>
            </w:tcBorders>
            <w:shd w:val="clear" w:color="000000" w:fill="FFFFFF"/>
            <w:vAlign w:val="center"/>
          </w:tcPr>
          <w:p w14:paraId="2BB403C5" w14:textId="77777777" w:rsidR="00085789" w:rsidRDefault="00000000">
            <w:pPr>
              <w:spacing w:line="240" w:lineRule="auto"/>
              <w:jc w:val="center"/>
              <w:rPr>
                <w:sz w:val="22"/>
                <w:szCs w:val="22"/>
              </w:rPr>
            </w:pPr>
            <w:r>
              <w:rPr>
                <w:sz w:val="22"/>
                <w:szCs w:val="22"/>
              </w:rPr>
              <w:t>1443</w:t>
            </w:r>
          </w:p>
        </w:tc>
        <w:tc>
          <w:tcPr>
            <w:tcW w:w="1158" w:type="dxa"/>
            <w:tcBorders>
              <w:top w:val="nil"/>
              <w:left w:val="nil"/>
              <w:bottom w:val="single" w:sz="4" w:space="0" w:color="auto"/>
              <w:right w:val="single" w:sz="4" w:space="0" w:color="auto"/>
            </w:tcBorders>
            <w:shd w:val="clear" w:color="000000" w:fill="FFFFFF"/>
            <w:vAlign w:val="center"/>
          </w:tcPr>
          <w:p w14:paraId="34016207" w14:textId="77777777" w:rsidR="00085789" w:rsidRDefault="00000000">
            <w:pPr>
              <w:spacing w:line="240" w:lineRule="auto"/>
              <w:jc w:val="center"/>
              <w:rPr>
                <w:sz w:val="22"/>
                <w:szCs w:val="22"/>
              </w:rPr>
            </w:pPr>
            <w:r>
              <w:rPr>
                <w:sz w:val="22"/>
                <w:szCs w:val="22"/>
              </w:rPr>
              <w:t>215</w:t>
            </w:r>
          </w:p>
        </w:tc>
        <w:tc>
          <w:tcPr>
            <w:tcW w:w="1109" w:type="dxa"/>
            <w:tcBorders>
              <w:top w:val="nil"/>
              <w:left w:val="nil"/>
              <w:bottom w:val="single" w:sz="4" w:space="0" w:color="auto"/>
              <w:right w:val="single" w:sz="4" w:space="0" w:color="auto"/>
            </w:tcBorders>
            <w:shd w:val="clear" w:color="000000" w:fill="FFFFFF"/>
            <w:vAlign w:val="center"/>
          </w:tcPr>
          <w:p w14:paraId="341A68A1" w14:textId="77777777" w:rsidR="00085789" w:rsidRDefault="00000000">
            <w:pPr>
              <w:spacing w:line="240" w:lineRule="auto"/>
              <w:jc w:val="center"/>
              <w:rPr>
                <w:sz w:val="22"/>
                <w:szCs w:val="22"/>
              </w:rPr>
            </w:pPr>
            <w:r>
              <w:rPr>
                <w:sz w:val="22"/>
                <w:szCs w:val="22"/>
              </w:rPr>
              <w:t>1553</w:t>
            </w:r>
          </w:p>
        </w:tc>
        <w:tc>
          <w:tcPr>
            <w:tcW w:w="1158" w:type="dxa"/>
            <w:tcBorders>
              <w:top w:val="nil"/>
              <w:left w:val="nil"/>
              <w:bottom w:val="single" w:sz="4" w:space="0" w:color="auto"/>
              <w:right w:val="single" w:sz="4" w:space="0" w:color="auto"/>
            </w:tcBorders>
            <w:shd w:val="clear" w:color="000000" w:fill="FFFFFF"/>
            <w:vAlign w:val="center"/>
          </w:tcPr>
          <w:p w14:paraId="742CCA44" w14:textId="77777777" w:rsidR="00085789" w:rsidRDefault="00000000">
            <w:pPr>
              <w:spacing w:line="240" w:lineRule="auto"/>
              <w:jc w:val="center"/>
              <w:rPr>
                <w:sz w:val="22"/>
                <w:szCs w:val="22"/>
              </w:rPr>
            </w:pPr>
            <w:r>
              <w:rPr>
                <w:sz w:val="22"/>
                <w:szCs w:val="22"/>
              </w:rPr>
              <w:t>237</w:t>
            </w:r>
          </w:p>
        </w:tc>
        <w:tc>
          <w:tcPr>
            <w:tcW w:w="1171" w:type="dxa"/>
            <w:tcBorders>
              <w:top w:val="nil"/>
              <w:left w:val="nil"/>
              <w:bottom w:val="single" w:sz="4" w:space="0" w:color="auto"/>
              <w:right w:val="single" w:sz="4" w:space="0" w:color="auto"/>
            </w:tcBorders>
            <w:shd w:val="clear" w:color="000000" w:fill="FFFFFF"/>
            <w:vAlign w:val="center"/>
          </w:tcPr>
          <w:p w14:paraId="7558947A" w14:textId="77777777" w:rsidR="00085789" w:rsidRDefault="00000000">
            <w:pPr>
              <w:spacing w:line="240" w:lineRule="auto"/>
              <w:jc w:val="center"/>
              <w:rPr>
                <w:sz w:val="22"/>
                <w:szCs w:val="22"/>
              </w:rPr>
            </w:pPr>
            <w:r>
              <w:rPr>
                <w:sz w:val="22"/>
                <w:szCs w:val="22"/>
              </w:rPr>
              <w:t>1831</w:t>
            </w:r>
          </w:p>
        </w:tc>
        <w:tc>
          <w:tcPr>
            <w:tcW w:w="1158" w:type="dxa"/>
            <w:tcBorders>
              <w:top w:val="nil"/>
              <w:left w:val="nil"/>
              <w:bottom w:val="single" w:sz="4" w:space="0" w:color="auto"/>
              <w:right w:val="single" w:sz="4" w:space="0" w:color="auto"/>
            </w:tcBorders>
            <w:shd w:val="clear" w:color="000000" w:fill="FFFFFF"/>
            <w:vAlign w:val="center"/>
          </w:tcPr>
          <w:p w14:paraId="6244FD3C" w14:textId="77777777" w:rsidR="00085789" w:rsidRDefault="00000000">
            <w:pPr>
              <w:spacing w:line="240" w:lineRule="auto"/>
              <w:jc w:val="center"/>
              <w:rPr>
                <w:sz w:val="22"/>
                <w:szCs w:val="22"/>
              </w:rPr>
            </w:pPr>
            <w:r>
              <w:rPr>
                <w:sz w:val="22"/>
                <w:szCs w:val="22"/>
              </w:rPr>
              <w:t>311</w:t>
            </w:r>
          </w:p>
        </w:tc>
        <w:tc>
          <w:tcPr>
            <w:tcW w:w="1532" w:type="dxa"/>
            <w:tcBorders>
              <w:top w:val="nil"/>
              <w:left w:val="nil"/>
              <w:bottom w:val="single" w:sz="4" w:space="0" w:color="auto"/>
              <w:right w:val="single" w:sz="4" w:space="0" w:color="auto"/>
            </w:tcBorders>
            <w:shd w:val="clear" w:color="000000" w:fill="FFFFFF"/>
            <w:vAlign w:val="center"/>
          </w:tcPr>
          <w:p w14:paraId="0BB3DCD0" w14:textId="77777777" w:rsidR="00085789" w:rsidRDefault="00000000">
            <w:pPr>
              <w:spacing w:line="240" w:lineRule="auto"/>
              <w:rPr>
                <w:sz w:val="22"/>
                <w:szCs w:val="22"/>
              </w:rPr>
            </w:pPr>
            <w:r>
              <w:rPr>
                <w:sz w:val="22"/>
                <w:szCs w:val="22"/>
              </w:rPr>
              <w:t>Hệ thống hấp ướt; thuê đơn vị có chức năng xử lý</w:t>
            </w:r>
          </w:p>
        </w:tc>
      </w:tr>
      <w:tr w:rsidR="00085789" w14:paraId="43D7E88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B37AABF" w14:textId="77777777" w:rsidR="00085789" w:rsidRDefault="00000000">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419E2306" w14:textId="77777777" w:rsidR="00085789" w:rsidRDefault="00000000">
            <w:pPr>
              <w:spacing w:line="240" w:lineRule="auto"/>
              <w:rPr>
                <w:sz w:val="22"/>
                <w:szCs w:val="22"/>
              </w:rPr>
            </w:pPr>
            <w:r>
              <w:rPr>
                <w:sz w:val="22"/>
                <w:szCs w:val="22"/>
              </w:rPr>
              <w:t>Bệnh viện Y học cổ truyền</w:t>
            </w:r>
          </w:p>
        </w:tc>
        <w:tc>
          <w:tcPr>
            <w:tcW w:w="965" w:type="dxa"/>
            <w:tcBorders>
              <w:top w:val="nil"/>
              <w:left w:val="nil"/>
              <w:bottom w:val="single" w:sz="4" w:space="0" w:color="auto"/>
              <w:right w:val="single" w:sz="4" w:space="0" w:color="auto"/>
            </w:tcBorders>
            <w:shd w:val="clear" w:color="000000" w:fill="FFFFFF"/>
            <w:vAlign w:val="center"/>
          </w:tcPr>
          <w:p w14:paraId="6AB27B83" w14:textId="77777777" w:rsidR="00085789" w:rsidRDefault="00000000">
            <w:pPr>
              <w:spacing w:line="240" w:lineRule="auto"/>
              <w:jc w:val="center"/>
              <w:rPr>
                <w:sz w:val="22"/>
                <w:szCs w:val="22"/>
              </w:rPr>
            </w:pPr>
            <w:r>
              <w:rPr>
                <w:sz w:val="22"/>
                <w:szCs w:val="22"/>
              </w:rPr>
              <w:t>220</w:t>
            </w:r>
          </w:p>
        </w:tc>
        <w:tc>
          <w:tcPr>
            <w:tcW w:w="1236" w:type="dxa"/>
            <w:tcBorders>
              <w:top w:val="nil"/>
              <w:left w:val="nil"/>
              <w:bottom w:val="single" w:sz="4" w:space="0" w:color="auto"/>
              <w:right w:val="single" w:sz="4" w:space="0" w:color="auto"/>
            </w:tcBorders>
            <w:shd w:val="clear" w:color="000000" w:fill="FFFFFF"/>
            <w:vAlign w:val="center"/>
          </w:tcPr>
          <w:p w14:paraId="5C3944BA" w14:textId="77777777" w:rsidR="00085789" w:rsidRDefault="00000000">
            <w:pPr>
              <w:spacing w:line="240" w:lineRule="auto"/>
              <w:jc w:val="center"/>
              <w:rPr>
                <w:sz w:val="22"/>
                <w:szCs w:val="22"/>
              </w:rPr>
            </w:pPr>
            <w:r>
              <w:rPr>
                <w:sz w:val="22"/>
                <w:szCs w:val="22"/>
              </w:rPr>
              <w:t>167</w:t>
            </w:r>
          </w:p>
        </w:tc>
        <w:tc>
          <w:tcPr>
            <w:tcW w:w="1158" w:type="dxa"/>
            <w:tcBorders>
              <w:top w:val="nil"/>
              <w:left w:val="nil"/>
              <w:bottom w:val="single" w:sz="4" w:space="0" w:color="auto"/>
              <w:right w:val="single" w:sz="4" w:space="0" w:color="auto"/>
            </w:tcBorders>
            <w:shd w:val="clear" w:color="000000" w:fill="FFFFFF"/>
            <w:vAlign w:val="center"/>
          </w:tcPr>
          <w:p w14:paraId="1C0E823E" w14:textId="77777777" w:rsidR="00085789" w:rsidRDefault="00000000">
            <w:pPr>
              <w:spacing w:line="240" w:lineRule="auto"/>
              <w:jc w:val="center"/>
              <w:rPr>
                <w:sz w:val="22"/>
                <w:szCs w:val="22"/>
              </w:rPr>
            </w:pPr>
            <w:r>
              <w:rPr>
                <w:sz w:val="22"/>
                <w:szCs w:val="22"/>
              </w:rPr>
              <w:t>13</w:t>
            </w:r>
          </w:p>
        </w:tc>
        <w:tc>
          <w:tcPr>
            <w:tcW w:w="1133" w:type="dxa"/>
            <w:tcBorders>
              <w:top w:val="nil"/>
              <w:left w:val="nil"/>
              <w:bottom w:val="single" w:sz="4" w:space="0" w:color="auto"/>
              <w:right w:val="single" w:sz="4" w:space="0" w:color="auto"/>
            </w:tcBorders>
            <w:shd w:val="clear" w:color="000000" w:fill="FFFFFF"/>
            <w:vAlign w:val="center"/>
          </w:tcPr>
          <w:p w14:paraId="73A742DC" w14:textId="77777777" w:rsidR="00085789" w:rsidRDefault="00000000">
            <w:pPr>
              <w:spacing w:line="240" w:lineRule="auto"/>
              <w:jc w:val="center"/>
              <w:rPr>
                <w:sz w:val="22"/>
                <w:szCs w:val="22"/>
              </w:rPr>
            </w:pPr>
            <w:r>
              <w:rPr>
                <w:sz w:val="22"/>
                <w:szCs w:val="22"/>
              </w:rPr>
              <w:t>195</w:t>
            </w:r>
          </w:p>
        </w:tc>
        <w:tc>
          <w:tcPr>
            <w:tcW w:w="1158" w:type="dxa"/>
            <w:tcBorders>
              <w:top w:val="nil"/>
              <w:left w:val="nil"/>
              <w:bottom w:val="single" w:sz="4" w:space="0" w:color="auto"/>
              <w:right w:val="single" w:sz="4" w:space="0" w:color="auto"/>
            </w:tcBorders>
            <w:shd w:val="clear" w:color="000000" w:fill="FFFFFF"/>
            <w:vAlign w:val="center"/>
          </w:tcPr>
          <w:p w14:paraId="72BCF6EB" w14:textId="77777777" w:rsidR="00085789" w:rsidRDefault="00000000">
            <w:pPr>
              <w:spacing w:line="240" w:lineRule="auto"/>
              <w:jc w:val="center"/>
              <w:rPr>
                <w:sz w:val="22"/>
                <w:szCs w:val="22"/>
              </w:rPr>
            </w:pPr>
            <w:r>
              <w:rPr>
                <w:sz w:val="22"/>
                <w:szCs w:val="22"/>
              </w:rPr>
              <w:t>14</w:t>
            </w:r>
          </w:p>
        </w:tc>
        <w:tc>
          <w:tcPr>
            <w:tcW w:w="1109" w:type="dxa"/>
            <w:tcBorders>
              <w:top w:val="nil"/>
              <w:left w:val="nil"/>
              <w:bottom w:val="single" w:sz="4" w:space="0" w:color="auto"/>
              <w:right w:val="single" w:sz="4" w:space="0" w:color="auto"/>
            </w:tcBorders>
            <w:shd w:val="clear" w:color="000000" w:fill="FFFFFF"/>
            <w:vAlign w:val="center"/>
          </w:tcPr>
          <w:p w14:paraId="56597F18" w14:textId="77777777" w:rsidR="00085789" w:rsidRDefault="00000000">
            <w:pPr>
              <w:spacing w:line="240" w:lineRule="auto"/>
              <w:jc w:val="center"/>
              <w:rPr>
                <w:sz w:val="22"/>
                <w:szCs w:val="22"/>
              </w:rPr>
            </w:pPr>
            <w:r>
              <w:rPr>
                <w:sz w:val="22"/>
                <w:szCs w:val="22"/>
              </w:rPr>
              <w:t>205</w:t>
            </w:r>
          </w:p>
        </w:tc>
        <w:tc>
          <w:tcPr>
            <w:tcW w:w="1158" w:type="dxa"/>
            <w:tcBorders>
              <w:top w:val="nil"/>
              <w:left w:val="nil"/>
              <w:bottom w:val="single" w:sz="4" w:space="0" w:color="auto"/>
              <w:right w:val="single" w:sz="4" w:space="0" w:color="auto"/>
            </w:tcBorders>
            <w:shd w:val="clear" w:color="000000" w:fill="FFFFFF"/>
            <w:vAlign w:val="center"/>
          </w:tcPr>
          <w:p w14:paraId="426DA0F2" w14:textId="77777777" w:rsidR="00085789" w:rsidRDefault="00000000">
            <w:pPr>
              <w:spacing w:line="240" w:lineRule="auto"/>
              <w:jc w:val="center"/>
              <w:rPr>
                <w:sz w:val="22"/>
                <w:szCs w:val="22"/>
              </w:rPr>
            </w:pPr>
            <w:r>
              <w:rPr>
                <w:sz w:val="22"/>
                <w:szCs w:val="22"/>
              </w:rPr>
              <w:t>3,2</w:t>
            </w:r>
          </w:p>
        </w:tc>
        <w:tc>
          <w:tcPr>
            <w:tcW w:w="1171" w:type="dxa"/>
            <w:tcBorders>
              <w:top w:val="nil"/>
              <w:left w:val="nil"/>
              <w:bottom w:val="single" w:sz="4" w:space="0" w:color="auto"/>
              <w:right w:val="single" w:sz="4" w:space="0" w:color="auto"/>
            </w:tcBorders>
            <w:shd w:val="clear" w:color="000000" w:fill="FFFFFF"/>
            <w:vAlign w:val="center"/>
          </w:tcPr>
          <w:p w14:paraId="02C44CF8" w14:textId="77777777" w:rsidR="00085789" w:rsidRDefault="00000000">
            <w:pPr>
              <w:spacing w:line="240" w:lineRule="auto"/>
              <w:jc w:val="center"/>
              <w:rPr>
                <w:sz w:val="22"/>
                <w:szCs w:val="22"/>
              </w:rPr>
            </w:pPr>
            <w:r>
              <w:rPr>
                <w:sz w:val="22"/>
                <w:szCs w:val="22"/>
              </w:rPr>
              <w:t>260</w:t>
            </w:r>
          </w:p>
        </w:tc>
        <w:tc>
          <w:tcPr>
            <w:tcW w:w="1158" w:type="dxa"/>
            <w:tcBorders>
              <w:top w:val="nil"/>
              <w:left w:val="nil"/>
              <w:bottom w:val="single" w:sz="4" w:space="0" w:color="auto"/>
              <w:right w:val="single" w:sz="4" w:space="0" w:color="auto"/>
            </w:tcBorders>
            <w:shd w:val="clear" w:color="000000" w:fill="FFFFFF"/>
            <w:vAlign w:val="center"/>
          </w:tcPr>
          <w:p w14:paraId="3FC96C88" w14:textId="77777777" w:rsidR="00085789" w:rsidRDefault="00000000">
            <w:pPr>
              <w:spacing w:line="240" w:lineRule="auto"/>
              <w:jc w:val="center"/>
              <w:rPr>
                <w:sz w:val="22"/>
                <w:szCs w:val="22"/>
              </w:rPr>
            </w:pPr>
            <w:r>
              <w:rPr>
                <w:sz w:val="22"/>
                <w:szCs w:val="22"/>
              </w:rPr>
              <w:t>3,6</w:t>
            </w:r>
          </w:p>
        </w:tc>
        <w:tc>
          <w:tcPr>
            <w:tcW w:w="1532" w:type="dxa"/>
            <w:tcBorders>
              <w:top w:val="nil"/>
              <w:left w:val="nil"/>
              <w:bottom w:val="single" w:sz="4" w:space="0" w:color="auto"/>
              <w:right w:val="single" w:sz="4" w:space="0" w:color="auto"/>
            </w:tcBorders>
            <w:shd w:val="clear" w:color="000000" w:fill="FFFFFF"/>
            <w:vAlign w:val="center"/>
          </w:tcPr>
          <w:p w14:paraId="2D557E38" w14:textId="77777777" w:rsidR="00085789" w:rsidRDefault="00000000">
            <w:pPr>
              <w:spacing w:line="240" w:lineRule="auto"/>
              <w:rPr>
                <w:sz w:val="22"/>
                <w:szCs w:val="22"/>
              </w:rPr>
            </w:pPr>
            <w:r>
              <w:rPr>
                <w:sz w:val="22"/>
                <w:szCs w:val="22"/>
              </w:rPr>
              <w:t>Thuê đơn vị có chức năng xử lý</w:t>
            </w:r>
          </w:p>
        </w:tc>
      </w:tr>
      <w:tr w:rsidR="00085789" w14:paraId="3A711CD2"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D00A078" w14:textId="77777777" w:rsidR="00085789" w:rsidRDefault="00000000">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2C18E71F" w14:textId="77777777" w:rsidR="00085789" w:rsidRDefault="00000000">
            <w:pPr>
              <w:spacing w:line="240" w:lineRule="auto"/>
              <w:rPr>
                <w:sz w:val="22"/>
                <w:szCs w:val="22"/>
              </w:rPr>
            </w:pPr>
            <w:r>
              <w:rPr>
                <w:sz w:val="22"/>
                <w:szCs w:val="22"/>
              </w:rPr>
              <w:t>Bệnh viện Phục hồi Chức năng</w:t>
            </w:r>
          </w:p>
        </w:tc>
        <w:tc>
          <w:tcPr>
            <w:tcW w:w="965" w:type="dxa"/>
            <w:tcBorders>
              <w:top w:val="nil"/>
              <w:left w:val="nil"/>
              <w:bottom w:val="single" w:sz="4" w:space="0" w:color="auto"/>
              <w:right w:val="single" w:sz="4" w:space="0" w:color="auto"/>
            </w:tcBorders>
            <w:shd w:val="clear" w:color="000000" w:fill="FFFFFF"/>
            <w:vAlign w:val="center"/>
          </w:tcPr>
          <w:p w14:paraId="52676DB2" w14:textId="77777777" w:rsidR="00085789" w:rsidRDefault="00000000">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64E832E8" w14:textId="77777777" w:rsidR="00085789" w:rsidRDefault="00000000">
            <w:pPr>
              <w:spacing w:line="240" w:lineRule="auto"/>
              <w:jc w:val="center"/>
              <w:rPr>
                <w:sz w:val="22"/>
                <w:szCs w:val="22"/>
              </w:rPr>
            </w:pPr>
            <w:r>
              <w:rPr>
                <w:sz w:val="22"/>
                <w:szCs w:val="22"/>
              </w:rPr>
              <w:t>310</w:t>
            </w:r>
          </w:p>
        </w:tc>
        <w:tc>
          <w:tcPr>
            <w:tcW w:w="1158" w:type="dxa"/>
            <w:tcBorders>
              <w:top w:val="nil"/>
              <w:left w:val="nil"/>
              <w:bottom w:val="single" w:sz="4" w:space="0" w:color="auto"/>
              <w:right w:val="single" w:sz="4" w:space="0" w:color="auto"/>
            </w:tcBorders>
            <w:shd w:val="clear" w:color="000000" w:fill="FFFFFF"/>
            <w:vAlign w:val="center"/>
          </w:tcPr>
          <w:p w14:paraId="3AF5E80A" w14:textId="77777777" w:rsidR="00085789" w:rsidRDefault="00000000">
            <w:pPr>
              <w:spacing w:line="240" w:lineRule="auto"/>
              <w:jc w:val="center"/>
              <w:rPr>
                <w:sz w:val="22"/>
                <w:szCs w:val="22"/>
              </w:rPr>
            </w:pPr>
            <w:r>
              <w:rPr>
                <w:sz w:val="22"/>
                <w:szCs w:val="22"/>
              </w:rPr>
              <w:t>8</w:t>
            </w:r>
          </w:p>
        </w:tc>
        <w:tc>
          <w:tcPr>
            <w:tcW w:w="1133" w:type="dxa"/>
            <w:tcBorders>
              <w:top w:val="nil"/>
              <w:left w:val="nil"/>
              <w:bottom w:val="single" w:sz="4" w:space="0" w:color="auto"/>
              <w:right w:val="single" w:sz="4" w:space="0" w:color="auto"/>
            </w:tcBorders>
            <w:shd w:val="clear" w:color="000000" w:fill="FFFFFF"/>
            <w:vAlign w:val="center"/>
          </w:tcPr>
          <w:p w14:paraId="06D3A7D8" w14:textId="77777777" w:rsidR="00085789" w:rsidRDefault="00000000">
            <w:pPr>
              <w:spacing w:line="240" w:lineRule="auto"/>
              <w:jc w:val="center"/>
              <w:rPr>
                <w:sz w:val="22"/>
                <w:szCs w:val="22"/>
              </w:rPr>
            </w:pPr>
            <w:r>
              <w:rPr>
                <w:sz w:val="22"/>
                <w:szCs w:val="22"/>
              </w:rPr>
              <w:t>322</w:t>
            </w:r>
          </w:p>
        </w:tc>
        <w:tc>
          <w:tcPr>
            <w:tcW w:w="1158" w:type="dxa"/>
            <w:tcBorders>
              <w:top w:val="nil"/>
              <w:left w:val="nil"/>
              <w:bottom w:val="single" w:sz="4" w:space="0" w:color="auto"/>
              <w:right w:val="single" w:sz="4" w:space="0" w:color="auto"/>
            </w:tcBorders>
            <w:shd w:val="clear" w:color="000000" w:fill="FFFFFF"/>
            <w:vAlign w:val="center"/>
          </w:tcPr>
          <w:p w14:paraId="00DAC5A4" w14:textId="77777777" w:rsidR="00085789" w:rsidRDefault="00000000">
            <w:pPr>
              <w:spacing w:line="240" w:lineRule="auto"/>
              <w:jc w:val="center"/>
              <w:rPr>
                <w:sz w:val="22"/>
                <w:szCs w:val="22"/>
              </w:rPr>
            </w:pPr>
            <w:r>
              <w:rPr>
                <w:sz w:val="22"/>
                <w:szCs w:val="22"/>
              </w:rPr>
              <w:t>6</w:t>
            </w:r>
          </w:p>
        </w:tc>
        <w:tc>
          <w:tcPr>
            <w:tcW w:w="1109" w:type="dxa"/>
            <w:tcBorders>
              <w:top w:val="nil"/>
              <w:left w:val="nil"/>
              <w:bottom w:val="single" w:sz="4" w:space="0" w:color="auto"/>
              <w:right w:val="single" w:sz="4" w:space="0" w:color="auto"/>
            </w:tcBorders>
            <w:shd w:val="clear" w:color="000000" w:fill="FFFFFF"/>
            <w:vAlign w:val="center"/>
          </w:tcPr>
          <w:p w14:paraId="63DCD295" w14:textId="77777777" w:rsidR="00085789" w:rsidRDefault="00000000">
            <w:pPr>
              <w:spacing w:line="240" w:lineRule="auto"/>
              <w:jc w:val="center"/>
              <w:rPr>
                <w:sz w:val="22"/>
                <w:szCs w:val="22"/>
              </w:rPr>
            </w:pPr>
            <w:r>
              <w:rPr>
                <w:sz w:val="22"/>
                <w:szCs w:val="22"/>
              </w:rPr>
              <w:t>322</w:t>
            </w:r>
          </w:p>
        </w:tc>
        <w:tc>
          <w:tcPr>
            <w:tcW w:w="1158" w:type="dxa"/>
            <w:tcBorders>
              <w:top w:val="nil"/>
              <w:left w:val="nil"/>
              <w:bottom w:val="single" w:sz="4" w:space="0" w:color="auto"/>
              <w:right w:val="single" w:sz="4" w:space="0" w:color="auto"/>
            </w:tcBorders>
            <w:shd w:val="clear" w:color="000000" w:fill="FFFFFF"/>
            <w:vAlign w:val="center"/>
          </w:tcPr>
          <w:p w14:paraId="29878C34" w14:textId="77777777" w:rsidR="00085789" w:rsidRDefault="00000000">
            <w:pPr>
              <w:spacing w:line="240" w:lineRule="auto"/>
              <w:jc w:val="center"/>
              <w:rPr>
                <w:sz w:val="22"/>
                <w:szCs w:val="22"/>
              </w:rPr>
            </w:pPr>
            <w:r>
              <w:rPr>
                <w:sz w:val="22"/>
                <w:szCs w:val="22"/>
              </w:rPr>
              <w:t>9,8</w:t>
            </w:r>
          </w:p>
        </w:tc>
        <w:tc>
          <w:tcPr>
            <w:tcW w:w="1171" w:type="dxa"/>
            <w:tcBorders>
              <w:top w:val="nil"/>
              <w:left w:val="nil"/>
              <w:bottom w:val="single" w:sz="4" w:space="0" w:color="auto"/>
              <w:right w:val="single" w:sz="4" w:space="0" w:color="auto"/>
            </w:tcBorders>
            <w:shd w:val="clear" w:color="000000" w:fill="FFFFFF"/>
            <w:vAlign w:val="center"/>
          </w:tcPr>
          <w:p w14:paraId="501A5F50" w14:textId="77777777" w:rsidR="00085789" w:rsidRDefault="00000000">
            <w:pPr>
              <w:spacing w:line="240" w:lineRule="auto"/>
              <w:jc w:val="center"/>
              <w:rPr>
                <w:sz w:val="22"/>
                <w:szCs w:val="22"/>
              </w:rPr>
            </w:pPr>
            <w:r>
              <w:rPr>
                <w:sz w:val="22"/>
                <w:szCs w:val="22"/>
              </w:rPr>
              <w:t>322</w:t>
            </w:r>
          </w:p>
        </w:tc>
        <w:tc>
          <w:tcPr>
            <w:tcW w:w="1158" w:type="dxa"/>
            <w:tcBorders>
              <w:top w:val="nil"/>
              <w:left w:val="nil"/>
              <w:bottom w:val="single" w:sz="4" w:space="0" w:color="auto"/>
              <w:right w:val="single" w:sz="4" w:space="0" w:color="auto"/>
            </w:tcBorders>
            <w:shd w:val="clear" w:color="000000" w:fill="FFFFFF"/>
            <w:vAlign w:val="center"/>
          </w:tcPr>
          <w:p w14:paraId="1EC7514A" w14:textId="77777777" w:rsidR="00085789" w:rsidRDefault="00000000">
            <w:pPr>
              <w:spacing w:line="240" w:lineRule="auto"/>
              <w:jc w:val="center"/>
              <w:rPr>
                <w:sz w:val="22"/>
                <w:szCs w:val="22"/>
              </w:rPr>
            </w:pPr>
            <w:r>
              <w:rPr>
                <w:sz w:val="22"/>
                <w:szCs w:val="22"/>
              </w:rPr>
              <w:t>7,4</w:t>
            </w:r>
          </w:p>
        </w:tc>
        <w:tc>
          <w:tcPr>
            <w:tcW w:w="1532" w:type="dxa"/>
            <w:tcBorders>
              <w:top w:val="nil"/>
              <w:left w:val="nil"/>
              <w:bottom w:val="single" w:sz="4" w:space="0" w:color="auto"/>
              <w:right w:val="single" w:sz="4" w:space="0" w:color="auto"/>
            </w:tcBorders>
            <w:shd w:val="clear" w:color="000000" w:fill="FFFFFF"/>
            <w:vAlign w:val="center"/>
          </w:tcPr>
          <w:p w14:paraId="5F863376" w14:textId="77777777" w:rsidR="00085789" w:rsidRDefault="00000000">
            <w:pPr>
              <w:spacing w:line="240" w:lineRule="auto"/>
              <w:rPr>
                <w:sz w:val="22"/>
                <w:szCs w:val="22"/>
              </w:rPr>
            </w:pPr>
            <w:r>
              <w:rPr>
                <w:sz w:val="22"/>
                <w:szCs w:val="22"/>
              </w:rPr>
              <w:t>Thuê đơn vị có chức năng xử lý</w:t>
            </w:r>
          </w:p>
        </w:tc>
      </w:tr>
      <w:tr w:rsidR="00085789" w14:paraId="39EB9C67"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06B6DCC" w14:textId="77777777" w:rsidR="00085789" w:rsidRDefault="00000000">
            <w:pPr>
              <w:spacing w:line="240" w:lineRule="auto"/>
              <w:jc w:val="center"/>
              <w:rPr>
                <w:sz w:val="22"/>
                <w:szCs w:val="22"/>
              </w:rPr>
            </w:pPr>
            <w:r>
              <w:rPr>
                <w:sz w:val="22"/>
                <w:szCs w:val="22"/>
              </w:rPr>
              <w:t>4</w:t>
            </w:r>
          </w:p>
        </w:tc>
        <w:tc>
          <w:tcPr>
            <w:tcW w:w="1626" w:type="dxa"/>
            <w:tcBorders>
              <w:top w:val="nil"/>
              <w:left w:val="nil"/>
              <w:bottom w:val="single" w:sz="4" w:space="0" w:color="auto"/>
              <w:right w:val="single" w:sz="4" w:space="0" w:color="auto"/>
            </w:tcBorders>
            <w:shd w:val="clear" w:color="000000" w:fill="FFFFFF"/>
            <w:vAlign w:val="center"/>
          </w:tcPr>
          <w:p w14:paraId="545FE5DA" w14:textId="77777777" w:rsidR="00085789" w:rsidRDefault="00000000">
            <w:pPr>
              <w:spacing w:line="240" w:lineRule="auto"/>
              <w:rPr>
                <w:sz w:val="22"/>
                <w:szCs w:val="22"/>
              </w:rPr>
            </w:pPr>
            <w:r>
              <w:rPr>
                <w:sz w:val="22"/>
                <w:szCs w:val="22"/>
              </w:rPr>
              <w:t>Bệnh viện Phổi</w:t>
            </w:r>
          </w:p>
        </w:tc>
        <w:tc>
          <w:tcPr>
            <w:tcW w:w="965" w:type="dxa"/>
            <w:tcBorders>
              <w:top w:val="nil"/>
              <w:left w:val="nil"/>
              <w:bottom w:val="single" w:sz="4" w:space="0" w:color="auto"/>
              <w:right w:val="single" w:sz="4" w:space="0" w:color="auto"/>
            </w:tcBorders>
            <w:shd w:val="clear" w:color="000000" w:fill="FFFFFF"/>
            <w:vAlign w:val="center"/>
          </w:tcPr>
          <w:p w14:paraId="7E01C59E" w14:textId="77777777" w:rsidR="00085789" w:rsidRDefault="00000000">
            <w:pPr>
              <w:spacing w:line="240" w:lineRule="auto"/>
              <w:jc w:val="center"/>
              <w:rPr>
                <w:sz w:val="22"/>
                <w:szCs w:val="22"/>
              </w:rPr>
            </w:pPr>
            <w:r>
              <w:rPr>
                <w:sz w:val="22"/>
                <w:szCs w:val="22"/>
              </w:rPr>
              <w:t>100</w:t>
            </w:r>
          </w:p>
        </w:tc>
        <w:tc>
          <w:tcPr>
            <w:tcW w:w="1236" w:type="dxa"/>
            <w:tcBorders>
              <w:top w:val="nil"/>
              <w:left w:val="nil"/>
              <w:bottom w:val="single" w:sz="4" w:space="0" w:color="auto"/>
              <w:right w:val="single" w:sz="4" w:space="0" w:color="auto"/>
            </w:tcBorders>
            <w:shd w:val="clear" w:color="000000" w:fill="FFFFFF"/>
            <w:vAlign w:val="center"/>
          </w:tcPr>
          <w:p w14:paraId="25072E0B" w14:textId="77777777" w:rsidR="00085789" w:rsidRDefault="00000000">
            <w:pPr>
              <w:spacing w:line="240" w:lineRule="auto"/>
              <w:jc w:val="center"/>
              <w:rPr>
                <w:sz w:val="22"/>
                <w:szCs w:val="22"/>
              </w:rPr>
            </w:pPr>
            <w:r>
              <w:rPr>
                <w:sz w:val="22"/>
                <w:szCs w:val="22"/>
              </w:rPr>
              <w:t>30</w:t>
            </w:r>
          </w:p>
        </w:tc>
        <w:tc>
          <w:tcPr>
            <w:tcW w:w="1158" w:type="dxa"/>
            <w:tcBorders>
              <w:top w:val="nil"/>
              <w:left w:val="nil"/>
              <w:bottom w:val="single" w:sz="4" w:space="0" w:color="auto"/>
              <w:right w:val="single" w:sz="4" w:space="0" w:color="auto"/>
            </w:tcBorders>
            <w:shd w:val="clear" w:color="000000" w:fill="FFFFFF"/>
            <w:vAlign w:val="center"/>
          </w:tcPr>
          <w:p w14:paraId="1F7E285A" w14:textId="77777777" w:rsidR="00085789" w:rsidRDefault="00000000">
            <w:pPr>
              <w:spacing w:line="240" w:lineRule="auto"/>
              <w:jc w:val="center"/>
              <w:rPr>
                <w:sz w:val="22"/>
                <w:szCs w:val="22"/>
              </w:rPr>
            </w:pPr>
            <w:r>
              <w:rPr>
                <w:sz w:val="22"/>
                <w:szCs w:val="22"/>
              </w:rPr>
              <w:t>24</w:t>
            </w:r>
          </w:p>
        </w:tc>
        <w:tc>
          <w:tcPr>
            <w:tcW w:w="1133" w:type="dxa"/>
            <w:tcBorders>
              <w:top w:val="nil"/>
              <w:left w:val="nil"/>
              <w:bottom w:val="single" w:sz="4" w:space="0" w:color="auto"/>
              <w:right w:val="single" w:sz="4" w:space="0" w:color="auto"/>
            </w:tcBorders>
            <w:shd w:val="clear" w:color="000000" w:fill="FFFFFF"/>
            <w:vAlign w:val="center"/>
          </w:tcPr>
          <w:p w14:paraId="45DEBBB1" w14:textId="77777777" w:rsidR="00085789" w:rsidRDefault="00000000">
            <w:pPr>
              <w:spacing w:line="240" w:lineRule="auto"/>
              <w:jc w:val="center"/>
              <w:rPr>
                <w:sz w:val="22"/>
                <w:szCs w:val="22"/>
              </w:rPr>
            </w:pPr>
            <w:r>
              <w:rPr>
                <w:sz w:val="22"/>
                <w:szCs w:val="22"/>
              </w:rPr>
              <w:t>90</w:t>
            </w:r>
          </w:p>
        </w:tc>
        <w:tc>
          <w:tcPr>
            <w:tcW w:w="1158" w:type="dxa"/>
            <w:tcBorders>
              <w:top w:val="nil"/>
              <w:left w:val="nil"/>
              <w:bottom w:val="single" w:sz="4" w:space="0" w:color="auto"/>
              <w:right w:val="single" w:sz="4" w:space="0" w:color="auto"/>
            </w:tcBorders>
            <w:shd w:val="clear" w:color="000000" w:fill="FFFFFF"/>
            <w:vAlign w:val="center"/>
          </w:tcPr>
          <w:p w14:paraId="0CD35B95" w14:textId="77777777" w:rsidR="00085789" w:rsidRDefault="00000000">
            <w:pPr>
              <w:spacing w:line="240" w:lineRule="auto"/>
              <w:jc w:val="center"/>
              <w:rPr>
                <w:sz w:val="22"/>
                <w:szCs w:val="22"/>
              </w:rPr>
            </w:pPr>
            <w:r>
              <w:rPr>
                <w:sz w:val="22"/>
                <w:szCs w:val="22"/>
              </w:rPr>
              <w:t>10</w:t>
            </w:r>
          </w:p>
        </w:tc>
        <w:tc>
          <w:tcPr>
            <w:tcW w:w="1109" w:type="dxa"/>
            <w:tcBorders>
              <w:top w:val="nil"/>
              <w:left w:val="nil"/>
              <w:bottom w:val="single" w:sz="4" w:space="0" w:color="auto"/>
              <w:right w:val="single" w:sz="4" w:space="0" w:color="auto"/>
            </w:tcBorders>
            <w:shd w:val="clear" w:color="000000" w:fill="FFFFFF"/>
            <w:vAlign w:val="center"/>
          </w:tcPr>
          <w:p w14:paraId="236D1449" w14:textId="77777777" w:rsidR="00085789" w:rsidRDefault="00000000">
            <w:pPr>
              <w:spacing w:line="240" w:lineRule="auto"/>
              <w:jc w:val="center"/>
              <w:rPr>
                <w:sz w:val="22"/>
                <w:szCs w:val="22"/>
              </w:rPr>
            </w:pPr>
            <w:r>
              <w:rPr>
                <w:sz w:val="22"/>
                <w:szCs w:val="22"/>
              </w:rPr>
              <w:t>92</w:t>
            </w:r>
          </w:p>
        </w:tc>
        <w:tc>
          <w:tcPr>
            <w:tcW w:w="1158" w:type="dxa"/>
            <w:tcBorders>
              <w:top w:val="nil"/>
              <w:left w:val="nil"/>
              <w:bottom w:val="single" w:sz="4" w:space="0" w:color="auto"/>
              <w:right w:val="single" w:sz="4" w:space="0" w:color="auto"/>
            </w:tcBorders>
            <w:shd w:val="clear" w:color="000000" w:fill="FFFFFF"/>
            <w:vAlign w:val="center"/>
          </w:tcPr>
          <w:p w14:paraId="2AAFEDFE" w14:textId="77777777" w:rsidR="00085789" w:rsidRDefault="00000000">
            <w:pPr>
              <w:spacing w:line="240" w:lineRule="auto"/>
              <w:jc w:val="center"/>
              <w:rPr>
                <w:sz w:val="22"/>
                <w:szCs w:val="22"/>
              </w:rPr>
            </w:pPr>
            <w:r>
              <w:rPr>
                <w:sz w:val="22"/>
                <w:szCs w:val="22"/>
              </w:rPr>
              <w:t>6,9</w:t>
            </w:r>
          </w:p>
        </w:tc>
        <w:tc>
          <w:tcPr>
            <w:tcW w:w="1171" w:type="dxa"/>
            <w:tcBorders>
              <w:top w:val="nil"/>
              <w:left w:val="nil"/>
              <w:bottom w:val="single" w:sz="4" w:space="0" w:color="auto"/>
              <w:right w:val="single" w:sz="4" w:space="0" w:color="auto"/>
            </w:tcBorders>
            <w:shd w:val="clear" w:color="000000" w:fill="FFFFFF"/>
            <w:vAlign w:val="center"/>
          </w:tcPr>
          <w:p w14:paraId="3A49E8F7" w14:textId="77777777" w:rsidR="00085789" w:rsidRDefault="00000000">
            <w:pPr>
              <w:spacing w:line="240" w:lineRule="auto"/>
              <w:jc w:val="center"/>
              <w:rPr>
                <w:sz w:val="22"/>
                <w:szCs w:val="22"/>
              </w:rPr>
            </w:pPr>
            <w:r>
              <w:rPr>
                <w:sz w:val="22"/>
                <w:szCs w:val="22"/>
              </w:rPr>
              <w:t>69</w:t>
            </w:r>
          </w:p>
        </w:tc>
        <w:tc>
          <w:tcPr>
            <w:tcW w:w="1158" w:type="dxa"/>
            <w:tcBorders>
              <w:top w:val="nil"/>
              <w:left w:val="nil"/>
              <w:bottom w:val="single" w:sz="4" w:space="0" w:color="auto"/>
              <w:right w:val="single" w:sz="4" w:space="0" w:color="auto"/>
            </w:tcBorders>
            <w:shd w:val="clear" w:color="000000" w:fill="FFFFFF"/>
            <w:vAlign w:val="center"/>
          </w:tcPr>
          <w:p w14:paraId="407B0E58" w14:textId="77777777" w:rsidR="00085789" w:rsidRDefault="00000000">
            <w:pPr>
              <w:spacing w:line="240" w:lineRule="auto"/>
              <w:jc w:val="center"/>
              <w:rPr>
                <w:sz w:val="22"/>
                <w:szCs w:val="22"/>
              </w:rPr>
            </w:pPr>
            <w:r>
              <w:rPr>
                <w:sz w:val="22"/>
                <w:szCs w:val="22"/>
              </w:rPr>
              <w:t>7,5</w:t>
            </w:r>
          </w:p>
        </w:tc>
        <w:tc>
          <w:tcPr>
            <w:tcW w:w="1532" w:type="dxa"/>
            <w:tcBorders>
              <w:top w:val="nil"/>
              <w:left w:val="nil"/>
              <w:bottom w:val="single" w:sz="4" w:space="0" w:color="auto"/>
              <w:right w:val="single" w:sz="4" w:space="0" w:color="auto"/>
            </w:tcBorders>
            <w:shd w:val="clear" w:color="000000" w:fill="FFFFFF"/>
            <w:vAlign w:val="center"/>
          </w:tcPr>
          <w:p w14:paraId="4BE20BCD" w14:textId="77777777" w:rsidR="00085789" w:rsidRDefault="00000000">
            <w:pPr>
              <w:spacing w:line="240" w:lineRule="auto"/>
              <w:rPr>
                <w:sz w:val="22"/>
                <w:szCs w:val="22"/>
              </w:rPr>
            </w:pPr>
            <w:r>
              <w:rPr>
                <w:sz w:val="22"/>
                <w:szCs w:val="22"/>
              </w:rPr>
              <w:t>Thuê đơn vị có chức năng xử lý</w:t>
            </w:r>
          </w:p>
        </w:tc>
      </w:tr>
      <w:tr w:rsidR="00085789" w14:paraId="304D021D"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EDBE899" w14:textId="77777777" w:rsidR="00085789" w:rsidRDefault="00000000">
            <w:pPr>
              <w:spacing w:line="240" w:lineRule="auto"/>
              <w:jc w:val="center"/>
              <w:rPr>
                <w:sz w:val="22"/>
                <w:szCs w:val="22"/>
              </w:rPr>
            </w:pPr>
            <w:r>
              <w:rPr>
                <w:sz w:val="22"/>
                <w:szCs w:val="22"/>
              </w:rPr>
              <w:t>5</w:t>
            </w:r>
          </w:p>
        </w:tc>
        <w:tc>
          <w:tcPr>
            <w:tcW w:w="1626" w:type="dxa"/>
            <w:tcBorders>
              <w:top w:val="nil"/>
              <w:left w:val="nil"/>
              <w:bottom w:val="single" w:sz="4" w:space="0" w:color="auto"/>
              <w:right w:val="single" w:sz="4" w:space="0" w:color="auto"/>
            </w:tcBorders>
            <w:shd w:val="clear" w:color="000000" w:fill="FFFFFF"/>
            <w:vAlign w:val="center"/>
          </w:tcPr>
          <w:p w14:paraId="7576EC80" w14:textId="77777777" w:rsidR="00085789" w:rsidRDefault="00000000">
            <w:pPr>
              <w:spacing w:line="240" w:lineRule="auto"/>
              <w:rPr>
                <w:sz w:val="22"/>
                <w:szCs w:val="22"/>
              </w:rPr>
            </w:pPr>
            <w:r>
              <w:rPr>
                <w:sz w:val="22"/>
                <w:szCs w:val="22"/>
              </w:rPr>
              <w:t>Bệnh viện Tâm thần</w:t>
            </w:r>
          </w:p>
        </w:tc>
        <w:tc>
          <w:tcPr>
            <w:tcW w:w="965" w:type="dxa"/>
            <w:tcBorders>
              <w:top w:val="nil"/>
              <w:left w:val="nil"/>
              <w:bottom w:val="single" w:sz="4" w:space="0" w:color="auto"/>
              <w:right w:val="single" w:sz="4" w:space="0" w:color="auto"/>
            </w:tcBorders>
            <w:shd w:val="clear" w:color="000000" w:fill="FFFFFF"/>
            <w:vAlign w:val="center"/>
          </w:tcPr>
          <w:p w14:paraId="6E5BF02B" w14:textId="77777777" w:rsidR="00085789" w:rsidRDefault="00000000">
            <w:pPr>
              <w:spacing w:line="240" w:lineRule="auto"/>
              <w:jc w:val="center"/>
              <w:rPr>
                <w:sz w:val="22"/>
                <w:szCs w:val="22"/>
              </w:rPr>
            </w:pPr>
            <w:r>
              <w:rPr>
                <w:sz w:val="22"/>
                <w:szCs w:val="22"/>
              </w:rPr>
              <w:t>100</w:t>
            </w:r>
          </w:p>
        </w:tc>
        <w:tc>
          <w:tcPr>
            <w:tcW w:w="1236" w:type="dxa"/>
            <w:tcBorders>
              <w:top w:val="nil"/>
              <w:left w:val="nil"/>
              <w:bottom w:val="single" w:sz="4" w:space="0" w:color="auto"/>
              <w:right w:val="single" w:sz="4" w:space="0" w:color="auto"/>
            </w:tcBorders>
            <w:shd w:val="clear" w:color="000000" w:fill="FFFFFF"/>
            <w:vAlign w:val="center"/>
          </w:tcPr>
          <w:p w14:paraId="5819A39F" w14:textId="77777777" w:rsidR="00085789" w:rsidRDefault="00000000">
            <w:pPr>
              <w:spacing w:line="240" w:lineRule="auto"/>
              <w:jc w:val="center"/>
              <w:rPr>
                <w:sz w:val="22"/>
                <w:szCs w:val="22"/>
              </w:rPr>
            </w:pPr>
            <w:r>
              <w:rPr>
                <w:sz w:val="22"/>
                <w:szCs w:val="22"/>
              </w:rPr>
              <w:t>50</w:t>
            </w:r>
          </w:p>
        </w:tc>
        <w:tc>
          <w:tcPr>
            <w:tcW w:w="1158" w:type="dxa"/>
            <w:tcBorders>
              <w:top w:val="nil"/>
              <w:left w:val="nil"/>
              <w:bottom w:val="single" w:sz="4" w:space="0" w:color="auto"/>
              <w:right w:val="single" w:sz="4" w:space="0" w:color="auto"/>
            </w:tcBorders>
            <w:shd w:val="clear" w:color="000000" w:fill="FFFFFF"/>
            <w:vAlign w:val="center"/>
          </w:tcPr>
          <w:p w14:paraId="6AA6EA4B" w14:textId="77777777" w:rsidR="00085789" w:rsidRDefault="00000000">
            <w:pPr>
              <w:spacing w:line="240" w:lineRule="auto"/>
              <w:jc w:val="center"/>
              <w:rPr>
                <w:sz w:val="22"/>
                <w:szCs w:val="22"/>
              </w:rPr>
            </w:pPr>
            <w:r>
              <w:rPr>
                <w:sz w:val="22"/>
                <w:szCs w:val="22"/>
              </w:rPr>
              <w:t>1</w:t>
            </w:r>
          </w:p>
        </w:tc>
        <w:tc>
          <w:tcPr>
            <w:tcW w:w="1133" w:type="dxa"/>
            <w:tcBorders>
              <w:top w:val="nil"/>
              <w:left w:val="nil"/>
              <w:bottom w:val="single" w:sz="4" w:space="0" w:color="auto"/>
              <w:right w:val="single" w:sz="4" w:space="0" w:color="auto"/>
            </w:tcBorders>
            <w:shd w:val="clear" w:color="000000" w:fill="FFFFFF"/>
            <w:vAlign w:val="center"/>
          </w:tcPr>
          <w:p w14:paraId="20772FCA" w14:textId="77777777" w:rsidR="00085789" w:rsidRDefault="00000000">
            <w:pPr>
              <w:spacing w:line="240" w:lineRule="auto"/>
              <w:jc w:val="center"/>
              <w:rPr>
                <w:sz w:val="22"/>
                <w:szCs w:val="22"/>
              </w:rPr>
            </w:pPr>
            <w:r>
              <w:rPr>
                <w:sz w:val="22"/>
                <w:szCs w:val="22"/>
              </w:rPr>
              <w:t>70</w:t>
            </w:r>
          </w:p>
        </w:tc>
        <w:tc>
          <w:tcPr>
            <w:tcW w:w="1158" w:type="dxa"/>
            <w:tcBorders>
              <w:top w:val="nil"/>
              <w:left w:val="nil"/>
              <w:bottom w:val="single" w:sz="4" w:space="0" w:color="auto"/>
              <w:right w:val="single" w:sz="4" w:space="0" w:color="auto"/>
            </w:tcBorders>
            <w:shd w:val="clear" w:color="000000" w:fill="FFFFFF"/>
            <w:vAlign w:val="center"/>
          </w:tcPr>
          <w:p w14:paraId="17712B7B" w14:textId="77777777" w:rsidR="00085789" w:rsidRDefault="00000000">
            <w:pPr>
              <w:spacing w:line="240" w:lineRule="auto"/>
              <w:jc w:val="center"/>
              <w:rPr>
                <w:sz w:val="22"/>
                <w:szCs w:val="22"/>
              </w:rPr>
            </w:pPr>
            <w:r>
              <w:rPr>
                <w:sz w:val="22"/>
                <w:szCs w:val="22"/>
              </w:rPr>
              <w:t>1</w:t>
            </w:r>
          </w:p>
        </w:tc>
        <w:tc>
          <w:tcPr>
            <w:tcW w:w="1109" w:type="dxa"/>
            <w:tcBorders>
              <w:top w:val="nil"/>
              <w:left w:val="nil"/>
              <w:bottom w:val="single" w:sz="4" w:space="0" w:color="auto"/>
              <w:right w:val="single" w:sz="4" w:space="0" w:color="auto"/>
            </w:tcBorders>
            <w:shd w:val="clear" w:color="000000" w:fill="FFFFFF"/>
            <w:vAlign w:val="center"/>
          </w:tcPr>
          <w:p w14:paraId="6B9DD204" w14:textId="77777777" w:rsidR="00085789" w:rsidRDefault="00000000">
            <w:pPr>
              <w:spacing w:line="240" w:lineRule="auto"/>
              <w:jc w:val="center"/>
              <w:rPr>
                <w:sz w:val="22"/>
                <w:szCs w:val="22"/>
              </w:rPr>
            </w:pPr>
            <w:r>
              <w:rPr>
                <w:sz w:val="22"/>
                <w:szCs w:val="22"/>
              </w:rPr>
              <w:t>172,6</w:t>
            </w:r>
          </w:p>
        </w:tc>
        <w:tc>
          <w:tcPr>
            <w:tcW w:w="1158" w:type="dxa"/>
            <w:tcBorders>
              <w:top w:val="nil"/>
              <w:left w:val="nil"/>
              <w:bottom w:val="single" w:sz="4" w:space="0" w:color="auto"/>
              <w:right w:val="single" w:sz="4" w:space="0" w:color="auto"/>
            </w:tcBorders>
            <w:shd w:val="clear" w:color="000000" w:fill="FFFFFF"/>
            <w:vAlign w:val="center"/>
          </w:tcPr>
          <w:p w14:paraId="208ED678" w14:textId="77777777" w:rsidR="00085789" w:rsidRDefault="00000000">
            <w:pPr>
              <w:spacing w:line="240" w:lineRule="auto"/>
              <w:jc w:val="center"/>
              <w:rPr>
                <w:sz w:val="22"/>
                <w:szCs w:val="22"/>
              </w:rPr>
            </w:pPr>
            <w:r>
              <w:rPr>
                <w:sz w:val="22"/>
                <w:szCs w:val="22"/>
              </w:rPr>
              <w:t>0,2</w:t>
            </w:r>
          </w:p>
        </w:tc>
        <w:tc>
          <w:tcPr>
            <w:tcW w:w="1171" w:type="dxa"/>
            <w:tcBorders>
              <w:top w:val="nil"/>
              <w:left w:val="nil"/>
              <w:bottom w:val="single" w:sz="4" w:space="0" w:color="auto"/>
              <w:right w:val="single" w:sz="4" w:space="0" w:color="auto"/>
            </w:tcBorders>
            <w:shd w:val="clear" w:color="000000" w:fill="FFFFFF"/>
            <w:vAlign w:val="center"/>
          </w:tcPr>
          <w:p w14:paraId="22C68C8B" w14:textId="77777777" w:rsidR="00085789" w:rsidRDefault="00000000">
            <w:pPr>
              <w:spacing w:line="240" w:lineRule="auto"/>
              <w:jc w:val="center"/>
              <w:rPr>
                <w:sz w:val="22"/>
                <w:szCs w:val="22"/>
              </w:rPr>
            </w:pPr>
            <w:r>
              <w:rPr>
                <w:sz w:val="22"/>
                <w:szCs w:val="22"/>
              </w:rPr>
              <w:t>111</w:t>
            </w:r>
          </w:p>
        </w:tc>
        <w:tc>
          <w:tcPr>
            <w:tcW w:w="1158" w:type="dxa"/>
            <w:tcBorders>
              <w:top w:val="nil"/>
              <w:left w:val="nil"/>
              <w:bottom w:val="single" w:sz="4" w:space="0" w:color="auto"/>
              <w:right w:val="single" w:sz="4" w:space="0" w:color="auto"/>
            </w:tcBorders>
            <w:shd w:val="clear" w:color="000000" w:fill="FFFFFF"/>
            <w:vAlign w:val="center"/>
          </w:tcPr>
          <w:p w14:paraId="360A66E5" w14:textId="77777777" w:rsidR="00085789" w:rsidRDefault="00000000">
            <w:pPr>
              <w:spacing w:line="240" w:lineRule="auto"/>
              <w:jc w:val="center"/>
              <w:rPr>
                <w:sz w:val="22"/>
                <w:szCs w:val="22"/>
              </w:rPr>
            </w:pPr>
            <w:r>
              <w:rPr>
                <w:sz w:val="22"/>
                <w:szCs w:val="22"/>
              </w:rPr>
              <w:t>0,7</w:t>
            </w:r>
          </w:p>
        </w:tc>
        <w:tc>
          <w:tcPr>
            <w:tcW w:w="1532" w:type="dxa"/>
            <w:tcBorders>
              <w:top w:val="nil"/>
              <w:left w:val="nil"/>
              <w:bottom w:val="single" w:sz="4" w:space="0" w:color="auto"/>
              <w:right w:val="single" w:sz="4" w:space="0" w:color="auto"/>
            </w:tcBorders>
            <w:shd w:val="clear" w:color="000000" w:fill="FFFFFF"/>
            <w:vAlign w:val="center"/>
          </w:tcPr>
          <w:p w14:paraId="481A3416" w14:textId="77777777" w:rsidR="00085789" w:rsidRDefault="00000000">
            <w:pPr>
              <w:spacing w:line="240" w:lineRule="auto"/>
              <w:rPr>
                <w:sz w:val="22"/>
                <w:szCs w:val="22"/>
              </w:rPr>
            </w:pPr>
            <w:r>
              <w:rPr>
                <w:sz w:val="22"/>
                <w:szCs w:val="22"/>
              </w:rPr>
              <w:t>Thuê đơn vị có chức năng xử lý</w:t>
            </w:r>
          </w:p>
        </w:tc>
      </w:tr>
      <w:tr w:rsidR="00085789" w14:paraId="299EC68F"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556EF60" w14:textId="77777777" w:rsidR="00085789" w:rsidRDefault="00000000">
            <w:pPr>
              <w:spacing w:line="240" w:lineRule="auto"/>
              <w:jc w:val="center"/>
              <w:rPr>
                <w:sz w:val="22"/>
                <w:szCs w:val="22"/>
              </w:rPr>
            </w:pPr>
            <w:r>
              <w:rPr>
                <w:sz w:val="22"/>
                <w:szCs w:val="22"/>
              </w:rPr>
              <w:t>6</w:t>
            </w:r>
          </w:p>
        </w:tc>
        <w:tc>
          <w:tcPr>
            <w:tcW w:w="1626" w:type="dxa"/>
            <w:tcBorders>
              <w:top w:val="nil"/>
              <w:left w:val="nil"/>
              <w:bottom w:val="single" w:sz="4" w:space="0" w:color="auto"/>
              <w:right w:val="single" w:sz="4" w:space="0" w:color="auto"/>
            </w:tcBorders>
            <w:shd w:val="clear" w:color="000000" w:fill="FFFFFF"/>
            <w:vAlign w:val="center"/>
          </w:tcPr>
          <w:p w14:paraId="4329EB60" w14:textId="77777777" w:rsidR="00085789" w:rsidRDefault="00000000">
            <w:pPr>
              <w:spacing w:line="240" w:lineRule="auto"/>
              <w:rPr>
                <w:sz w:val="22"/>
                <w:szCs w:val="22"/>
              </w:rPr>
            </w:pPr>
            <w:r>
              <w:rPr>
                <w:sz w:val="22"/>
                <w:szCs w:val="22"/>
              </w:rPr>
              <w:t>Bệnh viện Mắt</w:t>
            </w:r>
          </w:p>
        </w:tc>
        <w:tc>
          <w:tcPr>
            <w:tcW w:w="965" w:type="dxa"/>
            <w:tcBorders>
              <w:top w:val="nil"/>
              <w:left w:val="nil"/>
              <w:bottom w:val="single" w:sz="4" w:space="0" w:color="auto"/>
              <w:right w:val="single" w:sz="4" w:space="0" w:color="auto"/>
            </w:tcBorders>
            <w:shd w:val="clear" w:color="000000" w:fill="FFFFFF"/>
            <w:vAlign w:val="center"/>
          </w:tcPr>
          <w:p w14:paraId="3A378FE0" w14:textId="77777777" w:rsidR="00085789" w:rsidRDefault="00000000">
            <w:pPr>
              <w:spacing w:line="240" w:lineRule="auto"/>
              <w:jc w:val="center"/>
              <w:rPr>
                <w:sz w:val="22"/>
                <w:szCs w:val="22"/>
              </w:rPr>
            </w:pPr>
            <w:r>
              <w:rPr>
                <w:sz w:val="22"/>
                <w:szCs w:val="22"/>
              </w:rPr>
              <w:t>30</w:t>
            </w:r>
          </w:p>
        </w:tc>
        <w:tc>
          <w:tcPr>
            <w:tcW w:w="1236" w:type="dxa"/>
            <w:tcBorders>
              <w:top w:val="nil"/>
              <w:left w:val="nil"/>
              <w:bottom w:val="single" w:sz="4" w:space="0" w:color="auto"/>
              <w:right w:val="single" w:sz="4" w:space="0" w:color="auto"/>
            </w:tcBorders>
            <w:shd w:val="clear" w:color="000000" w:fill="FFFFFF"/>
            <w:vAlign w:val="center"/>
          </w:tcPr>
          <w:p w14:paraId="00976197" w14:textId="77777777" w:rsidR="00085789" w:rsidRDefault="00000000">
            <w:pPr>
              <w:spacing w:line="240" w:lineRule="auto"/>
              <w:jc w:val="center"/>
              <w:rPr>
                <w:sz w:val="22"/>
                <w:szCs w:val="22"/>
              </w:rPr>
            </w:pPr>
            <w:r>
              <w:rPr>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4A878FD5" w14:textId="77777777" w:rsidR="00085789" w:rsidRDefault="00000000">
            <w:pPr>
              <w:spacing w:line="240" w:lineRule="auto"/>
              <w:jc w:val="center"/>
              <w:rPr>
                <w:sz w:val="22"/>
                <w:szCs w:val="22"/>
              </w:rPr>
            </w:pPr>
            <w:r>
              <w:rPr>
                <w:sz w:val="22"/>
                <w:szCs w:val="22"/>
              </w:rPr>
              <w:t>2</w:t>
            </w:r>
          </w:p>
        </w:tc>
        <w:tc>
          <w:tcPr>
            <w:tcW w:w="1133" w:type="dxa"/>
            <w:tcBorders>
              <w:top w:val="nil"/>
              <w:left w:val="nil"/>
              <w:bottom w:val="single" w:sz="4" w:space="0" w:color="auto"/>
              <w:right w:val="single" w:sz="4" w:space="0" w:color="auto"/>
            </w:tcBorders>
            <w:shd w:val="clear" w:color="000000" w:fill="FFFFFF"/>
            <w:vAlign w:val="center"/>
          </w:tcPr>
          <w:p w14:paraId="4DA5BE23" w14:textId="77777777" w:rsidR="00085789" w:rsidRDefault="00000000">
            <w:pPr>
              <w:spacing w:line="240" w:lineRule="auto"/>
              <w:jc w:val="center"/>
              <w:rPr>
                <w:sz w:val="22"/>
                <w:szCs w:val="22"/>
              </w:rPr>
            </w:pPr>
            <w:r>
              <w:rPr>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6A7C2F43" w14:textId="77777777" w:rsidR="00085789" w:rsidRDefault="00000000">
            <w:pPr>
              <w:spacing w:line="240" w:lineRule="auto"/>
              <w:jc w:val="center"/>
              <w:rPr>
                <w:sz w:val="22"/>
                <w:szCs w:val="22"/>
              </w:rPr>
            </w:pPr>
            <w:r>
              <w:rPr>
                <w:sz w:val="22"/>
                <w:szCs w:val="22"/>
              </w:rPr>
              <w:t>2</w:t>
            </w:r>
          </w:p>
        </w:tc>
        <w:tc>
          <w:tcPr>
            <w:tcW w:w="1109" w:type="dxa"/>
            <w:tcBorders>
              <w:top w:val="nil"/>
              <w:left w:val="nil"/>
              <w:bottom w:val="single" w:sz="4" w:space="0" w:color="auto"/>
              <w:right w:val="single" w:sz="4" w:space="0" w:color="auto"/>
            </w:tcBorders>
            <w:shd w:val="clear" w:color="000000" w:fill="FFFFFF"/>
            <w:vAlign w:val="center"/>
          </w:tcPr>
          <w:p w14:paraId="392E026B" w14:textId="77777777" w:rsidR="00085789" w:rsidRDefault="00000000">
            <w:pPr>
              <w:spacing w:line="240" w:lineRule="auto"/>
              <w:jc w:val="center"/>
              <w:rPr>
                <w:sz w:val="22"/>
                <w:szCs w:val="22"/>
              </w:rPr>
            </w:pPr>
            <w:r>
              <w:rPr>
                <w:sz w:val="22"/>
                <w:szCs w:val="22"/>
              </w:rPr>
              <w:t>52,6</w:t>
            </w:r>
          </w:p>
        </w:tc>
        <w:tc>
          <w:tcPr>
            <w:tcW w:w="1158" w:type="dxa"/>
            <w:tcBorders>
              <w:top w:val="nil"/>
              <w:left w:val="nil"/>
              <w:bottom w:val="single" w:sz="4" w:space="0" w:color="auto"/>
              <w:right w:val="single" w:sz="4" w:space="0" w:color="auto"/>
            </w:tcBorders>
            <w:shd w:val="clear" w:color="000000" w:fill="FFFFFF"/>
            <w:vAlign w:val="center"/>
          </w:tcPr>
          <w:p w14:paraId="351F9DFC" w14:textId="77777777" w:rsidR="00085789" w:rsidRDefault="00000000">
            <w:pPr>
              <w:spacing w:line="240" w:lineRule="auto"/>
              <w:jc w:val="center"/>
              <w:rPr>
                <w:sz w:val="22"/>
                <w:szCs w:val="22"/>
              </w:rPr>
            </w:pPr>
            <w:r>
              <w:rPr>
                <w:sz w:val="22"/>
                <w:szCs w:val="22"/>
              </w:rPr>
              <w:t>3,1</w:t>
            </w:r>
          </w:p>
        </w:tc>
        <w:tc>
          <w:tcPr>
            <w:tcW w:w="1171" w:type="dxa"/>
            <w:tcBorders>
              <w:top w:val="nil"/>
              <w:left w:val="nil"/>
              <w:bottom w:val="single" w:sz="4" w:space="0" w:color="auto"/>
              <w:right w:val="single" w:sz="4" w:space="0" w:color="auto"/>
            </w:tcBorders>
            <w:shd w:val="clear" w:color="000000" w:fill="FFFFFF"/>
            <w:vAlign w:val="center"/>
          </w:tcPr>
          <w:p w14:paraId="18FCA198" w14:textId="77777777" w:rsidR="00085789" w:rsidRDefault="00000000">
            <w:pPr>
              <w:spacing w:line="240" w:lineRule="auto"/>
              <w:jc w:val="center"/>
              <w:rPr>
                <w:sz w:val="22"/>
                <w:szCs w:val="22"/>
              </w:rPr>
            </w:pPr>
            <w:r>
              <w:rPr>
                <w:sz w:val="22"/>
                <w:szCs w:val="22"/>
              </w:rPr>
              <w:t>50,7</w:t>
            </w:r>
          </w:p>
        </w:tc>
        <w:tc>
          <w:tcPr>
            <w:tcW w:w="1158" w:type="dxa"/>
            <w:tcBorders>
              <w:top w:val="nil"/>
              <w:left w:val="nil"/>
              <w:bottom w:val="single" w:sz="4" w:space="0" w:color="auto"/>
              <w:right w:val="single" w:sz="4" w:space="0" w:color="auto"/>
            </w:tcBorders>
            <w:shd w:val="clear" w:color="000000" w:fill="FFFFFF"/>
            <w:vAlign w:val="center"/>
          </w:tcPr>
          <w:p w14:paraId="2ECFFDEA" w14:textId="77777777" w:rsidR="00085789" w:rsidRDefault="00000000">
            <w:pPr>
              <w:spacing w:line="240" w:lineRule="auto"/>
              <w:jc w:val="center"/>
              <w:rPr>
                <w:sz w:val="22"/>
                <w:szCs w:val="22"/>
              </w:rPr>
            </w:pPr>
            <w:r>
              <w:rPr>
                <w:sz w:val="22"/>
                <w:szCs w:val="22"/>
              </w:rPr>
              <w:t>2,6</w:t>
            </w:r>
          </w:p>
        </w:tc>
        <w:tc>
          <w:tcPr>
            <w:tcW w:w="1532" w:type="dxa"/>
            <w:tcBorders>
              <w:top w:val="nil"/>
              <w:left w:val="nil"/>
              <w:bottom w:val="single" w:sz="4" w:space="0" w:color="auto"/>
              <w:right w:val="single" w:sz="4" w:space="0" w:color="auto"/>
            </w:tcBorders>
            <w:shd w:val="clear" w:color="000000" w:fill="FFFFFF"/>
            <w:vAlign w:val="center"/>
          </w:tcPr>
          <w:p w14:paraId="7C4CCE99" w14:textId="77777777" w:rsidR="00085789" w:rsidRDefault="00000000">
            <w:pPr>
              <w:spacing w:line="240" w:lineRule="auto"/>
              <w:rPr>
                <w:sz w:val="22"/>
                <w:szCs w:val="22"/>
              </w:rPr>
            </w:pPr>
            <w:r>
              <w:rPr>
                <w:sz w:val="22"/>
                <w:szCs w:val="22"/>
              </w:rPr>
              <w:t>Thuê đơn vị có chức năng xử lý</w:t>
            </w:r>
          </w:p>
        </w:tc>
      </w:tr>
      <w:tr w:rsidR="00085789" w14:paraId="76EDC024"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B3422E8" w14:textId="77777777" w:rsidR="00085789" w:rsidRDefault="00000000">
            <w:pPr>
              <w:spacing w:line="240" w:lineRule="auto"/>
              <w:jc w:val="center"/>
              <w:rPr>
                <w:b/>
                <w:bCs/>
                <w:sz w:val="22"/>
                <w:szCs w:val="22"/>
              </w:rPr>
            </w:pPr>
            <w:r>
              <w:rPr>
                <w:b/>
                <w:bCs/>
                <w:sz w:val="22"/>
                <w:szCs w:val="22"/>
              </w:rPr>
              <w:t>II</w:t>
            </w:r>
          </w:p>
        </w:tc>
        <w:tc>
          <w:tcPr>
            <w:tcW w:w="1626" w:type="dxa"/>
            <w:tcBorders>
              <w:top w:val="nil"/>
              <w:left w:val="nil"/>
              <w:bottom w:val="single" w:sz="4" w:space="0" w:color="auto"/>
              <w:right w:val="single" w:sz="4" w:space="0" w:color="auto"/>
            </w:tcBorders>
            <w:shd w:val="clear" w:color="000000" w:fill="FFFFFF"/>
            <w:vAlign w:val="center"/>
          </w:tcPr>
          <w:p w14:paraId="2A2BF8A5" w14:textId="77777777" w:rsidR="00085789" w:rsidRDefault="00000000">
            <w:pPr>
              <w:spacing w:line="240" w:lineRule="auto"/>
              <w:rPr>
                <w:b/>
                <w:bCs/>
                <w:sz w:val="22"/>
                <w:szCs w:val="22"/>
              </w:rPr>
            </w:pPr>
            <w:r>
              <w:rPr>
                <w:b/>
                <w:bCs/>
                <w:sz w:val="22"/>
                <w:szCs w:val="22"/>
              </w:rPr>
              <w:t xml:space="preserve">Trung tâm y tế </w:t>
            </w:r>
          </w:p>
        </w:tc>
        <w:tc>
          <w:tcPr>
            <w:tcW w:w="965" w:type="dxa"/>
            <w:tcBorders>
              <w:top w:val="nil"/>
              <w:left w:val="nil"/>
              <w:bottom w:val="single" w:sz="4" w:space="0" w:color="auto"/>
              <w:right w:val="single" w:sz="4" w:space="0" w:color="auto"/>
            </w:tcBorders>
            <w:shd w:val="clear" w:color="000000" w:fill="FFFFFF"/>
            <w:vAlign w:val="center"/>
          </w:tcPr>
          <w:p w14:paraId="73EEAE07" w14:textId="77777777" w:rsidR="00085789" w:rsidRDefault="00000000">
            <w:pPr>
              <w:spacing w:line="240" w:lineRule="auto"/>
              <w:jc w:val="center"/>
              <w:rPr>
                <w:b/>
                <w:bCs/>
                <w:sz w:val="22"/>
                <w:szCs w:val="22"/>
              </w:rPr>
            </w:pPr>
            <w:r>
              <w:rPr>
                <w:b/>
                <w:bCs/>
                <w:sz w:val="22"/>
                <w:szCs w:val="22"/>
              </w:rPr>
              <w:t>1160</w:t>
            </w:r>
          </w:p>
        </w:tc>
        <w:tc>
          <w:tcPr>
            <w:tcW w:w="1236" w:type="dxa"/>
            <w:tcBorders>
              <w:top w:val="nil"/>
              <w:left w:val="nil"/>
              <w:bottom w:val="single" w:sz="4" w:space="0" w:color="auto"/>
              <w:right w:val="single" w:sz="4" w:space="0" w:color="auto"/>
            </w:tcBorders>
            <w:shd w:val="clear" w:color="000000" w:fill="FFFFFF"/>
            <w:vAlign w:val="center"/>
          </w:tcPr>
          <w:p w14:paraId="26972573" w14:textId="77777777" w:rsidR="00085789" w:rsidRDefault="00000000">
            <w:pPr>
              <w:spacing w:line="240" w:lineRule="auto"/>
              <w:jc w:val="center"/>
              <w:rPr>
                <w:b/>
                <w:bCs/>
                <w:sz w:val="22"/>
                <w:szCs w:val="22"/>
              </w:rPr>
            </w:pPr>
            <w:r>
              <w:rPr>
                <w:b/>
                <w:bCs/>
                <w:sz w:val="22"/>
                <w:szCs w:val="22"/>
              </w:rPr>
              <w:t>1261</w:t>
            </w:r>
          </w:p>
        </w:tc>
        <w:tc>
          <w:tcPr>
            <w:tcW w:w="1158" w:type="dxa"/>
            <w:tcBorders>
              <w:top w:val="nil"/>
              <w:left w:val="nil"/>
              <w:bottom w:val="single" w:sz="4" w:space="0" w:color="auto"/>
              <w:right w:val="single" w:sz="4" w:space="0" w:color="auto"/>
            </w:tcBorders>
            <w:shd w:val="clear" w:color="000000" w:fill="FFFFFF"/>
            <w:vAlign w:val="center"/>
          </w:tcPr>
          <w:p w14:paraId="0F847DA1" w14:textId="77777777" w:rsidR="00085789" w:rsidRDefault="00000000">
            <w:pPr>
              <w:spacing w:line="240" w:lineRule="auto"/>
              <w:jc w:val="center"/>
              <w:rPr>
                <w:b/>
                <w:bCs/>
                <w:sz w:val="22"/>
                <w:szCs w:val="22"/>
              </w:rPr>
            </w:pPr>
            <w:r>
              <w:rPr>
                <w:b/>
                <w:bCs/>
                <w:sz w:val="22"/>
                <w:szCs w:val="22"/>
              </w:rPr>
              <w:t>200</w:t>
            </w:r>
          </w:p>
        </w:tc>
        <w:tc>
          <w:tcPr>
            <w:tcW w:w="1133" w:type="dxa"/>
            <w:tcBorders>
              <w:top w:val="nil"/>
              <w:left w:val="nil"/>
              <w:bottom w:val="single" w:sz="4" w:space="0" w:color="auto"/>
              <w:right w:val="single" w:sz="4" w:space="0" w:color="auto"/>
            </w:tcBorders>
            <w:shd w:val="clear" w:color="000000" w:fill="FFFFFF"/>
            <w:vAlign w:val="center"/>
          </w:tcPr>
          <w:p w14:paraId="68D43C96" w14:textId="77777777" w:rsidR="00085789" w:rsidRDefault="00000000">
            <w:pPr>
              <w:spacing w:line="240" w:lineRule="auto"/>
              <w:jc w:val="center"/>
              <w:rPr>
                <w:b/>
                <w:bCs/>
                <w:sz w:val="22"/>
                <w:szCs w:val="22"/>
              </w:rPr>
            </w:pPr>
            <w:r>
              <w:rPr>
                <w:b/>
                <w:bCs/>
                <w:sz w:val="22"/>
                <w:szCs w:val="22"/>
              </w:rPr>
              <w:t>1610</w:t>
            </w:r>
          </w:p>
        </w:tc>
        <w:tc>
          <w:tcPr>
            <w:tcW w:w="1158" w:type="dxa"/>
            <w:tcBorders>
              <w:top w:val="nil"/>
              <w:left w:val="nil"/>
              <w:bottom w:val="single" w:sz="4" w:space="0" w:color="auto"/>
              <w:right w:val="single" w:sz="4" w:space="0" w:color="auto"/>
            </w:tcBorders>
            <w:shd w:val="clear" w:color="000000" w:fill="FFFFFF"/>
            <w:vAlign w:val="center"/>
          </w:tcPr>
          <w:p w14:paraId="3125420D" w14:textId="77777777" w:rsidR="00085789" w:rsidRDefault="00000000">
            <w:pPr>
              <w:spacing w:line="240" w:lineRule="auto"/>
              <w:jc w:val="center"/>
              <w:rPr>
                <w:b/>
                <w:bCs/>
                <w:sz w:val="22"/>
                <w:szCs w:val="22"/>
              </w:rPr>
            </w:pPr>
            <w:r>
              <w:rPr>
                <w:b/>
                <w:bCs/>
                <w:sz w:val="22"/>
                <w:szCs w:val="22"/>
              </w:rPr>
              <w:t>182</w:t>
            </w:r>
          </w:p>
        </w:tc>
        <w:tc>
          <w:tcPr>
            <w:tcW w:w="1109" w:type="dxa"/>
            <w:tcBorders>
              <w:top w:val="nil"/>
              <w:left w:val="nil"/>
              <w:bottom w:val="single" w:sz="4" w:space="0" w:color="auto"/>
              <w:right w:val="single" w:sz="4" w:space="0" w:color="auto"/>
            </w:tcBorders>
            <w:shd w:val="clear" w:color="000000" w:fill="FFFFFF"/>
            <w:vAlign w:val="center"/>
          </w:tcPr>
          <w:p w14:paraId="7D63B45A" w14:textId="77777777" w:rsidR="00085789" w:rsidRDefault="00000000">
            <w:pPr>
              <w:spacing w:line="240" w:lineRule="auto"/>
              <w:jc w:val="center"/>
              <w:rPr>
                <w:b/>
                <w:bCs/>
                <w:sz w:val="22"/>
                <w:szCs w:val="22"/>
              </w:rPr>
            </w:pPr>
            <w:r>
              <w:rPr>
                <w:b/>
                <w:bCs/>
                <w:sz w:val="22"/>
                <w:szCs w:val="22"/>
              </w:rPr>
              <w:t>1536,1</w:t>
            </w:r>
          </w:p>
        </w:tc>
        <w:tc>
          <w:tcPr>
            <w:tcW w:w="1158" w:type="dxa"/>
            <w:tcBorders>
              <w:top w:val="nil"/>
              <w:left w:val="nil"/>
              <w:bottom w:val="single" w:sz="4" w:space="0" w:color="auto"/>
              <w:right w:val="single" w:sz="4" w:space="0" w:color="auto"/>
            </w:tcBorders>
            <w:shd w:val="clear" w:color="000000" w:fill="FFFFFF"/>
            <w:vAlign w:val="center"/>
          </w:tcPr>
          <w:p w14:paraId="750AD368" w14:textId="77777777" w:rsidR="00085789" w:rsidRDefault="00000000">
            <w:pPr>
              <w:spacing w:line="240" w:lineRule="auto"/>
              <w:jc w:val="center"/>
              <w:rPr>
                <w:b/>
                <w:bCs/>
                <w:sz w:val="22"/>
                <w:szCs w:val="22"/>
              </w:rPr>
            </w:pPr>
            <w:r>
              <w:rPr>
                <w:b/>
                <w:bCs/>
                <w:sz w:val="22"/>
                <w:szCs w:val="22"/>
              </w:rPr>
              <w:t>129</w:t>
            </w:r>
          </w:p>
        </w:tc>
        <w:tc>
          <w:tcPr>
            <w:tcW w:w="1171" w:type="dxa"/>
            <w:tcBorders>
              <w:top w:val="nil"/>
              <w:left w:val="nil"/>
              <w:bottom w:val="single" w:sz="4" w:space="0" w:color="auto"/>
              <w:right w:val="single" w:sz="4" w:space="0" w:color="auto"/>
            </w:tcBorders>
            <w:shd w:val="clear" w:color="000000" w:fill="FFFFFF"/>
            <w:vAlign w:val="center"/>
          </w:tcPr>
          <w:p w14:paraId="3B5D4095" w14:textId="77777777" w:rsidR="00085789" w:rsidRDefault="00000000">
            <w:pPr>
              <w:spacing w:line="240" w:lineRule="auto"/>
              <w:jc w:val="center"/>
              <w:rPr>
                <w:b/>
                <w:bCs/>
                <w:sz w:val="22"/>
                <w:szCs w:val="22"/>
              </w:rPr>
            </w:pPr>
            <w:r>
              <w:rPr>
                <w:b/>
                <w:bCs/>
                <w:sz w:val="22"/>
                <w:szCs w:val="22"/>
              </w:rPr>
              <w:t>1683,2</w:t>
            </w:r>
          </w:p>
        </w:tc>
        <w:tc>
          <w:tcPr>
            <w:tcW w:w="1158" w:type="dxa"/>
            <w:tcBorders>
              <w:top w:val="nil"/>
              <w:left w:val="nil"/>
              <w:bottom w:val="single" w:sz="4" w:space="0" w:color="auto"/>
              <w:right w:val="single" w:sz="4" w:space="0" w:color="auto"/>
            </w:tcBorders>
            <w:shd w:val="clear" w:color="000000" w:fill="FFFFFF"/>
            <w:vAlign w:val="center"/>
          </w:tcPr>
          <w:p w14:paraId="03835B17" w14:textId="77777777" w:rsidR="00085789" w:rsidRDefault="00000000">
            <w:pPr>
              <w:spacing w:line="240" w:lineRule="auto"/>
              <w:jc w:val="center"/>
              <w:rPr>
                <w:b/>
                <w:bCs/>
                <w:sz w:val="22"/>
                <w:szCs w:val="22"/>
              </w:rPr>
            </w:pPr>
            <w:r>
              <w:rPr>
                <w:b/>
                <w:bCs/>
                <w:sz w:val="22"/>
                <w:szCs w:val="22"/>
              </w:rPr>
              <w:t>149,2</w:t>
            </w:r>
          </w:p>
        </w:tc>
        <w:tc>
          <w:tcPr>
            <w:tcW w:w="1532" w:type="dxa"/>
            <w:tcBorders>
              <w:top w:val="nil"/>
              <w:left w:val="nil"/>
              <w:bottom w:val="single" w:sz="4" w:space="0" w:color="auto"/>
              <w:right w:val="single" w:sz="4" w:space="0" w:color="auto"/>
            </w:tcBorders>
            <w:shd w:val="clear" w:color="000000" w:fill="FFFFFF"/>
            <w:vAlign w:val="center"/>
          </w:tcPr>
          <w:p w14:paraId="614A355B" w14:textId="77777777" w:rsidR="00085789" w:rsidRDefault="00000000">
            <w:pPr>
              <w:spacing w:line="240" w:lineRule="auto"/>
              <w:rPr>
                <w:b/>
                <w:bCs/>
                <w:sz w:val="22"/>
                <w:szCs w:val="22"/>
              </w:rPr>
            </w:pPr>
            <w:r>
              <w:rPr>
                <w:b/>
                <w:bCs/>
                <w:sz w:val="22"/>
                <w:szCs w:val="22"/>
              </w:rPr>
              <w:t> </w:t>
            </w:r>
          </w:p>
        </w:tc>
      </w:tr>
      <w:tr w:rsidR="00085789" w14:paraId="15508DD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9F12E59" w14:textId="77777777" w:rsidR="00085789" w:rsidRDefault="00000000">
            <w:pPr>
              <w:spacing w:line="240" w:lineRule="auto"/>
              <w:jc w:val="center"/>
              <w:rPr>
                <w:sz w:val="22"/>
                <w:szCs w:val="22"/>
              </w:rPr>
            </w:pPr>
            <w:r>
              <w:rPr>
                <w:sz w:val="22"/>
                <w:szCs w:val="22"/>
              </w:rPr>
              <w:lastRenderedPageBreak/>
              <w:t>1</w:t>
            </w:r>
          </w:p>
        </w:tc>
        <w:tc>
          <w:tcPr>
            <w:tcW w:w="1626" w:type="dxa"/>
            <w:tcBorders>
              <w:top w:val="nil"/>
              <w:left w:val="nil"/>
              <w:bottom w:val="single" w:sz="4" w:space="0" w:color="auto"/>
              <w:right w:val="single" w:sz="4" w:space="0" w:color="auto"/>
            </w:tcBorders>
            <w:shd w:val="clear" w:color="000000" w:fill="FFFFFF"/>
            <w:vAlign w:val="center"/>
          </w:tcPr>
          <w:p w14:paraId="548BDD2E" w14:textId="77777777" w:rsidR="00085789" w:rsidRDefault="00000000">
            <w:pPr>
              <w:spacing w:line="240" w:lineRule="auto"/>
              <w:rPr>
                <w:sz w:val="22"/>
                <w:szCs w:val="22"/>
                <w:lang w:val="sv-SE"/>
              </w:rPr>
            </w:pPr>
            <w:r>
              <w:rPr>
                <w:sz w:val="22"/>
                <w:szCs w:val="22"/>
                <w:lang w:val="sv-SE"/>
              </w:rPr>
              <w:t>Trung tâm y tế Thành Sen</w:t>
            </w:r>
          </w:p>
        </w:tc>
        <w:tc>
          <w:tcPr>
            <w:tcW w:w="965" w:type="dxa"/>
            <w:tcBorders>
              <w:top w:val="nil"/>
              <w:left w:val="nil"/>
              <w:bottom w:val="single" w:sz="4" w:space="0" w:color="auto"/>
              <w:right w:val="single" w:sz="4" w:space="0" w:color="auto"/>
            </w:tcBorders>
            <w:shd w:val="clear" w:color="000000" w:fill="FFFFFF"/>
            <w:vAlign w:val="center"/>
          </w:tcPr>
          <w:p w14:paraId="14B1072E" w14:textId="77777777" w:rsidR="00085789" w:rsidRDefault="00000000">
            <w:pPr>
              <w:spacing w:line="240" w:lineRule="auto"/>
              <w:jc w:val="center"/>
              <w:rPr>
                <w:sz w:val="22"/>
                <w:szCs w:val="22"/>
              </w:rPr>
            </w:pPr>
            <w:r>
              <w:rPr>
                <w:sz w:val="22"/>
                <w:szCs w:val="22"/>
              </w:rPr>
              <w:t>250</w:t>
            </w:r>
          </w:p>
        </w:tc>
        <w:tc>
          <w:tcPr>
            <w:tcW w:w="1236" w:type="dxa"/>
            <w:tcBorders>
              <w:top w:val="nil"/>
              <w:left w:val="nil"/>
              <w:bottom w:val="single" w:sz="4" w:space="0" w:color="auto"/>
              <w:right w:val="single" w:sz="4" w:space="0" w:color="auto"/>
            </w:tcBorders>
            <w:shd w:val="clear" w:color="000000" w:fill="FFFFFF"/>
            <w:vAlign w:val="center"/>
          </w:tcPr>
          <w:p w14:paraId="666D1E8A" w14:textId="77777777" w:rsidR="00085789" w:rsidRDefault="00000000">
            <w:pPr>
              <w:spacing w:line="240" w:lineRule="auto"/>
              <w:jc w:val="center"/>
              <w:rPr>
                <w:sz w:val="22"/>
                <w:szCs w:val="22"/>
              </w:rPr>
            </w:pPr>
            <w:r>
              <w:rPr>
                <w:sz w:val="22"/>
                <w:szCs w:val="22"/>
              </w:rPr>
              <w:t>152</w:t>
            </w:r>
          </w:p>
        </w:tc>
        <w:tc>
          <w:tcPr>
            <w:tcW w:w="1158" w:type="dxa"/>
            <w:tcBorders>
              <w:top w:val="nil"/>
              <w:left w:val="nil"/>
              <w:bottom w:val="single" w:sz="4" w:space="0" w:color="auto"/>
              <w:right w:val="single" w:sz="4" w:space="0" w:color="auto"/>
            </w:tcBorders>
            <w:shd w:val="clear" w:color="000000" w:fill="FFFFFF"/>
            <w:vAlign w:val="center"/>
          </w:tcPr>
          <w:p w14:paraId="03398222" w14:textId="77777777" w:rsidR="00085789" w:rsidRDefault="00000000">
            <w:pPr>
              <w:spacing w:line="240" w:lineRule="auto"/>
              <w:jc w:val="center"/>
              <w:rPr>
                <w:sz w:val="22"/>
                <w:szCs w:val="22"/>
              </w:rPr>
            </w:pPr>
            <w:r>
              <w:rPr>
                <w:sz w:val="22"/>
                <w:szCs w:val="22"/>
              </w:rPr>
              <w:t>40</w:t>
            </w:r>
          </w:p>
        </w:tc>
        <w:tc>
          <w:tcPr>
            <w:tcW w:w="1133" w:type="dxa"/>
            <w:tcBorders>
              <w:top w:val="nil"/>
              <w:left w:val="nil"/>
              <w:bottom w:val="single" w:sz="4" w:space="0" w:color="auto"/>
              <w:right w:val="single" w:sz="4" w:space="0" w:color="auto"/>
            </w:tcBorders>
            <w:shd w:val="clear" w:color="000000" w:fill="FFFFFF"/>
            <w:vAlign w:val="center"/>
          </w:tcPr>
          <w:p w14:paraId="5041F857" w14:textId="77777777" w:rsidR="00085789" w:rsidRDefault="00000000">
            <w:pPr>
              <w:spacing w:line="240" w:lineRule="auto"/>
              <w:jc w:val="center"/>
              <w:rPr>
                <w:sz w:val="22"/>
                <w:szCs w:val="22"/>
              </w:rPr>
            </w:pPr>
            <w:r>
              <w:rPr>
                <w:sz w:val="22"/>
                <w:szCs w:val="22"/>
              </w:rPr>
              <w:t>340</w:t>
            </w:r>
          </w:p>
        </w:tc>
        <w:tc>
          <w:tcPr>
            <w:tcW w:w="1158" w:type="dxa"/>
            <w:tcBorders>
              <w:top w:val="nil"/>
              <w:left w:val="nil"/>
              <w:bottom w:val="single" w:sz="4" w:space="0" w:color="auto"/>
              <w:right w:val="single" w:sz="4" w:space="0" w:color="auto"/>
            </w:tcBorders>
            <w:shd w:val="clear" w:color="000000" w:fill="FFFFFF"/>
            <w:vAlign w:val="center"/>
          </w:tcPr>
          <w:p w14:paraId="0DE0FEF9" w14:textId="77777777" w:rsidR="00085789" w:rsidRDefault="00000000">
            <w:pPr>
              <w:spacing w:line="240" w:lineRule="auto"/>
              <w:jc w:val="center"/>
              <w:rPr>
                <w:sz w:val="22"/>
                <w:szCs w:val="22"/>
              </w:rPr>
            </w:pPr>
            <w:r>
              <w:rPr>
                <w:sz w:val="22"/>
                <w:szCs w:val="22"/>
              </w:rPr>
              <w:t>55</w:t>
            </w:r>
          </w:p>
        </w:tc>
        <w:tc>
          <w:tcPr>
            <w:tcW w:w="1109" w:type="dxa"/>
            <w:tcBorders>
              <w:top w:val="nil"/>
              <w:left w:val="nil"/>
              <w:bottom w:val="single" w:sz="4" w:space="0" w:color="auto"/>
              <w:right w:val="single" w:sz="4" w:space="0" w:color="auto"/>
            </w:tcBorders>
            <w:shd w:val="clear" w:color="000000" w:fill="FFFFFF"/>
            <w:vAlign w:val="center"/>
          </w:tcPr>
          <w:p w14:paraId="0BA24704" w14:textId="77777777" w:rsidR="00085789" w:rsidRDefault="00000000">
            <w:pPr>
              <w:spacing w:line="240" w:lineRule="auto"/>
              <w:jc w:val="center"/>
              <w:rPr>
                <w:sz w:val="22"/>
                <w:szCs w:val="22"/>
              </w:rPr>
            </w:pPr>
            <w:r>
              <w:rPr>
                <w:sz w:val="22"/>
                <w:szCs w:val="22"/>
              </w:rPr>
              <w:t>288</w:t>
            </w:r>
          </w:p>
        </w:tc>
        <w:tc>
          <w:tcPr>
            <w:tcW w:w="1158" w:type="dxa"/>
            <w:tcBorders>
              <w:top w:val="nil"/>
              <w:left w:val="nil"/>
              <w:bottom w:val="single" w:sz="4" w:space="0" w:color="auto"/>
              <w:right w:val="single" w:sz="4" w:space="0" w:color="auto"/>
            </w:tcBorders>
            <w:shd w:val="clear" w:color="000000" w:fill="FFFFFF"/>
            <w:vAlign w:val="center"/>
          </w:tcPr>
          <w:p w14:paraId="6B8B0C8A" w14:textId="77777777" w:rsidR="00085789" w:rsidRDefault="00000000">
            <w:pPr>
              <w:spacing w:line="240" w:lineRule="auto"/>
              <w:jc w:val="center"/>
              <w:rPr>
                <w:sz w:val="22"/>
                <w:szCs w:val="22"/>
              </w:rPr>
            </w:pPr>
            <w:r>
              <w:rPr>
                <w:sz w:val="22"/>
                <w:szCs w:val="22"/>
              </w:rPr>
              <w:t>36,3</w:t>
            </w:r>
          </w:p>
        </w:tc>
        <w:tc>
          <w:tcPr>
            <w:tcW w:w="1171" w:type="dxa"/>
            <w:tcBorders>
              <w:top w:val="nil"/>
              <w:left w:val="nil"/>
              <w:bottom w:val="single" w:sz="4" w:space="0" w:color="auto"/>
              <w:right w:val="single" w:sz="4" w:space="0" w:color="auto"/>
            </w:tcBorders>
            <w:shd w:val="clear" w:color="000000" w:fill="FFFFFF"/>
            <w:vAlign w:val="center"/>
          </w:tcPr>
          <w:p w14:paraId="506CEACA" w14:textId="77777777" w:rsidR="00085789" w:rsidRDefault="00000000">
            <w:pPr>
              <w:spacing w:line="240" w:lineRule="auto"/>
              <w:jc w:val="center"/>
              <w:rPr>
                <w:sz w:val="22"/>
                <w:szCs w:val="22"/>
              </w:rPr>
            </w:pPr>
            <w:r>
              <w:rPr>
                <w:sz w:val="22"/>
                <w:szCs w:val="22"/>
              </w:rPr>
              <w:t>403</w:t>
            </w:r>
          </w:p>
        </w:tc>
        <w:tc>
          <w:tcPr>
            <w:tcW w:w="1158" w:type="dxa"/>
            <w:tcBorders>
              <w:top w:val="nil"/>
              <w:left w:val="nil"/>
              <w:bottom w:val="single" w:sz="4" w:space="0" w:color="auto"/>
              <w:right w:val="single" w:sz="4" w:space="0" w:color="auto"/>
            </w:tcBorders>
            <w:shd w:val="clear" w:color="000000" w:fill="FFFFFF"/>
            <w:vAlign w:val="center"/>
          </w:tcPr>
          <w:p w14:paraId="7D782D82" w14:textId="77777777" w:rsidR="00085789" w:rsidRDefault="00000000">
            <w:pPr>
              <w:spacing w:line="240" w:lineRule="auto"/>
              <w:jc w:val="center"/>
              <w:rPr>
                <w:sz w:val="22"/>
                <w:szCs w:val="22"/>
              </w:rPr>
            </w:pPr>
            <w:r>
              <w:rPr>
                <w:sz w:val="22"/>
                <w:szCs w:val="22"/>
              </w:rPr>
              <w:t>49,5</w:t>
            </w:r>
          </w:p>
        </w:tc>
        <w:tc>
          <w:tcPr>
            <w:tcW w:w="1532" w:type="dxa"/>
            <w:tcBorders>
              <w:top w:val="nil"/>
              <w:left w:val="nil"/>
              <w:bottom w:val="single" w:sz="4" w:space="0" w:color="auto"/>
              <w:right w:val="single" w:sz="4" w:space="0" w:color="auto"/>
            </w:tcBorders>
            <w:shd w:val="clear" w:color="000000" w:fill="FFFFFF"/>
            <w:vAlign w:val="center"/>
          </w:tcPr>
          <w:p w14:paraId="0676C42C" w14:textId="77777777" w:rsidR="00085789" w:rsidRDefault="00000000">
            <w:pPr>
              <w:spacing w:line="240" w:lineRule="auto"/>
              <w:rPr>
                <w:sz w:val="22"/>
                <w:szCs w:val="22"/>
              </w:rPr>
            </w:pPr>
            <w:r>
              <w:rPr>
                <w:sz w:val="22"/>
                <w:szCs w:val="22"/>
              </w:rPr>
              <w:t>Thuê đơn vị có chức năng xử lý</w:t>
            </w:r>
          </w:p>
        </w:tc>
      </w:tr>
      <w:tr w:rsidR="00085789" w14:paraId="37E92D55"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E5E8AB5" w14:textId="77777777" w:rsidR="00085789" w:rsidRDefault="00000000">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1BFC2988" w14:textId="77777777" w:rsidR="00085789" w:rsidRDefault="00000000">
            <w:pPr>
              <w:spacing w:line="240" w:lineRule="auto"/>
              <w:rPr>
                <w:sz w:val="22"/>
                <w:szCs w:val="22"/>
              </w:rPr>
            </w:pPr>
            <w:r>
              <w:rPr>
                <w:sz w:val="22"/>
                <w:szCs w:val="22"/>
              </w:rPr>
              <w:t>Trung tâm y tế Hương Khê</w:t>
            </w:r>
          </w:p>
        </w:tc>
        <w:tc>
          <w:tcPr>
            <w:tcW w:w="965" w:type="dxa"/>
            <w:tcBorders>
              <w:top w:val="nil"/>
              <w:left w:val="nil"/>
              <w:bottom w:val="single" w:sz="4" w:space="0" w:color="auto"/>
              <w:right w:val="single" w:sz="4" w:space="0" w:color="auto"/>
            </w:tcBorders>
            <w:shd w:val="clear" w:color="000000" w:fill="FFFFFF"/>
            <w:vAlign w:val="center"/>
          </w:tcPr>
          <w:p w14:paraId="33D20FD6" w14:textId="77777777" w:rsidR="00085789" w:rsidRDefault="00000000">
            <w:pPr>
              <w:spacing w:line="240" w:lineRule="auto"/>
              <w:jc w:val="center"/>
              <w:rPr>
                <w:sz w:val="22"/>
                <w:szCs w:val="22"/>
              </w:rPr>
            </w:pPr>
            <w:r>
              <w:rPr>
                <w:sz w:val="22"/>
                <w:szCs w:val="22"/>
              </w:rPr>
              <w:t>150</w:t>
            </w:r>
          </w:p>
        </w:tc>
        <w:tc>
          <w:tcPr>
            <w:tcW w:w="1236" w:type="dxa"/>
            <w:tcBorders>
              <w:top w:val="nil"/>
              <w:left w:val="nil"/>
              <w:bottom w:val="single" w:sz="4" w:space="0" w:color="auto"/>
              <w:right w:val="single" w:sz="4" w:space="0" w:color="auto"/>
            </w:tcBorders>
            <w:shd w:val="clear" w:color="000000" w:fill="FFFFFF"/>
            <w:vAlign w:val="center"/>
          </w:tcPr>
          <w:p w14:paraId="1CB65EE2" w14:textId="77777777" w:rsidR="00085789" w:rsidRDefault="00000000">
            <w:pPr>
              <w:spacing w:line="240" w:lineRule="auto"/>
              <w:jc w:val="center"/>
              <w:rPr>
                <w:sz w:val="22"/>
                <w:szCs w:val="22"/>
              </w:rPr>
            </w:pPr>
            <w:r>
              <w:rPr>
                <w:sz w:val="22"/>
                <w:szCs w:val="22"/>
              </w:rPr>
              <w:t>170</w:t>
            </w:r>
          </w:p>
        </w:tc>
        <w:tc>
          <w:tcPr>
            <w:tcW w:w="1158" w:type="dxa"/>
            <w:tcBorders>
              <w:top w:val="nil"/>
              <w:left w:val="nil"/>
              <w:bottom w:val="single" w:sz="4" w:space="0" w:color="auto"/>
              <w:right w:val="single" w:sz="4" w:space="0" w:color="auto"/>
            </w:tcBorders>
            <w:shd w:val="clear" w:color="000000" w:fill="FFFFFF"/>
            <w:vAlign w:val="center"/>
          </w:tcPr>
          <w:p w14:paraId="1B62CB49" w14:textId="77777777" w:rsidR="00085789" w:rsidRDefault="00000000">
            <w:pPr>
              <w:spacing w:line="240" w:lineRule="auto"/>
              <w:jc w:val="center"/>
              <w:rPr>
                <w:sz w:val="22"/>
                <w:szCs w:val="22"/>
              </w:rPr>
            </w:pPr>
            <w:r>
              <w:rPr>
                <w:sz w:val="22"/>
                <w:szCs w:val="22"/>
              </w:rPr>
              <w:t>25</w:t>
            </w:r>
          </w:p>
        </w:tc>
        <w:tc>
          <w:tcPr>
            <w:tcW w:w="1133" w:type="dxa"/>
            <w:tcBorders>
              <w:top w:val="nil"/>
              <w:left w:val="nil"/>
              <w:bottom w:val="single" w:sz="4" w:space="0" w:color="auto"/>
              <w:right w:val="single" w:sz="4" w:space="0" w:color="auto"/>
            </w:tcBorders>
            <w:shd w:val="clear" w:color="000000" w:fill="FFFFFF"/>
            <w:vAlign w:val="center"/>
          </w:tcPr>
          <w:p w14:paraId="381D786D" w14:textId="77777777" w:rsidR="00085789" w:rsidRDefault="00000000">
            <w:pPr>
              <w:spacing w:line="240" w:lineRule="auto"/>
              <w:jc w:val="center"/>
              <w:rPr>
                <w:sz w:val="22"/>
                <w:szCs w:val="22"/>
              </w:rPr>
            </w:pPr>
            <w:r>
              <w:rPr>
                <w:sz w:val="22"/>
                <w:szCs w:val="22"/>
              </w:rPr>
              <w:t>190</w:t>
            </w:r>
          </w:p>
        </w:tc>
        <w:tc>
          <w:tcPr>
            <w:tcW w:w="1158" w:type="dxa"/>
            <w:tcBorders>
              <w:top w:val="nil"/>
              <w:left w:val="nil"/>
              <w:bottom w:val="single" w:sz="4" w:space="0" w:color="auto"/>
              <w:right w:val="single" w:sz="4" w:space="0" w:color="auto"/>
            </w:tcBorders>
            <w:shd w:val="clear" w:color="000000" w:fill="FFFFFF"/>
            <w:vAlign w:val="center"/>
          </w:tcPr>
          <w:p w14:paraId="5DA1BD52" w14:textId="77777777" w:rsidR="00085789" w:rsidRDefault="00000000">
            <w:pPr>
              <w:spacing w:line="240" w:lineRule="auto"/>
              <w:jc w:val="center"/>
              <w:rPr>
                <w:sz w:val="22"/>
                <w:szCs w:val="22"/>
              </w:rPr>
            </w:pPr>
            <w:r>
              <w:rPr>
                <w:sz w:val="22"/>
                <w:szCs w:val="22"/>
              </w:rPr>
              <w:t>27</w:t>
            </w:r>
          </w:p>
        </w:tc>
        <w:tc>
          <w:tcPr>
            <w:tcW w:w="1109" w:type="dxa"/>
            <w:tcBorders>
              <w:top w:val="nil"/>
              <w:left w:val="nil"/>
              <w:bottom w:val="single" w:sz="4" w:space="0" w:color="auto"/>
              <w:right w:val="single" w:sz="4" w:space="0" w:color="auto"/>
            </w:tcBorders>
            <w:shd w:val="clear" w:color="000000" w:fill="FFFFFF"/>
            <w:vAlign w:val="center"/>
          </w:tcPr>
          <w:p w14:paraId="20E8D6D2" w14:textId="77777777" w:rsidR="00085789" w:rsidRDefault="00000000">
            <w:pPr>
              <w:spacing w:line="240" w:lineRule="auto"/>
              <w:jc w:val="center"/>
              <w:rPr>
                <w:sz w:val="22"/>
                <w:szCs w:val="22"/>
              </w:rPr>
            </w:pPr>
            <w:r>
              <w:rPr>
                <w:sz w:val="22"/>
                <w:szCs w:val="22"/>
              </w:rPr>
              <w:t>11,6</w:t>
            </w:r>
          </w:p>
        </w:tc>
        <w:tc>
          <w:tcPr>
            <w:tcW w:w="1158" w:type="dxa"/>
            <w:tcBorders>
              <w:top w:val="nil"/>
              <w:left w:val="nil"/>
              <w:bottom w:val="single" w:sz="4" w:space="0" w:color="auto"/>
              <w:right w:val="single" w:sz="4" w:space="0" w:color="auto"/>
            </w:tcBorders>
            <w:shd w:val="clear" w:color="000000" w:fill="FFFFFF"/>
            <w:vAlign w:val="center"/>
          </w:tcPr>
          <w:p w14:paraId="1F85FC93" w14:textId="77777777" w:rsidR="00085789" w:rsidRDefault="00000000">
            <w:pPr>
              <w:spacing w:line="240" w:lineRule="auto"/>
              <w:jc w:val="center"/>
              <w:rPr>
                <w:sz w:val="22"/>
                <w:szCs w:val="22"/>
              </w:rPr>
            </w:pPr>
            <w:r>
              <w:rPr>
                <w:sz w:val="22"/>
                <w:szCs w:val="22"/>
              </w:rPr>
              <w:t>11,3</w:t>
            </w:r>
          </w:p>
        </w:tc>
        <w:tc>
          <w:tcPr>
            <w:tcW w:w="1171" w:type="dxa"/>
            <w:tcBorders>
              <w:top w:val="nil"/>
              <w:left w:val="nil"/>
              <w:bottom w:val="single" w:sz="4" w:space="0" w:color="auto"/>
              <w:right w:val="single" w:sz="4" w:space="0" w:color="auto"/>
            </w:tcBorders>
            <w:shd w:val="clear" w:color="000000" w:fill="FFFFFF"/>
            <w:vAlign w:val="center"/>
          </w:tcPr>
          <w:p w14:paraId="72375569" w14:textId="77777777" w:rsidR="00085789" w:rsidRDefault="00000000">
            <w:pPr>
              <w:spacing w:line="240" w:lineRule="auto"/>
              <w:jc w:val="center"/>
              <w:rPr>
                <w:sz w:val="22"/>
                <w:szCs w:val="22"/>
              </w:rPr>
            </w:pPr>
            <w:r>
              <w:rPr>
                <w:sz w:val="22"/>
                <w:szCs w:val="22"/>
              </w:rPr>
              <w:t>12,7</w:t>
            </w:r>
          </w:p>
        </w:tc>
        <w:tc>
          <w:tcPr>
            <w:tcW w:w="1158" w:type="dxa"/>
            <w:tcBorders>
              <w:top w:val="nil"/>
              <w:left w:val="nil"/>
              <w:bottom w:val="single" w:sz="4" w:space="0" w:color="auto"/>
              <w:right w:val="single" w:sz="4" w:space="0" w:color="auto"/>
            </w:tcBorders>
            <w:shd w:val="clear" w:color="000000" w:fill="FFFFFF"/>
            <w:vAlign w:val="center"/>
          </w:tcPr>
          <w:p w14:paraId="4FD49E52" w14:textId="77777777" w:rsidR="00085789" w:rsidRDefault="00000000">
            <w:pPr>
              <w:spacing w:line="240" w:lineRule="auto"/>
              <w:jc w:val="center"/>
              <w:rPr>
                <w:sz w:val="22"/>
                <w:szCs w:val="22"/>
              </w:rPr>
            </w:pPr>
            <w:r>
              <w:rPr>
                <w:sz w:val="22"/>
                <w:szCs w:val="22"/>
              </w:rPr>
              <w:t>12,5</w:t>
            </w:r>
          </w:p>
        </w:tc>
        <w:tc>
          <w:tcPr>
            <w:tcW w:w="1532" w:type="dxa"/>
            <w:tcBorders>
              <w:top w:val="nil"/>
              <w:left w:val="nil"/>
              <w:bottom w:val="single" w:sz="4" w:space="0" w:color="auto"/>
              <w:right w:val="single" w:sz="4" w:space="0" w:color="auto"/>
            </w:tcBorders>
            <w:shd w:val="clear" w:color="000000" w:fill="FFFFFF"/>
            <w:vAlign w:val="center"/>
          </w:tcPr>
          <w:p w14:paraId="2ACA8F53" w14:textId="77777777" w:rsidR="00085789" w:rsidRDefault="00000000">
            <w:pPr>
              <w:spacing w:line="240" w:lineRule="auto"/>
              <w:rPr>
                <w:sz w:val="22"/>
                <w:szCs w:val="22"/>
              </w:rPr>
            </w:pPr>
            <w:r>
              <w:rPr>
                <w:sz w:val="22"/>
                <w:szCs w:val="22"/>
              </w:rPr>
              <w:t>Thuê đơn vị có chức năng xử lý</w:t>
            </w:r>
          </w:p>
        </w:tc>
      </w:tr>
      <w:tr w:rsidR="00085789" w14:paraId="000D44ED"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77CE8FA" w14:textId="77777777" w:rsidR="00085789" w:rsidRDefault="00000000">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5E028327" w14:textId="77777777" w:rsidR="00085789" w:rsidRDefault="00000000">
            <w:pPr>
              <w:spacing w:line="240" w:lineRule="auto"/>
              <w:rPr>
                <w:sz w:val="22"/>
                <w:szCs w:val="22"/>
              </w:rPr>
            </w:pPr>
            <w:r>
              <w:rPr>
                <w:sz w:val="22"/>
                <w:szCs w:val="22"/>
              </w:rPr>
              <w:t>Trung tâm y tế Hoành Sơn</w:t>
            </w:r>
          </w:p>
        </w:tc>
        <w:tc>
          <w:tcPr>
            <w:tcW w:w="965" w:type="dxa"/>
            <w:tcBorders>
              <w:top w:val="nil"/>
              <w:left w:val="nil"/>
              <w:bottom w:val="single" w:sz="4" w:space="0" w:color="auto"/>
              <w:right w:val="single" w:sz="4" w:space="0" w:color="auto"/>
            </w:tcBorders>
            <w:shd w:val="clear" w:color="000000" w:fill="FFFFFF"/>
            <w:vAlign w:val="center"/>
          </w:tcPr>
          <w:p w14:paraId="216E622F" w14:textId="77777777" w:rsidR="00085789" w:rsidRDefault="00000000">
            <w:pPr>
              <w:spacing w:line="240" w:lineRule="auto"/>
              <w:jc w:val="center"/>
              <w:rPr>
                <w:sz w:val="22"/>
                <w:szCs w:val="22"/>
              </w:rPr>
            </w:pPr>
            <w:r>
              <w:rPr>
                <w:sz w:val="22"/>
                <w:szCs w:val="22"/>
              </w:rPr>
              <w:t>300</w:t>
            </w:r>
          </w:p>
        </w:tc>
        <w:tc>
          <w:tcPr>
            <w:tcW w:w="1236" w:type="dxa"/>
            <w:tcBorders>
              <w:top w:val="nil"/>
              <w:left w:val="nil"/>
              <w:bottom w:val="single" w:sz="4" w:space="0" w:color="auto"/>
              <w:right w:val="single" w:sz="4" w:space="0" w:color="auto"/>
            </w:tcBorders>
            <w:shd w:val="clear" w:color="000000" w:fill="FFFFFF"/>
            <w:vAlign w:val="center"/>
          </w:tcPr>
          <w:p w14:paraId="22B977F2" w14:textId="77777777" w:rsidR="00085789" w:rsidRDefault="00000000">
            <w:pPr>
              <w:spacing w:line="240" w:lineRule="auto"/>
              <w:jc w:val="center"/>
              <w:rPr>
                <w:sz w:val="22"/>
                <w:szCs w:val="22"/>
              </w:rPr>
            </w:pPr>
            <w:r>
              <w:rPr>
                <w:sz w:val="22"/>
                <w:szCs w:val="22"/>
              </w:rPr>
              <w:t>480</w:t>
            </w:r>
          </w:p>
        </w:tc>
        <w:tc>
          <w:tcPr>
            <w:tcW w:w="1158" w:type="dxa"/>
            <w:tcBorders>
              <w:top w:val="nil"/>
              <w:left w:val="nil"/>
              <w:bottom w:val="single" w:sz="4" w:space="0" w:color="auto"/>
              <w:right w:val="single" w:sz="4" w:space="0" w:color="auto"/>
            </w:tcBorders>
            <w:shd w:val="clear" w:color="000000" w:fill="FFFFFF"/>
            <w:vAlign w:val="center"/>
          </w:tcPr>
          <w:p w14:paraId="403B54B5" w14:textId="77777777" w:rsidR="00085789" w:rsidRDefault="00000000">
            <w:pPr>
              <w:spacing w:line="240" w:lineRule="auto"/>
              <w:jc w:val="center"/>
              <w:rPr>
                <w:sz w:val="22"/>
                <w:szCs w:val="22"/>
              </w:rPr>
            </w:pPr>
            <w:r>
              <w:rPr>
                <w:sz w:val="22"/>
                <w:szCs w:val="22"/>
              </w:rPr>
              <w:t>34</w:t>
            </w:r>
          </w:p>
        </w:tc>
        <w:tc>
          <w:tcPr>
            <w:tcW w:w="1133" w:type="dxa"/>
            <w:tcBorders>
              <w:top w:val="nil"/>
              <w:left w:val="nil"/>
              <w:bottom w:val="single" w:sz="4" w:space="0" w:color="auto"/>
              <w:right w:val="single" w:sz="4" w:space="0" w:color="auto"/>
            </w:tcBorders>
            <w:shd w:val="clear" w:color="000000" w:fill="FFFFFF"/>
            <w:vAlign w:val="center"/>
          </w:tcPr>
          <w:p w14:paraId="3F2D7CC5" w14:textId="77777777" w:rsidR="00085789" w:rsidRDefault="00000000">
            <w:pPr>
              <w:spacing w:line="240" w:lineRule="auto"/>
              <w:jc w:val="center"/>
              <w:rPr>
                <w:sz w:val="22"/>
                <w:szCs w:val="22"/>
              </w:rPr>
            </w:pPr>
            <w:r>
              <w:rPr>
                <w:sz w:val="22"/>
                <w:szCs w:val="22"/>
              </w:rPr>
              <w:t>510</w:t>
            </w:r>
          </w:p>
        </w:tc>
        <w:tc>
          <w:tcPr>
            <w:tcW w:w="1158" w:type="dxa"/>
            <w:tcBorders>
              <w:top w:val="nil"/>
              <w:left w:val="nil"/>
              <w:bottom w:val="single" w:sz="4" w:space="0" w:color="auto"/>
              <w:right w:val="single" w:sz="4" w:space="0" w:color="auto"/>
            </w:tcBorders>
            <w:shd w:val="clear" w:color="000000" w:fill="FFFFFF"/>
            <w:vAlign w:val="center"/>
          </w:tcPr>
          <w:p w14:paraId="4F186350" w14:textId="77777777" w:rsidR="00085789" w:rsidRDefault="00000000">
            <w:pPr>
              <w:spacing w:line="240" w:lineRule="auto"/>
              <w:jc w:val="center"/>
              <w:rPr>
                <w:sz w:val="22"/>
                <w:szCs w:val="22"/>
              </w:rPr>
            </w:pPr>
            <w:r>
              <w:rPr>
                <w:sz w:val="22"/>
                <w:szCs w:val="22"/>
              </w:rPr>
              <w:t>35</w:t>
            </w:r>
          </w:p>
        </w:tc>
        <w:tc>
          <w:tcPr>
            <w:tcW w:w="1109" w:type="dxa"/>
            <w:tcBorders>
              <w:top w:val="nil"/>
              <w:left w:val="nil"/>
              <w:bottom w:val="single" w:sz="4" w:space="0" w:color="auto"/>
              <w:right w:val="single" w:sz="4" w:space="0" w:color="auto"/>
            </w:tcBorders>
            <w:shd w:val="clear" w:color="000000" w:fill="FFFFFF"/>
            <w:vAlign w:val="center"/>
          </w:tcPr>
          <w:p w14:paraId="75A6D46B" w14:textId="77777777" w:rsidR="00085789" w:rsidRDefault="00000000">
            <w:pPr>
              <w:spacing w:line="240" w:lineRule="auto"/>
              <w:jc w:val="center"/>
              <w:rPr>
                <w:sz w:val="22"/>
                <w:szCs w:val="22"/>
              </w:rPr>
            </w:pPr>
            <w:r>
              <w:rPr>
                <w:sz w:val="22"/>
                <w:szCs w:val="22"/>
              </w:rPr>
              <w:t>737,4</w:t>
            </w:r>
          </w:p>
        </w:tc>
        <w:tc>
          <w:tcPr>
            <w:tcW w:w="1158" w:type="dxa"/>
            <w:tcBorders>
              <w:top w:val="nil"/>
              <w:left w:val="nil"/>
              <w:bottom w:val="single" w:sz="4" w:space="0" w:color="auto"/>
              <w:right w:val="single" w:sz="4" w:space="0" w:color="auto"/>
            </w:tcBorders>
            <w:shd w:val="clear" w:color="000000" w:fill="FFFFFF"/>
            <w:vAlign w:val="center"/>
          </w:tcPr>
          <w:p w14:paraId="1C2FFD57" w14:textId="77777777" w:rsidR="00085789" w:rsidRDefault="00000000">
            <w:pPr>
              <w:spacing w:line="240" w:lineRule="auto"/>
              <w:jc w:val="center"/>
              <w:rPr>
                <w:sz w:val="22"/>
                <w:szCs w:val="22"/>
              </w:rPr>
            </w:pPr>
            <w:r>
              <w:rPr>
                <w:sz w:val="22"/>
                <w:szCs w:val="22"/>
              </w:rPr>
              <w:t>30,9</w:t>
            </w:r>
          </w:p>
        </w:tc>
        <w:tc>
          <w:tcPr>
            <w:tcW w:w="1171" w:type="dxa"/>
            <w:tcBorders>
              <w:top w:val="nil"/>
              <w:left w:val="nil"/>
              <w:bottom w:val="single" w:sz="4" w:space="0" w:color="auto"/>
              <w:right w:val="single" w:sz="4" w:space="0" w:color="auto"/>
            </w:tcBorders>
            <w:shd w:val="clear" w:color="000000" w:fill="FFFFFF"/>
            <w:vAlign w:val="center"/>
          </w:tcPr>
          <w:p w14:paraId="7816BECE" w14:textId="77777777" w:rsidR="00085789" w:rsidRDefault="00000000">
            <w:pPr>
              <w:spacing w:line="240" w:lineRule="auto"/>
              <w:jc w:val="center"/>
              <w:rPr>
                <w:sz w:val="22"/>
                <w:szCs w:val="22"/>
              </w:rPr>
            </w:pPr>
            <w:r>
              <w:rPr>
                <w:sz w:val="22"/>
                <w:szCs w:val="22"/>
              </w:rPr>
              <w:t>754</w:t>
            </w:r>
          </w:p>
        </w:tc>
        <w:tc>
          <w:tcPr>
            <w:tcW w:w="1158" w:type="dxa"/>
            <w:tcBorders>
              <w:top w:val="nil"/>
              <w:left w:val="nil"/>
              <w:bottom w:val="single" w:sz="4" w:space="0" w:color="auto"/>
              <w:right w:val="single" w:sz="4" w:space="0" w:color="auto"/>
            </w:tcBorders>
            <w:shd w:val="clear" w:color="000000" w:fill="FFFFFF"/>
            <w:vAlign w:val="center"/>
          </w:tcPr>
          <w:p w14:paraId="1BA2DAA0" w14:textId="77777777" w:rsidR="00085789" w:rsidRDefault="00000000">
            <w:pPr>
              <w:spacing w:line="240" w:lineRule="auto"/>
              <w:jc w:val="center"/>
              <w:rPr>
                <w:sz w:val="22"/>
                <w:szCs w:val="22"/>
              </w:rPr>
            </w:pPr>
            <w:r>
              <w:rPr>
                <w:sz w:val="22"/>
                <w:szCs w:val="22"/>
              </w:rPr>
              <w:t>31,9</w:t>
            </w:r>
          </w:p>
        </w:tc>
        <w:tc>
          <w:tcPr>
            <w:tcW w:w="1532" w:type="dxa"/>
            <w:tcBorders>
              <w:top w:val="nil"/>
              <w:left w:val="nil"/>
              <w:bottom w:val="single" w:sz="4" w:space="0" w:color="auto"/>
              <w:right w:val="single" w:sz="4" w:space="0" w:color="auto"/>
            </w:tcBorders>
            <w:shd w:val="clear" w:color="000000" w:fill="FFFFFF"/>
            <w:vAlign w:val="center"/>
          </w:tcPr>
          <w:p w14:paraId="51A9F448" w14:textId="77777777" w:rsidR="00085789" w:rsidRDefault="00000000">
            <w:pPr>
              <w:spacing w:line="240" w:lineRule="auto"/>
              <w:rPr>
                <w:sz w:val="22"/>
                <w:szCs w:val="22"/>
              </w:rPr>
            </w:pPr>
            <w:r>
              <w:rPr>
                <w:sz w:val="22"/>
                <w:szCs w:val="22"/>
              </w:rPr>
              <w:t>Thuê đơn vị có chức năng xử lý</w:t>
            </w:r>
          </w:p>
        </w:tc>
      </w:tr>
      <w:tr w:rsidR="00085789" w14:paraId="7D8E721A"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819F89D" w14:textId="77777777" w:rsidR="00085789" w:rsidRDefault="00000000">
            <w:pPr>
              <w:spacing w:line="240" w:lineRule="auto"/>
              <w:jc w:val="center"/>
              <w:rPr>
                <w:sz w:val="22"/>
                <w:szCs w:val="22"/>
              </w:rPr>
            </w:pPr>
            <w:r>
              <w:rPr>
                <w:sz w:val="22"/>
                <w:szCs w:val="22"/>
              </w:rPr>
              <w:t>4</w:t>
            </w:r>
          </w:p>
        </w:tc>
        <w:tc>
          <w:tcPr>
            <w:tcW w:w="1626" w:type="dxa"/>
            <w:tcBorders>
              <w:top w:val="nil"/>
              <w:left w:val="nil"/>
              <w:bottom w:val="single" w:sz="4" w:space="0" w:color="auto"/>
              <w:right w:val="single" w:sz="4" w:space="0" w:color="auto"/>
            </w:tcBorders>
            <w:shd w:val="clear" w:color="000000" w:fill="FFFFFF"/>
            <w:vAlign w:val="center"/>
          </w:tcPr>
          <w:p w14:paraId="37636193" w14:textId="77777777" w:rsidR="00085789" w:rsidRDefault="00000000">
            <w:pPr>
              <w:spacing w:line="240" w:lineRule="auto"/>
              <w:rPr>
                <w:sz w:val="22"/>
                <w:szCs w:val="22"/>
              </w:rPr>
            </w:pPr>
            <w:r>
              <w:rPr>
                <w:sz w:val="22"/>
                <w:szCs w:val="22"/>
              </w:rPr>
              <w:t>Trung tâm y tế Cẩm Xuyên</w:t>
            </w:r>
          </w:p>
        </w:tc>
        <w:tc>
          <w:tcPr>
            <w:tcW w:w="965" w:type="dxa"/>
            <w:tcBorders>
              <w:top w:val="nil"/>
              <w:left w:val="nil"/>
              <w:bottom w:val="single" w:sz="4" w:space="0" w:color="auto"/>
              <w:right w:val="single" w:sz="4" w:space="0" w:color="auto"/>
            </w:tcBorders>
            <w:shd w:val="clear" w:color="000000" w:fill="FFFFFF"/>
            <w:vAlign w:val="center"/>
          </w:tcPr>
          <w:p w14:paraId="7AA310EB" w14:textId="77777777" w:rsidR="00085789" w:rsidRDefault="00000000">
            <w:pPr>
              <w:spacing w:line="240" w:lineRule="auto"/>
              <w:jc w:val="center"/>
              <w:rPr>
                <w:sz w:val="22"/>
                <w:szCs w:val="22"/>
              </w:rPr>
            </w:pPr>
            <w:r>
              <w:rPr>
                <w:sz w:val="22"/>
                <w:szCs w:val="22"/>
              </w:rPr>
              <w:t>130</w:t>
            </w:r>
          </w:p>
        </w:tc>
        <w:tc>
          <w:tcPr>
            <w:tcW w:w="1236" w:type="dxa"/>
            <w:tcBorders>
              <w:top w:val="nil"/>
              <w:left w:val="nil"/>
              <w:bottom w:val="single" w:sz="4" w:space="0" w:color="auto"/>
              <w:right w:val="single" w:sz="4" w:space="0" w:color="auto"/>
            </w:tcBorders>
            <w:shd w:val="clear" w:color="000000" w:fill="FFFFFF"/>
            <w:vAlign w:val="center"/>
          </w:tcPr>
          <w:p w14:paraId="5CCD112A" w14:textId="77777777" w:rsidR="00085789" w:rsidRDefault="00000000">
            <w:pPr>
              <w:spacing w:line="240" w:lineRule="auto"/>
              <w:jc w:val="center"/>
              <w:rPr>
                <w:sz w:val="22"/>
                <w:szCs w:val="22"/>
              </w:rPr>
            </w:pPr>
            <w:r>
              <w:rPr>
                <w:sz w:val="22"/>
                <w:szCs w:val="22"/>
              </w:rPr>
              <w:t>143</w:t>
            </w:r>
          </w:p>
        </w:tc>
        <w:tc>
          <w:tcPr>
            <w:tcW w:w="1158" w:type="dxa"/>
            <w:tcBorders>
              <w:top w:val="nil"/>
              <w:left w:val="nil"/>
              <w:bottom w:val="single" w:sz="4" w:space="0" w:color="auto"/>
              <w:right w:val="single" w:sz="4" w:space="0" w:color="auto"/>
            </w:tcBorders>
            <w:shd w:val="clear" w:color="000000" w:fill="FFFFFF"/>
            <w:vAlign w:val="center"/>
          </w:tcPr>
          <w:p w14:paraId="42185398" w14:textId="77777777" w:rsidR="00085789" w:rsidRDefault="00000000">
            <w:pPr>
              <w:spacing w:line="240" w:lineRule="auto"/>
              <w:jc w:val="center"/>
              <w:rPr>
                <w:sz w:val="22"/>
                <w:szCs w:val="22"/>
              </w:rPr>
            </w:pPr>
            <w:r>
              <w:rPr>
                <w:sz w:val="22"/>
                <w:szCs w:val="22"/>
              </w:rPr>
              <w:t>10</w:t>
            </w:r>
          </w:p>
        </w:tc>
        <w:tc>
          <w:tcPr>
            <w:tcW w:w="1133" w:type="dxa"/>
            <w:tcBorders>
              <w:top w:val="nil"/>
              <w:left w:val="nil"/>
              <w:bottom w:val="single" w:sz="4" w:space="0" w:color="auto"/>
              <w:right w:val="single" w:sz="4" w:space="0" w:color="auto"/>
            </w:tcBorders>
            <w:shd w:val="clear" w:color="000000" w:fill="FFFFFF"/>
            <w:vAlign w:val="center"/>
          </w:tcPr>
          <w:p w14:paraId="3A4BD82B" w14:textId="77777777" w:rsidR="00085789" w:rsidRDefault="00000000">
            <w:pPr>
              <w:spacing w:line="240" w:lineRule="auto"/>
              <w:jc w:val="center"/>
              <w:rPr>
                <w:sz w:val="22"/>
                <w:szCs w:val="22"/>
              </w:rPr>
            </w:pPr>
            <w:r>
              <w:rPr>
                <w:sz w:val="22"/>
                <w:szCs w:val="22"/>
              </w:rPr>
              <w:t>150</w:t>
            </w:r>
          </w:p>
        </w:tc>
        <w:tc>
          <w:tcPr>
            <w:tcW w:w="1158" w:type="dxa"/>
            <w:tcBorders>
              <w:top w:val="nil"/>
              <w:left w:val="nil"/>
              <w:bottom w:val="single" w:sz="4" w:space="0" w:color="auto"/>
              <w:right w:val="single" w:sz="4" w:space="0" w:color="auto"/>
            </w:tcBorders>
            <w:shd w:val="clear" w:color="000000" w:fill="FFFFFF"/>
            <w:vAlign w:val="center"/>
          </w:tcPr>
          <w:p w14:paraId="0AB0BD52" w14:textId="77777777" w:rsidR="00085789" w:rsidRDefault="00000000">
            <w:pPr>
              <w:spacing w:line="240" w:lineRule="auto"/>
              <w:jc w:val="center"/>
              <w:rPr>
                <w:sz w:val="22"/>
                <w:szCs w:val="22"/>
              </w:rPr>
            </w:pPr>
            <w:r>
              <w:rPr>
                <w:sz w:val="22"/>
                <w:szCs w:val="22"/>
              </w:rPr>
              <w:t>12</w:t>
            </w:r>
          </w:p>
        </w:tc>
        <w:tc>
          <w:tcPr>
            <w:tcW w:w="1109" w:type="dxa"/>
            <w:tcBorders>
              <w:top w:val="nil"/>
              <w:left w:val="nil"/>
              <w:bottom w:val="single" w:sz="4" w:space="0" w:color="auto"/>
              <w:right w:val="single" w:sz="4" w:space="0" w:color="auto"/>
            </w:tcBorders>
            <w:shd w:val="clear" w:color="000000" w:fill="FFFFFF"/>
            <w:vAlign w:val="center"/>
          </w:tcPr>
          <w:p w14:paraId="395BA225" w14:textId="77777777" w:rsidR="00085789" w:rsidRDefault="00000000">
            <w:pPr>
              <w:spacing w:line="240" w:lineRule="auto"/>
              <w:jc w:val="center"/>
              <w:rPr>
                <w:sz w:val="22"/>
                <w:szCs w:val="22"/>
              </w:rPr>
            </w:pPr>
            <w:r>
              <w:rPr>
                <w:sz w:val="22"/>
                <w:szCs w:val="22"/>
              </w:rPr>
              <w:t>128</w:t>
            </w:r>
          </w:p>
        </w:tc>
        <w:tc>
          <w:tcPr>
            <w:tcW w:w="1158" w:type="dxa"/>
            <w:tcBorders>
              <w:top w:val="nil"/>
              <w:left w:val="nil"/>
              <w:bottom w:val="single" w:sz="4" w:space="0" w:color="auto"/>
              <w:right w:val="single" w:sz="4" w:space="0" w:color="auto"/>
            </w:tcBorders>
            <w:shd w:val="clear" w:color="000000" w:fill="FFFFFF"/>
            <w:vAlign w:val="center"/>
          </w:tcPr>
          <w:p w14:paraId="0B68377E" w14:textId="77777777" w:rsidR="00085789" w:rsidRDefault="00000000">
            <w:pPr>
              <w:spacing w:line="240" w:lineRule="auto"/>
              <w:jc w:val="center"/>
              <w:rPr>
                <w:sz w:val="22"/>
                <w:szCs w:val="22"/>
              </w:rPr>
            </w:pPr>
            <w:r>
              <w:rPr>
                <w:sz w:val="22"/>
                <w:szCs w:val="22"/>
              </w:rPr>
              <w:t>10</w:t>
            </w:r>
          </w:p>
        </w:tc>
        <w:tc>
          <w:tcPr>
            <w:tcW w:w="1171" w:type="dxa"/>
            <w:tcBorders>
              <w:top w:val="nil"/>
              <w:left w:val="nil"/>
              <w:bottom w:val="single" w:sz="4" w:space="0" w:color="auto"/>
              <w:right w:val="single" w:sz="4" w:space="0" w:color="auto"/>
            </w:tcBorders>
            <w:shd w:val="clear" w:color="000000" w:fill="FFFFFF"/>
            <w:vAlign w:val="center"/>
          </w:tcPr>
          <w:p w14:paraId="38258C47" w14:textId="77777777" w:rsidR="00085789" w:rsidRDefault="00000000">
            <w:pPr>
              <w:spacing w:line="240" w:lineRule="auto"/>
              <w:jc w:val="center"/>
              <w:rPr>
                <w:sz w:val="22"/>
                <w:szCs w:val="22"/>
              </w:rPr>
            </w:pPr>
            <w:r>
              <w:rPr>
                <w:sz w:val="22"/>
                <w:szCs w:val="22"/>
              </w:rPr>
              <w:t>117,6</w:t>
            </w:r>
          </w:p>
        </w:tc>
        <w:tc>
          <w:tcPr>
            <w:tcW w:w="1158" w:type="dxa"/>
            <w:tcBorders>
              <w:top w:val="nil"/>
              <w:left w:val="nil"/>
              <w:bottom w:val="single" w:sz="4" w:space="0" w:color="auto"/>
              <w:right w:val="single" w:sz="4" w:space="0" w:color="auto"/>
            </w:tcBorders>
            <w:shd w:val="clear" w:color="000000" w:fill="FFFFFF"/>
            <w:vAlign w:val="center"/>
          </w:tcPr>
          <w:p w14:paraId="13835FC7" w14:textId="77777777" w:rsidR="00085789" w:rsidRDefault="00000000">
            <w:pPr>
              <w:spacing w:line="240" w:lineRule="auto"/>
              <w:jc w:val="center"/>
              <w:rPr>
                <w:sz w:val="22"/>
                <w:szCs w:val="22"/>
              </w:rPr>
            </w:pPr>
            <w:r>
              <w:rPr>
                <w:sz w:val="22"/>
                <w:szCs w:val="22"/>
              </w:rPr>
              <w:t>11,8</w:t>
            </w:r>
          </w:p>
        </w:tc>
        <w:tc>
          <w:tcPr>
            <w:tcW w:w="1532" w:type="dxa"/>
            <w:tcBorders>
              <w:top w:val="nil"/>
              <w:left w:val="nil"/>
              <w:bottom w:val="single" w:sz="4" w:space="0" w:color="auto"/>
              <w:right w:val="single" w:sz="4" w:space="0" w:color="auto"/>
            </w:tcBorders>
            <w:shd w:val="clear" w:color="000000" w:fill="FFFFFF"/>
            <w:vAlign w:val="center"/>
          </w:tcPr>
          <w:p w14:paraId="31FE22EB" w14:textId="77777777" w:rsidR="00085789" w:rsidRDefault="00000000">
            <w:pPr>
              <w:spacing w:line="240" w:lineRule="auto"/>
              <w:rPr>
                <w:sz w:val="22"/>
                <w:szCs w:val="22"/>
              </w:rPr>
            </w:pPr>
            <w:r>
              <w:rPr>
                <w:sz w:val="22"/>
                <w:szCs w:val="22"/>
              </w:rPr>
              <w:t>Thuê đơn vị có chức năng xử lý</w:t>
            </w:r>
          </w:p>
        </w:tc>
      </w:tr>
      <w:tr w:rsidR="00085789" w14:paraId="1F6F8E56"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CBC3C64" w14:textId="77777777" w:rsidR="00085789" w:rsidRDefault="00000000">
            <w:pPr>
              <w:spacing w:line="240" w:lineRule="auto"/>
              <w:jc w:val="center"/>
              <w:rPr>
                <w:sz w:val="22"/>
                <w:szCs w:val="22"/>
              </w:rPr>
            </w:pPr>
            <w:r>
              <w:rPr>
                <w:sz w:val="22"/>
                <w:szCs w:val="22"/>
              </w:rPr>
              <w:t>5</w:t>
            </w:r>
          </w:p>
        </w:tc>
        <w:tc>
          <w:tcPr>
            <w:tcW w:w="1626" w:type="dxa"/>
            <w:tcBorders>
              <w:top w:val="nil"/>
              <w:left w:val="nil"/>
              <w:bottom w:val="single" w:sz="4" w:space="0" w:color="auto"/>
              <w:right w:val="single" w:sz="4" w:space="0" w:color="auto"/>
            </w:tcBorders>
            <w:shd w:val="clear" w:color="000000" w:fill="FFFFFF"/>
            <w:vAlign w:val="center"/>
          </w:tcPr>
          <w:p w14:paraId="3C65A65D" w14:textId="77777777" w:rsidR="00085789" w:rsidRDefault="00000000">
            <w:pPr>
              <w:spacing w:line="240" w:lineRule="auto"/>
              <w:rPr>
                <w:sz w:val="22"/>
                <w:szCs w:val="22"/>
              </w:rPr>
            </w:pPr>
            <w:r>
              <w:rPr>
                <w:sz w:val="22"/>
                <w:szCs w:val="22"/>
              </w:rPr>
              <w:t>Trung tâm y tế Đức Thọ</w:t>
            </w:r>
          </w:p>
        </w:tc>
        <w:tc>
          <w:tcPr>
            <w:tcW w:w="965" w:type="dxa"/>
            <w:tcBorders>
              <w:top w:val="nil"/>
              <w:left w:val="nil"/>
              <w:bottom w:val="single" w:sz="4" w:space="0" w:color="auto"/>
              <w:right w:val="single" w:sz="4" w:space="0" w:color="auto"/>
            </w:tcBorders>
            <w:shd w:val="clear" w:color="000000" w:fill="FFFFFF"/>
            <w:vAlign w:val="center"/>
          </w:tcPr>
          <w:p w14:paraId="22AC160E" w14:textId="77777777" w:rsidR="00085789" w:rsidRDefault="00000000">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3ED6C983" w14:textId="77777777" w:rsidR="00085789" w:rsidRDefault="00000000">
            <w:pPr>
              <w:spacing w:line="240" w:lineRule="auto"/>
              <w:jc w:val="center"/>
              <w:rPr>
                <w:sz w:val="22"/>
                <w:szCs w:val="22"/>
              </w:rPr>
            </w:pPr>
            <w:r>
              <w:rPr>
                <w:sz w:val="22"/>
                <w:szCs w:val="22"/>
              </w:rPr>
              <w:t>146</w:t>
            </w:r>
          </w:p>
        </w:tc>
        <w:tc>
          <w:tcPr>
            <w:tcW w:w="1158" w:type="dxa"/>
            <w:tcBorders>
              <w:top w:val="nil"/>
              <w:left w:val="nil"/>
              <w:bottom w:val="single" w:sz="4" w:space="0" w:color="auto"/>
              <w:right w:val="single" w:sz="4" w:space="0" w:color="auto"/>
            </w:tcBorders>
            <w:shd w:val="clear" w:color="000000" w:fill="FFFFFF"/>
            <w:vAlign w:val="center"/>
          </w:tcPr>
          <w:p w14:paraId="50FD89CB" w14:textId="77777777" w:rsidR="00085789" w:rsidRDefault="00000000">
            <w:pPr>
              <w:spacing w:line="240" w:lineRule="auto"/>
              <w:jc w:val="center"/>
              <w:rPr>
                <w:sz w:val="22"/>
                <w:szCs w:val="22"/>
              </w:rPr>
            </w:pPr>
            <w:r>
              <w:rPr>
                <w:sz w:val="22"/>
                <w:szCs w:val="22"/>
              </w:rPr>
              <w:t>22</w:t>
            </w:r>
          </w:p>
        </w:tc>
        <w:tc>
          <w:tcPr>
            <w:tcW w:w="1133" w:type="dxa"/>
            <w:tcBorders>
              <w:top w:val="nil"/>
              <w:left w:val="nil"/>
              <w:bottom w:val="single" w:sz="4" w:space="0" w:color="auto"/>
              <w:right w:val="single" w:sz="4" w:space="0" w:color="auto"/>
            </w:tcBorders>
            <w:shd w:val="clear" w:color="000000" w:fill="FFFFFF"/>
            <w:vAlign w:val="center"/>
          </w:tcPr>
          <w:p w14:paraId="299C1D78" w14:textId="77777777" w:rsidR="00085789" w:rsidRDefault="00000000">
            <w:pPr>
              <w:spacing w:line="240" w:lineRule="auto"/>
              <w:jc w:val="center"/>
              <w:rPr>
                <w:sz w:val="22"/>
                <w:szCs w:val="22"/>
              </w:rPr>
            </w:pPr>
            <w:r>
              <w:rPr>
                <w:sz w:val="22"/>
                <w:szCs w:val="22"/>
              </w:rPr>
              <w:t>160</w:t>
            </w:r>
          </w:p>
        </w:tc>
        <w:tc>
          <w:tcPr>
            <w:tcW w:w="1158" w:type="dxa"/>
            <w:tcBorders>
              <w:top w:val="nil"/>
              <w:left w:val="nil"/>
              <w:bottom w:val="single" w:sz="4" w:space="0" w:color="auto"/>
              <w:right w:val="single" w:sz="4" w:space="0" w:color="auto"/>
            </w:tcBorders>
            <w:shd w:val="clear" w:color="000000" w:fill="FFFFFF"/>
            <w:vAlign w:val="center"/>
          </w:tcPr>
          <w:p w14:paraId="65234D92" w14:textId="77777777" w:rsidR="00085789" w:rsidRDefault="00000000">
            <w:pPr>
              <w:spacing w:line="240" w:lineRule="auto"/>
              <w:jc w:val="center"/>
              <w:rPr>
                <w:sz w:val="22"/>
                <w:szCs w:val="22"/>
              </w:rPr>
            </w:pPr>
            <w:r>
              <w:rPr>
                <w:sz w:val="22"/>
                <w:szCs w:val="22"/>
              </w:rPr>
              <w:t>25</w:t>
            </w:r>
          </w:p>
        </w:tc>
        <w:tc>
          <w:tcPr>
            <w:tcW w:w="1109" w:type="dxa"/>
            <w:tcBorders>
              <w:top w:val="nil"/>
              <w:left w:val="nil"/>
              <w:bottom w:val="single" w:sz="4" w:space="0" w:color="auto"/>
              <w:right w:val="single" w:sz="4" w:space="0" w:color="auto"/>
            </w:tcBorders>
            <w:shd w:val="clear" w:color="000000" w:fill="FFFFFF"/>
            <w:vAlign w:val="center"/>
          </w:tcPr>
          <w:p w14:paraId="1663D719" w14:textId="77777777" w:rsidR="00085789" w:rsidRDefault="00000000">
            <w:pPr>
              <w:spacing w:line="240" w:lineRule="auto"/>
              <w:jc w:val="center"/>
              <w:rPr>
                <w:sz w:val="22"/>
                <w:szCs w:val="22"/>
              </w:rPr>
            </w:pPr>
            <w:r>
              <w:rPr>
                <w:sz w:val="22"/>
                <w:szCs w:val="22"/>
              </w:rPr>
              <w:t>197,2</w:t>
            </w:r>
          </w:p>
        </w:tc>
        <w:tc>
          <w:tcPr>
            <w:tcW w:w="1158" w:type="dxa"/>
            <w:tcBorders>
              <w:top w:val="nil"/>
              <w:left w:val="nil"/>
              <w:bottom w:val="single" w:sz="4" w:space="0" w:color="auto"/>
              <w:right w:val="single" w:sz="4" w:space="0" w:color="auto"/>
            </w:tcBorders>
            <w:shd w:val="clear" w:color="000000" w:fill="FFFFFF"/>
            <w:vAlign w:val="center"/>
          </w:tcPr>
          <w:p w14:paraId="0F3F93A1" w14:textId="77777777" w:rsidR="00085789" w:rsidRDefault="00000000">
            <w:pPr>
              <w:spacing w:line="240" w:lineRule="auto"/>
              <w:jc w:val="center"/>
              <w:rPr>
                <w:sz w:val="22"/>
                <w:szCs w:val="22"/>
              </w:rPr>
            </w:pPr>
            <w:r>
              <w:rPr>
                <w:sz w:val="22"/>
                <w:szCs w:val="22"/>
              </w:rPr>
              <w:t>23,6</w:t>
            </w:r>
          </w:p>
        </w:tc>
        <w:tc>
          <w:tcPr>
            <w:tcW w:w="1171" w:type="dxa"/>
            <w:tcBorders>
              <w:top w:val="nil"/>
              <w:left w:val="nil"/>
              <w:bottom w:val="single" w:sz="4" w:space="0" w:color="auto"/>
              <w:right w:val="single" w:sz="4" w:space="0" w:color="auto"/>
            </w:tcBorders>
            <w:shd w:val="clear" w:color="000000" w:fill="FFFFFF"/>
            <w:vAlign w:val="center"/>
          </w:tcPr>
          <w:p w14:paraId="150F4E26" w14:textId="77777777" w:rsidR="00085789" w:rsidRDefault="00000000">
            <w:pPr>
              <w:spacing w:line="240" w:lineRule="auto"/>
              <w:jc w:val="center"/>
              <w:rPr>
                <w:sz w:val="22"/>
                <w:szCs w:val="22"/>
              </w:rPr>
            </w:pPr>
            <w:r>
              <w:rPr>
                <w:sz w:val="22"/>
                <w:szCs w:val="22"/>
              </w:rPr>
              <w:t>213,7</w:t>
            </w:r>
          </w:p>
        </w:tc>
        <w:tc>
          <w:tcPr>
            <w:tcW w:w="1158" w:type="dxa"/>
            <w:tcBorders>
              <w:top w:val="nil"/>
              <w:left w:val="nil"/>
              <w:bottom w:val="single" w:sz="4" w:space="0" w:color="auto"/>
              <w:right w:val="single" w:sz="4" w:space="0" w:color="auto"/>
            </w:tcBorders>
            <w:shd w:val="clear" w:color="000000" w:fill="FFFFFF"/>
            <w:vAlign w:val="center"/>
          </w:tcPr>
          <w:p w14:paraId="0735C64C" w14:textId="77777777" w:rsidR="00085789" w:rsidRDefault="00000000">
            <w:pPr>
              <w:spacing w:line="240" w:lineRule="auto"/>
              <w:jc w:val="center"/>
              <w:rPr>
                <w:sz w:val="22"/>
                <w:szCs w:val="22"/>
              </w:rPr>
            </w:pPr>
            <w:r>
              <w:rPr>
                <w:sz w:val="22"/>
                <w:szCs w:val="22"/>
              </w:rPr>
              <w:t>29,3</w:t>
            </w:r>
          </w:p>
        </w:tc>
        <w:tc>
          <w:tcPr>
            <w:tcW w:w="1532" w:type="dxa"/>
            <w:tcBorders>
              <w:top w:val="nil"/>
              <w:left w:val="nil"/>
              <w:bottom w:val="single" w:sz="4" w:space="0" w:color="auto"/>
              <w:right w:val="single" w:sz="4" w:space="0" w:color="auto"/>
            </w:tcBorders>
            <w:shd w:val="clear" w:color="000000" w:fill="FFFFFF"/>
            <w:vAlign w:val="center"/>
          </w:tcPr>
          <w:p w14:paraId="350517D1" w14:textId="77777777" w:rsidR="00085789" w:rsidRDefault="00000000">
            <w:pPr>
              <w:spacing w:line="240" w:lineRule="auto"/>
              <w:rPr>
                <w:sz w:val="22"/>
                <w:szCs w:val="22"/>
              </w:rPr>
            </w:pPr>
            <w:r>
              <w:rPr>
                <w:sz w:val="22"/>
                <w:szCs w:val="22"/>
              </w:rPr>
              <w:t>Thuê đơn vị có chức năng xử lý</w:t>
            </w:r>
          </w:p>
        </w:tc>
      </w:tr>
      <w:tr w:rsidR="00085789" w14:paraId="1ED10EF8"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5B431D1" w14:textId="77777777" w:rsidR="00085789" w:rsidRDefault="00000000">
            <w:pPr>
              <w:spacing w:line="240" w:lineRule="auto"/>
              <w:jc w:val="center"/>
              <w:rPr>
                <w:sz w:val="22"/>
                <w:szCs w:val="22"/>
              </w:rPr>
            </w:pPr>
            <w:r>
              <w:rPr>
                <w:sz w:val="22"/>
                <w:szCs w:val="22"/>
              </w:rPr>
              <w:t>6</w:t>
            </w:r>
          </w:p>
        </w:tc>
        <w:tc>
          <w:tcPr>
            <w:tcW w:w="1626" w:type="dxa"/>
            <w:tcBorders>
              <w:top w:val="nil"/>
              <w:left w:val="nil"/>
              <w:bottom w:val="single" w:sz="4" w:space="0" w:color="auto"/>
              <w:right w:val="single" w:sz="4" w:space="0" w:color="auto"/>
            </w:tcBorders>
            <w:shd w:val="clear" w:color="000000" w:fill="FFFFFF"/>
            <w:vAlign w:val="center"/>
          </w:tcPr>
          <w:p w14:paraId="3CE7D7B9" w14:textId="77777777" w:rsidR="00085789" w:rsidRDefault="00000000">
            <w:pPr>
              <w:spacing w:line="240" w:lineRule="auto"/>
              <w:rPr>
                <w:sz w:val="22"/>
                <w:szCs w:val="22"/>
              </w:rPr>
            </w:pPr>
            <w:r>
              <w:rPr>
                <w:sz w:val="22"/>
                <w:szCs w:val="22"/>
              </w:rPr>
              <w:t>Bệnh viện đa khoa Lộc Hà</w:t>
            </w:r>
          </w:p>
        </w:tc>
        <w:tc>
          <w:tcPr>
            <w:tcW w:w="965" w:type="dxa"/>
            <w:tcBorders>
              <w:top w:val="nil"/>
              <w:left w:val="nil"/>
              <w:bottom w:val="single" w:sz="4" w:space="0" w:color="auto"/>
              <w:right w:val="single" w:sz="4" w:space="0" w:color="auto"/>
            </w:tcBorders>
            <w:shd w:val="clear" w:color="000000" w:fill="FFFFFF"/>
            <w:vAlign w:val="center"/>
          </w:tcPr>
          <w:p w14:paraId="254BA1E9" w14:textId="77777777" w:rsidR="00085789" w:rsidRDefault="00000000">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618F28FB" w14:textId="77777777" w:rsidR="00085789" w:rsidRDefault="00000000">
            <w:pPr>
              <w:spacing w:line="240" w:lineRule="auto"/>
              <w:jc w:val="center"/>
              <w:rPr>
                <w:sz w:val="22"/>
                <w:szCs w:val="22"/>
              </w:rPr>
            </w:pPr>
            <w:r>
              <w:rPr>
                <w:sz w:val="22"/>
                <w:szCs w:val="22"/>
              </w:rPr>
              <w:t>140</w:t>
            </w:r>
          </w:p>
        </w:tc>
        <w:tc>
          <w:tcPr>
            <w:tcW w:w="1158" w:type="dxa"/>
            <w:tcBorders>
              <w:top w:val="nil"/>
              <w:left w:val="nil"/>
              <w:bottom w:val="single" w:sz="4" w:space="0" w:color="auto"/>
              <w:right w:val="single" w:sz="4" w:space="0" w:color="auto"/>
            </w:tcBorders>
            <w:shd w:val="clear" w:color="000000" w:fill="FFFFFF"/>
            <w:vAlign w:val="center"/>
          </w:tcPr>
          <w:p w14:paraId="4C240E02" w14:textId="77777777" w:rsidR="00085789" w:rsidRDefault="00000000">
            <w:pPr>
              <w:spacing w:line="240" w:lineRule="auto"/>
              <w:jc w:val="center"/>
              <w:rPr>
                <w:sz w:val="22"/>
                <w:szCs w:val="22"/>
              </w:rPr>
            </w:pPr>
            <w:r>
              <w:rPr>
                <w:sz w:val="22"/>
                <w:szCs w:val="22"/>
              </w:rPr>
              <w:t>19</w:t>
            </w:r>
          </w:p>
        </w:tc>
        <w:tc>
          <w:tcPr>
            <w:tcW w:w="1133" w:type="dxa"/>
            <w:tcBorders>
              <w:top w:val="nil"/>
              <w:left w:val="nil"/>
              <w:bottom w:val="single" w:sz="4" w:space="0" w:color="auto"/>
              <w:right w:val="single" w:sz="4" w:space="0" w:color="auto"/>
            </w:tcBorders>
            <w:shd w:val="clear" w:color="000000" w:fill="FFFFFF"/>
            <w:vAlign w:val="center"/>
          </w:tcPr>
          <w:p w14:paraId="1E3A40FD" w14:textId="77777777" w:rsidR="00085789" w:rsidRDefault="00000000">
            <w:pPr>
              <w:spacing w:line="240" w:lineRule="auto"/>
              <w:jc w:val="center"/>
              <w:rPr>
                <w:sz w:val="22"/>
                <w:szCs w:val="22"/>
              </w:rPr>
            </w:pPr>
            <w:r>
              <w:rPr>
                <w:sz w:val="22"/>
                <w:szCs w:val="22"/>
              </w:rPr>
              <w:t>180</w:t>
            </w:r>
          </w:p>
        </w:tc>
        <w:tc>
          <w:tcPr>
            <w:tcW w:w="1158" w:type="dxa"/>
            <w:tcBorders>
              <w:top w:val="nil"/>
              <w:left w:val="nil"/>
              <w:bottom w:val="single" w:sz="4" w:space="0" w:color="auto"/>
              <w:right w:val="single" w:sz="4" w:space="0" w:color="auto"/>
            </w:tcBorders>
            <w:shd w:val="clear" w:color="000000" w:fill="FFFFFF"/>
            <w:vAlign w:val="center"/>
          </w:tcPr>
          <w:p w14:paraId="3BDBF0B8" w14:textId="77777777" w:rsidR="00085789" w:rsidRDefault="00000000">
            <w:pPr>
              <w:spacing w:line="240" w:lineRule="auto"/>
              <w:jc w:val="center"/>
              <w:rPr>
                <w:sz w:val="22"/>
                <w:szCs w:val="22"/>
              </w:rPr>
            </w:pPr>
            <w:r>
              <w:rPr>
                <w:sz w:val="22"/>
                <w:szCs w:val="22"/>
              </w:rPr>
              <w:t>24</w:t>
            </w:r>
          </w:p>
        </w:tc>
        <w:tc>
          <w:tcPr>
            <w:tcW w:w="1109" w:type="dxa"/>
            <w:tcBorders>
              <w:top w:val="nil"/>
              <w:left w:val="nil"/>
              <w:bottom w:val="single" w:sz="4" w:space="0" w:color="auto"/>
              <w:right w:val="single" w:sz="4" w:space="0" w:color="auto"/>
            </w:tcBorders>
            <w:shd w:val="clear" w:color="000000" w:fill="FFFFFF"/>
            <w:vAlign w:val="center"/>
          </w:tcPr>
          <w:p w14:paraId="7FAE8F44" w14:textId="77777777" w:rsidR="00085789" w:rsidRDefault="00000000">
            <w:pPr>
              <w:spacing w:line="240" w:lineRule="auto"/>
              <w:jc w:val="center"/>
              <w:rPr>
                <w:sz w:val="22"/>
                <w:szCs w:val="22"/>
              </w:rPr>
            </w:pPr>
            <w:r>
              <w:rPr>
                <w:sz w:val="22"/>
                <w:szCs w:val="22"/>
              </w:rPr>
              <w:t>94,5</w:t>
            </w:r>
          </w:p>
        </w:tc>
        <w:tc>
          <w:tcPr>
            <w:tcW w:w="1158" w:type="dxa"/>
            <w:tcBorders>
              <w:top w:val="nil"/>
              <w:left w:val="nil"/>
              <w:bottom w:val="single" w:sz="4" w:space="0" w:color="auto"/>
              <w:right w:val="single" w:sz="4" w:space="0" w:color="auto"/>
            </w:tcBorders>
            <w:shd w:val="clear" w:color="000000" w:fill="FFFFFF"/>
            <w:vAlign w:val="center"/>
          </w:tcPr>
          <w:p w14:paraId="66BB2E65" w14:textId="77777777" w:rsidR="00085789" w:rsidRDefault="00000000">
            <w:pPr>
              <w:spacing w:line="240" w:lineRule="auto"/>
              <w:jc w:val="center"/>
              <w:rPr>
                <w:sz w:val="22"/>
                <w:szCs w:val="22"/>
              </w:rPr>
            </w:pPr>
            <w:r>
              <w:rPr>
                <w:sz w:val="22"/>
                <w:szCs w:val="22"/>
              </w:rPr>
              <w:t>12</w:t>
            </w:r>
          </w:p>
        </w:tc>
        <w:tc>
          <w:tcPr>
            <w:tcW w:w="1171" w:type="dxa"/>
            <w:tcBorders>
              <w:top w:val="nil"/>
              <w:left w:val="nil"/>
              <w:bottom w:val="single" w:sz="4" w:space="0" w:color="auto"/>
              <w:right w:val="single" w:sz="4" w:space="0" w:color="auto"/>
            </w:tcBorders>
            <w:shd w:val="clear" w:color="000000" w:fill="FFFFFF"/>
            <w:vAlign w:val="center"/>
          </w:tcPr>
          <w:p w14:paraId="35EFBAEC" w14:textId="77777777" w:rsidR="00085789" w:rsidRDefault="00000000">
            <w:pPr>
              <w:spacing w:line="240" w:lineRule="auto"/>
              <w:jc w:val="center"/>
              <w:rPr>
                <w:sz w:val="22"/>
                <w:szCs w:val="22"/>
              </w:rPr>
            </w:pPr>
            <w:r>
              <w:rPr>
                <w:sz w:val="22"/>
                <w:szCs w:val="22"/>
              </w:rPr>
              <w:t>97,2</w:t>
            </w:r>
          </w:p>
        </w:tc>
        <w:tc>
          <w:tcPr>
            <w:tcW w:w="1158" w:type="dxa"/>
            <w:tcBorders>
              <w:top w:val="nil"/>
              <w:left w:val="nil"/>
              <w:bottom w:val="single" w:sz="4" w:space="0" w:color="auto"/>
              <w:right w:val="single" w:sz="4" w:space="0" w:color="auto"/>
            </w:tcBorders>
            <w:shd w:val="clear" w:color="000000" w:fill="FFFFFF"/>
            <w:vAlign w:val="center"/>
          </w:tcPr>
          <w:p w14:paraId="48E2CE98" w14:textId="77777777" w:rsidR="00085789" w:rsidRDefault="00000000">
            <w:pPr>
              <w:spacing w:line="240" w:lineRule="auto"/>
              <w:jc w:val="center"/>
              <w:rPr>
                <w:sz w:val="22"/>
                <w:szCs w:val="22"/>
              </w:rPr>
            </w:pPr>
            <w:r>
              <w:rPr>
                <w:sz w:val="22"/>
                <w:szCs w:val="22"/>
              </w:rPr>
              <w:t>7,7</w:t>
            </w:r>
          </w:p>
        </w:tc>
        <w:tc>
          <w:tcPr>
            <w:tcW w:w="1532" w:type="dxa"/>
            <w:tcBorders>
              <w:top w:val="nil"/>
              <w:left w:val="nil"/>
              <w:bottom w:val="single" w:sz="4" w:space="0" w:color="auto"/>
              <w:right w:val="single" w:sz="4" w:space="0" w:color="auto"/>
            </w:tcBorders>
            <w:shd w:val="clear" w:color="000000" w:fill="FFFFFF"/>
            <w:vAlign w:val="center"/>
          </w:tcPr>
          <w:p w14:paraId="401C7569" w14:textId="77777777" w:rsidR="00085789" w:rsidRDefault="00000000">
            <w:pPr>
              <w:spacing w:line="240" w:lineRule="auto"/>
              <w:rPr>
                <w:sz w:val="22"/>
                <w:szCs w:val="22"/>
              </w:rPr>
            </w:pPr>
            <w:r>
              <w:rPr>
                <w:sz w:val="22"/>
                <w:szCs w:val="22"/>
              </w:rPr>
              <w:t>Thuê đơn vị có chức năng xử lý</w:t>
            </w:r>
          </w:p>
        </w:tc>
      </w:tr>
      <w:tr w:rsidR="00085789" w14:paraId="36685CF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538010E" w14:textId="77777777" w:rsidR="00085789" w:rsidRDefault="00000000">
            <w:pPr>
              <w:spacing w:line="240" w:lineRule="auto"/>
              <w:jc w:val="center"/>
              <w:rPr>
                <w:sz w:val="22"/>
                <w:szCs w:val="22"/>
              </w:rPr>
            </w:pPr>
            <w:r>
              <w:rPr>
                <w:sz w:val="22"/>
                <w:szCs w:val="22"/>
              </w:rPr>
              <w:t>7</w:t>
            </w:r>
          </w:p>
        </w:tc>
        <w:tc>
          <w:tcPr>
            <w:tcW w:w="1626" w:type="dxa"/>
            <w:tcBorders>
              <w:top w:val="nil"/>
              <w:left w:val="nil"/>
              <w:bottom w:val="single" w:sz="4" w:space="0" w:color="auto"/>
              <w:right w:val="single" w:sz="4" w:space="0" w:color="auto"/>
            </w:tcBorders>
            <w:shd w:val="clear" w:color="000000" w:fill="FFFFFF"/>
            <w:vAlign w:val="center"/>
          </w:tcPr>
          <w:p w14:paraId="608D626E" w14:textId="77777777" w:rsidR="00085789" w:rsidRDefault="00000000">
            <w:pPr>
              <w:spacing w:line="240" w:lineRule="auto"/>
              <w:rPr>
                <w:sz w:val="22"/>
                <w:szCs w:val="22"/>
              </w:rPr>
            </w:pPr>
            <w:r>
              <w:rPr>
                <w:sz w:val="22"/>
                <w:szCs w:val="22"/>
              </w:rPr>
              <w:t>Trung tâm y tế Hương Sơn</w:t>
            </w:r>
          </w:p>
        </w:tc>
        <w:tc>
          <w:tcPr>
            <w:tcW w:w="965" w:type="dxa"/>
            <w:tcBorders>
              <w:top w:val="nil"/>
              <w:left w:val="nil"/>
              <w:bottom w:val="single" w:sz="4" w:space="0" w:color="auto"/>
              <w:right w:val="single" w:sz="4" w:space="0" w:color="auto"/>
            </w:tcBorders>
            <w:shd w:val="clear" w:color="000000" w:fill="FFFFFF"/>
            <w:vAlign w:val="center"/>
          </w:tcPr>
          <w:p w14:paraId="2B0608D4" w14:textId="77777777" w:rsidR="00085789" w:rsidRDefault="00000000">
            <w:pPr>
              <w:spacing w:line="240" w:lineRule="auto"/>
              <w:jc w:val="center"/>
              <w:rPr>
                <w:sz w:val="22"/>
                <w:szCs w:val="22"/>
              </w:rPr>
            </w:pPr>
            <w:r>
              <w:rPr>
                <w:sz w:val="22"/>
                <w:szCs w:val="22"/>
              </w:rPr>
              <w:t>270</w:t>
            </w:r>
          </w:p>
        </w:tc>
        <w:tc>
          <w:tcPr>
            <w:tcW w:w="1236" w:type="dxa"/>
            <w:tcBorders>
              <w:top w:val="nil"/>
              <w:left w:val="nil"/>
              <w:bottom w:val="single" w:sz="4" w:space="0" w:color="auto"/>
              <w:right w:val="single" w:sz="4" w:space="0" w:color="auto"/>
            </w:tcBorders>
            <w:shd w:val="clear" w:color="000000" w:fill="FFFFFF"/>
            <w:vAlign w:val="center"/>
          </w:tcPr>
          <w:p w14:paraId="218D71F4" w14:textId="77777777" w:rsidR="00085789" w:rsidRDefault="00000000">
            <w:pPr>
              <w:spacing w:line="240" w:lineRule="auto"/>
              <w:jc w:val="center"/>
              <w:rPr>
                <w:sz w:val="22"/>
                <w:szCs w:val="22"/>
              </w:rPr>
            </w:pPr>
            <w:r>
              <w:rPr>
                <w:sz w:val="22"/>
                <w:szCs w:val="22"/>
              </w:rPr>
              <w:t>220</w:t>
            </w:r>
          </w:p>
        </w:tc>
        <w:tc>
          <w:tcPr>
            <w:tcW w:w="1158" w:type="dxa"/>
            <w:tcBorders>
              <w:top w:val="nil"/>
              <w:left w:val="nil"/>
              <w:bottom w:val="single" w:sz="4" w:space="0" w:color="auto"/>
              <w:right w:val="single" w:sz="4" w:space="0" w:color="auto"/>
            </w:tcBorders>
            <w:shd w:val="clear" w:color="000000" w:fill="FFFFFF"/>
            <w:vAlign w:val="center"/>
          </w:tcPr>
          <w:p w14:paraId="4A595550" w14:textId="77777777" w:rsidR="00085789" w:rsidRDefault="00000000">
            <w:pPr>
              <w:spacing w:line="240" w:lineRule="auto"/>
              <w:jc w:val="center"/>
              <w:rPr>
                <w:sz w:val="22"/>
                <w:szCs w:val="22"/>
              </w:rPr>
            </w:pPr>
            <w:r>
              <w:rPr>
                <w:sz w:val="22"/>
                <w:szCs w:val="22"/>
              </w:rPr>
              <w:t>69</w:t>
            </w:r>
          </w:p>
        </w:tc>
        <w:tc>
          <w:tcPr>
            <w:tcW w:w="1133" w:type="dxa"/>
            <w:tcBorders>
              <w:top w:val="nil"/>
              <w:left w:val="nil"/>
              <w:bottom w:val="single" w:sz="4" w:space="0" w:color="auto"/>
              <w:right w:val="single" w:sz="4" w:space="0" w:color="auto"/>
            </w:tcBorders>
            <w:shd w:val="clear" w:color="000000" w:fill="FFFFFF"/>
            <w:vAlign w:val="center"/>
          </w:tcPr>
          <w:p w14:paraId="602AB654" w14:textId="77777777" w:rsidR="00085789" w:rsidRDefault="00000000">
            <w:pPr>
              <w:spacing w:line="240" w:lineRule="auto"/>
              <w:jc w:val="center"/>
              <w:rPr>
                <w:sz w:val="22"/>
                <w:szCs w:val="22"/>
              </w:rPr>
            </w:pPr>
            <w:r>
              <w:rPr>
                <w:sz w:val="22"/>
                <w:szCs w:val="22"/>
              </w:rPr>
              <w:t>275</w:t>
            </w:r>
          </w:p>
        </w:tc>
        <w:tc>
          <w:tcPr>
            <w:tcW w:w="1158" w:type="dxa"/>
            <w:tcBorders>
              <w:top w:val="nil"/>
              <w:left w:val="nil"/>
              <w:bottom w:val="single" w:sz="4" w:space="0" w:color="auto"/>
              <w:right w:val="single" w:sz="4" w:space="0" w:color="auto"/>
            </w:tcBorders>
            <w:shd w:val="clear" w:color="000000" w:fill="FFFFFF"/>
            <w:vAlign w:val="center"/>
          </w:tcPr>
          <w:p w14:paraId="61A18D4E" w14:textId="77777777" w:rsidR="00085789" w:rsidRDefault="00000000">
            <w:pPr>
              <w:spacing w:line="240" w:lineRule="auto"/>
              <w:jc w:val="center"/>
              <w:rPr>
                <w:sz w:val="22"/>
                <w:szCs w:val="22"/>
              </w:rPr>
            </w:pPr>
            <w:r>
              <w:rPr>
                <w:sz w:val="22"/>
                <w:szCs w:val="22"/>
              </w:rPr>
              <w:t>19</w:t>
            </w:r>
          </w:p>
        </w:tc>
        <w:tc>
          <w:tcPr>
            <w:tcW w:w="1109" w:type="dxa"/>
            <w:tcBorders>
              <w:top w:val="nil"/>
              <w:left w:val="nil"/>
              <w:bottom w:val="single" w:sz="4" w:space="0" w:color="auto"/>
              <w:right w:val="single" w:sz="4" w:space="0" w:color="auto"/>
            </w:tcBorders>
            <w:shd w:val="clear" w:color="000000" w:fill="FFFFFF"/>
            <w:vAlign w:val="center"/>
          </w:tcPr>
          <w:p w14:paraId="0DB6CC8B" w14:textId="77777777" w:rsidR="00085789" w:rsidRDefault="00000000">
            <w:pPr>
              <w:spacing w:line="240" w:lineRule="auto"/>
              <w:jc w:val="center"/>
              <w:rPr>
                <w:sz w:val="22"/>
                <w:szCs w:val="22"/>
              </w:rPr>
            </w:pPr>
            <w:r>
              <w:rPr>
                <w:sz w:val="22"/>
                <w:szCs w:val="22"/>
              </w:rPr>
              <w:t>246,2</w:t>
            </w:r>
          </w:p>
        </w:tc>
        <w:tc>
          <w:tcPr>
            <w:tcW w:w="1158" w:type="dxa"/>
            <w:tcBorders>
              <w:top w:val="nil"/>
              <w:left w:val="nil"/>
              <w:bottom w:val="single" w:sz="4" w:space="0" w:color="auto"/>
              <w:right w:val="single" w:sz="4" w:space="0" w:color="auto"/>
            </w:tcBorders>
            <w:shd w:val="clear" w:color="000000" w:fill="FFFFFF"/>
            <w:vAlign w:val="center"/>
          </w:tcPr>
          <w:p w14:paraId="38D1B6DB" w14:textId="77777777" w:rsidR="00085789" w:rsidRDefault="00000000">
            <w:pPr>
              <w:spacing w:line="240" w:lineRule="auto"/>
              <w:jc w:val="center"/>
              <w:rPr>
                <w:sz w:val="22"/>
                <w:szCs w:val="22"/>
              </w:rPr>
            </w:pPr>
            <w:r>
              <w:rPr>
                <w:sz w:val="22"/>
                <w:szCs w:val="22"/>
              </w:rPr>
              <w:t>10,3</w:t>
            </w:r>
          </w:p>
        </w:tc>
        <w:tc>
          <w:tcPr>
            <w:tcW w:w="1171" w:type="dxa"/>
            <w:tcBorders>
              <w:top w:val="nil"/>
              <w:left w:val="nil"/>
              <w:bottom w:val="single" w:sz="4" w:space="0" w:color="auto"/>
              <w:right w:val="single" w:sz="4" w:space="0" w:color="auto"/>
            </w:tcBorders>
            <w:shd w:val="clear" w:color="000000" w:fill="FFFFFF"/>
            <w:vAlign w:val="center"/>
          </w:tcPr>
          <w:p w14:paraId="6060B889" w14:textId="77777777" w:rsidR="00085789" w:rsidRDefault="00000000">
            <w:pPr>
              <w:spacing w:line="240" w:lineRule="auto"/>
              <w:jc w:val="center"/>
              <w:rPr>
                <w:sz w:val="22"/>
                <w:szCs w:val="22"/>
              </w:rPr>
            </w:pPr>
            <w:r>
              <w:rPr>
                <w:sz w:val="22"/>
                <w:szCs w:val="22"/>
              </w:rPr>
              <w:t>252</w:t>
            </w:r>
          </w:p>
        </w:tc>
        <w:tc>
          <w:tcPr>
            <w:tcW w:w="1158" w:type="dxa"/>
            <w:tcBorders>
              <w:top w:val="nil"/>
              <w:left w:val="nil"/>
              <w:bottom w:val="single" w:sz="4" w:space="0" w:color="auto"/>
              <w:right w:val="single" w:sz="4" w:space="0" w:color="auto"/>
            </w:tcBorders>
            <w:shd w:val="clear" w:color="000000" w:fill="FFFFFF"/>
            <w:vAlign w:val="center"/>
          </w:tcPr>
          <w:p w14:paraId="79945CD2" w14:textId="77777777" w:rsidR="00085789" w:rsidRDefault="00000000">
            <w:pPr>
              <w:spacing w:line="240" w:lineRule="auto"/>
              <w:jc w:val="center"/>
              <w:rPr>
                <w:sz w:val="22"/>
                <w:szCs w:val="22"/>
              </w:rPr>
            </w:pPr>
            <w:r>
              <w:rPr>
                <w:sz w:val="22"/>
                <w:szCs w:val="22"/>
              </w:rPr>
              <w:t>12,5</w:t>
            </w:r>
          </w:p>
        </w:tc>
        <w:tc>
          <w:tcPr>
            <w:tcW w:w="1532" w:type="dxa"/>
            <w:tcBorders>
              <w:top w:val="nil"/>
              <w:left w:val="nil"/>
              <w:bottom w:val="single" w:sz="4" w:space="0" w:color="auto"/>
              <w:right w:val="single" w:sz="4" w:space="0" w:color="auto"/>
            </w:tcBorders>
            <w:shd w:val="clear" w:color="000000" w:fill="FFFFFF"/>
            <w:vAlign w:val="center"/>
          </w:tcPr>
          <w:p w14:paraId="4BB9EA8F" w14:textId="77777777" w:rsidR="00085789" w:rsidRDefault="00000000">
            <w:pPr>
              <w:spacing w:line="240" w:lineRule="auto"/>
              <w:rPr>
                <w:sz w:val="22"/>
                <w:szCs w:val="22"/>
              </w:rPr>
            </w:pPr>
            <w:r>
              <w:rPr>
                <w:sz w:val="22"/>
                <w:szCs w:val="22"/>
              </w:rPr>
              <w:t>Hệ thống hấp ướt tại trung tâm</w:t>
            </w:r>
          </w:p>
        </w:tc>
      </w:tr>
      <w:tr w:rsidR="00085789" w14:paraId="39590C5C"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CC37AF2" w14:textId="77777777" w:rsidR="00085789" w:rsidRDefault="00000000">
            <w:pPr>
              <w:spacing w:line="240" w:lineRule="auto"/>
              <w:jc w:val="center"/>
              <w:rPr>
                <w:sz w:val="22"/>
                <w:szCs w:val="22"/>
              </w:rPr>
            </w:pPr>
            <w:r>
              <w:rPr>
                <w:sz w:val="22"/>
                <w:szCs w:val="22"/>
              </w:rPr>
              <w:t>8</w:t>
            </w:r>
          </w:p>
        </w:tc>
        <w:tc>
          <w:tcPr>
            <w:tcW w:w="1626" w:type="dxa"/>
            <w:tcBorders>
              <w:top w:val="nil"/>
              <w:left w:val="nil"/>
              <w:bottom w:val="single" w:sz="4" w:space="0" w:color="auto"/>
              <w:right w:val="single" w:sz="4" w:space="0" w:color="auto"/>
            </w:tcBorders>
            <w:shd w:val="clear" w:color="000000" w:fill="FFFFFF"/>
            <w:vAlign w:val="center"/>
          </w:tcPr>
          <w:p w14:paraId="5250827C" w14:textId="77777777" w:rsidR="00085789" w:rsidRDefault="00000000">
            <w:pPr>
              <w:spacing w:line="240" w:lineRule="auto"/>
              <w:rPr>
                <w:sz w:val="22"/>
                <w:szCs w:val="22"/>
              </w:rPr>
            </w:pPr>
            <w:r>
              <w:rPr>
                <w:sz w:val="22"/>
                <w:szCs w:val="22"/>
              </w:rPr>
              <w:t>Trung tâm y tế Vũ Quang</w:t>
            </w:r>
          </w:p>
        </w:tc>
        <w:tc>
          <w:tcPr>
            <w:tcW w:w="965" w:type="dxa"/>
            <w:tcBorders>
              <w:top w:val="nil"/>
              <w:left w:val="nil"/>
              <w:bottom w:val="single" w:sz="4" w:space="0" w:color="auto"/>
              <w:right w:val="single" w:sz="4" w:space="0" w:color="auto"/>
            </w:tcBorders>
            <w:shd w:val="clear" w:color="000000" w:fill="FFFFFF"/>
            <w:vAlign w:val="center"/>
          </w:tcPr>
          <w:p w14:paraId="75AAB073" w14:textId="77777777" w:rsidR="00085789" w:rsidRDefault="00000000">
            <w:pPr>
              <w:spacing w:line="240" w:lineRule="auto"/>
              <w:jc w:val="center"/>
              <w:rPr>
                <w:sz w:val="22"/>
                <w:szCs w:val="22"/>
              </w:rPr>
            </w:pPr>
            <w:r>
              <w:rPr>
                <w:sz w:val="22"/>
                <w:szCs w:val="22"/>
              </w:rPr>
              <w:t>100</w:t>
            </w:r>
          </w:p>
        </w:tc>
        <w:tc>
          <w:tcPr>
            <w:tcW w:w="1236" w:type="dxa"/>
            <w:tcBorders>
              <w:top w:val="nil"/>
              <w:left w:val="nil"/>
              <w:bottom w:val="single" w:sz="4" w:space="0" w:color="auto"/>
              <w:right w:val="single" w:sz="4" w:space="0" w:color="auto"/>
            </w:tcBorders>
            <w:shd w:val="clear" w:color="000000" w:fill="FFFFFF"/>
            <w:vAlign w:val="center"/>
          </w:tcPr>
          <w:p w14:paraId="30403113" w14:textId="77777777" w:rsidR="00085789" w:rsidRDefault="00000000">
            <w:pPr>
              <w:spacing w:line="240" w:lineRule="auto"/>
              <w:jc w:val="center"/>
              <w:rPr>
                <w:sz w:val="22"/>
                <w:szCs w:val="22"/>
              </w:rPr>
            </w:pPr>
            <w:r>
              <w:rPr>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29A78523" w14:textId="77777777" w:rsidR="00085789" w:rsidRDefault="00000000">
            <w:pPr>
              <w:spacing w:line="240" w:lineRule="auto"/>
              <w:jc w:val="center"/>
              <w:rPr>
                <w:sz w:val="22"/>
                <w:szCs w:val="22"/>
              </w:rPr>
            </w:pPr>
            <w:r>
              <w:rPr>
                <w:sz w:val="22"/>
                <w:szCs w:val="22"/>
              </w:rPr>
              <w:t>9</w:t>
            </w:r>
          </w:p>
        </w:tc>
        <w:tc>
          <w:tcPr>
            <w:tcW w:w="1133" w:type="dxa"/>
            <w:tcBorders>
              <w:top w:val="nil"/>
              <w:left w:val="nil"/>
              <w:bottom w:val="single" w:sz="4" w:space="0" w:color="auto"/>
              <w:right w:val="single" w:sz="4" w:space="0" w:color="auto"/>
            </w:tcBorders>
            <w:shd w:val="clear" w:color="000000" w:fill="FFFFFF"/>
            <w:vAlign w:val="center"/>
          </w:tcPr>
          <w:p w14:paraId="1AAB6463" w14:textId="77777777" w:rsidR="00085789" w:rsidRDefault="00000000">
            <w:pPr>
              <w:spacing w:line="240" w:lineRule="auto"/>
              <w:jc w:val="center"/>
              <w:rPr>
                <w:sz w:val="22"/>
                <w:szCs w:val="22"/>
              </w:rPr>
            </w:pPr>
            <w:r>
              <w:rPr>
                <w:sz w:val="22"/>
                <w:szCs w:val="22"/>
              </w:rPr>
              <w:t>70</w:t>
            </w:r>
          </w:p>
        </w:tc>
        <w:tc>
          <w:tcPr>
            <w:tcW w:w="1158" w:type="dxa"/>
            <w:tcBorders>
              <w:top w:val="nil"/>
              <w:left w:val="nil"/>
              <w:bottom w:val="single" w:sz="4" w:space="0" w:color="auto"/>
              <w:right w:val="single" w:sz="4" w:space="0" w:color="auto"/>
            </w:tcBorders>
            <w:shd w:val="clear" w:color="000000" w:fill="FFFFFF"/>
            <w:vAlign w:val="center"/>
          </w:tcPr>
          <w:p w14:paraId="3C36E72F" w14:textId="77777777" w:rsidR="00085789" w:rsidRDefault="00000000">
            <w:pPr>
              <w:spacing w:line="240" w:lineRule="auto"/>
              <w:jc w:val="center"/>
              <w:rPr>
                <w:sz w:val="22"/>
                <w:szCs w:val="22"/>
              </w:rPr>
            </w:pPr>
            <w:r>
              <w:rPr>
                <w:sz w:val="22"/>
                <w:szCs w:val="22"/>
              </w:rPr>
              <w:t>8</w:t>
            </w:r>
          </w:p>
        </w:tc>
        <w:tc>
          <w:tcPr>
            <w:tcW w:w="1109" w:type="dxa"/>
            <w:tcBorders>
              <w:top w:val="nil"/>
              <w:left w:val="nil"/>
              <w:bottom w:val="single" w:sz="4" w:space="0" w:color="auto"/>
              <w:right w:val="single" w:sz="4" w:space="0" w:color="auto"/>
            </w:tcBorders>
            <w:shd w:val="clear" w:color="000000" w:fill="FFFFFF"/>
            <w:vAlign w:val="center"/>
          </w:tcPr>
          <w:p w14:paraId="214FB8EA" w14:textId="77777777" w:rsidR="00085789" w:rsidRDefault="00000000">
            <w:pPr>
              <w:spacing w:line="240" w:lineRule="auto"/>
              <w:jc w:val="center"/>
              <w:rPr>
                <w:sz w:val="22"/>
                <w:szCs w:val="22"/>
              </w:rPr>
            </w:pPr>
            <w:r>
              <w:rPr>
                <w:sz w:val="22"/>
                <w:szCs w:val="22"/>
              </w:rPr>
              <w:t>60,5</w:t>
            </w:r>
          </w:p>
        </w:tc>
        <w:tc>
          <w:tcPr>
            <w:tcW w:w="1158" w:type="dxa"/>
            <w:tcBorders>
              <w:top w:val="nil"/>
              <w:left w:val="nil"/>
              <w:bottom w:val="single" w:sz="4" w:space="0" w:color="auto"/>
              <w:right w:val="single" w:sz="4" w:space="0" w:color="auto"/>
            </w:tcBorders>
            <w:shd w:val="clear" w:color="000000" w:fill="FFFFFF"/>
            <w:vAlign w:val="center"/>
          </w:tcPr>
          <w:p w14:paraId="0A759D63" w14:textId="77777777" w:rsidR="00085789" w:rsidRDefault="00000000">
            <w:pPr>
              <w:spacing w:line="240" w:lineRule="auto"/>
              <w:jc w:val="center"/>
              <w:rPr>
                <w:sz w:val="22"/>
                <w:szCs w:val="22"/>
              </w:rPr>
            </w:pPr>
            <w:r>
              <w:rPr>
                <w:sz w:val="22"/>
                <w:szCs w:val="22"/>
              </w:rPr>
              <w:t>8,9</w:t>
            </w:r>
          </w:p>
        </w:tc>
        <w:tc>
          <w:tcPr>
            <w:tcW w:w="1171" w:type="dxa"/>
            <w:tcBorders>
              <w:top w:val="nil"/>
              <w:left w:val="nil"/>
              <w:bottom w:val="single" w:sz="4" w:space="0" w:color="auto"/>
              <w:right w:val="single" w:sz="4" w:space="0" w:color="auto"/>
            </w:tcBorders>
            <w:shd w:val="clear" w:color="000000" w:fill="FFFFFF"/>
            <w:vAlign w:val="center"/>
          </w:tcPr>
          <w:p w14:paraId="5D23912A" w14:textId="77777777" w:rsidR="00085789" w:rsidRDefault="00000000">
            <w:pPr>
              <w:spacing w:line="240" w:lineRule="auto"/>
              <w:jc w:val="center"/>
              <w:rPr>
                <w:sz w:val="22"/>
                <w:szCs w:val="22"/>
              </w:rPr>
            </w:pPr>
            <w:r>
              <w:rPr>
                <w:sz w:val="22"/>
                <w:szCs w:val="22"/>
              </w:rPr>
              <w:t>57,3</w:t>
            </w:r>
          </w:p>
        </w:tc>
        <w:tc>
          <w:tcPr>
            <w:tcW w:w="1158" w:type="dxa"/>
            <w:tcBorders>
              <w:top w:val="nil"/>
              <w:left w:val="nil"/>
              <w:bottom w:val="single" w:sz="4" w:space="0" w:color="auto"/>
              <w:right w:val="single" w:sz="4" w:space="0" w:color="auto"/>
            </w:tcBorders>
            <w:shd w:val="clear" w:color="000000" w:fill="FFFFFF"/>
            <w:vAlign w:val="center"/>
          </w:tcPr>
          <w:p w14:paraId="3884ECEC" w14:textId="77777777" w:rsidR="00085789" w:rsidRDefault="00000000">
            <w:pPr>
              <w:spacing w:line="240" w:lineRule="auto"/>
              <w:jc w:val="center"/>
              <w:rPr>
                <w:sz w:val="22"/>
                <w:szCs w:val="22"/>
              </w:rPr>
            </w:pPr>
            <w:r>
              <w:rPr>
                <w:sz w:val="22"/>
                <w:szCs w:val="22"/>
              </w:rPr>
              <w:t>8,2</w:t>
            </w:r>
          </w:p>
        </w:tc>
        <w:tc>
          <w:tcPr>
            <w:tcW w:w="1532" w:type="dxa"/>
            <w:tcBorders>
              <w:top w:val="nil"/>
              <w:left w:val="nil"/>
              <w:bottom w:val="single" w:sz="4" w:space="0" w:color="auto"/>
              <w:right w:val="single" w:sz="4" w:space="0" w:color="auto"/>
            </w:tcBorders>
            <w:shd w:val="clear" w:color="000000" w:fill="FFFFFF"/>
            <w:vAlign w:val="center"/>
          </w:tcPr>
          <w:p w14:paraId="5E81EC74" w14:textId="77777777" w:rsidR="00085789" w:rsidRDefault="00000000">
            <w:pPr>
              <w:spacing w:line="240" w:lineRule="auto"/>
              <w:rPr>
                <w:sz w:val="22"/>
                <w:szCs w:val="22"/>
              </w:rPr>
            </w:pPr>
            <w:r>
              <w:rPr>
                <w:sz w:val="22"/>
                <w:szCs w:val="22"/>
              </w:rPr>
              <w:t>Lò đốt của bệnh viện</w:t>
            </w:r>
          </w:p>
        </w:tc>
      </w:tr>
      <w:tr w:rsidR="00085789" w14:paraId="192AA7F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83C06AE" w14:textId="77777777" w:rsidR="00085789" w:rsidRDefault="00000000">
            <w:pPr>
              <w:spacing w:line="240" w:lineRule="auto"/>
              <w:jc w:val="center"/>
              <w:rPr>
                <w:sz w:val="22"/>
                <w:szCs w:val="22"/>
              </w:rPr>
            </w:pPr>
            <w:r>
              <w:rPr>
                <w:sz w:val="22"/>
                <w:szCs w:val="22"/>
              </w:rPr>
              <w:t>9</w:t>
            </w:r>
          </w:p>
        </w:tc>
        <w:tc>
          <w:tcPr>
            <w:tcW w:w="1626" w:type="dxa"/>
            <w:tcBorders>
              <w:top w:val="nil"/>
              <w:left w:val="nil"/>
              <w:bottom w:val="single" w:sz="4" w:space="0" w:color="auto"/>
              <w:right w:val="single" w:sz="4" w:space="0" w:color="auto"/>
            </w:tcBorders>
            <w:shd w:val="clear" w:color="000000" w:fill="FFFFFF"/>
            <w:vAlign w:val="center"/>
          </w:tcPr>
          <w:p w14:paraId="21D91236" w14:textId="77777777" w:rsidR="00085789" w:rsidRDefault="00000000">
            <w:pPr>
              <w:spacing w:line="240" w:lineRule="auto"/>
              <w:rPr>
                <w:sz w:val="22"/>
                <w:szCs w:val="22"/>
                <w:lang w:val="sv-SE"/>
              </w:rPr>
            </w:pPr>
            <w:r>
              <w:rPr>
                <w:sz w:val="22"/>
                <w:szCs w:val="22"/>
                <w:lang w:val="sv-SE"/>
              </w:rPr>
              <w:t>Trung tâm y tế Nghi Xuân</w:t>
            </w:r>
          </w:p>
        </w:tc>
        <w:tc>
          <w:tcPr>
            <w:tcW w:w="965" w:type="dxa"/>
            <w:tcBorders>
              <w:top w:val="nil"/>
              <w:left w:val="nil"/>
              <w:bottom w:val="single" w:sz="4" w:space="0" w:color="auto"/>
              <w:right w:val="single" w:sz="4" w:space="0" w:color="auto"/>
            </w:tcBorders>
            <w:shd w:val="clear" w:color="000000" w:fill="FFFFFF"/>
            <w:vAlign w:val="center"/>
          </w:tcPr>
          <w:p w14:paraId="1F9C62A8" w14:textId="77777777" w:rsidR="00085789" w:rsidRDefault="00000000">
            <w:pPr>
              <w:spacing w:line="240" w:lineRule="auto"/>
              <w:jc w:val="center"/>
              <w:rPr>
                <w:sz w:val="22"/>
                <w:szCs w:val="22"/>
              </w:rPr>
            </w:pPr>
            <w:r>
              <w:rPr>
                <w:sz w:val="22"/>
                <w:szCs w:val="22"/>
              </w:rPr>
              <w:t>160</w:t>
            </w:r>
          </w:p>
        </w:tc>
        <w:tc>
          <w:tcPr>
            <w:tcW w:w="1236" w:type="dxa"/>
            <w:tcBorders>
              <w:top w:val="nil"/>
              <w:left w:val="nil"/>
              <w:bottom w:val="single" w:sz="4" w:space="0" w:color="auto"/>
              <w:right w:val="single" w:sz="4" w:space="0" w:color="auto"/>
            </w:tcBorders>
            <w:shd w:val="clear" w:color="000000" w:fill="FFFFFF"/>
            <w:vAlign w:val="center"/>
          </w:tcPr>
          <w:p w14:paraId="4D8193FB" w14:textId="77777777" w:rsidR="00085789" w:rsidRDefault="00000000">
            <w:pPr>
              <w:spacing w:line="240" w:lineRule="auto"/>
              <w:jc w:val="center"/>
              <w:rPr>
                <w:sz w:val="22"/>
                <w:szCs w:val="22"/>
              </w:rPr>
            </w:pPr>
            <w:r>
              <w:rPr>
                <w:sz w:val="22"/>
                <w:szCs w:val="22"/>
              </w:rPr>
              <w:t>182</w:t>
            </w:r>
          </w:p>
        </w:tc>
        <w:tc>
          <w:tcPr>
            <w:tcW w:w="1158" w:type="dxa"/>
            <w:tcBorders>
              <w:top w:val="nil"/>
              <w:left w:val="nil"/>
              <w:bottom w:val="single" w:sz="4" w:space="0" w:color="auto"/>
              <w:right w:val="single" w:sz="4" w:space="0" w:color="auto"/>
            </w:tcBorders>
            <w:shd w:val="clear" w:color="000000" w:fill="FFFFFF"/>
            <w:vAlign w:val="center"/>
          </w:tcPr>
          <w:p w14:paraId="7F16F2ED" w14:textId="77777777" w:rsidR="00085789" w:rsidRDefault="00000000">
            <w:pPr>
              <w:spacing w:line="240" w:lineRule="auto"/>
              <w:jc w:val="center"/>
              <w:rPr>
                <w:sz w:val="22"/>
                <w:szCs w:val="22"/>
              </w:rPr>
            </w:pPr>
            <w:r>
              <w:rPr>
                <w:sz w:val="22"/>
                <w:szCs w:val="22"/>
              </w:rPr>
              <w:t>14</w:t>
            </w:r>
          </w:p>
        </w:tc>
        <w:tc>
          <w:tcPr>
            <w:tcW w:w="1133" w:type="dxa"/>
            <w:tcBorders>
              <w:top w:val="nil"/>
              <w:left w:val="nil"/>
              <w:bottom w:val="single" w:sz="4" w:space="0" w:color="auto"/>
              <w:right w:val="single" w:sz="4" w:space="0" w:color="auto"/>
            </w:tcBorders>
            <w:shd w:val="clear" w:color="000000" w:fill="FFFFFF"/>
            <w:vAlign w:val="center"/>
          </w:tcPr>
          <w:p w14:paraId="2E7259C5" w14:textId="77777777" w:rsidR="00085789" w:rsidRDefault="00000000">
            <w:pPr>
              <w:spacing w:line="240" w:lineRule="auto"/>
              <w:jc w:val="center"/>
              <w:rPr>
                <w:sz w:val="22"/>
                <w:szCs w:val="22"/>
              </w:rPr>
            </w:pPr>
            <w:r>
              <w:rPr>
                <w:sz w:val="22"/>
                <w:szCs w:val="22"/>
              </w:rPr>
              <w:t>204</w:t>
            </w:r>
          </w:p>
        </w:tc>
        <w:tc>
          <w:tcPr>
            <w:tcW w:w="1158" w:type="dxa"/>
            <w:tcBorders>
              <w:top w:val="nil"/>
              <w:left w:val="nil"/>
              <w:bottom w:val="single" w:sz="4" w:space="0" w:color="auto"/>
              <w:right w:val="single" w:sz="4" w:space="0" w:color="auto"/>
            </w:tcBorders>
            <w:shd w:val="clear" w:color="000000" w:fill="FFFFFF"/>
            <w:vAlign w:val="center"/>
          </w:tcPr>
          <w:p w14:paraId="73EAB527" w14:textId="77777777" w:rsidR="00085789" w:rsidRDefault="00000000">
            <w:pPr>
              <w:spacing w:line="240" w:lineRule="auto"/>
              <w:jc w:val="center"/>
              <w:rPr>
                <w:sz w:val="22"/>
                <w:szCs w:val="22"/>
              </w:rPr>
            </w:pPr>
            <w:r>
              <w:rPr>
                <w:sz w:val="22"/>
                <w:szCs w:val="22"/>
              </w:rPr>
              <w:t>18</w:t>
            </w:r>
          </w:p>
        </w:tc>
        <w:tc>
          <w:tcPr>
            <w:tcW w:w="1109" w:type="dxa"/>
            <w:tcBorders>
              <w:top w:val="nil"/>
              <w:left w:val="nil"/>
              <w:bottom w:val="single" w:sz="4" w:space="0" w:color="auto"/>
              <w:right w:val="single" w:sz="4" w:space="0" w:color="auto"/>
            </w:tcBorders>
            <w:shd w:val="clear" w:color="000000" w:fill="FFFFFF"/>
            <w:vAlign w:val="center"/>
          </w:tcPr>
          <w:p w14:paraId="0E348A2A" w14:textId="77777777" w:rsidR="00085789" w:rsidRDefault="00000000">
            <w:pPr>
              <w:spacing w:line="240" w:lineRule="auto"/>
              <w:jc w:val="center"/>
              <w:rPr>
                <w:sz w:val="22"/>
                <w:szCs w:val="22"/>
              </w:rPr>
            </w:pPr>
            <w:r>
              <w:rPr>
                <w:sz w:val="22"/>
                <w:szCs w:val="22"/>
              </w:rPr>
              <w:t>199</w:t>
            </w:r>
          </w:p>
        </w:tc>
        <w:tc>
          <w:tcPr>
            <w:tcW w:w="1158" w:type="dxa"/>
            <w:tcBorders>
              <w:top w:val="nil"/>
              <w:left w:val="nil"/>
              <w:bottom w:val="single" w:sz="4" w:space="0" w:color="auto"/>
              <w:right w:val="single" w:sz="4" w:space="0" w:color="auto"/>
            </w:tcBorders>
            <w:shd w:val="clear" w:color="000000" w:fill="FFFFFF"/>
            <w:vAlign w:val="center"/>
          </w:tcPr>
          <w:p w14:paraId="10A51D71" w14:textId="77777777" w:rsidR="00085789" w:rsidRDefault="00000000">
            <w:pPr>
              <w:spacing w:line="240" w:lineRule="auto"/>
              <w:jc w:val="center"/>
              <w:rPr>
                <w:sz w:val="22"/>
                <w:szCs w:val="22"/>
              </w:rPr>
            </w:pPr>
            <w:r>
              <w:rPr>
                <w:sz w:val="22"/>
                <w:szCs w:val="22"/>
              </w:rPr>
              <w:t>32,8</w:t>
            </w:r>
          </w:p>
        </w:tc>
        <w:tc>
          <w:tcPr>
            <w:tcW w:w="1171" w:type="dxa"/>
            <w:tcBorders>
              <w:top w:val="nil"/>
              <w:left w:val="nil"/>
              <w:bottom w:val="single" w:sz="4" w:space="0" w:color="auto"/>
              <w:right w:val="single" w:sz="4" w:space="0" w:color="auto"/>
            </w:tcBorders>
            <w:shd w:val="clear" w:color="000000" w:fill="FFFFFF"/>
            <w:vAlign w:val="center"/>
          </w:tcPr>
          <w:p w14:paraId="296723A9" w14:textId="77777777" w:rsidR="00085789" w:rsidRDefault="00000000">
            <w:pPr>
              <w:spacing w:line="240" w:lineRule="auto"/>
              <w:jc w:val="center"/>
              <w:rPr>
                <w:sz w:val="22"/>
                <w:szCs w:val="22"/>
              </w:rPr>
            </w:pPr>
            <w:r>
              <w:rPr>
                <w:sz w:val="22"/>
                <w:szCs w:val="22"/>
              </w:rPr>
              <w:t>172</w:t>
            </w:r>
          </w:p>
        </w:tc>
        <w:tc>
          <w:tcPr>
            <w:tcW w:w="1158" w:type="dxa"/>
            <w:tcBorders>
              <w:top w:val="nil"/>
              <w:left w:val="nil"/>
              <w:bottom w:val="single" w:sz="4" w:space="0" w:color="auto"/>
              <w:right w:val="single" w:sz="4" w:space="0" w:color="auto"/>
            </w:tcBorders>
            <w:shd w:val="clear" w:color="000000" w:fill="FFFFFF"/>
            <w:vAlign w:val="center"/>
          </w:tcPr>
          <w:p w14:paraId="74CFD94B" w14:textId="77777777" w:rsidR="00085789" w:rsidRDefault="00000000">
            <w:pPr>
              <w:spacing w:line="240" w:lineRule="auto"/>
              <w:jc w:val="center"/>
              <w:rPr>
                <w:sz w:val="22"/>
                <w:szCs w:val="22"/>
              </w:rPr>
            </w:pPr>
            <w:r>
              <w:rPr>
                <w:sz w:val="22"/>
                <w:szCs w:val="22"/>
              </w:rPr>
              <w:t>22,6</w:t>
            </w:r>
          </w:p>
        </w:tc>
        <w:tc>
          <w:tcPr>
            <w:tcW w:w="1532" w:type="dxa"/>
            <w:tcBorders>
              <w:top w:val="nil"/>
              <w:left w:val="nil"/>
              <w:bottom w:val="single" w:sz="4" w:space="0" w:color="auto"/>
              <w:right w:val="single" w:sz="4" w:space="0" w:color="auto"/>
            </w:tcBorders>
            <w:shd w:val="clear" w:color="000000" w:fill="FFFFFF"/>
            <w:vAlign w:val="center"/>
          </w:tcPr>
          <w:p w14:paraId="64CFF659" w14:textId="77777777" w:rsidR="00085789" w:rsidRDefault="00000000">
            <w:pPr>
              <w:spacing w:line="240" w:lineRule="auto"/>
              <w:rPr>
                <w:sz w:val="22"/>
                <w:szCs w:val="22"/>
              </w:rPr>
            </w:pPr>
            <w:r>
              <w:rPr>
                <w:sz w:val="22"/>
                <w:szCs w:val="22"/>
              </w:rPr>
              <w:t>Thuê đơn vị có chức năng xử lý</w:t>
            </w:r>
          </w:p>
        </w:tc>
      </w:tr>
      <w:tr w:rsidR="00085789" w14:paraId="341B5396"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479D32C" w14:textId="77777777" w:rsidR="00085789" w:rsidRDefault="00000000">
            <w:pPr>
              <w:spacing w:line="240" w:lineRule="auto"/>
              <w:jc w:val="center"/>
              <w:rPr>
                <w:sz w:val="22"/>
                <w:szCs w:val="22"/>
              </w:rPr>
            </w:pPr>
            <w:r>
              <w:rPr>
                <w:sz w:val="22"/>
                <w:szCs w:val="22"/>
              </w:rPr>
              <w:t>10</w:t>
            </w:r>
          </w:p>
        </w:tc>
        <w:tc>
          <w:tcPr>
            <w:tcW w:w="1626" w:type="dxa"/>
            <w:tcBorders>
              <w:top w:val="nil"/>
              <w:left w:val="nil"/>
              <w:bottom w:val="single" w:sz="4" w:space="0" w:color="auto"/>
              <w:right w:val="single" w:sz="4" w:space="0" w:color="auto"/>
            </w:tcBorders>
            <w:shd w:val="clear" w:color="000000" w:fill="FFFFFF"/>
            <w:vAlign w:val="center"/>
          </w:tcPr>
          <w:p w14:paraId="20A6F3D0" w14:textId="77777777" w:rsidR="00085789" w:rsidRDefault="00000000">
            <w:pPr>
              <w:spacing w:line="240" w:lineRule="auto"/>
              <w:rPr>
                <w:sz w:val="22"/>
                <w:szCs w:val="22"/>
              </w:rPr>
            </w:pPr>
            <w:r>
              <w:rPr>
                <w:sz w:val="22"/>
                <w:szCs w:val="22"/>
              </w:rPr>
              <w:t>Trung tâm y tế Can Lộc</w:t>
            </w:r>
          </w:p>
        </w:tc>
        <w:tc>
          <w:tcPr>
            <w:tcW w:w="965" w:type="dxa"/>
            <w:tcBorders>
              <w:top w:val="nil"/>
              <w:left w:val="nil"/>
              <w:bottom w:val="single" w:sz="4" w:space="0" w:color="auto"/>
              <w:right w:val="single" w:sz="4" w:space="0" w:color="auto"/>
            </w:tcBorders>
            <w:shd w:val="clear" w:color="000000" w:fill="FFFFFF"/>
            <w:vAlign w:val="center"/>
          </w:tcPr>
          <w:p w14:paraId="3FE42836" w14:textId="77777777" w:rsidR="00085789" w:rsidRDefault="00000000">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2EE77B8E" w14:textId="77777777" w:rsidR="00085789" w:rsidRDefault="00000000">
            <w:pPr>
              <w:spacing w:line="240" w:lineRule="auto"/>
              <w:jc w:val="center"/>
              <w:rPr>
                <w:sz w:val="22"/>
                <w:szCs w:val="22"/>
              </w:rPr>
            </w:pPr>
            <w:r>
              <w:rPr>
                <w:sz w:val="22"/>
                <w:szCs w:val="22"/>
              </w:rPr>
              <w:t>180</w:t>
            </w:r>
          </w:p>
        </w:tc>
        <w:tc>
          <w:tcPr>
            <w:tcW w:w="1158" w:type="dxa"/>
            <w:tcBorders>
              <w:top w:val="nil"/>
              <w:left w:val="nil"/>
              <w:bottom w:val="single" w:sz="4" w:space="0" w:color="auto"/>
              <w:right w:val="single" w:sz="4" w:space="0" w:color="auto"/>
            </w:tcBorders>
            <w:shd w:val="clear" w:color="000000" w:fill="FFFFFF"/>
            <w:vAlign w:val="center"/>
          </w:tcPr>
          <w:p w14:paraId="017BCB8F" w14:textId="77777777" w:rsidR="00085789" w:rsidRDefault="00000000">
            <w:pPr>
              <w:spacing w:line="240" w:lineRule="auto"/>
              <w:jc w:val="center"/>
              <w:rPr>
                <w:sz w:val="22"/>
                <w:szCs w:val="22"/>
              </w:rPr>
            </w:pPr>
            <w:r>
              <w:rPr>
                <w:sz w:val="22"/>
                <w:szCs w:val="22"/>
              </w:rPr>
              <w:t>14</w:t>
            </w:r>
          </w:p>
        </w:tc>
        <w:tc>
          <w:tcPr>
            <w:tcW w:w="1133" w:type="dxa"/>
            <w:tcBorders>
              <w:top w:val="nil"/>
              <w:left w:val="nil"/>
              <w:bottom w:val="single" w:sz="4" w:space="0" w:color="auto"/>
              <w:right w:val="single" w:sz="4" w:space="0" w:color="auto"/>
            </w:tcBorders>
            <w:shd w:val="clear" w:color="000000" w:fill="FFFFFF"/>
            <w:vAlign w:val="center"/>
          </w:tcPr>
          <w:p w14:paraId="053CDFAE" w14:textId="77777777" w:rsidR="00085789" w:rsidRDefault="00000000">
            <w:pPr>
              <w:spacing w:line="240" w:lineRule="auto"/>
              <w:jc w:val="center"/>
              <w:rPr>
                <w:sz w:val="22"/>
                <w:szCs w:val="22"/>
              </w:rPr>
            </w:pPr>
            <w:r>
              <w:rPr>
                <w:sz w:val="22"/>
                <w:szCs w:val="22"/>
              </w:rPr>
              <w:t>95</w:t>
            </w:r>
          </w:p>
        </w:tc>
        <w:tc>
          <w:tcPr>
            <w:tcW w:w="1158" w:type="dxa"/>
            <w:tcBorders>
              <w:top w:val="nil"/>
              <w:left w:val="nil"/>
              <w:bottom w:val="single" w:sz="4" w:space="0" w:color="auto"/>
              <w:right w:val="single" w:sz="4" w:space="0" w:color="auto"/>
            </w:tcBorders>
            <w:shd w:val="clear" w:color="000000" w:fill="FFFFFF"/>
            <w:vAlign w:val="center"/>
          </w:tcPr>
          <w:p w14:paraId="0B5DC891" w14:textId="77777777" w:rsidR="00085789" w:rsidRDefault="00000000">
            <w:pPr>
              <w:spacing w:line="240" w:lineRule="auto"/>
              <w:jc w:val="center"/>
              <w:rPr>
                <w:sz w:val="22"/>
                <w:szCs w:val="22"/>
              </w:rPr>
            </w:pPr>
            <w:r>
              <w:rPr>
                <w:sz w:val="22"/>
                <w:szCs w:val="22"/>
              </w:rPr>
              <w:t>12</w:t>
            </w:r>
          </w:p>
        </w:tc>
        <w:tc>
          <w:tcPr>
            <w:tcW w:w="1109" w:type="dxa"/>
            <w:tcBorders>
              <w:top w:val="nil"/>
              <w:left w:val="nil"/>
              <w:bottom w:val="single" w:sz="4" w:space="0" w:color="auto"/>
              <w:right w:val="single" w:sz="4" w:space="0" w:color="auto"/>
            </w:tcBorders>
            <w:shd w:val="clear" w:color="000000" w:fill="FFFFFF"/>
            <w:vAlign w:val="center"/>
          </w:tcPr>
          <w:p w14:paraId="27E4240C" w14:textId="77777777" w:rsidR="00085789" w:rsidRDefault="00000000">
            <w:pPr>
              <w:spacing w:line="240" w:lineRule="auto"/>
              <w:jc w:val="center"/>
              <w:rPr>
                <w:sz w:val="22"/>
                <w:szCs w:val="22"/>
              </w:rPr>
            </w:pPr>
            <w:r>
              <w:rPr>
                <w:sz w:val="22"/>
                <w:szCs w:val="22"/>
              </w:rPr>
              <w:t>217</w:t>
            </w:r>
          </w:p>
        </w:tc>
        <w:tc>
          <w:tcPr>
            <w:tcW w:w="1158" w:type="dxa"/>
            <w:tcBorders>
              <w:top w:val="nil"/>
              <w:left w:val="nil"/>
              <w:bottom w:val="single" w:sz="4" w:space="0" w:color="auto"/>
              <w:right w:val="single" w:sz="4" w:space="0" w:color="auto"/>
            </w:tcBorders>
            <w:shd w:val="clear" w:color="000000" w:fill="FFFFFF"/>
            <w:vAlign w:val="center"/>
          </w:tcPr>
          <w:p w14:paraId="7647B1DC" w14:textId="77777777" w:rsidR="00085789" w:rsidRDefault="00000000">
            <w:pPr>
              <w:spacing w:line="240" w:lineRule="auto"/>
              <w:jc w:val="center"/>
              <w:rPr>
                <w:sz w:val="22"/>
                <w:szCs w:val="22"/>
              </w:rPr>
            </w:pPr>
            <w:r>
              <w:rPr>
                <w:sz w:val="22"/>
                <w:szCs w:val="22"/>
              </w:rPr>
              <w:t>9,2</w:t>
            </w:r>
          </w:p>
        </w:tc>
        <w:tc>
          <w:tcPr>
            <w:tcW w:w="1171" w:type="dxa"/>
            <w:tcBorders>
              <w:top w:val="nil"/>
              <w:left w:val="nil"/>
              <w:bottom w:val="single" w:sz="4" w:space="0" w:color="auto"/>
              <w:right w:val="single" w:sz="4" w:space="0" w:color="auto"/>
            </w:tcBorders>
            <w:shd w:val="clear" w:color="000000" w:fill="FFFFFF"/>
            <w:vAlign w:val="center"/>
          </w:tcPr>
          <w:p w14:paraId="377F3E9B" w14:textId="77777777" w:rsidR="00085789" w:rsidRDefault="00000000">
            <w:pPr>
              <w:spacing w:line="240" w:lineRule="auto"/>
              <w:jc w:val="center"/>
              <w:rPr>
                <w:sz w:val="22"/>
                <w:szCs w:val="22"/>
              </w:rPr>
            </w:pPr>
            <w:r>
              <w:rPr>
                <w:sz w:val="22"/>
                <w:szCs w:val="22"/>
              </w:rPr>
              <w:t>253</w:t>
            </w:r>
          </w:p>
        </w:tc>
        <w:tc>
          <w:tcPr>
            <w:tcW w:w="1158" w:type="dxa"/>
            <w:tcBorders>
              <w:top w:val="nil"/>
              <w:left w:val="nil"/>
              <w:bottom w:val="single" w:sz="4" w:space="0" w:color="auto"/>
              <w:right w:val="single" w:sz="4" w:space="0" w:color="auto"/>
            </w:tcBorders>
            <w:shd w:val="clear" w:color="000000" w:fill="FFFFFF"/>
            <w:vAlign w:val="center"/>
          </w:tcPr>
          <w:p w14:paraId="2791998D" w14:textId="77777777" w:rsidR="00085789" w:rsidRDefault="00000000">
            <w:pPr>
              <w:spacing w:line="240" w:lineRule="auto"/>
              <w:jc w:val="center"/>
              <w:rPr>
                <w:sz w:val="22"/>
                <w:szCs w:val="22"/>
              </w:rPr>
            </w:pPr>
            <w:r>
              <w:rPr>
                <w:sz w:val="22"/>
                <w:szCs w:val="22"/>
              </w:rPr>
              <w:t>7,4</w:t>
            </w:r>
          </w:p>
        </w:tc>
        <w:tc>
          <w:tcPr>
            <w:tcW w:w="1532" w:type="dxa"/>
            <w:tcBorders>
              <w:top w:val="nil"/>
              <w:left w:val="nil"/>
              <w:bottom w:val="single" w:sz="4" w:space="0" w:color="auto"/>
              <w:right w:val="single" w:sz="4" w:space="0" w:color="auto"/>
            </w:tcBorders>
            <w:shd w:val="clear" w:color="000000" w:fill="FFFFFF"/>
            <w:vAlign w:val="center"/>
          </w:tcPr>
          <w:p w14:paraId="17BC7684" w14:textId="77777777" w:rsidR="00085789" w:rsidRDefault="00000000">
            <w:pPr>
              <w:spacing w:line="240" w:lineRule="auto"/>
              <w:rPr>
                <w:sz w:val="22"/>
                <w:szCs w:val="22"/>
              </w:rPr>
            </w:pPr>
            <w:r>
              <w:rPr>
                <w:sz w:val="22"/>
                <w:szCs w:val="22"/>
              </w:rPr>
              <w:t>Thuê đơn vị có chức năng xử lý</w:t>
            </w:r>
          </w:p>
        </w:tc>
      </w:tr>
      <w:tr w:rsidR="00085789" w14:paraId="56CCB908"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7626CB9" w14:textId="77777777" w:rsidR="00085789" w:rsidRDefault="00000000">
            <w:pPr>
              <w:spacing w:line="240" w:lineRule="auto"/>
              <w:jc w:val="center"/>
              <w:rPr>
                <w:sz w:val="22"/>
                <w:szCs w:val="22"/>
              </w:rPr>
            </w:pPr>
            <w:r>
              <w:rPr>
                <w:sz w:val="22"/>
                <w:szCs w:val="22"/>
              </w:rPr>
              <w:lastRenderedPageBreak/>
              <w:t>11</w:t>
            </w:r>
          </w:p>
        </w:tc>
        <w:tc>
          <w:tcPr>
            <w:tcW w:w="1626" w:type="dxa"/>
            <w:tcBorders>
              <w:top w:val="nil"/>
              <w:left w:val="nil"/>
              <w:bottom w:val="single" w:sz="4" w:space="0" w:color="auto"/>
              <w:right w:val="single" w:sz="4" w:space="0" w:color="auto"/>
            </w:tcBorders>
            <w:shd w:val="clear" w:color="000000" w:fill="FFFFFF"/>
            <w:vAlign w:val="center"/>
          </w:tcPr>
          <w:p w14:paraId="35F1B6C5" w14:textId="77777777" w:rsidR="00085789" w:rsidRDefault="00000000">
            <w:pPr>
              <w:spacing w:line="240" w:lineRule="auto"/>
              <w:rPr>
                <w:sz w:val="22"/>
                <w:szCs w:val="22"/>
              </w:rPr>
            </w:pPr>
            <w:r>
              <w:rPr>
                <w:sz w:val="22"/>
                <w:szCs w:val="22"/>
              </w:rPr>
              <w:t>Trung tâm y tế Thạch Hà</w:t>
            </w:r>
          </w:p>
        </w:tc>
        <w:tc>
          <w:tcPr>
            <w:tcW w:w="965" w:type="dxa"/>
            <w:tcBorders>
              <w:top w:val="nil"/>
              <w:left w:val="nil"/>
              <w:bottom w:val="single" w:sz="4" w:space="0" w:color="auto"/>
              <w:right w:val="single" w:sz="4" w:space="0" w:color="auto"/>
            </w:tcBorders>
            <w:shd w:val="clear" w:color="000000" w:fill="FFFFFF"/>
            <w:vAlign w:val="center"/>
          </w:tcPr>
          <w:p w14:paraId="14FD7AF0" w14:textId="77777777" w:rsidR="00085789" w:rsidRDefault="00000000">
            <w:pPr>
              <w:spacing w:line="240" w:lineRule="auto"/>
              <w:jc w:val="center"/>
              <w:rPr>
                <w:sz w:val="22"/>
                <w:szCs w:val="22"/>
              </w:rPr>
            </w:pPr>
            <w:r>
              <w:rPr>
                <w:sz w:val="22"/>
                <w:szCs w:val="22"/>
              </w:rPr>
              <w:t>200</w:t>
            </w:r>
          </w:p>
        </w:tc>
        <w:tc>
          <w:tcPr>
            <w:tcW w:w="1236" w:type="dxa"/>
            <w:tcBorders>
              <w:top w:val="nil"/>
              <w:left w:val="nil"/>
              <w:bottom w:val="single" w:sz="4" w:space="0" w:color="auto"/>
              <w:right w:val="single" w:sz="4" w:space="0" w:color="auto"/>
            </w:tcBorders>
            <w:shd w:val="clear" w:color="000000" w:fill="FFFFFF"/>
            <w:vAlign w:val="center"/>
          </w:tcPr>
          <w:p w14:paraId="5B61F4B8" w14:textId="77777777" w:rsidR="00085789" w:rsidRDefault="00000000">
            <w:pPr>
              <w:spacing w:line="240" w:lineRule="auto"/>
              <w:jc w:val="center"/>
              <w:rPr>
                <w:sz w:val="22"/>
                <w:szCs w:val="22"/>
              </w:rPr>
            </w:pPr>
            <w:r>
              <w:rPr>
                <w:sz w:val="22"/>
                <w:szCs w:val="22"/>
              </w:rPr>
              <w:t>172</w:t>
            </w:r>
          </w:p>
        </w:tc>
        <w:tc>
          <w:tcPr>
            <w:tcW w:w="1158" w:type="dxa"/>
            <w:tcBorders>
              <w:top w:val="nil"/>
              <w:left w:val="nil"/>
              <w:bottom w:val="single" w:sz="4" w:space="0" w:color="auto"/>
              <w:right w:val="single" w:sz="4" w:space="0" w:color="auto"/>
            </w:tcBorders>
            <w:shd w:val="clear" w:color="000000" w:fill="FFFFFF"/>
            <w:vAlign w:val="center"/>
          </w:tcPr>
          <w:p w14:paraId="57F62523" w14:textId="77777777" w:rsidR="00085789" w:rsidRDefault="00000000">
            <w:pPr>
              <w:spacing w:line="240" w:lineRule="auto"/>
              <w:jc w:val="center"/>
              <w:rPr>
                <w:sz w:val="22"/>
                <w:szCs w:val="22"/>
              </w:rPr>
            </w:pPr>
            <w:r>
              <w:rPr>
                <w:sz w:val="22"/>
                <w:szCs w:val="22"/>
              </w:rPr>
              <w:t>20</w:t>
            </w:r>
          </w:p>
        </w:tc>
        <w:tc>
          <w:tcPr>
            <w:tcW w:w="1133" w:type="dxa"/>
            <w:tcBorders>
              <w:top w:val="nil"/>
              <w:left w:val="nil"/>
              <w:bottom w:val="single" w:sz="4" w:space="0" w:color="auto"/>
              <w:right w:val="single" w:sz="4" w:space="0" w:color="auto"/>
            </w:tcBorders>
            <w:shd w:val="clear" w:color="000000" w:fill="FFFFFF"/>
            <w:vAlign w:val="center"/>
          </w:tcPr>
          <w:p w14:paraId="18FB97F1" w14:textId="77777777" w:rsidR="00085789" w:rsidRDefault="00000000">
            <w:pPr>
              <w:spacing w:line="240" w:lineRule="auto"/>
              <w:jc w:val="center"/>
              <w:rPr>
                <w:sz w:val="22"/>
                <w:szCs w:val="22"/>
              </w:rPr>
            </w:pPr>
            <w:r>
              <w:rPr>
                <w:sz w:val="22"/>
                <w:szCs w:val="22"/>
              </w:rPr>
              <w:t>190</w:t>
            </w:r>
          </w:p>
        </w:tc>
        <w:tc>
          <w:tcPr>
            <w:tcW w:w="1158" w:type="dxa"/>
            <w:tcBorders>
              <w:top w:val="nil"/>
              <w:left w:val="nil"/>
              <w:bottom w:val="single" w:sz="4" w:space="0" w:color="auto"/>
              <w:right w:val="single" w:sz="4" w:space="0" w:color="auto"/>
            </w:tcBorders>
            <w:shd w:val="clear" w:color="000000" w:fill="FFFFFF"/>
            <w:vAlign w:val="center"/>
          </w:tcPr>
          <w:p w14:paraId="0700C56E" w14:textId="77777777" w:rsidR="00085789" w:rsidRDefault="00000000">
            <w:pPr>
              <w:spacing w:line="240" w:lineRule="auto"/>
              <w:jc w:val="center"/>
              <w:rPr>
                <w:sz w:val="22"/>
                <w:szCs w:val="22"/>
              </w:rPr>
            </w:pPr>
            <w:r>
              <w:rPr>
                <w:sz w:val="22"/>
                <w:szCs w:val="22"/>
              </w:rPr>
              <w:t>20</w:t>
            </w:r>
          </w:p>
        </w:tc>
        <w:tc>
          <w:tcPr>
            <w:tcW w:w="1109" w:type="dxa"/>
            <w:tcBorders>
              <w:top w:val="nil"/>
              <w:left w:val="nil"/>
              <w:bottom w:val="single" w:sz="4" w:space="0" w:color="auto"/>
              <w:right w:val="single" w:sz="4" w:space="0" w:color="auto"/>
            </w:tcBorders>
            <w:shd w:val="clear" w:color="000000" w:fill="FFFFFF"/>
            <w:vAlign w:val="center"/>
          </w:tcPr>
          <w:p w14:paraId="43A2CE60" w14:textId="77777777" w:rsidR="00085789" w:rsidRDefault="00000000">
            <w:pPr>
              <w:spacing w:line="240" w:lineRule="auto"/>
              <w:jc w:val="center"/>
              <w:rPr>
                <w:sz w:val="22"/>
                <w:szCs w:val="22"/>
              </w:rPr>
            </w:pPr>
            <w:r>
              <w:rPr>
                <w:sz w:val="22"/>
                <w:szCs w:val="22"/>
              </w:rPr>
              <w:t>119,2</w:t>
            </w:r>
          </w:p>
        </w:tc>
        <w:tc>
          <w:tcPr>
            <w:tcW w:w="1158" w:type="dxa"/>
            <w:tcBorders>
              <w:top w:val="nil"/>
              <w:left w:val="nil"/>
              <w:bottom w:val="single" w:sz="4" w:space="0" w:color="auto"/>
              <w:right w:val="single" w:sz="4" w:space="0" w:color="auto"/>
            </w:tcBorders>
            <w:shd w:val="clear" w:color="000000" w:fill="FFFFFF"/>
            <w:vAlign w:val="center"/>
          </w:tcPr>
          <w:p w14:paraId="57D4024E" w14:textId="77777777" w:rsidR="00085789" w:rsidRDefault="00000000">
            <w:pPr>
              <w:spacing w:line="240" w:lineRule="auto"/>
              <w:jc w:val="center"/>
              <w:rPr>
                <w:sz w:val="22"/>
                <w:szCs w:val="22"/>
              </w:rPr>
            </w:pPr>
            <w:r>
              <w:rPr>
                <w:sz w:val="22"/>
                <w:szCs w:val="22"/>
              </w:rPr>
              <w:t>16,9</w:t>
            </w:r>
          </w:p>
        </w:tc>
        <w:tc>
          <w:tcPr>
            <w:tcW w:w="1171" w:type="dxa"/>
            <w:tcBorders>
              <w:top w:val="nil"/>
              <w:left w:val="nil"/>
              <w:bottom w:val="single" w:sz="4" w:space="0" w:color="auto"/>
              <w:right w:val="single" w:sz="4" w:space="0" w:color="auto"/>
            </w:tcBorders>
            <w:shd w:val="clear" w:color="000000" w:fill="FFFFFF"/>
            <w:vAlign w:val="center"/>
          </w:tcPr>
          <w:p w14:paraId="7B694479" w14:textId="77777777" w:rsidR="00085789" w:rsidRDefault="00000000">
            <w:pPr>
              <w:spacing w:line="240" w:lineRule="auto"/>
              <w:jc w:val="center"/>
              <w:rPr>
                <w:sz w:val="22"/>
                <w:szCs w:val="22"/>
              </w:rPr>
            </w:pPr>
            <w:r>
              <w:rPr>
                <w:sz w:val="22"/>
                <w:szCs w:val="22"/>
              </w:rPr>
              <w:t>111</w:t>
            </w:r>
          </w:p>
        </w:tc>
        <w:tc>
          <w:tcPr>
            <w:tcW w:w="1158" w:type="dxa"/>
            <w:tcBorders>
              <w:top w:val="nil"/>
              <w:left w:val="nil"/>
              <w:bottom w:val="single" w:sz="4" w:space="0" w:color="auto"/>
              <w:right w:val="single" w:sz="4" w:space="0" w:color="auto"/>
            </w:tcBorders>
            <w:shd w:val="clear" w:color="000000" w:fill="FFFFFF"/>
            <w:vAlign w:val="center"/>
          </w:tcPr>
          <w:p w14:paraId="1074C381" w14:textId="77777777" w:rsidR="00085789" w:rsidRDefault="00000000">
            <w:pPr>
              <w:spacing w:line="240" w:lineRule="auto"/>
              <w:jc w:val="center"/>
              <w:rPr>
                <w:sz w:val="22"/>
                <w:szCs w:val="22"/>
              </w:rPr>
            </w:pPr>
            <w:r>
              <w:rPr>
                <w:sz w:val="22"/>
                <w:szCs w:val="22"/>
              </w:rPr>
              <w:t>21,2</w:t>
            </w:r>
          </w:p>
        </w:tc>
        <w:tc>
          <w:tcPr>
            <w:tcW w:w="1532" w:type="dxa"/>
            <w:tcBorders>
              <w:top w:val="nil"/>
              <w:left w:val="nil"/>
              <w:bottom w:val="single" w:sz="4" w:space="0" w:color="auto"/>
              <w:right w:val="single" w:sz="4" w:space="0" w:color="auto"/>
            </w:tcBorders>
            <w:shd w:val="clear" w:color="000000" w:fill="FFFFFF"/>
            <w:vAlign w:val="center"/>
          </w:tcPr>
          <w:p w14:paraId="6A7CF4EB" w14:textId="77777777" w:rsidR="00085789" w:rsidRDefault="00000000">
            <w:pPr>
              <w:spacing w:line="240" w:lineRule="auto"/>
              <w:rPr>
                <w:sz w:val="22"/>
                <w:szCs w:val="22"/>
              </w:rPr>
            </w:pPr>
            <w:r>
              <w:rPr>
                <w:sz w:val="22"/>
                <w:szCs w:val="22"/>
              </w:rPr>
              <w:t>Thuê đơn vị có chức năng xử lý</w:t>
            </w:r>
          </w:p>
        </w:tc>
      </w:tr>
      <w:tr w:rsidR="00085789" w14:paraId="62B3FC55"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6E343B2" w14:textId="77777777" w:rsidR="00085789" w:rsidRDefault="00000000">
            <w:pPr>
              <w:spacing w:line="240" w:lineRule="auto"/>
              <w:jc w:val="center"/>
              <w:rPr>
                <w:sz w:val="22"/>
                <w:szCs w:val="22"/>
              </w:rPr>
            </w:pPr>
            <w:r>
              <w:rPr>
                <w:sz w:val="22"/>
                <w:szCs w:val="22"/>
              </w:rPr>
              <w:t>12</w:t>
            </w:r>
          </w:p>
        </w:tc>
        <w:tc>
          <w:tcPr>
            <w:tcW w:w="1626" w:type="dxa"/>
            <w:tcBorders>
              <w:top w:val="nil"/>
              <w:left w:val="nil"/>
              <w:bottom w:val="single" w:sz="4" w:space="0" w:color="auto"/>
              <w:right w:val="single" w:sz="4" w:space="0" w:color="auto"/>
            </w:tcBorders>
            <w:shd w:val="clear" w:color="000000" w:fill="FFFFFF"/>
            <w:vAlign w:val="center"/>
          </w:tcPr>
          <w:p w14:paraId="57A8CAB2" w14:textId="77777777" w:rsidR="00085789" w:rsidRDefault="00000000">
            <w:pPr>
              <w:spacing w:line="240" w:lineRule="auto"/>
              <w:rPr>
                <w:sz w:val="22"/>
                <w:szCs w:val="22"/>
              </w:rPr>
            </w:pPr>
            <w:r>
              <w:rPr>
                <w:sz w:val="22"/>
                <w:szCs w:val="22"/>
              </w:rPr>
              <w:t>Trung tâm y tế Hồng Lĩnh</w:t>
            </w:r>
          </w:p>
        </w:tc>
        <w:tc>
          <w:tcPr>
            <w:tcW w:w="965" w:type="dxa"/>
            <w:tcBorders>
              <w:top w:val="nil"/>
              <w:left w:val="nil"/>
              <w:bottom w:val="single" w:sz="4" w:space="0" w:color="auto"/>
              <w:right w:val="single" w:sz="4" w:space="0" w:color="auto"/>
            </w:tcBorders>
            <w:shd w:val="clear" w:color="000000" w:fill="FFFFFF"/>
            <w:vAlign w:val="center"/>
          </w:tcPr>
          <w:p w14:paraId="0174F000" w14:textId="77777777" w:rsidR="00085789" w:rsidRDefault="00000000">
            <w:pPr>
              <w:spacing w:line="240" w:lineRule="auto"/>
              <w:jc w:val="center"/>
              <w:rPr>
                <w:sz w:val="22"/>
                <w:szCs w:val="22"/>
              </w:rPr>
            </w:pPr>
            <w:r>
              <w:rPr>
                <w:sz w:val="22"/>
                <w:szCs w:val="22"/>
              </w:rPr>
              <w:t>150</w:t>
            </w:r>
          </w:p>
        </w:tc>
        <w:tc>
          <w:tcPr>
            <w:tcW w:w="1236" w:type="dxa"/>
            <w:tcBorders>
              <w:top w:val="nil"/>
              <w:left w:val="nil"/>
              <w:bottom w:val="single" w:sz="4" w:space="0" w:color="auto"/>
              <w:right w:val="single" w:sz="4" w:space="0" w:color="auto"/>
            </w:tcBorders>
            <w:shd w:val="clear" w:color="000000" w:fill="FFFFFF"/>
            <w:vAlign w:val="center"/>
          </w:tcPr>
          <w:p w14:paraId="7E27E199" w14:textId="77777777" w:rsidR="00085789" w:rsidRDefault="00000000">
            <w:pPr>
              <w:spacing w:line="240" w:lineRule="auto"/>
              <w:jc w:val="center"/>
              <w:rPr>
                <w:sz w:val="22"/>
                <w:szCs w:val="22"/>
              </w:rPr>
            </w:pPr>
            <w:r>
              <w:rPr>
                <w:sz w:val="22"/>
                <w:szCs w:val="22"/>
              </w:rPr>
              <w:t>195</w:t>
            </w:r>
          </w:p>
        </w:tc>
        <w:tc>
          <w:tcPr>
            <w:tcW w:w="1158" w:type="dxa"/>
            <w:tcBorders>
              <w:top w:val="nil"/>
              <w:left w:val="nil"/>
              <w:bottom w:val="single" w:sz="4" w:space="0" w:color="auto"/>
              <w:right w:val="single" w:sz="4" w:space="0" w:color="auto"/>
            </w:tcBorders>
            <w:shd w:val="clear" w:color="000000" w:fill="FFFFFF"/>
            <w:vAlign w:val="center"/>
          </w:tcPr>
          <w:p w14:paraId="5B06B43A" w14:textId="77777777" w:rsidR="00085789" w:rsidRDefault="00000000">
            <w:pPr>
              <w:spacing w:line="240" w:lineRule="auto"/>
              <w:jc w:val="center"/>
              <w:rPr>
                <w:sz w:val="22"/>
                <w:szCs w:val="22"/>
              </w:rPr>
            </w:pPr>
            <w:r>
              <w:rPr>
                <w:sz w:val="22"/>
                <w:szCs w:val="22"/>
              </w:rPr>
              <w:t>21</w:t>
            </w:r>
          </w:p>
        </w:tc>
        <w:tc>
          <w:tcPr>
            <w:tcW w:w="1133" w:type="dxa"/>
            <w:tcBorders>
              <w:top w:val="nil"/>
              <w:left w:val="nil"/>
              <w:bottom w:val="single" w:sz="4" w:space="0" w:color="auto"/>
              <w:right w:val="single" w:sz="4" w:space="0" w:color="auto"/>
            </w:tcBorders>
            <w:shd w:val="clear" w:color="000000" w:fill="FFFFFF"/>
            <w:vAlign w:val="center"/>
          </w:tcPr>
          <w:p w14:paraId="2B3CEE03" w14:textId="77777777" w:rsidR="00085789" w:rsidRDefault="00000000">
            <w:pPr>
              <w:spacing w:line="240" w:lineRule="auto"/>
              <w:jc w:val="center"/>
              <w:rPr>
                <w:sz w:val="22"/>
                <w:szCs w:val="22"/>
              </w:rPr>
            </w:pPr>
            <w:r>
              <w:rPr>
                <w:sz w:val="22"/>
                <w:szCs w:val="22"/>
              </w:rPr>
              <w:t>268</w:t>
            </w:r>
          </w:p>
        </w:tc>
        <w:tc>
          <w:tcPr>
            <w:tcW w:w="1158" w:type="dxa"/>
            <w:tcBorders>
              <w:top w:val="nil"/>
              <w:left w:val="nil"/>
              <w:bottom w:val="single" w:sz="4" w:space="0" w:color="auto"/>
              <w:right w:val="single" w:sz="4" w:space="0" w:color="auto"/>
            </w:tcBorders>
            <w:shd w:val="clear" w:color="000000" w:fill="FFFFFF"/>
            <w:vAlign w:val="center"/>
          </w:tcPr>
          <w:p w14:paraId="5B83B3DE" w14:textId="77777777" w:rsidR="00085789" w:rsidRDefault="00000000">
            <w:pPr>
              <w:spacing w:line="240" w:lineRule="auto"/>
              <w:jc w:val="center"/>
              <w:rPr>
                <w:sz w:val="22"/>
                <w:szCs w:val="22"/>
              </w:rPr>
            </w:pPr>
            <w:r>
              <w:rPr>
                <w:sz w:val="22"/>
                <w:szCs w:val="22"/>
              </w:rPr>
              <w:t>26</w:t>
            </w:r>
          </w:p>
        </w:tc>
        <w:tc>
          <w:tcPr>
            <w:tcW w:w="1109" w:type="dxa"/>
            <w:tcBorders>
              <w:top w:val="nil"/>
              <w:left w:val="nil"/>
              <w:bottom w:val="single" w:sz="4" w:space="0" w:color="auto"/>
              <w:right w:val="single" w:sz="4" w:space="0" w:color="auto"/>
            </w:tcBorders>
            <w:shd w:val="clear" w:color="000000" w:fill="FFFFFF"/>
            <w:vAlign w:val="center"/>
          </w:tcPr>
          <w:p w14:paraId="66983020" w14:textId="77777777" w:rsidR="00085789" w:rsidRDefault="00000000">
            <w:pPr>
              <w:spacing w:line="240" w:lineRule="auto"/>
              <w:jc w:val="center"/>
              <w:rPr>
                <w:sz w:val="22"/>
                <w:szCs w:val="22"/>
              </w:rPr>
            </w:pPr>
            <w:r>
              <w:rPr>
                <w:sz w:val="22"/>
                <w:szCs w:val="22"/>
              </w:rPr>
              <w:t>297</w:t>
            </w:r>
          </w:p>
        </w:tc>
        <w:tc>
          <w:tcPr>
            <w:tcW w:w="1158" w:type="dxa"/>
            <w:tcBorders>
              <w:top w:val="nil"/>
              <w:left w:val="nil"/>
              <w:bottom w:val="single" w:sz="4" w:space="0" w:color="auto"/>
              <w:right w:val="single" w:sz="4" w:space="0" w:color="auto"/>
            </w:tcBorders>
            <w:shd w:val="clear" w:color="000000" w:fill="FFFFFF"/>
            <w:vAlign w:val="center"/>
          </w:tcPr>
          <w:p w14:paraId="777B2BB7" w14:textId="77777777" w:rsidR="00085789" w:rsidRDefault="00000000">
            <w:pPr>
              <w:spacing w:line="240" w:lineRule="auto"/>
              <w:jc w:val="center"/>
              <w:rPr>
                <w:sz w:val="22"/>
                <w:szCs w:val="22"/>
              </w:rPr>
            </w:pPr>
            <w:r>
              <w:rPr>
                <w:sz w:val="22"/>
                <w:szCs w:val="22"/>
              </w:rPr>
              <w:t>44,2</w:t>
            </w:r>
          </w:p>
        </w:tc>
        <w:tc>
          <w:tcPr>
            <w:tcW w:w="1171" w:type="dxa"/>
            <w:tcBorders>
              <w:top w:val="nil"/>
              <w:left w:val="nil"/>
              <w:bottom w:val="single" w:sz="4" w:space="0" w:color="auto"/>
              <w:right w:val="single" w:sz="4" w:space="0" w:color="auto"/>
            </w:tcBorders>
            <w:shd w:val="clear" w:color="000000" w:fill="FFFFFF"/>
            <w:vAlign w:val="center"/>
          </w:tcPr>
          <w:p w14:paraId="4B49017E" w14:textId="77777777" w:rsidR="00085789" w:rsidRDefault="00000000">
            <w:pPr>
              <w:spacing w:line="240" w:lineRule="auto"/>
              <w:jc w:val="center"/>
              <w:rPr>
                <w:sz w:val="22"/>
                <w:szCs w:val="22"/>
              </w:rPr>
            </w:pPr>
            <w:r>
              <w:rPr>
                <w:sz w:val="22"/>
                <w:szCs w:val="22"/>
              </w:rPr>
              <w:t>328,6</w:t>
            </w:r>
          </w:p>
        </w:tc>
        <w:tc>
          <w:tcPr>
            <w:tcW w:w="1158" w:type="dxa"/>
            <w:tcBorders>
              <w:top w:val="nil"/>
              <w:left w:val="nil"/>
              <w:bottom w:val="single" w:sz="4" w:space="0" w:color="auto"/>
              <w:right w:val="single" w:sz="4" w:space="0" w:color="auto"/>
            </w:tcBorders>
            <w:shd w:val="clear" w:color="000000" w:fill="FFFFFF"/>
            <w:vAlign w:val="center"/>
          </w:tcPr>
          <w:p w14:paraId="4ACB1BE9" w14:textId="77777777" w:rsidR="00085789" w:rsidRDefault="00000000">
            <w:pPr>
              <w:spacing w:line="240" w:lineRule="auto"/>
              <w:jc w:val="center"/>
              <w:rPr>
                <w:sz w:val="22"/>
                <w:szCs w:val="22"/>
              </w:rPr>
            </w:pPr>
            <w:r>
              <w:rPr>
                <w:sz w:val="22"/>
                <w:szCs w:val="22"/>
              </w:rPr>
              <w:t>47,2</w:t>
            </w:r>
          </w:p>
        </w:tc>
        <w:tc>
          <w:tcPr>
            <w:tcW w:w="1532" w:type="dxa"/>
            <w:tcBorders>
              <w:top w:val="nil"/>
              <w:left w:val="nil"/>
              <w:bottom w:val="single" w:sz="4" w:space="0" w:color="auto"/>
              <w:right w:val="single" w:sz="4" w:space="0" w:color="auto"/>
            </w:tcBorders>
            <w:shd w:val="clear" w:color="000000" w:fill="FFFFFF"/>
            <w:vAlign w:val="center"/>
          </w:tcPr>
          <w:p w14:paraId="6CFA8B04" w14:textId="77777777" w:rsidR="00085789" w:rsidRDefault="00000000">
            <w:pPr>
              <w:spacing w:line="240" w:lineRule="auto"/>
              <w:rPr>
                <w:sz w:val="22"/>
                <w:szCs w:val="22"/>
              </w:rPr>
            </w:pPr>
            <w:r>
              <w:rPr>
                <w:sz w:val="22"/>
                <w:szCs w:val="22"/>
              </w:rPr>
              <w:t>Hệ thống hấp ướt; lò đốt của trung tâm</w:t>
            </w:r>
          </w:p>
        </w:tc>
      </w:tr>
      <w:tr w:rsidR="00085789" w14:paraId="0E3CA322"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2DE427AA" w14:textId="77777777" w:rsidR="00085789" w:rsidRDefault="00000000">
            <w:pPr>
              <w:spacing w:line="240" w:lineRule="auto"/>
              <w:jc w:val="center"/>
              <w:rPr>
                <w:sz w:val="22"/>
                <w:szCs w:val="22"/>
              </w:rPr>
            </w:pPr>
            <w:r>
              <w:rPr>
                <w:sz w:val="22"/>
                <w:szCs w:val="22"/>
              </w:rPr>
              <w:t>13</w:t>
            </w:r>
          </w:p>
        </w:tc>
        <w:tc>
          <w:tcPr>
            <w:tcW w:w="1626" w:type="dxa"/>
            <w:tcBorders>
              <w:top w:val="nil"/>
              <w:left w:val="nil"/>
              <w:bottom w:val="single" w:sz="4" w:space="0" w:color="auto"/>
              <w:right w:val="single" w:sz="4" w:space="0" w:color="auto"/>
            </w:tcBorders>
            <w:shd w:val="clear" w:color="000000" w:fill="FFFFFF"/>
            <w:vAlign w:val="center"/>
          </w:tcPr>
          <w:p w14:paraId="24D275FB" w14:textId="77777777" w:rsidR="00085789" w:rsidRDefault="00000000">
            <w:pPr>
              <w:spacing w:line="240" w:lineRule="auto"/>
              <w:rPr>
                <w:sz w:val="22"/>
                <w:szCs w:val="22"/>
                <w:lang w:val="sv-SE"/>
              </w:rPr>
            </w:pPr>
            <w:r>
              <w:rPr>
                <w:sz w:val="22"/>
                <w:szCs w:val="22"/>
                <w:lang w:val="sv-SE"/>
              </w:rPr>
              <w:t>Trung tâm y tế Kỳ Anh</w:t>
            </w:r>
          </w:p>
        </w:tc>
        <w:tc>
          <w:tcPr>
            <w:tcW w:w="965" w:type="dxa"/>
            <w:tcBorders>
              <w:top w:val="nil"/>
              <w:left w:val="nil"/>
              <w:bottom w:val="single" w:sz="4" w:space="0" w:color="auto"/>
              <w:right w:val="single" w:sz="4" w:space="0" w:color="auto"/>
            </w:tcBorders>
            <w:shd w:val="clear" w:color="000000" w:fill="FFFFFF"/>
            <w:vAlign w:val="center"/>
          </w:tcPr>
          <w:p w14:paraId="3904F421" w14:textId="77777777" w:rsidR="00085789" w:rsidRDefault="00000000">
            <w:pPr>
              <w:spacing w:line="240" w:lineRule="auto"/>
              <w:jc w:val="center"/>
              <w:rPr>
                <w:sz w:val="22"/>
                <w:szCs w:val="22"/>
              </w:rPr>
            </w:pPr>
            <w:r>
              <w:rPr>
                <w:sz w:val="22"/>
                <w:szCs w:val="22"/>
              </w:rPr>
              <w:t>75</w:t>
            </w:r>
          </w:p>
        </w:tc>
        <w:tc>
          <w:tcPr>
            <w:tcW w:w="1236" w:type="dxa"/>
            <w:tcBorders>
              <w:top w:val="nil"/>
              <w:left w:val="nil"/>
              <w:bottom w:val="single" w:sz="4" w:space="0" w:color="auto"/>
              <w:right w:val="single" w:sz="4" w:space="0" w:color="auto"/>
            </w:tcBorders>
            <w:shd w:val="clear" w:color="000000" w:fill="FFFFFF"/>
            <w:vAlign w:val="center"/>
          </w:tcPr>
          <w:p w14:paraId="0E165694" w14:textId="77777777" w:rsidR="00085789" w:rsidRDefault="00000000">
            <w:pPr>
              <w:spacing w:line="240" w:lineRule="auto"/>
              <w:jc w:val="center"/>
              <w:rPr>
                <w:sz w:val="22"/>
                <w:szCs w:val="22"/>
              </w:rPr>
            </w:pPr>
            <w:r>
              <w:rPr>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0A043546" w14:textId="77777777" w:rsidR="00085789" w:rsidRDefault="00000000">
            <w:pPr>
              <w:spacing w:line="240" w:lineRule="auto"/>
              <w:jc w:val="center"/>
              <w:rPr>
                <w:sz w:val="22"/>
                <w:szCs w:val="22"/>
              </w:rPr>
            </w:pPr>
            <w:r>
              <w:rPr>
                <w:sz w:val="22"/>
                <w:szCs w:val="22"/>
              </w:rPr>
              <w:t>13</w:t>
            </w:r>
          </w:p>
        </w:tc>
        <w:tc>
          <w:tcPr>
            <w:tcW w:w="1133" w:type="dxa"/>
            <w:tcBorders>
              <w:top w:val="nil"/>
              <w:left w:val="nil"/>
              <w:bottom w:val="single" w:sz="4" w:space="0" w:color="auto"/>
              <w:right w:val="single" w:sz="4" w:space="0" w:color="auto"/>
            </w:tcBorders>
            <w:shd w:val="clear" w:color="000000" w:fill="FFFFFF"/>
            <w:vAlign w:val="center"/>
          </w:tcPr>
          <w:p w14:paraId="5E7C792C" w14:textId="77777777" w:rsidR="00085789" w:rsidRDefault="00000000">
            <w:pPr>
              <w:spacing w:line="240" w:lineRule="auto"/>
              <w:jc w:val="center"/>
              <w:rPr>
                <w:sz w:val="22"/>
                <w:szCs w:val="22"/>
              </w:rPr>
            </w:pPr>
            <w:r>
              <w:rPr>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68417668" w14:textId="77777777" w:rsidR="00085789" w:rsidRDefault="00000000">
            <w:pPr>
              <w:spacing w:line="240" w:lineRule="auto"/>
              <w:jc w:val="center"/>
              <w:rPr>
                <w:sz w:val="22"/>
                <w:szCs w:val="22"/>
              </w:rPr>
            </w:pPr>
            <w:r>
              <w:rPr>
                <w:sz w:val="22"/>
                <w:szCs w:val="22"/>
              </w:rPr>
              <w:t>10</w:t>
            </w:r>
          </w:p>
        </w:tc>
        <w:tc>
          <w:tcPr>
            <w:tcW w:w="1109" w:type="dxa"/>
            <w:tcBorders>
              <w:top w:val="nil"/>
              <w:left w:val="nil"/>
              <w:bottom w:val="single" w:sz="4" w:space="0" w:color="auto"/>
              <w:right w:val="single" w:sz="4" w:space="0" w:color="auto"/>
            </w:tcBorders>
            <w:shd w:val="clear" w:color="000000" w:fill="FFFFFF"/>
            <w:vAlign w:val="center"/>
          </w:tcPr>
          <w:p w14:paraId="3268636D" w14:textId="77777777" w:rsidR="00085789" w:rsidRDefault="00000000">
            <w:pPr>
              <w:spacing w:line="240" w:lineRule="auto"/>
              <w:jc w:val="center"/>
              <w:rPr>
                <w:sz w:val="22"/>
                <w:szCs w:val="22"/>
              </w:rPr>
            </w:pPr>
            <w:r>
              <w:rPr>
                <w:sz w:val="22"/>
                <w:szCs w:val="22"/>
              </w:rPr>
              <w:t>17</w:t>
            </w:r>
          </w:p>
        </w:tc>
        <w:tc>
          <w:tcPr>
            <w:tcW w:w="1158" w:type="dxa"/>
            <w:tcBorders>
              <w:top w:val="nil"/>
              <w:left w:val="nil"/>
              <w:bottom w:val="single" w:sz="4" w:space="0" w:color="auto"/>
              <w:right w:val="single" w:sz="4" w:space="0" w:color="auto"/>
            </w:tcBorders>
            <w:shd w:val="clear" w:color="000000" w:fill="FFFFFF"/>
            <w:vAlign w:val="center"/>
          </w:tcPr>
          <w:p w14:paraId="69BB18CC" w14:textId="77777777" w:rsidR="00085789" w:rsidRDefault="00000000">
            <w:pPr>
              <w:spacing w:line="240" w:lineRule="auto"/>
              <w:jc w:val="center"/>
              <w:rPr>
                <w:sz w:val="22"/>
                <w:szCs w:val="22"/>
              </w:rPr>
            </w:pPr>
            <w:r>
              <w:rPr>
                <w:sz w:val="22"/>
                <w:szCs w:val="22"/>
              </w:rPr>
              <w:t>5,7</w:t>
            </w:r>
          </w:p>
        </w:tc>
        <w:tc>
          <w:tcPr>
            <w:tcW w:w="1171" w:type="dxa"/>
            <w:tcBorders>
              <w:top w:val="nil"/>
              <w:left w:val="nil"/>
              <w:bottom w:val="single" w:sz="4" w:space="0" w:color="auto"/>
              <w:right w:val="single" w:sz="4" w:space="0" w:color="auto"/>
            </w:tcBorders>
            <w:shd w:val="clear" w:color="000000" w:fill="FFFFFF"/>
            <w:vAlign w:val="center"/>
          </w:tcPr>
          <w:p w14:paraId="49B33FE5" w14:textId="77777777" w:rsidR="00085789" w:rsidRDefault="00000000">
            <w:pPr>
              <w:spacing w:line="240" w:lineRule="auto"/>
              <w:jc w:val="center"/>
              <w:rPr>
                <w:sz w:val="22"/>
                <w:szCs w:val="22"/>
              </w:rPr>
            </w:pPr>
            <w:r>
              <w:rPr>
                <w:sz w:val="22"/>
                <w:szCs w:val="22"/>
              </w:rPr>
              <w:t>18,7</w:t>
            </w:r>
          </w:p>
        </w:tc>
        <w:tc>
          <w:tcPr>
            <w:tcW w:w="1158" w:type="dxa"/>
            <w:tcBorders>
              <w:top w:val="nil"/>
              <w:left w:val="nil"/>
              <w:bottom w:val="single" w:sz="4" w:space="0" w:color="auto"/>
              <w:right w:val="single" w:sz="4" w:space="0" w:color="auto"/>
            </w:tcBorders>
            <w:shd w:val="clear" w:color="000000" w:fill="FFFFFF"/>
            <w:vAlign w:val="center"/>
          </w:tcPr>
          <w:p w14:paraId="7CA722B5" w14:textId="77777777" w:rsidR="00085789" w:rsidRDefault="00000000">
            <w:pPr>
              <w:spacing w:line="240" w:lineRule="auto"/>
              <w:jc w:val="center"/>
              <w:rPr>
                <w:sz w:val="22"/>
                <w:szCs w:val="22"/>
              </w:rPr>
            </w:pPr>
            <w:r>
              <w:rPr>
                <w:sz w:val="22"/>
                <w:szCs w:val="22"/>
              </w:rPr>
              <w:t>7,4</w:t>
            </w:r>
          </w:p>
        </w:tc>
        <w:tc>
          <w:tcPr>
            <w:tcW w:w="1532" w:type="dxa"/>
            <w:tcBorders>
              <w:top w:val="nil"/>
              <w:left w:val="nil"/>
              <w:bottom w:val="single" w:sz="4" w:space="0" w:color="auto"/>
              <w:right w:val="single" w:sz="4" w:space="0" w:color="auto"/>
            </w:tcBorders>
            <w:shd w:val="clear" w:color="000000" w:fill="FFFFFF"/>
            <w:vAlign w:val="center"/>
          </w:tcPr>
          <w:p w14:paraId="32EB76E3" w14:textId="77777777" w:rsidR="00085789" w:rsidRDefault="00000000">
            <w:pPr>
              <w:spacing w:line="240" w:lineRule="auto"/>
              <w:rPr>
                <w:sz w:val="22"/>
                <w:szCs w:val="22"/>
              </w:rPr>
            </w:pPr>
            <w:r>
              <w:rPr>
                <w:sz w:val="22"/>
                <w:szCs w:val="22"/>
              </w:rPr>
              <w:t>Thuê đơn vị có chức năng xử lý</w:t>
            </w:r>
          </w:p>
        </w:tc>
      </w:tr>
      <w:tr w:rsidR="00085789" w14:paraId="407BCEC2"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74AF976" w14:textId="77777777" w:rsidR="00085789" w:rsidRDefault="00000000">
            <w:pPr>
              <w:spacing w:line="240" w:lineRule="auto"/>
              <w:jc w:val="center"/>
              <w:rPr>
                <w:b/>
                <w:bCs/>
                <w:sz w:val="22"/>
                <w:szCs w:val="22"/>
              </w:rPr>
            </w:pPr>
            <w:r>
              <w:rPr>
                <w:b/>
                <w:bCs/>
                <w:sz w:val="22"/>
                <w:szCs w:val="22"/>
              </w:rPr>
              <w:t>III</w:t>
            </w:r>
          </w:p>
        </w:tc>
        <w:tc>
          <w:tcPr>
            <w:tcW w:w="1626" w:type="dxa"/>
            <w:tcBorders>
              <w:top w:val="nil"/>
              <w:left w:val="nil"/>
              <w:bottom w:val="single" w:sz="4" w:space="0" w:color="auto"/>
              <w:right w:val="single" w:sz="4" w:space="0" w:color="auto"/>
            </w:tcBorders>
            <w:shd w:val="clear" w:color="000000" w:fill="FFFFFF"/>
            <w:vAlign w:val="center"/>
          </w:tcPr>
          <w:p w14:paraId="225100DB" w14:textId="77777777" w:rsidR="00085789" w:rsidRDefault="00000000">
            <w:pPr>
              <w:spacing w:line="240" w:lineRule="auto"/>
              <w:rPr>
                <w:b/>
                <w:bCs/>
                <w:sz w:val="22"/>
                <w:szCs w:val="22"/>
              </w:rPr>
            </w:pPr>
            <w:r>
              <w:rPr>
                <w:b/>
                <w:bCs/>
                <w:sz w:val="22"/>
                <w:szCs w:val="22"/>
              </w:rPr>
              <w:t>Bệnh viện tư nhân (3 BV)</w:t>
            </w:r>
          </w:p>
        </w:tc>
        <w:tc>
          <w:tcPr>
            <w:tcW w:w="965" w:type="dxa"/>
            <w:tcBorders>
              <w:top w:val="nil"/>
              <w:left w:val="nil"/>
              <w:bottom w:val="single" w:sz="4" w:space="0" w:color="auto"/>
              <w:right w:val="single" w:sz="4" w:space="0" w:color="auto"/>
            </w:tcBorders>
            <w:shd w:val="clear" w:color="000000" w:fill="FFFFFF"/>
            <w:vAlign w:val="center"/>
          </w:tcPr>
          <w:p w14:paraId="189A94FF" w14:textId="77777777" w:rsidR="00085789" w:rsidRDefault="00000000">
            <w:pPr>
              <w:spacing w:line="240" w:lineRule="auto"/>
              <w:jc w:val="center"/>
              <w:rPr>
                <w:b/>
                <w:bCs/>
                <w:sz w:val="22"/>
                <w:szCs w:val="22"/>
              </w:rPr>
            </w:pPr>
            <w:r>
              <w:rPr>
                <w:b/>
                <w:bCs/>
                <w:sz w:val="22"/>
                <w:szCs w:val="22"/>
              </w:rPr>
              <w:t>584</w:t>
            </w:r>
          </w:p>
        </w:tc>
        <w:tc>
          <w:tcPr>
            <w:tcW w:w="1236" w:type="dxa"/>
            <w:tcBorders>
              <w:top w:val="nil"/>
              <w:left w:val="nil"/>
              <w:bottom w:val="single" w:sz="4" w:space="0" w:color="auto"/>
              <w:right w:val="single" w:sz="4" w:space="0" w:color="auto"/>
            </w:tcBorders>
            <w:shd w:val="clear" w:color="000000" w:fill="FFFFFF"/>
            <w:vAlign w:val="center"/>
          </w:tcPr>
          <w:p w14:paraId="7D52C064" w14:textId="77777777" w:rsidR="00085789" w:rsidRDefault="00000000">
            <w:pPr>
              <w:spacing w:line="240" w:lineRule="auto"/>
              <w:jc w:val="center"/>
              <w:rPr>
                <w:b/>
                <w:bCs/>
                <w:sz w:val="22"/>
                <w:szCs w:val="22"/>
              </w:rPr>
            </w:pPr>
            <w:r>
              <w:rPr>
                <w:b/>
                <w:bCs/>
                <w:sz w:val="22"/>
                <w:szCs w:val="22"/>
              </w:rPr>
              <w:t>467</w:t>
            </w:r>
          </w:p>
        </w:tc>
        <w:tc>
          <w:tcPr>
            <w:tcW w:w="1158" w:type="dxa"/>
            <w:tcBorders>
              <w:top w:val="nil"/>
              <w:left w:val="nil"/>
              <w:bottom w:val="single" w:sz="4" w:space="0" w:color="auto"/>
              <w:right w:val="single" w:sz="4" w:space="0" w:color="auto"/>
            </w:tcBorders>
            <w:shd w:val="clear" w:color="000000" w:fill="FFFFFF"/>
            <w:vAlign w:val="center"/>
          </w:tcPr>
          <w:p w14:paraId="6AABC0A6" w14:textId="77777777" w:rsidR="00085789" w:rsidRDefault="00000000">
            <w:pPr>
              <w:spacing w:line="240" w:lineRule="auto"/>
              <w:jc w:val="center"/>
              <w:rPr>
                <w:b/>
                <w:bCs/>
                <w:sz w:val="22"/>
                <w:szCs w:val="22"/>
              </w:rPr>
            </w:pPr>
            <w:r>
              <w:rPr>
                <w:b/>
                <w:bCs/>
                <w:sz w:val="22"/>
                <w:szCs w:val="22"/>
              </w:rPr>
              <w:t>54</w:t>
            </w:r>
          </w:p>
        </w:tc>
        <w:tc>
          <w:tcPr>
            <w:tcW w:w="1133" w:type="dxa"/>
            <w:tcBorders>
              <w:top w:val="nil"/>
              <w:left w:val="nil"/>
              <w:bottom w:val="single" w:sz="4" w:space="0" w:color="auto"/>
              <w:right w:val="single" w:sz="4" w:space="0" w:color="auto"/>
            </w:tcBorders>
            <w:shd w:val="clear" w:color="000000" w:fill="FFFFFF"/>
            <w:vAlign w:val="center"/>
          </w:tcPr>
          <w:p w14:paraId="5A0A981D" w14:textId="77777777" w:rsidR="00085789" w:rsidRDefault="00000000">
            <w:pPr>
              <w:spacing w:line="240" w:lineRule="auto"/>
              <w:jc w:val="center"/>
              <w:rPr>
                <w:b/>
                <w:bCs/>
                <w:sz w:val="22"/>
                <w:szCs w:val="22"/>
              </w:rPr>
            </w:pPr>
            <w:r>
              <w:rPr>
                <w:b/>
                <w:bCs/>
                <w:sz w:val="22"/>
                <w:szCs w:val="22"/>
              </w:rPr>
              <w:t>547</w:t>
            </w:r>
          </w:p>
        </w:tc>
        <w:tc>
          <w:tcPr>
            <w:tcW w:w="1158" w:type="dxa"/>
            <w:tcBorders>
              <w:top w:val="nil"/>
              <w:left w:val="nil"/>
              <w:bottom w:val="single" w:sz="4" w:space="0" w:color="auto"/>
              <w:right w:val="single" w:sz="4" w:space="0" w:color="auto"/>
            </w:tcBorders>
            <w:shd w:val="clear" w:color="000000" w:fill="FFFFFF"/>
            <w:vAlign w:val="center"/>
          </w:tcPr>
          <w:p w14:paraId="637A7B62" w14:textId="77777777" w:rsidR="00085789" w:rsidRDefault="00000000">
            <w:pPr>
              <w:spacing w:line="240" w:lineRule="auto"/>
              <w:jc w:val="center"/>
              <w:rPr>
                <w:b/>
                <w:bCs/>
                <w:sz w:val="22"/>
                <w:szCs w:val="22"/>
              </w:rPr>
            </w:pPr>
            <w:r>
              <w:rPr>
                <w:b/>
                <w:bCs/>
                <w:sz w:val="22"/>
                <w:szCs w:val="22"/>
              </w:rPr>
              <w:t>61</w:t>
            </w:r>
          </w:p>
        </w:tc>
        <w:tc>
          <w:tcPr>
            <w:tcW w:w="1109" w:type="dxa"/>
            <w:tcBorders>
              <w:top w:val="nil"/>
              <w:left w:val="nil"/>
              <w:bottom w:val="single" w:sz="4" w:space="0" w:color="auto"/>
              <w:right w:val="single" w:sz="4" w:space="0" w:color="auto"/>
            </w:tcBorders>
            <w:shd w:val="clear" w:color="000000" w:fill="FFFFFF"/>
            <w:vAlign w:val="center"/>
          </w:tcPr>
          <w:p w14:paraId="6CDC3930" w14:textId="77777777" w:rsidR="00085789" w:rsidRDefault="00000000">
            <w:pPr>
              <w:spacing w:line="240" w:lineRule="auto"/>
              <w:jc w:val="center"/>
              <w:rPr>
                <w:b/>
                <w:bCs/>
                <w:sz w:val="22"/>
                <w:szCs w:val="22"/>
              </w:rPr>
            </w:pPr>
            <w:r>
              <w:rPr>
                <w:b/>
                <w:bCs/>
                <w:sz w:val="22"/>
                <w:szCs w:val="22"/>
              </w:rPr>
              <w:t>351</w:t>
            </w:r>
          </w:p>
        </w:tc>
        <w:tc>
          <w:tcPr>
            <w:tcW w:w="1158" w:type="dxa"/>
            <w:tcBorders>
              <w:top w:val="nil"/>
              <w:left w:val="nil"/>
              <w:bottom w:val="single" w:sz="4" w:space="0" w:color="auto"/>
              <w:right w:val="single" w:sz="4" w:space="0" w:color="auto"/>
            </w:tcBorders>
            <w:shd w:val="clear" w:color="000000" w:fill="FFFFFF"/>
            <w:vAlign w:val="center"/>
          </w:tcPr>
          <w:p w14:paraId="578AD76E" w14:textId="77777777" w:rsidR="00085789" w:rsidRDefault="00000000">
            <w:pPr>
              <w:spacing w:line="240" w:lineRule="auto"/>
              <w:jc w:val="center"/>
              <w:rPr>
                <w:b/>
                <w:bCs/>
                <w:sz w:val="22"/>
                <w:szCs w:val="22"/>
              </w:rPr>
            </w:pPr>
            <w:r>
              <w:rPr>
                <w:b/>
                <w:bCs/>
                <w:sz w:val="22"/>
                <w:szCs w:val="22"/>
              </w:rPr>
              <w:t>108,2</w:t>
            </w:r>
          </w:p>
        </w:tc>
        <w:tc>
          <w:tcPr>
            <w:tcW w:w="1171" w:type="dxa"/>
            <w:tcBorders>
              <w:top w:val="nil"/>
              <w:left w:val="nil"/>
              <w:bottom w:val="single" w:sz="4" w:space="0" w:color="auto"/>
              <w:right w:val="single" w:sz="4" w:space="0" w:color="auto"/>
            </w:tcBorders>
            <w:shd w:val="clear" w:color="000000" w:fill="FFFFFF"/>
            <w:vAlign w:val="center"/>
          </w:tcPr>
          <w:p w14:paraId="04776D82" w14:textId="77777777" w:rsidR="00085789" w:rsidRDefault="00000000">
            <w:pPr>
              <w:spacing w:line="240" w:lineRule="auto"/>
              <w:jc w:val="center"/>
              <w:rPr>
                <w:b/>
                <w:bCs/>
                <w:sz w:val="22"/>
                <w:szCs w:val="22"/>
              </w:rPr>
            </w:pPr>
            <w:r>
              <w:rPr>
                <w:b/>
                <w:bCs/>
                <w:sz w:val="22"/>
                <w:szCs w:val="22"/>
              </w:rPr>
              <w:t>746,4</w:t>
            </w:r>
          </w:p>
        </w:tc>
        <w:tc>
          <w:tcPr>
            <w:tcW w:w="1158" w:type="dxa"/>
            <w:tcBorders>
              <w:top w:val="nil"/>
              <w:left w:val="nil"/>
              <w:bottom w:val="single" w:sz="4" w:space="0" w:color="auto"/>
              <w:right w:val="single" w:sz="4" w:space="0" w:color="auto"/>
            </w:tcBorders>
            <w:shd w:val="clear" w:color="000000" w:fill="FFFFFF"/>
            <w:vAlign w:val="center"/>
          </w:tcPr>
          <w:p w14:paraId="74B0BFD5" w14:textId="77777777" w:rsidR="00085789" w:rsidRDefault="00000000">
            <w:pPr>
              <w:spacing w:line="240" w:lineRule="auto"/>
              <w:jc w:val="center"/>
              <w:rPr>
                <w:b/>
                <w:bCs/>
                <w:sz w:val="22"/>
                <w:szCs w:val="22"/>
              </w:rPr>
            </w:pPr>
            <w:r>
              <w:rPr>
                <w:b/>
                <w:bCs/>
                <w:sz w:val="22"/>
                <w:szCs w:val="22"/>
              </w:rPr>
              <w:t>118,7</w:t>
            </w:r>
          </w:p>
        </w:tc>
        <w:tc>
          <w:tcPr>
            <w:tcW w:w="1532" w:type="dxa"/>
            <w:tcBorders>
              <w:top w:val="nil"/>
              <w:left w:val="nil"/>
              <w:bottom w:val="single" w:sz="4" w:space="0" w:color="auto"/>
              <w:right w:val="single" w:sz="4" w:space="0" w:color="auto"/>
            </w:tcBorders>
            <w:shd w:val="clear" w:color="000000" w:fill="FFFFFF"/>
            <w:vAlign w:val="center"/>
          </w:tcPr>
          <w:p w14:paraId="3BBC43A4" w14:textId="77777777" w:rsidR="00085789" w:rsidRDefault="00000000">
            <w:pPr>
              <w:spacing w:line="240" w:lineRule="auto"/>
              <w:rPr>
                <w:sz w:val="22"/>
                <w:szCs w:val="22"/>
              </w:rPr>
            </w:pPr>
            <w:r>
              <w:rPr>
                <w:sz w:val="22"/>
                <w:szCs w:val="22"/>
              </w:rPr>
              <w:t> </w:t>
            </w:r>
          </w:p>
        </w:tc>
      </w:tr>
      <w:tr w:rsidR="00085789" w14:paraId="68609D51"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68B7BCB2" w14:textId="77777777" w:rsidR="00085789" w:rsidRDefault="00000000">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6BCED8CB" w14:textId="77777777" w:rsidR="00085789" w:rsidRDefault="00000000">
            <w:pPr>
              <w:spacing w:line="240" w:lineRule="auto"/>
              <w:rPr>
                <w:sz w:val="22"/>
                <w:szCs w:val="22"/>
              </w:rPr>
            </w:pPr>
            <w:r>
              <w:rPr>
                <w:sz w:val="22"/>
                <w:szCs w:val="22"/>
              </w:rPr>
              <w:t>BV đa khoa Sài Gòn - Hà Tĩnh</w:t>
            </w:r>
          </w:p>
        </w:tc>
        <w:tc>
          <w:tcPr>
            <w:tcW w:w="965" w:type="dxa"/>
            <w:tcBorders>
              <w:top w:val="nil"/>
              <w:left w:val="nil"/>
              <w:bottom w:val="single" w:sz="4" w:space="0" w:color="auto"/>
              <w:right w:val="single" w:sz="4" w:space="0" w:color="auto"/>
            </w:tcBorders>
            <w:shd w:val="clear" w:color="000000" w:fill="FFFFFF"/>
            <w:vAlign w:val="center"/>
          </w:tcPr>
          <w:p w14:paraId="795FE5AB" w14:textId="77777777" w:rsidR="00085789" w:rsidRDefault="00000000">
            <w:pPr>
              <w:spacing w:line="240" w:lineRule="auto"/>
              <w:jc w:val="center"/>
              <w:rPr>
                <w:sz w:val="22"/>
                <w:szCs w:val="22"/>
              </w:rPr>
            </w:pPr>
            <w:r>
              <w:rPr>
                <w:sz w:val="22"/>
                <w:szCs w:val="22"/>
              </w:rPr>
              <w:t>98</w:t>
            </w:r>
          </w:p>
        </w:tc>
        <w:tc>
          <w:tcPr>
            <w:tcW w:w="1236" w:type="dxa"/>
            <w:tcBorders>
              <w:top w:val="nil"/>
              <w:left w:val="nil"/>
              <w:bottom w:val="single" w:sz="4" w:space="0" w:color="auto"/>
              <w:right w:val="single" w:sz="4" w:space="0" w:color="auto"/>
            </w:tcBorders>
            <w:shd w:val="clear" w:color="000000" w:fill="FFFFFF"/>
            <w:vAlign w:val="center"/>
          </w:tcPr>
          <w:p w14:paraId="6EFAD01F" w14:textId="77777777" w:rsidR="00085789" w:rsidRDefault="00000000">
            <w:pPr>
              <w:spacing w:line="240" w:lineRule="auto"/>
              <w:jc w:val="center"/>
              <w:rPr>
                <w:sz w:val="22"/>
                <w:szCs w:val="22"/>
              </w:rPr>
            </w:pPr>
            <w:r>
              <w:rPr>
                <w:sz w:val="22"/>
                <w:szCs w:val="22"/>
              </w:rPr>
              <w:t>69</w:t>
            </w:r>
          </w:p>
        </w:tc>
        <w:tc>
          <w:tcPr>
            <w:tcW w:w="1158" w:type="dxa"/>
            <w:tcBorders>
              <w:top w:val="nil"/>
              <w:left w:val="nil"/>
              <w:bottom w:val="single" w:sz="4" w:space="0" w:color="auto"/>
              <w:right w:val="single" w:sz="4" w:space="0" w:color="auto"/>
            </w:tcBorders>
            <w:shd w:val="clear" w:color="000000" w:fill="FFFFFF"/>
            <w:vAlign w:val="center"/>
          </w:tcPr>
          <w:p w14:paraId="270F30F8" w14:textId="77777777" w:rsidR="00085789" w:rsidRDefault="00000000">
            <w:pPr>
              <w:spacing w:line="240" w:lineRule="auto"/>
              <w:jc w:val="center"/>
              <w:rPr>
                <w:sz w:val="22"/>
                <w:szCs w:val="22"/>
              </w:rPr>
            </w:pPr>
            <w:r>
              <w:rPr>
                <w:sz w:val="22"/>
                <w:szCs w:val="22"/>
              </w:rPr>
              <w:t>11</w:t>
            </w:r>
          </w:p>
        </w:tc>
        <w:tc>
          <w:tcPr>
            <w:tcW w:w="1133" w:type="dxa"/>
            <w:tcBorders>
              <w:top w:val="nil"/>
              <w:left w:val="nil"/>
              <w:bottom w:val="single" w:sz="4" w:space="0" w:color="auto"/>
              <w:right w:val="single" w:sz="4" w:space="0" w:color="auto"/>
            </w:tcBorders>
            <w:shd w:val="clear" w:color="000000" w:fill="FFFFFF"/>
            <w:vAlign w:val="center"/>
          </w:tcPr>
          <w:p w14:paraId="0CD66FBE" w14:textId="77777777" w:rsidR="00085789" w:rsidRDefault="00000000">
            <w:pPr>
              <w:spacing w:line="240" w:lineRule="auto"/>
              <w:jc w:val="center"/>
              <w:rPr>
                <w:sz w:val="22"/>
                <w:szCs w:val="22"/>
              </w:rPr>
            </w:pPr>
            <w:r>
              <w:rPr>
                <w:sz w:val="22"/>
                <w:szCs w:val="22"/>
              </w:rPr>
              <w:t>63</w:t>
            </w:r>
          </w:p>
        </w:tc>
        <w:tc>
          <w:tcPr>
            <w:tcW w:w="1158" w:type="dxa"/>
            <w:tcBorders>
              <w:top w:val="nil"/>
              <w:left w:val="nil"/>
              <w:bottom w:val="single" w:sz="4" w:space="0" w:color="auto"/>
              <w:right w:val="single" w:sz="4" w:space="0" w:color="auto"/>
            </w:tcBorders>
            <w:shd w:val="clear" w:color="000000" w:fill="FFFFFF"/>
            <w:vAlign w:val="center"/>
          </w:tcPr>
          <w:p w14:paraId="198970BE" w14:textId="77777777" w:rsidR="00085789" w:rsidRDefault="00000000">
            <w:pPr>
              <w:spacing w:line="240" w:lineRule="auto"/>
              <w:jc w:val="center"/>
              <w:rPr>
                <w:sz w:val="22"/>
                <w:szCs w:val="22"/>
              </w:rPr>
            </w:pPr>
            <w:r>
              <w:rPr>
                <w:sz w:val="22"/>
                <w:szCs w:val="22"/>
              </w:rPr>
              <w:t>14</w:t>
            </w:r>
          </w:p>
        </w:tc>
        <w:tc>
          <w:tcPr>
            <w:tcW w:w="1109" w:type="dxa"/>
            <w:tcBorders>
              <w:top w:val="nil"/>
              <w:left w:val="nil"/>
              <w:bottom w:val="single" w:sz="4" w:space="0" w:color="auto"/>
              <w:right w:val="single" w:sz="4" w:space="0" w:color="auto"/>
            </w:tcBorders>
            <w:shd w:val="clear" w:color="000000" w:fill="FFFFFF"/>
            <w:vAlign w:val="center"/>
          </w:tcPr>
          <w:p w14:paraId="48B6DCA6" w14:textId="77777777" w:rsidR="00085789" w:rsidRDefault="00000000">
            <w:pPr>
              <w:spacing w:line="240" w:lineRule="auto"/>
              <w:jc w:val="center"/>
              <w:rPr>
                <w:sz w:val="22"/>
                <w:szCs w:val="22"/>
              </w:rPr>
            </w:pPr>
            <w:r>
              <w:rPr>
                <w:sz w:val="22"/>
                <w:szCs w:val="22"/>
              </w:rPr>
              <w:t>64</w:t>
            </w:r>
          </w:p>
        </w:tc>
        <w:tc>
          <w:tcPr>
            <w:tcW w:w="1158" w:type="dxa"/>
            <w:tcBorders>
              <w:top w:val="nil"/>
              <w:left w:val="nil"/>
              <w:bottom w:val="single" w:sz="4" w:space="0" w:color="auto"/>
              <w:right w:val="single" w:sz="4" w:space="0" w:color="auto"/>
            </w:tcBorders>
            <w:shd w:val="clear" w:color="000000" w:fill="FFFFFF"/>
            <w:vAlign w:val="center"/>
          </w:tcPr>
          <w:p w14:paraId="2A3BABEA" w14:textId="77777777" w:rsidR="00085789" w:rsidRDefault="00000000">
            <w:pPr>
              <w:spacing w:line="240" w:lineRule="auto"/>
              <w:jc w:val="center"/>
              <w:rPr>
                <w:sz w:val="22"/>
                <w:szCs w:val="22"/>
              </w:rPr>
            </w:pPr>
            <w:r>
              <w:rPr>
                <w:sz w:val="22"/>
                <w:szCs w:val="22"/>
              </w:rPr>
              <w:t>8</w:t>
            </w:r>
          </w:p>
        </w:tc>
        <w:tc>
          <w:tcPr>
            <w:tcW w:w="1171" w:type="dxa"/>
            <w:tcBorders>
              <w:top w:val="nil"/>
              <w:left w:val="nil"/>
              <w:bottom w:val="single" w:sz="4" w:space="0" w:color="auto"/>
              <w:right w:val="single" w:sz="4" w:space="0" w:color="auto"/>
            </w:tcBorders>
            <w:shd w:val="clear" w:color="000000" w:fill="FFFFFF"/>
            <w:vAlign w:val="center"/>
          </w:tcPr>
          <w:p w14:paraId="4E3F0128" w14:textId="77777777" w:rsidR="00085789" w:rsidRDefault="00000000">
            <w:pPr>
              <w:spacing w:line="240" w:lineRule="auto"/>
              <w:jc w:val="center"/>
              <w:rPr>
                <w:sz w:val="22"/>
                <w:szCs w:val="22"/>
              </w:rPr>
            </w:pPr>
            <w:r>
              <w:rPr>
                <w:sz w:val="22"/>
                <w:szCs w:val="22"/>
              </w:rPr>
              <w:t>63,4</w:t>
            </w:r>
          </w:p>
        </w:tc>
        <w:tc>
          <w:tcPr>
            <w:tcW w:w="1158" w:type="dxa"/>
            <w:tcBorders>
              <w:top w:val="nil"/>
              <w:left w:val="nil"/>
              <w:bottom w:val="single" w:sz="4" w:space="0" w:color="auto"/>
              <w:right w:val="single" w:sz="4" w:space="0" w:color="auto"/>
            </w:tcBorders>
            <w:shd w:val="clear" w:color="000000" w:fill="FFFFFF"/>
            <w:vAlign w:val="center"/>
          </w:tcPr>
          <w:p w14:paraId="621C2A81" w14:textId="77777777" w:rsidR="00085789" w:rsidRDefault="00000000">
            <w:pPr>
              <w:spacing w:line="240" w:lineRule="auto"/>
              <w:jc w:val="center"/>
              <w:rPr>
                <w:sz w:val="22"/>
                <w:szCs w:val="22"/>
              </w:rPr>
            </w:pPr>
            <w:r>
              <w:rPr>
                <w:sz w:val="22"/>
                <w:szCs w:val="22"/>
              </w:rPr>
              <w:t>4,4</w:t>
            </w:r>
          </w:p>
        </w:tc>
        <w:tc>
          <w:tcPr>
            <w:tcW w:w="1532" w:type="dxa"/>
            <w:tcBorders>
              <w:top w:val="nil"/>
              <w:left w:val="nil"/>
              <w:bottom w:val="single" w:sz="4" w:space="0" w:color="auto"/>
              <w:right w:val="single" w:sz="4" w:space="0" w:color="auto"/>
            </w:tcBorders>
            <w:shd w:val="clear" w:color="000000" w:fill="FFFFFF"/>
            <w:vAlign w:val="center"/>
          </w:tcPr>
          <w:p w14:paraId="6D9781EF" w14:textId="77777777" w:rsidR="00085789" w:rsidRDefault="00000000">
            <w:pPr>
              <w:spacing w:line="240" w:lineRule="auto"/>
              <w:rPr>
                <w:sz w:val="22"/>
                <w:szCs w:val="22"/>
              </w:rPr>
            </w:pPr>
            <w:r>
              <w:rPr>
                <w:sz w:val="22"/>
                <w:szCs w:val="22"/>
              </w:rPr>
              <w:t>Thuê đơn vị có chức năng xử lý</w:t>
            </w:r>
          </w:p>
        </w:tc>
      </w:tr>
      <w:tr w:rsidR="00085789" w14:paraId="7CE1F07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5D80110E" w14:textId="77777777" w:rsidR="00085789" w:rsidRDefault="00000000">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151B1DC1" w14:textId="77777777" w:rsidR="00085789" w:rsidRDefault="00000000">
            <w:pPr>
              <w:spacing w:line="240" w:lineRule="auto"/>
              <w:rPr>
                <w:sz w:val="22"/>
                <w:szCs w:val="22"/>
              </w:rPr>
            </w:pPr>
            <w:r>
              <w:rPr>
                <w:sz w:val="22"/>
                <w:szCs w:val="22"/>
              </w:rPr>
              <w:t>BV Hồng Hà (P. Nam Hồng Lĩnh)</w:t>
            </w:r>
          </w:p>
        </w:tc>
        <w:tc>
          <w:tcPr>
            <w:tcW w:w="965" w:type="dxa"/>
            <w:tcBorders>
              <w:top w:val="nil"/>
              <w:left w:val="nil"/>
              <w:bottom w:val="single" w:sz="4" w:space="0" w:color="auto"/>
              <w:right w:val="single" w:sz="4" w:space="0" w:color="auto"/>
            </w:tcBorders>
            <w:shd w:val="clear" w:color="000000" w:fill="FFFFFF"/>
            <w:vAlign w:val="center"/>
          </w:tcPr>
          <w:p w14:paraId="4C513C85" w14:textId="77777777" w:rsidR="00085789" w:rsidRDefault="00000000">
            <w:pPr>
              <w:spacing w:line="240" w:lineRule="auto"/>
              <w:jc w:val="center"/>
              <w:rPr>
                <w:sz w:val="22"/>
                <w:szCs w:val="22"/>
              </w:rPr>
            </w:pPr>
            <w:r>
              <w:rPr>
                <w:sz w:val="22"/>
                <w:szCs w:val="22"/>
              </w:rPr>
              <w:t>30</w:t>
            </w:r>
          </w:p>
        </w:tc>
        <w:tc>
          <w:tcPr>
            <w:tcW w:w="1236" w:type="dxa"/>
            <w:tcBorders>
              <w:top w:val="nil"/>
              <w:left w:val="nil"/>
              <w:bottom w:val="single" w:sz="4" w:space="0" w:color="auto"/>
              <w:right w:val="single" w:sz="4" w:space="0" w:color="auto"/>
            </w:tcBorders>
            <w:shd w:val="clear" w:color="000000" w:fill="FFFFFF"/>
            <w:vAlign w:val="center"/>
          </w:tcPr>
          <w:p w14:paraId="638B9820" w14:textId="77777777" w:rsidR="00085789" w:rsidRDefault="00000000">
            <w:pPr>
              <w:spacing w:line="240" w:lineRule="auto"/>
              <w:jc w:val="center"/>
              <w:rPr>
                <w:sz w:val="22"/>
                <w:szCs w:val="22"/>
              </w:rPr>
            </w:pPr>
            <w:r>
              <w:rPr>
                <w:sz w:val="22"/>
                <w:szCs w:val="22"/>
              </w:rPr>
              <w:t>48</w:t>
            </w:r>
          </w:p>
        </w:tc>
        <w:tc>
          <w:tcPr>
            <w:tcW w:w="1158" w:type="dxa"/>
            <w:tcBorders>
              <w:top w:val="nil"/>
              <w:left w:val="nil"/>
              <w:bottom w:val="single" w:sz="4" w:space="0" w:color="auto"/>
              <w:right w:val="single" w:sz="4" w:space="0" w:color="auto"/>
            </w:tcBorders>
            <w:shd w:val="clear" w:color="000000" w:fill="FFFFFF"/>
            <w:vAlign w:val="center"/>
          </w:tcPr>
          <w:p w14:paraId="7D57ED58" w14:textId="77777777" w:rsidR="00085789" w:rsidRDefault="00000000">
            <w:pPr>
              <w:spacing w:line="240" w:lineRule="auto"/>
              <w:jc w:val="center"/>
              <w:rPr>
                <w:sz w:val="22"/>
                <w:szCs w:val="22"/>
              </w:rPr>
            </w:pPr>
            <w:r>
              <w:rPr>
                <w:sz w:val="22"/>
                <w:szCs w:val="22"/>
              </w:rPr>
              <w:t>19</w:t>
            </w:r>
          </w:p>
        </w:tc>
        <w:tc>
          <w:tcPr>
            <w:tcW w:w="1133" w:type="dxa"/>
            <w:tcBorders>
              <w:top w:val="nil"/>
              <w:left w:val="nil"/>
              <w:bottom w:val="single" w:sz="4" w:space="0" w:color="auto"/>
              <w:right w:val="single" w:sz="4" w:space="0" w:color="auto"/>
            </w:tcBorders>
            <w:shd w:val="clear" w:color="000000" w:fill="FFFFFF"/>
            <w:vAlign w:val="center"/>
          </w:tcPr>
          <w:p w14:paraId="3139547D" w14:textId="77777777" w:rsidR="00085789" w:rsidRDefault="00000000">
            <w:pPr>
              <w:spacing w:line="240" w:lineRule="auto"/>
              <w:jc w:val="center"/>
              <w:rPr>
                <w:sz w:val="22"/>
                <w:szCs w:val="22"/>
              </w:rPr>
            </w:pPr>
            <w:r>
              <w:rPr>
                <w:sz w:val="22"/>
                <w:szCs w:val="22"/>
              </w:rPr>
              <w:t>54</w:t>
            </w:r>
          </w:p>
        </w:tc>
        <w:tc>
          <w:tcPr>
            <w:tcW w:w="1158" w:type="dxa"/>
            <w:tcBorders>
              <w:top w:val="nil"/>
              <w:left w:val="nil"/>
              <w:bottom w:val="single" w:sz="4" w:space="0" w:color="auto"/>
              <w:right w:val="single" w:sz="4" w:space="0" w:color="auto"/>
            </w:tcBorders>
            <w:shd w:val="clear" w:color="000000" w:fill="FFFFFF"/>
            <w:vAlign w:val="center"/>
          </w:tcPr>
          <w:p w14:paraId="7F6AFB46" w14:textId="77777777" w:rsidR="00085789" w:rsidRDefault="00000000">
            <w:pPr>
              <w:spacing w:line="240" w:lineRule="auto"/>
              <w:jc w:val="center"/>
              <w:rPr>
                <w:sz w:val="22"/>
                <w:szCs w:val="22"/>
              </w:rPr>
            </w:pPr>
            <w:r>
              <w:rPr>
                <w:sz w:val="22"/>
                <w:szCs w:val="22"/>
              </w:rPr>
              <w:t>19</w:t>
            </w:r>
          </w:p>
        </w:tc>
        <w:tc>
          <w:tcPr>
            <w:tcW w:w="1109" w:type="dxa"/>
            <w:tcBorders>
              <w:top w:val="nil"/>
              <w:left w:val="nil"/>
              <w:bottom w:val="single" w:sz="4" w:space="0" w:color="auto"/>
              <w:right w:val="single" w:sz="4" w:space="0" w:color="auto"/>
            </w:tcBorders>
            <w:shd w:val="clear" w:color="000000" w:fill="FFFFFF"/>
            <w:vAlign w:val="center"/>
          </w:tcPr>
          <w:p w14:paraId="4636B1A7" w14:textId="77777777" w:rsidR="00085789" w:rsidRDefault="00000000">
            <w:pPr>
              <w:spacing w:line="240" w:lineRule="auto"/>
              <w:jc w:val="center"/>
              <w:rPr>
                <w:sz w:val="22"/>
                <w:szCs w:val="22"/>
              </w:rPr>
            </w:pPr>
            <w:r>
              <w:rPr>
                <w:sz w:val="22"/>
                <w:szCs w:val="22"/>
              </w:rPr>
              <w:t>65</w:t>
            </w:r>
          </w:p>
        </w:tc>
        <w:tc>
          <w:tcPr>
            <w:tcW w:w="1158" w:type="dxa"/>
            <w:tcBorders>
              <w:top w:val="nil"/>
              <w:left w:val="nil"/>
              <w:bottom w:val="single" w:sz="4" w:space="0" w:color="auto"/>
              <w:right w:val="single" w:sz="4" w:space="0" w:color="auto"/>
            </w:tcBorders>
            <w:shd w:val="clear" w:color="000000" w:fill="FFFFFF"/>
            <w:vAlign w:val="center"/>
          </w:tcPr>
          <w:p w14:paraId="3B4A2C02" w14:textId="77777777" w:rsidR="00085789" w:rsidRDefault="00000000">
            <w:pPr>
              <w:spacing w:line="240" w:lineRule="auto"/>
              <w:jc w:val="center"/>
              <w:rPr>
                <w:sz w:val="22"/>
                <w:szCs w:val="22"/>
              </w:rPr>
            </w:pPr>
            <w:r>
              <w:rPr>
                <w:sz w:val="22"/>
                <w:szCs w:val="22"/>
              </w:rPr>
              <w:t>19,2</w:t>
            </w:r>
          </w:p>
        </w:tc>
        <w:tc>
          <w:tcPr>
            <w:tcW w:w="1171" w:type="dxa"/>
            <w:tcBorders>
              <w:top w:val="nil"/>
              <w:left w:val="nil"/>
              <w:bottom w:val="single" w:sz="4" w:space="0" w:color="auto"/>
              <w:right w:val="single" w:sz="4" w:space="0" w:color="auto"/>
            </w:tcBorders>
            <w:shd w:val="clear" w:color="000000" w:fill="FFFFFF"/>
            <w:vAlign w:val="center"/>
          </w:tcPr>
          <w:p w14:paraId="2787287D" w14:textId="77777777" w:rsidR="00085789" w:rsidRDefault="00000000">
            <w:pPr>
              <w:spacing w:line="240" w:lineRule="auto"/>
              <w:jc w:val="center"/>
              <w:rPr>
                <w:sz w:val="22"/>
                <w:szCs w:val="22"/>
              </w:rPr>
            </w:pPr>
            <w:r>
              <w:rPr>
                <w:sz w:val="22"/>
                <w:szCs w:val="22"/>
              </w:rPr>
              <w:t>67</w:t>
            </w:r>
          </w:p>
        </w:tc>
        <w:tc>
          <w:tcPr>
            <w:tcW w:w="1158" w:type="dxa"/>
            <w:tcBorders>
              <w:top w:val="nil"/>
              <w:left w:val="nil"/>
              <w:bottom w:val="single" w:sz="4" w:space="0" w:color="auto"/>
              <w:right w:val="single" w:sz="4" w:space="0" w:color="auto"/>
            </w:tcBorders>
            <w:shd w:val="clear" w:color="000000" w:fill="FFFFFF"/>
            <w:vAlign w:val="center"/>
          </w:tcPr>
          <w:p w14:paraId="0728FC22" w14:textId="77777777" w:rsidR="00085789" w:rsidRDefault="00000000">
            <w:pPr>
              <w:spacing w:line="240" w:lineRule="auto"/>
              <w:jc w:val="center"/>
              <w:rPr>
                <w:sz w:val="22"/>
                <w:szCs w:val="22"/>
              </w:rPr>
            </w:pPr>
            <w:r>
              <w:rPr>
                <w:sz w:val="22"/>
                <w:szCs w:val="22"/>
              </w:rPr>
              <w:t>23,3</w:t>
            </w:r>
          </w:p>
        </w:tc>
        <w:tc>
          <w:tcPr>
            <w:tcW w:w="1532" w:type="dxa"/>
            <w:tcBorders>
              <w:top w:val="nil"/>
              <w:left w:val="nil"/>
              <w:bottom w:val="single" w:sz="4" w:space="0" w:color="auto"/>
              <w:right w:val="single" w:sz="4" w:space="0" w:color="auto"/>
            </w:tcBorders>
            <w:shd w:val="clear" w:color="000000" w:fill="FFFFFF"/>
            <w:vAlign w:val="center"/>
          </w:tcPr>
          <w:p w14:paraId="4A5D6B15" w14:textId="77777777" w:rsidR="00085789" w:rsidRDefault="00000000">
            <w:pPr>
              <w:spacing w:line="240" w:lineRule="auto"/>
              <w:rPr>
                <w:sz w:val="22"/>
                <w:szCs w:val="22"/>
              </w:rPr>
            </w:pPr>
            <w:r>
              <w:rPr>
                <w:sz w:val="22"/>
                <w:szCs w:val="22"/>
              </w:rPr>
              <w:t>Thuê đơn vị có chức năng xử lý</w:t>
            </w:r>
          </w:p>
        </w:tc>
      </w:tr>
      <w:tr w:rsidR="00085789" w14:paraId="3A759A6C"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2D2543B" w14:textId="77777777" w:rsidR="00085789" w:rsidRDefault="00000000">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59F61700" w14:textId="77777777" w:rsidR="00085789" w:rsidRDefault="00000000">
            <w:pPr>
              <w:spacing w:line="240" w:lineRule="auto"/>
              <w:rPr>
                <w:sz w:val="22"/>
                <w:szCs w:val="22"/>
              </w:rPr>
            </w:pPr>
            <w:r>
              <w:rPr>
                <w:sz w:val="22"/>
                <w:szCs w:val="22"/>
              </w:rPr>
              <w:t>BV TTH Hà Tĩnh</w:t>
            </w:r>
          </w:p>
        </w:tc>
        <w:tc>
          <w:tcPr>
            <w:tcW w:w="965" w:type="dxa"/>
            <w:tcBorders>
              <w:top w:val="nil"/>
              <w:left w:val="nil"/>
              <w:bottom w:val="single" w:sz="4" w:space="0" w:color="auto"/>
              <w:right w:val="single" w:sz="4" w:space="0" w:color="auto"/>
            </w:tcBorders>
            <w:shd w:val="clear" w:color="000000" w:fill="FFFFFF"/>
            <w:vAlign w:val="center"/>
          </w:tcPr>
          <w:p w14:paraId="50DD445A" w14:textId="77777777" w:rsidR="00085789" w:rsidRDefault="00000000">
            <w:pPr>
              <w:spacing w:line="240" w:lineRule="auto"/>
              <w:jc w:val="center"/>
              <w:rPr>
                <w:sz w:val="22"/>
                <w:szCs w:val="22"/>
              </w:rPr>
            </w:pPr>
            <w:r>
              <w:rPr>
                <w:sz w:val="22"/>
                <w:szCs w:val="22"/>
              </w:rPr>
              <w:t>456</w:t>
            </w:r>
          </w:p>
        </w:tc>
        <w:tc>
          <w:tcPr>
            <w:tcW w:w="1236" w:type="dxa"/>
            <w:tcBorders>
              <w:top w:val="nil"/>
              <w:left w:val="nil"/>
              <w:bottom w:val="single" w:sz="4" w:space="0" w:color="auto"/>
              <w:right w:val="single" w:sz="4" w:space="0" w:color="auto"/>
            </w:tcBorders>
            <w:shd w:val="clear" w:color="000000" w:fill="FFFFFF"/>
            <w:vAlign w:val="center"/>
          </w:tcPr>
          <w:p w14:paraId="53940A02" w14:textId="77777777" w:rsidR="00085789" w:rsidRDefault="00000000">
            <w:pPr>
              <w:spacing w:line="240" w:lineRule="auto"/>
              <w:jc w:val="center"/>
              <w:rPr>
                <w:sz w:val="22"/>
                <w:szCs w:val="22"/>
              </w:rPr>
            </w:pPr>
            <w:r>
              <w:rPr>
                <w:sz w:val="22"/>
                <w:szCs w:val="22"/>
              </w:rPr>
              <w:t>350</w:t>
            </w:r>
          </w:p>
        </w:tc>
        <w:tc>
          <w:tcPr>
            <w:tcW w:w="1158" w:type="dxa"/>
            <w:tcBorders>
              <w:top w:val="nil"/>
              <w:left w:val="nil"/>
              <w:bottom w:val="single" w:sz="4" w:space="0" w:color="auto"/>
              <w:right w:val="single" w:sz="4" w:space="0" w:color="auto"/>
            </w:tcBorders>
            <w:shd w:val="clear" w:color="000000" w:fill="FFFFFF"/>
            <w:vAlign w:val="center"/>
          </w:tcPr>
          <w:p w14:paraId="7150DC58" w14:textId="77777777" w:rsidR="00085789" w:rsidRDefault="00000000">
            <w:pPr>
              <w:spacing w:line="240" w:lineRule="auto"/>
              <w:jc w:val="center"/>
              <w:rPr>
                <w:sz w:val="22"/>
                <w:szCs w:val="22"/>
              </w:rPr>
            </w:pPr>
            <w:r>
              <w:rPr>
                <w:sz w:val="22"/>
                <w:szCs w:val="22"/>
              </w:rPr>
              <w:t>24</w:t>
            </w:r>
          </w:p>
        </w:tc>
        <w:tc>
          <w:tcPr>
            <w:tcW w:w="1133" w:type="dxa"/>
            <w:tcBorders>
              <w:top w:val="nil"/>
              <w:left w:val="nil"/>
              <w:bottom w:val="single" w:sz="4" w:space="0" w:color="auto"/>
              <w:right w:val="single" w:sz="4" w:space="0" w:color="auto"/>
            </w:tcBorders>
            <w:shd w:val="clear" w:color="000000" w:fill="FFFFFF"/>
            <w:vAlign w:val="center"/>
          </w:tcPr>
          <w:p w14:paraId="46221235" w14:textId="77777777" w:rsidR="00085789" w:rsidRDefault="00000000">
            <w:pPr>
              <w:spacing w:line="240" w:lineRule="auto"/>
              <w:jc w:val="center"/>
              <w:rPr>
                <w:sz w:val="22"/>
                <w:szCs w:val="22"/>
              </w:rPr>
            </w:pPr>
            <w:r>
              <w:rPr>
                <w:sz w:val="22"/>
                <w:szCs w:val="22"/>
              </w:rPr>
              <w:t>430</w:t>
            </w:r>
          </w:p>
        </w:tc>
        <w:tc>
          <w:tcPr>
            <w:tcW w:w="1158" w:type="dxa"/>
            <w:tcBorders>
              <w:top w:val="nil"/>
              <w:left w:val="nil"/>
              <w:bottom w:val="single" w:sz="4" w:space="0" w:color="auto"/>
              <w:right w:val="single" w:sz="4" w:space="0" w:color="auto"/>
            </w:tcBorders>
            <w:shd w:val="clear" w:color="000000" w:fill="FFFFFF"/>
            <w:vAlign w:val="center"/>
          </w:tcPr>
          <w:p w14:paraId="24214702" w14:textId="77777777" w:rsidR="00085789" w:rsidRDefault="00000000">
            <w:pPr>
              <w:spacing w:line="240" w:lineRule="auto"/>
              <w:jc w:val="center"/>
              <w:rPr>
                <w:sz w:val="22"/>
                <w:szCs w:val="22"/>
              </w:rPr>
            </w:pPr>
            <w:r>
              <w:rPr>
                <w:sz w:val="22"/>
                <w:szCs w:val="22"/>
              </w:rPr>
              <w:t>28</w:t>
            </w:r>
          </w:p>
        </w:tc>
        <w:tc>
          <w:tcPr>
            <w:tcW w:w="1109" w:type="dxa"/>
            <w:tcBorders>
              <w:top w:val="nil"/>
              <w:left w:val="nil"/>
              <w:bottom w:val="single" w:sz="4" w:space="0" w:color="auto"/>
              <w:right w:val="single" w:sz="4" w:space="0" w:color="auto"/>
            </w:tcBorders>
            <w:shd w:val="clear" w:color="000000" w:fill="FFFFFF"/>
            <w:vAlign w:val="center"/>
          </w:tcPr>
          <w:p w14:paraId="2BADE3B5" w14:textId="77777777" w:rsidR="00085789" w:rsidRDefault="00000000">
            <w:pPr>
              <w:spacing w:line="240" w:lineRule="auto"/>
              <w:jc w:val="center"/>
              <w:rPr>
                <w:sz w:val="22"/>
                <w:szCs w:val="22"/>
              </w:rPr>
            </w:pPr>
            <w:r>
              <w:rPr>
                <w:sz w:val="22"/>
                <w:szCs w:val="22"/>
              </w:rPr>
              <w:t>222</w:t>
            </w:r>
          </w:p>
        </w:tc>
        <w:tc>
          <w:tcPr>
            <w:tcW w:w="1158" w:type="dxa"/>
            <w:tcBorders>
              <w:top w:val="nil"/>
              <w:left w:val="nil"/>
              <w:bottom w:val="single" w:sz="4" w:space="0" w:color="auto"/>
              <w:right w:val="single" w:sz="4" w:space="0" w:color="auto"/>
            </w:tcBorders>
            <w:shd w:val="clear" w:color="000000" w:fill="FFFFFF"/>
            <w:vAlign w:val="center"/>
          </w:tcPr>
          <w:p w14:paraId="49055146" w14:textId="77777777" w:rsidR="00085789" w:rsidRDefault="00000000">
            <w:pPr>
              <w:spacing w:line="240" w:lineRule="auto"/>
              <w:jc w:val="center"/>
              <w:rPr>
                <w:sz w:val="22"/>
                <w:szCs w:val="22"/>
              </w:rPr>
            </w:pPr>
            <w:r>
              <w:rPr>
                <w:sz w:val="22"/>
                <w:szCs w:val="22"/>
              </w:rPr>
              <w:t>81</w:t>
            </w:r>
          </w:p>
        </w:tc>
        <w:tc>
          <w:tcPr>
            <w:tcW w:w="1171" w:type="dxa"/>
            <w:tcBorders>
              <w:top w:val="nil"/>
              <w:left w:val="nil"/>
              <w:bottom w:val="single" w:sz="4" w:space="0" w:color="auto"/>
              <w:right w:val="single" w:sz="4" w:space="0" w:color="auto"/>
            </w:tcBorders>
            <w:shd w:val="clear" w:color="000000" w:fill="FFFFFF"/>
            <w:vAlign w:val="center"/>
          </w:tcPr>
          <w:p w14:paraId="6C0BBEF2" w14:textId="77777777" w:rsidR="00085789" w:rsidRDefault="00000000">
            <w:pPr>
              <w:spacing w:line="240" w:lineRule="auto"/>
              <w:jc w:val="center"/>
              <w:rPr>
                <w:sz w:val="22"/>
                <w:szCs w:val="22"/>
              </w:rPr>
            </w:pPr>
            <w:r>
              <w:rPr>
                <w:sz w:val="22"/>
                <w:szCs w:val="22"/>
              </w:rPr>
              <w:t>616</w:t>
            </w:r>
          </w:p>
        </w:tc>
        <w:tc>
          <w:tcPr>
            <w:tcW w:w="1158" w:type="dxa"/>
            <w:tcBorders>
              <w:top w:val="nil"/>
              <w:left w:val="nil"/>
              <w:bottom w:val="single" w:sz="4" w:space="0" w:color="auto"/>
              <w:right w:val="single" w:sz="4" w:space="0" w:color="auto"/>
            </w:tcBorders>
            <w:shd w:val="clear" w:color="000000" w:fill="FFFFFF"/>
            <w:vAlign w:val="center"/>
          </w:tcPr>
          <w:p w14:paraId="19A945EC" w14:textId="77777777" w:rsidR="00085789" w:rsidRDefault="00000000">
            <w:pPr>
              <w:spacing w:line="240" w:lineRule="auto"/>
              <w:jc w:val="center"/>
              <w:rPr>
                <w:sz w:val="22"/>
                <w:szCs w:val="22"/>
              </w:rPr>
            </w:pPr>
            <w:r>
              <w:rPr>
                <w:sz w:val="22"/>
                <w:szCs w:val="22"/>
              </w:rPr>
              <w:t>91</w:t>
            </w:r>
          </w:p>
        </w:tc>
        <w:tc>
          <w:tcPr>
            <w:tcW w:w="1532" w:type="dxa"/>
            <w:tcBorders>
              <w:top w:val="nil"/>
              <w:left w:val="nil"/>
              <w:bottom w:val="single" w:sz="4" w:space="0" w:color="auto"/>
              <w:right w:val="single" w:sz="4" w:space="0" w:color="auto"/>
            </w:tcBorders>
            <w:shd w:val="clear" w:color="000000" w:fill="FFFFFF"/>
            <w:vAlign w:val="center"/>
          </w:tcPr>
          <w:p w14:paraId="0DEC39E4" w14:textId="77777777" w:rsidR="00085789" w:rsidRDefault="00000000">
            <w:pPr>
              <w:spacing w:line="240" w:lineRule="auto"/>
              <w:rPr>
                <w:sz w:val="22"/>
                <w:szCs w:val="22"/>
              </w:rPr>
            </w:pPr>
            <w:r>
              <w:rPr>
                <w:sz w:val="22"/>
                <w:szCs w:val="22"/>
              </w:rPr>
              <w:t>Thuê đơn vị có chức năng xử lý</w:t>
            </w:r>
          </w:p>
        </w:tc>
      </w:tr>
      <w:tr w:rsidR="00085789" w14:paraId="6E0FF629" w14:textId="77777777">
        <w:trPr>
          <w:trHeight w:val="840"/>
        </w:trPr>
        <w:tc>
          <w:tcPr>
            <w:tcW w:w="547" w:type="dxa"/>
            <w:tcBorders>
              <w:top w:val="nil"/>
              <w:left w:val="single" w:sz="4" w:space="0" w:color="auto"/>
              <w:bottom w:val="single" w:sz="4" w:space="0" w:color="auto"/>
              <w:right w:val="single" w:sz="4" w:space="0" w:color="auto"/>
            </w:tcBorders>
            <w:shd w:val="clear" w:color="000000" w:fill="FFFFFF"/>
            <w:vAlign w:val="center"/>
          </w:tcPr>
          <w:p w14:paraId="4CB1FCB9" w14:textId="77777777" w:rsidR="00085789" w:rsidRDefault="00000000">
            <w:pPr>
              <w:spacing w:line="240" w:lineRule="auto"/>
              <w:jc w:val="center"/>
              <w:rPr>
                <w:b/>
                <w:bCs/>
                <w:sz w:val="22"/>
                <w:szCs w:val="22"/>
              </w:rPr>
            </w:pPr>
            <w:r>
              <w:rPr>
                <w:b/>
                <w:bCs/>
                <w:sz w:val="22"/>
                <w:szCs w:val="22"/>
              </w:rPr>
              <w:t>IV</w:t>
            </w:r>
          </w:p>
        </w:tc>
        <w:tc>
          <w:tcPr>
            <w:tcW w:w="1626" w:type="dxa"/>
            <w:tcBorders>
              <w:top w:val="nil"/>
              <w:left w:val="nil"/>
              <w:bottom w:val="single" w:sz="4" w:space="0" w:color="auto"/>
              <w:right w:val="single" w:sz="4" w:space="0" w:color="auto"/>
            </w:tcBorders>
            <w:shd w:val="clear" w:color="000000" w:fill="FFFFFF"/>
            <w:vAlign w:val="center"/>
          </w:tcPr>
          <w:p w14:paraId="633916BA" w14:textId="77777777" w:rsidR="00085789" w:rsidRDefault="00000000">
            <w:pPr>
              <w:spacing w:line="240" w:lineRule="auto"/>
              <w:rPr>
                <w:b/>
                <w:bCs/>
                <w:sz w:val="22"/>
                <w:szCs w:val="22"/>
              </w:rPr>
            </w:pPr>
            <w:r>
              <w:rPr>
                <w:b/>
                <w:bCs/>
                <w:sz w:val="22"/>
                <w:szCs w:val="22"/>
              </w:rPr>
              <w:t>Trạm Y tế cấp xã (216 trạm)</w:t>
            </w:r>
          </w:p>
        </w:tc>
        <w:tc>
          <w:tcPr>
            <w:tcW w:w="965" w:type="dxa"/>
            <w:tcBorders>
              <w:top w:val="nil"/>
              <w:left w:val="nil"/>
              <w:bottom w:val="single" w:sz="4" w:space="0" w:color="auto"/>
              <w:right w:val="single" w:sz="4" w:space="0" w:color="auto"/>
            </w:tcBorders>
            <w:shd w:val="clear" w:color="000000" w:fill="FFFFFF"/>
            <w:vAlign w:val="center"/>
          </w:tcPr>
          <w:p w14:paraId="2029CF63" w14:textId="77777777" w:rsidR="00085789" w:rsidRDefault="00000000">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7F05DF6E" w14:textId="77777777" w:rsidR="00085789" w:rsidRDefault="00000000">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1F597054" w14:textId="77777777" w:rsidR="00085789" w:rsidRDefault="00000000">
            <w:pPr>
              <w:spacing w:line="240" w:lineRule="auto"/>
              <w:jc w:val="center"/>
              <w:rPr>
                <w:b/>
                <w:bCs/>
                <w:sz w:val="22"/>
                <w:szCs w:val="22"/>
              </w:rPr>
            </w:pPr>
            <w:r>
              <w:rPr>
                <w:b/>
                <w:bCs/>
                <w:sz w:val="22"/>
                <w:szCs w:val="22"/>
              </w:rPr>
              <w:t>34</w:t>
            </w:r>
          </w:p>
        </w:tc>
        <w:tc>
          <w:tcPr>
            <w:tcW w:w="1133" w:type="dxa"/>
            <w:tcBorders>
              <w:top w:val="nil"/>
              <w:left w:val="nil"/>
              <w:bottom w:val="single" w:sz="4" w:space="0" w:color="auto"/>
              <w:right w:val="single" w:sz="4" w:space="0" w:color="auto"/>
            </w:tcBorders>
            <w:shd w:val="clear" w:color="000000" w:fill="FFFFFF"/>
            <w:vAlign w:val="center"/>
          </w:tcPr>
          <w:p w14:paraId="4537199C" w14:textId="77777777" w:rsidR="00085789" w:rsidRDefault="00000000">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6DDE605E" w14:textId="77777777" w:rsidR="00085789" w:rsidRDefault="00000000">
            <w:pPr>
              <w:spacing w:line="240" w:lineRule="auto"/>
              <w:jc w:val="center"/>
              <w:rPr>
                <w:b/>
                <w:bCs/>
                <w:sz w:val="22"/>
                <w:szCs w:val="22"/>
              </w:rPr>
            </w:pPr>
            <w:r>
              <w:rPr>
                <w:b/>
                <w:bCs/>
                <w:sz w:val="22"/>
                <w:szCs w:val="22"/>
              </w:rPr>
              <w:t>34</w:t>
            </w:r>
          </w:p>
        </w:tc>
        <w:tc>
          <w:tcPr>
            <w:tcW w:w="1109" w:type="dxa"/>
            <w:tcBorders>
              <w:top w:val="nil"/>
              <w:left w:val="nil"/>
              <w:bottom w:val="single" w:sz="4" w:space="0" w:color="auto"/>
              <w:right w:val="single" w:sz="4" w:space="0" w:color="auto"/>
            </w:tcBorders>
            <w:shd w:val="clear" w:color="000000" w:fill="FFFFFF"/>
            <w:vAlign w:val="center"/>
          </w:tcPr>
          <w:p w14:paraId="0723E92B" w14:textId="77777777" w:rsidR="00085789" w:rsidRDefault="00000000">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07B4C335" w14:textId="77777777" w:rsidR="00085789" w:rsidRDefault="00000000">
            <w:pPr>
              <w:spacing w:line="240" w:lineRule="auto"/>
              <w:jc w:val="center"/>
              <w:rPr>
                <w:b/>
                <w:bCs/>
                <w:sz w:val="22"/>
                <w:szCs w:val="22"/>
              </w:rPr>
            </w:pPr>
            <w:r>
              <w:rPr>
                <w:b/>
                <w:bCs/>
                <w:sz w:val="22"/>
                <w:szCs w:val="22"/>
              </w:rPr>
              <w:t>34</w:t>
            </w:r>
          </w:p>
        </w:tc>
        <w:tc>
          <w:tcPr>
            <w:tcW w:w="1171" w:type="dxa"/>
            <w:tcBorders>
              <w:top w:val="nil"/>
              <w:left w:val="nil"/>
              <w:bottom w:val="single" w:sz="4" w:space="0" w:color="auto"/>
              <w:right w:val="single" w:sz="4" w:space="0" w:color="auto"/>
            </w:tcBorders>
            <w:shd w:val="clear" w:color="000000" w:fill="FFFFFF"/>
            <w:vAlign w:val="center"/>
          </w:tcPr>
          <w:p w14:paraId="3CB17EA7" w14:textId="77777777" w:rsidR="00085789" w:rsidRDefault="00000000">
            <w:pPr>
              <w:spacing w:line="240" w:lineRule="auto"/>
              <w:jc w:val="center"/>
              <w:rPr>
                <w:b/>
                <w:bCs/>
                <w:sz w:val="22"/>
                <w:szCs w:val="22"/>
              </w:rPr>
            </w:pPr>
            <w:r>
              <w:rPr>
                <w:b/>
                <w:bCs/>
                <w:sz w:val="22"/>
                <w:szCs w:val="22"/>
              </w:rPr>
              <w:t>540</w:t>
            </w:r>
          </w:p>
        </w:tc>
        <w:tc>
          <w:tcPr>
            <w:tcW w:w="1158" w:type="dxa"/>
            <w:tcBorders>
              <w:top w:val="nil"/>
              <w:left w:val="nil"/>
              <w:bottom w:val="single" w:sz="4" w:space="0" w:color="auto"/>
              <w:right w:val="single" w:sz="4" w:space="0" w:color="auto"/>
            </w:tcBorders>
            <w:shd w:val="clear" w:color="000000" w:fill="FFFFFF"/>
            <w:vAlign w:val="center"/>
          </w:tcPr>
          <w:p w14:paraId="0054A191" w14:textId="77777777" w:rsidR="00085789" w:rsidRDefault="00000000">
            <w:pPr>
              <w:spacing w:line="240" w:lineRule="auto"/>
              <w:jc w:val="center"/>
              <w:rPr>
                <w:b/>
                <w:bCs/>
                <w:sz w:val="22"/>
                <w:szCs w:val="22"/>
              </w:rPr>
            </w:pPr>
            <w:r>
              <w:rPr>
                <w:b/>
                <w:bCs/>
                <w:sz w:val="22"/>
                <w:szCs w:val="22"/>
              </w:rPr>
              <w:t>34</w:t>
            </w:r>
          </w:p>
        </w:tc>
        <w:tc>
          <w:tcPr>
            <w:tcW w:w="1532" w:type="dxa"/>
            <w:tcBorders>
              <w:top w:val="nil"/>
              <w:left w:val="nil"/>
              <w:bottom w:val="single" w:sz="4" w:space="0" w:color="auto"/>
              <w:right w:val="single" w:sz="4" w:space="0" w:color="auto"/>
            </w:tcBorders>
            <w:shd w:val="clear" w:color="000000" w:fill="FFFFFF"/>
            <w:vAlign w:val="center"/>
          </w:tcPr>
          <w:p w14:paraId="49C6E36F" w14:textId="77777777" w:rsidR="00085789" w:rsidRDefault="00000000">
            <w:pPr>
              <w:spacing w:line="240" w:lineRule="auto"/>
              <w:rPr>
                <w:sz w:val="22"/>
                <w:szCs w:val="22"/>
              </w:rPr>
            </w:pPr>
            <w:r>
              <w:rPr>
                <w:sz w:val="22"/>
                <w:szCs w:val="22"/>
              </w:rPr>
              <w:t xml:space="preserve">Lò đốt thủ công tại trạm </w:t>
            </w:r>
          </w:p>
        </w:tc>
      </w:tr>
      <w:tr w:rsidR="00085789" w14:paraId="09134E45"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75636D24" w14:textId="77777777" w:rsidR="00085789" w:rsidRDefault="00000000">
            <w:pPr>
              <w:spacing w:line="240" w:lineRule="auto"/>
              <w:jc w:val="center"/>
              <w:rPr>
                <w:b/>
                <w:bCs/>
                <w:sz w:val="22"/>
                <w:szCs w:val="22"/>
              </w:rPr>
            </w:pPr>
            <w:r>
              <w:rPr>
                <w:b/>
                <w:bCs/>
                <w:sz w:val="22"/>
                <w:szCs w:val="22"/>
              </w:rPr>
              <w:t>V</w:t>
            </w:r>
          </w:p>
        </w:tc>
        <w:tc>
          <w:tcPr>
            <w:tcW w:w="1626" w:type="dxa"/>
            <w:tcBorders>
              <w:top w:val="nil"/>
              <w:left w:val="nil"/>
              <w:bottom w:val="single" w:sz="4" w:space="0" w:color="auto"/>
              <w:right w:val="single" w:sz="4" w:space="0" w:color="auto"/>
            </w:tcBorders>
            <w:shd w:val="clear" w:color="000000" w:fill="FFFFFF"/>
            <w:vAlign w:val="center"/>
          </w:tcPr>
          <w:p w14:paraId="025EEDCD" w14:textId="77777777" w:rsidR="00085789" w:rsidRDefault="00000000">
            <w:pPr>
              <w:spacing w:line="240" w:lineRule="auto"/>
              <w:rPr>
                <w:b/>
                <w:bCs/>
                <w:sz w:val="22"/>
                <w:szCs w:val="22"/>
              </w:rPr>
            </w:pPr>
            <w:r>
              <w:rPr>
                <w:b/>
                <w:bCs/>
                <w:sz w:val="22"/>
                <w:szCs w:val="22"/>
              </w:rPr>
              <w:t>Phòng khám tư nhân (312 phòng khám)</w:t>
            </w:r>
          </w:p>
        </w:tc>
        <w:tc>
          <w:tcPr>
            <w:tcW w:w="965" w:type="dxa"/>
            <w:tcBorders>
              <w:top w:val="nil"/>
              <w:left w:val="nil"/>
              <w:bottom w:val="single" w:sz="4" w:space="0" w:color="auto"/>
              <w:right w:val="single" w:sz="4" w:space="0" w:color="auto"/>
            </w:tcBorders>
            <w:shd w:val="clear" w:color="000000" w:fill="FFFFFF"/>
            <w:vAlign w:val="center"/>
          </w:tcPr>
          <w:p w14:paraId="0ED57E5C" w14:textId="77777777" w:rsidR="00085789" w:rsidRDefault="00000000">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2F5D3B55" w14:textId="77777777" w:rsidR="00085789" w:rsidRDefault="00000000">
            <w:pPr>
              <w:spacing w:line="240" w:lineRule="auto"/>
              <w:jc w:val="center"/>
              <w:rPr>
                <w:b/>
                <w:bCs/>
                <w:sz w:val="22"/>
                <w:szCs w:val="22"/>
              </w:rPr>
            </w:pPr>
            <w:r>
              <w:rPr>
                <w:b/>
                <w:bCs/>
                <w:sz w:val="22"/>
                <w:szCs w:val="22"/>
              </w:rPr>
              <w:t>780</w:t>
            </w:r>
          </w:p>
        </w:tc>
        <w:tc>
          <w:tcPr>
            <w:tcW w:w="1158" w:type="dxa"/>
            <w:tcBorders>
              <w:top w:val="nil"/>
              <w:left w:val="nil"/>
              <w:bottom w:val="single" w:sz="4" w:space="0" w:color="auto"/>
              <w:right w:val="single" w:sz="4" w:space="0" w:color="auto"/>
            </w:tcBorders>
            <w:shd w:val="clear" w:color="000000" w:fill="FFFFFF"/>
            <w:vAlign w:val="center"/>
          </w:tcPr>
          <w:p w14:paraId="26BA074B" w14:textId="77777777" w:rsidR="00085789" w:rsidRDefault="00000000">
            <w:pPr>
              <w:spacing w:line="240" w:lineRule="auto"/>
              <w:jc w:val="center"/>
              <w:rPr>
                <w:b/>
                <w:bCs/>
                <w:sz w:val="22"/>
                <w:szCs w:val="22"/>
              </w:rPr>
            </w:pPr>
            <w:r>
              <w:rPr>
                <w:b/>
                <w:bCs/>
                <w:sz w:val="22"/>
                <w:szCs w:val="22"/>
              </w:rPr>
              <w:t>25</w:t>
            </w:r>
          </w:p>
        </w:tc>
        <w:tc>
          <w:tcPr>
            <w:tcW w:w="1133" w:type="dxa"/>
            <w:tcBorders>
              <w:top w:val="nil"/>
              <w:left w:val="nil"/>
              <w:bottom w:val="single" w:sz="4" w:space="0" w:color="auto"/>
              <w:right w:val="single" w:sz="4" w:space="0" w:color="auto"/>
            </w:tcBorders>
            <w:shd w:val="clear" w:color="000000" w:fill="FFFFFF"/>
            <w:vAlign w:val="center"/>
          </w:tcPr>
          <w:p w14:paraId="49B692CD" w14:textId="77777777" w:rsidR="00085789" w:rsidRDefault="00000000">
            <w:pPr>
              <w:spacing w:line="240" w:lineRule="auto"/>
              <w:jc w:val="center"/>
              <w:rPr>
                <w:b/>
                <w:bCs/>
                <w:sz w:val="22"/>
                <w:szCs w:val="22"/>
              </w:rPr>
            </w:pPr>
            <w:r>
              <w:rPr>
                <w:b/>
                <w:bCs/>
                <w:sz w:val="22"/>
                <w:szCs w:val="22"/>
              </w:rPr>
              <w:t>936</w:t>
            </w:r>
          </w:p>
        </w:tc>
        <w:tc>
          <w:tcPr>
            <w:tcW w:w="1158" w:type="dxa"/>
            <w:tcBorders>
              <w:top w:val="nil"/>
              <w:left w:val="nil"/>
              <w:bottom w:val="single" w:sz="4" w:space="0" w:color="auto"/>
              <w:right w:val="single" w:sz="4" w:space="0" w:color="auto"/>
            </w:tcBorders>
            <w:shd w:val="clear" w:color="000000" w:fill="FFFFFF"/>
            <w:vAlign w:val="center"/>
          </w:tcPr>
          <w:p w14:paraId="7C2A920B" w14:textId="77777777" w:rsidR="00085789" w:rsidRDefault="00000000">
            <w:pPr>
              <w:spacing w:line="240" w:lineRule="auto"/>
              <w:jc w:val="center"/>
              <w:rPr>
                <w:b/>
                <w:bCs/>
                <w:sz w:val="22"/>
                <w:szCs w:val="22"/>
              </w:rPr>
            </w:pPr>
            <w:r>
              <w:rPr>
                <w:b/>
                <w:bCs/>
                <w:sz w:val="22"/>
                <w:szCs w:val="22"/>
              </w:rPr>
              <w:t>32</w:t>
            </w:r>
          </w:p>
        </w:tc>
        <w:tc>
          <w:tcPr>
            <w:tcW w:w="1109" w:type="dxa"/>
            <w:tcBorders>
              <w:top w:val="nil"/>
              <w:left w:val="nil"/>
              <w:bottom w:val="single" w:sz="4" w:space="0" w:color="auto"/>
              <w:right w:val="single" w:sz="4" w:space="0" w:color="auto"/>
            </w:tcBorders>
            <w:shd w:val="clear" w:color="000000" w:fill="FFFFFF"/>
            <w:vAlign w:val="center"/>
          </w:tcPr>
          <w:p w14:paraId="0831AC75" w14:textId="77777777" w:rsidR="00085789" w:rsidRDefault="00000000">
            <w:pPr>
              <w:spacing w:line="240" w:lineRule="auto"/>
              <w:jc w:val="center"/>
              <w:rPr>
                <w:b/>
                <w:bCs/>
                <w:sz w:val="22"/>
                <w:szCs w:val="22"/>
              </w:rPr>
            </w:pPr>
            <w:r>
              <w:rPr>
                <w:b/>
                <w:bCs/>
                <w:sz w:val="22"/>
                <w:szCs w:val="22"/>
              </w:rPr>
              <w:t>780</w:t>
            </w:r>
          </w:p>
        </w:tc>
        <w:tc>
          <w:tcPr>
            <w:tcW w:w="1158" w:type="dxa"/>
            <w:tcBorders>
              <w:top w:val="nil"/>
              <w:left w:val="nil"/>
              <w:bottom w:val="single" w:sz="4" w:space="0" w:color="auto"/>
              <w:right w:val="single" w:sz="4" w:space="0" w:color="auto"/>
            </w:tcBorders>
            <w:shd w:val="clear" w:color="000000" w:fill="FFFFFF"/>
            <w:vAlign w:val="center"/>
          </w:tcPr>
          <w:p w14:paraId="74B1ACBD" w14:textId="77777777" w:rsidR="00085789" w:rsidRDefault="00000000">
            <w:pPr>
              <w:spacing w:line="240" w:lineRule="auto"/>
              <w:jc w:val="center"/>
              <w:rPr>
                <w:b/>
                <w:bCs/>
                <w:sz w:val="22"/>
                <w:szCs w:val="22"/>
              </w:rPr>
            </w:pPr>
            <w:r>
              <w:rPr>
                <w:b/>
                <w:bCs/>
                <w:sz w:val="22"/>
                <w:szCs w:val="22"/>
              </w:rPr>
              <w:t>25</w:t>
            </w:r>
          </w:p>
        </w:tc>
        <w:tc>
          <w:tcPr>
            <w:tcW w:w="1171" w:type="dxa"/>
            <w:tcBorders>
              <w:top w:val="nil"/>
              <w:left w:val="nil"/>
              <w:bottom w:val="single" w:sz="4" w:space="0" w:color="auto"/>
              <w:right w:val="single" w:sz="4" w:space="0" w:color="auto"/>
            </w:tcBorders>
            <w:shd w:val="clear" w:color="000000" w:fill="FFFFFF"/>
            <w:vAlign w:val="center"/>
          </w:tcPr>
          <w:p w14:paraId="5F3CBD41" w14:textId="77777777" w:rsidR="00085789" w:rsidRDefault="00000000">
            <w:pPr>
              <w:spacing w:line="240" w:lineRule="auto"/>
              <w:jc w:val="center"/>
              <w:rPr>
                <w:b/>
                <w:bCs/>
                <w:sz w:val="22"/>
                <w:szCs w:val="22"/>
              </w:rPr>
            </w:pPr>
            <w:r>
              <w:rPr>
                <w:b/>
                <w:bCs/>
                <w:sz w:val="22"/>
                <w:szCs w:val="22"/>
              </w:rPr>
              <w:t>936</w:t>
            </w:r>
          </w:p>
        </w:tc>
        <w:tc>
          <w:tcPr>
            <w:tcW w:w="1158" w:type="dxa"/>
            <w:tcBorders>
              <w:top w:val="nil"/>
              <w:left w:val="nil"/>
              <w:bottom w:val="single" w:sz="4" w:space="0" w:color="auto"/>
              <w:right w:val="single" w:sz="4" w:space="0" w:color="auto"/>
            </w:tcBorders>
            <w:shd w:val="clear" w:color="000000" w:fill="FFFFFF"/>
            <w:vAlign w:val="center"/>
          </w:tcPr>
          <w:p w14:paraId="38354459" w14:textId="77777777" w:rsidR="00085789" w:rsidRDefault="00000000">
            <w:pPr>
              <w:spacing w:line="240" w:lineRule="auto"/>
              <w:jc w:val="center"/>
              <w:rPr>
                <w:b/>
                <w:bCs/>
                <w:sz w:val="22"/>
                <w:szCs w:val="22"/>
              </w:rPr>
            </w:pPr>
            <w:r>
              <w:rPr>
                <w:b/>
                <w:bCs/>
                <w:sz w:val="22"/>
                <w:szCs w:val="22"/>
              </w:rPr>
              <w:t>32</w:t>
            </w:r>
          </w:p>
        </w:tc>
        <w:tc>
          <w:tcPr>
            <w:tcW w:w="1532" w:type="dxa"/>
            <w:tcBorders>
              <w:top w:val="nil"/>
              <w:left w:val="nil"/>
              <w:bottom w:val="single" w:sz="4" w:space="0" w:color="auto"/>
              <w:right w:val="single" w:sz="4" w:space="0" w:color="auto"/>
            </w:tcBorders>
            <w:shd w:val="clear" w:color="000000" w:fill="FFFFFF"/>
            <w:vAlign w:val="center"/>
          </w:tcPr>
          <w:p w14:paraId="6E8BED16" w14:textId="77777777" w:rsidR="00085789" w:rsidRDefault="00000000">
            <w:pPr>
              <w:spacing w:line="240" w:lineRule="auto"/>
              <w:rPr>
                <w:sz w:val="22"/>
                <w:szCs w:val="22"/>
              </w:rPr>
            </w:pPr>
            <w:r>
              <w:rPr>
                <w:sz w:val="22"/>
                <w:szCs w:val="22"/>
              </w:rPr>
              <w:t>Thuê đơn vị có chức năng xử lý</w:t>
            </w:r>
          </w:p>
        </w:tc>
      </w:tr>
      <w:tr w:rsidR="00085789" w14:paraId="02A49D8D"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44AE687C" w14:textId="77777777" w:rsidR="00085789" w:rsidRDefault="00000000">
            <w:pPr>
              <w:spacing w:line="240" w:lineRule="auto"/>
              <w:jc w:val="center"/>
              <w:rPr>
                <w:b/>
                <w:bCs/>
                <w:sz w:val="22"/>
                <w:szCs w:val="22"/>
              </w:rPr>
            </w:pPr>
            <w:r>
              <w:rPr>
                <w:b/>
                <w:bCs/>
                <w:sz w:val="22"/>
                <w:szCs w:val="22"/>
              </w:rPr>
              <w:t>B</w:t>
            </w:r>
          </w:p>
        </w:tc>
        <w:tc>
          <w:tcPr>
            <w:tcW w:w="1626" w:type="dxa"/>
            <w:tcBorders>
              <w:top w:val="nil"/>
              <w:left w:val="nil"/>
              <w:bottom w:val="single" w:sz="4" w:space="0" w:color="auto"/>
              <w:right w:val="single" w:sz="4" w:space="0" w:color="auto"/>
            </w:tcBorders>
            <w:shd w:val="clear" w:color="000000" w:fill="FFFFFF"/>
            <w:vAlign w:val="center"/>
          </w:tcPr>
          <w:p w14:paraId="71EB3875" w14:textId="77777777" w:rsidR="00085789" w:rsidRDefault="00000000">
            <w:pPr>
              <w:spacing w:line="240" w:lineRule="auto"/>
              <w:rPr>
                <w:b/>
                <w:bCs/>
                <w:sz w:val="22"/>
                <w:szCs w:val="22"/>
              </w:rPr>
            </w:pPr>
            <w:r>
              <w:rPr>
                <w:b/>
                <w:bCs/>
                <w:sz w:val="22"/>
                <w:szCs w:val="22"/>
              </w:rPr>
              <w:t>CÁC CƠ SỞ Y TẾ KHÁC</w:t>
            </w:r>
          </w:p>
        </w:tc>
        <w:tc>
          <w:tcPr>
            <w:tcW w:w="965" w:type="dxa"/>
            <w:tcBorders>
              <w:top w:val="nil"/>
              <w:left w:val="nil"/>
              <w:bottom w:val="single" w:sz="4" w:space="0" w:color="auto"/>
              <w:right w:val="single" w:sz="4" w:space="0" w:color="auto"/>
            </w:tcBorders>
            <w:shd w:val="clear" w:color="000000" w:fill="FFFFFF"/>
            <w:vAlign w:val="center"/>
          </w:tcPr>
          <w:p w14:paraId="67E1D16B" w14:textId="77777777" w:rsidR="00085789" w:rsidRDefault="00000000">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5D2BEBE2" w14:textId="77777777" w:rsidR="00085789" w:rsidRDefault="00000000">
            <w:pPr>
              <w:spacing w:line="240" w:lineRule="auto"/>
              <w:jc w:val="center"/>
              <w:rPr>
                <w:b/>
                <w:bCs/>
                <w:sz w:val="22"/>
                <w:szCs w:val="22"/>
              </w:rPr>
            </w:pPr>
            <w:r>
              <w:rPr>
                <w:b/>
                <w:bCs/>
                <w:sz w:val="22"/>
                <w:szCs w:val="22"/>
              </w:rPr>
              <w:t>100</w:t>
            </w:r>
          </w:p>
        </w:tc>
        <w:tc>
          <w:tcPr>
            <w:tcW w:w="1158" w:type="dxa"/>
            <w:tcBorders>
              <w:top w:val="nil"/>
              <w:left w:val="nil"/>
              <w:bottom w:val="single" w:sz="4" w:space="0" w:color="auto"/>
              <w:right w:val="single" w:sz="4" w:space="0" w:color="auto"/>
            </w:tcBorders>
            <w:shd w:val="clear" w:color="000000" w:fill="FFFFFF"/>
            <w:vAlign w:val="center"/>
          </w:tcPr>
          <w:p w14:paraId="79051A29" w14:textId="77777777" w:rsidR="00085789" w:rsidRDefault="00000000">
            <w:pPr>
              <w:spacing w:line="240" w:lineRule="auto"/>
              <w:jc w:val="center"/>
              <w:rPr>
                <w:b/>
                <w:bCs/>
                <w:sz w:val="22"/>
                <w:szCs w:val="22"/>
              </w:rPr>
            </w:pPr>
            <w:r>
              <w:rPr>
                <w:b/>
                <w:bCs/>
                <w:sz w:val="22"/>
                <w:szCs w:val="22"/>
              </w:rPr>
              <w:t>8</w:t>
            </w:r>
          </w:p>
        </w:tc>
        <w:tc>
          <w:tcPr>
            <w:tcW w:w="1133" w:type="dxa"/>
            <w:tcBorders>
              <w:top w:val="nil"/>
              <w:left w:val="nil"/>
              <w:bottom w:val="single" w:sz="4" w:space="0" w:color="auto"/>
              <w:right w:val="single" w:sz="4" w:space="0" w:color="auto"/>
            </w:tcBorders>
            <w:shd w:val="clear" w:color="000000" w:fill="FFFFFF"/>
            <w:vAlign w:val="center"/>
          </w:tcPr>
          <w:p w14:paraId="53C987A9" w14:textId="77777777" w:rsidR="00085789" w:rsidRDefault="00000000">
            <w:pPr>
              <w:spacing w:line="240" w:lineRule="auto"/>
              <w:jc w:val="center"/>
              <w:rPr>
                <w:b/>
                <w:bCs/>
                <w:sz w:val="22"/>
                <w:szCs w:val="22"/>
              </w:rPr>
            </w:pPr>
            <w:r>
              <w:rPr>
                <w:b/>
                <w:bCs/>
                <w:sz w:val="22"/>
                <w:szCs w:val="22"/>
              </w:rPr>
              <w:t>100</w:t>
            </w:r>
          </w:p>
        </w:tc>
        <w:tc>
          <w:tcPr>
            <w:tcW w:w="1158" w:type="dxa"/>
            <w:tcBorders>
              <w:top w:val="nil"/>
              <w:left w:val="nil"/>
              <w:bottom w:val="single" w:sz="4" w:space="0" w:color="auto"/>
              <w:right w:val="single" w:sz="4" w:space="0" w:color="auto"/>
            </w:tcBorders>
            <w:shd w:val="clear" w:color="000000" w:fill="FFFFFF"/>
            <w:vAlign w:val="center"/>
          </w:tcPr>
          <w:p w14:paraId="75664678" w14:textId="77777777" w:rsidR="00085789" w:rsidRDefault="00000000">
            <w:pPr>
              <w:spacing w:line="240" w:lineRule="auto"/>
              <w:jc w:val="center"/>
              <w:rPr>
                <w:b/>
                <w:bCs/>
                <w:sz w:val="22"/>
                <w:szCs w:val="22"/>
              </w:rPr>
            </w:pPr>
            <w:r>
              <w:rPr>
                <w:b/>
                <w:bCs/>
                <w:sz w:val="22"/>
                <w:szCs w:val="22"/>
              </w:rPr>
              <w:t>8</w:t>
            </w:r>
          </w:p>
        </w:tc>
        <w:tc>
          <w:tcPr>
            <w:tcW w:w="1109" w:type="dxa"/>
            <w:tcBorders>
              <w:top w:val="nil"/>
              <w:left w:val="nil"/>
              <w:bottom w:val="single" w:sz="4" w:space="0" w:color="auto"/>
              <w:right w:val="single" w:sz="4" w:space="0" w:color="auto"/>
            </w:tcBorders>
            <w:shd w:val="clear" w:color="000000" w:fill="FFFFFF"/>
            <w:vAlign w:val="center"/>
          </w:tcPr>
          <w:p w14:paraId="6FAA4EE5" w14:textId="77777777" w:rsidR="00085789" w:rsidRDefault="00000000">
            <w:pPr>
              <w:spacing w:line="240" w:lineRule="auto"/>
              <w:jc w:val="center"/>
              <w:rPr>
                <w:b/>
                <w:bCs/>
                <w:sz w:val="22"/>
                <w:szCs w:val="22"/>
              </w:rPr>
            </w:pPr>
            <w:r>
              <w:rPr>
                <w:b/>
                <w:bCs/>
                <w:sz w:val="22"/>
                <w:szCs w:val="22"/>
              </w:rPr>
              <w:t>114,5</w:t>
            </w:r>
          </w:p>
        </w:tc>
        <w:tc>
          <w:tcPr>
            <w:tcW w:w="1158" w:type="dxa"/>
            <w:tcBorders>
              <w:top w:val="nil"/>
              <w:left w:val="nil"/>
              <w:bottom w:val="single" w:sz="4" w:space="0" w:color="auto"/>
              <w:right w:val="single" w:sz="4" w:space="0" w:color="auto"/>
            </w:tcBorders>
            <w:shd w:val="clear" w:color="000000" w:fill="FFFFFF"/>
            <w:vAlign w:val="center"/>
          </w:tcPr>
          <w:p w14:paraId="73A19735" w14:textId="77777777" w:rsidR="00085789" w:rsidRDefault="00000000">
            <w:pPr>
              <w:spacing w:line="240" w:lineRule="auto"/>
              <w:jc w:val="center"/>
              <w:rPr>
                <w:b/>
                <w:bCs/>
                <w:sz w:val="22"/>
                <w:szCs w:val="22"/>
              </w:rPr>
            </w:pPr>
            <w:r>
              <w:rPr>
                <w:b/>
                <w:bCs/>
                <w:sz w:val="22"/>
                <w:szCs w:val="22"/>
              </w:rPr>
              <w:t>3,3</w:t>
            </w:r>
          </w:p>
        </w:tc>
        <w:tc>
          <w:tcPr>
            <w:tcW w:w="1171" w:type="dxa"/>
            <w:tcBorders>
              <w:top w:val="nil"/>
              <w:left w:val="nil"/>
              <w:bottom w:val="single" w:sz="4" w:space="0" w:color="auto"/>
              <w:right w:val="single" w:sz="4" w:space="0" w:color="auto"/>
            </w:tcBorders>
            <w:shd w:val="clear" w:color="000000" w:fill="FFFFFF"/>
            <w:vAlign w:val="center"/>
          </w:tcPr>
          <w:p w14:paraId="1932BB60" w14:textId="77777777" w:rsidR="00085789" w:rsidRDefault="00000000">
            <w:pPr>
              <w:spacing w:line="240" w:lineRule="auto"/>
              <w:jc w:val="center"/>
              <w:rPr>
                <w:b/>
                <w:bCs/>
                <w:sz w:val="22"/>
                <w:szCs w:val="22"/>
              </w:rPr>
            </w:pPr>
            <w:r>
              <w:rPr>
                <w:b/>
                <w:bCs/>
                <w:sz w:val="22"/>
                <w:szCs w:val="22"/>
              </w:rPr>
              <w:t>114,5</w:t>
            </w:r>
          </w:p>
        </w:tc>
        <w:tc>
          <w:tcPr>
            <w:tcW w:w="1158" w:type="dxa"/>
            <w:tcBorders>
              <w:top w:val="nil"/>
              <w:left w:val="nil"/>
              <w:bottom w:val="single" w:sz="4" w:space="0" w:color="auto"/>
              <w:right w:val="single" w:sz="4" w:space="0" w:color="auto"/>
            </w:tcBorders>
            <w:shd w:val="clear" w:color="000000" w:fill="FFFFFF"/>
            <w:vAlign w:val="center"/>
          </w:tcPr>
          <w:p w14:paraId="4A4B13BD" w14:textId="77777777" w:rsidR="00085789" w:rsidRDefault="00000000">
            <w:pPr>
              <w:spacing w:line="240" w:lineRule="auto"/>
              <w:jc w:val="center"/>
              <w:rPr>
                <w:b/>
                <w:bCs/>
                <w:sz w:val="22"/>
                <w:szCs w:val="22"/>
              </w:rPr>
            </w:pPr>
            <w:r>
              <w:rPr>
                <w:b/>
                <w:bCs/>
                <w:sz w:val="22"/>
                <w:szCs w:val="22"/>
              </w:rPr>
              <w:t>5,4</w:t>
            </w:r>
          </w:p>
        </w:tc>
        <w:tc>
          <w:tcPr>
            <w:tcW w:w="1532" w:type="dxa"/>
            <w:tcBorders>
              <w:top w:val="nil"/>
              <w:left w:val="nil"/>
              <w:bottom w:val="single" w:sz="4" w:space="0" w:color="auto"/>
              <w:right w:val="single" w:sz="4" w:space="0" w:color="auto"/>
            </w:tcBorders>
            <w:shd w:val="clear" w:color="000000" w:fill="FFFFFF"/>
            <w:vAlign w:val="center"/>
          </w:tcPr>
          <w:p w14:paraId="3D410689" w14:textId="77777777" w:rsidR="00085789" w:rsidRDefault="00000000">
            <w:pPr>
              <w:spacing w:line="240" w:lineRule="auto"/>
              <w:rPr>
                <w:sz w:val="22"/>
                <w:szCs w:val="22"/>
              </w:rPr>
            </w:pPr>
            <w:r>
              <w:rPr>
                <w:sz w:val="22"/>
                <w:szCs w:val="22"/>
              </w:rPr>
              <w:t> </w:t>
            </w:r>
          </w:p>
        </w:tc>
      </w:tr>
      <w:tr w:rsidR="00085789" w14:paraId="701601AB"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003CCD4B" w14:textId="77777777" w:rsidR="00085789" w:rsidRDefault="00000000">
            <w:pPr>
              <w:spacing w:line="240" w:lineRule="auto"/>
              <w:jc w:val="center"/>
              <w:rPr>
                <w:b/>
                <w:bCs/>
                <w:sz w:val="22"/>
                <w:szCs w:val="22"/>
              </w:rPr>
            </w:pPr>
            <w:r>
              <w:rPr>
                <w:b/>
                <w:bCs/>
                <w:sz w:val="22"/>
                <w:szCs w:val="22"/>
              </w:rPr>
              <w:lastRenderedPageBreak/>
              <w:t>I</w:t>
            </w:r>
          </w:p>
        </w:tc>
        <w:tc>
          <w:tcPr>
            <w:tcW w:w="1626" w:type="dxa"/>
            <w:tcBorders>
              <w:top w:val="nil"/>
              <w:left w:val="nil"/>
              <w:bottom w:val="single" w:sz="4" w:space="0" w:color="auto"/>
              <w:right w:val="single" w:sz="4" w:space="0" w:color="auto"/>
            </w:tcBorders>
            <w:shd w:val="clear" w:color="000000" w:fill="FFFFFF"/>
            <w:vAlign w:val="center"/>
          </w:tcPr>
          <w:p w14:paraId="379C6A06" w14:textId="77777777" w:rsidR="00085789" w:rsidRDefault="00000000">
            <w:pPr>
              <w:spacing w:line="240" w:lineRule="auto"/>
              <w:rPr>
                <w:b/>
                <w:bCs/>
                <w:sz w:val="22"/>
                <w:szCs w:val="22"/>
              </w:rPr>
            </w:pPr>
            <w:r>
              <w:rPr>
                <w:b/>
                <w:bCs/>
                <w:sz w:val="22"/>
                <w:szCs w:val="22"/>
              </w:rPr>
              <w:t>Trung tâm y tế tuyến tỉnh</w:t>
            </w:r>
          </w:p>
        </w:tc>
        <w:tc>
          <w:tcPr>
            <w:tcW w:w="965" w:type="dxa"/>
            <w:tcBorders>
              <w:top w:val="nil"/>
              <w:left w:val="nil"/>
              <w:bottom w:val="single" w:sz="4" w:space="0" w:color="auto"/>
              <w:right w:val="single" w:sz="4" w:space="0" w:color="auto"/>
            </w:tcBorders>
            <w:shd w:val="clear" w:color="000000" w:fill="FFFFFF"/>
            <w:vAlign w:val="center"/>
          </w:tcPr>
          <w:p w14:paraId="069C465D" w14:textId="77777777" w:rsidR="00085789" w:rsidRDefault="00000000">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34440D5E" w14:textId="77777777" w:rsidR="00085789" w:rsidRDefault="00000000">
            <w:pPr>
              <w:spacing w:line="240" w:lineRule="auto"/>
              <w:jc w:val="center"/>
              <w:rPr>
                <w:b/>
                <w:bCs/>
                <w:sz w:val="22"/>
                <w:szCs w:val="22"/>
              </w:rPr>
            </w:pPr>
            <w:r>
              <w:rPr>
                <w:b/>
                <w:bCs/>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31C18FBD" w14:textId="77777777" w:rsidR="00085789" w:rsidRDefault="00000000">
            <w:pPr>
              <w:spacing w:line="240" w:lineRule="auto"/>
              <w:jc w:val="center"/>
              <w:rPr>
                <w:b/>
                <w:bCs/>
                <w:sz w:val="22"/>
                <w:szCs w:val="22"/>
              </w:rPr>
            </w:pPr>
            <w:r>
              <w:rPr>
                <w:b/>
                <w:bCs/>
                <w:sz w:val="22"/>
                <w:szCs w:val="22"/>
              </w:rPr>
              <w:t>6</w:t>
            </w:r>
          </w:p>
        </w:tc>
        <w:tc>
          <w:tcPr>
            <w:tcW w:w="1133" w:type="dxa"/>
            <w:tcBorders>
              <w:top w:val="nil"/>
              <w:left w:val="nil"/>
              <w:bottom w:val="single" w:sz="4" w:space="0" w:color="auto"/>
              <w:right w:val="single" w:sz="4" w:space="0" w:color="auto"/>
            </w:tcBorders>
            <w:shd w:val="clear" w:color="000000" w:fill="FFFFFF"/>
            <w:vAlign w:val="center"/>
          </w:tcPr>
          <w:p w14:paraId="69B40F2A" w14:textId="77777777" w:rsidR="00085789" w:rsidRDefault="00000000">
            <w:pPr>
              <w:spacing w:line="240" w:lineRule="auto"/>
              <w:jc w:val="center"/>
              <w:rPr>
                <w:b/>
                <w:bCs/>
                <w:sz w:val="22"/>
                <w:szCs w:val="22"/>
              </w:rPr>
            </w:pPr>
            <w:r>
              <w:rPr>
                <w:b/>
                <w:bCs/>
                <w:sz w:val="22"/>
                <w:szCs w:val="22"/>
              </w:rPr>
              <w:t>40</w:t>
            </w:r>
          </w:p>
        </w:tc>
        <w:tc>
          <w:tcPr>
            <w:tcW w:w="1158" w:type="dxa"/>
            <w:tcBorders>
              <w:top w:val="nil"/>
              <w:left w:val="nil"/>
              <w:bottom w:val="single" w:sz="4" w:space="0" w:color="auto"/>
              <w:right w:val="single" w:sz="4" w:space="0" w:color="auto"/>
            </w:tcBorders>
            <w:shd w:val="clear" w:color="000000" w:fill="FFFFFF"/>
            <w:vAlign w:val="center"/>
          </w:tcPr>
          <w:p w14:paraId="3BB69F5E" w14:textId="77777777" w:rsidR="00085789" w:rsidRDefault="00000000">
            <w:pPr>
              <w:spacing w:line="240" w:lineRule="auto"/>
              <w:jc w:val="center"/>
              <w:rPr>
                <w:b/>
                <w:bCs/>
                <w:sz w:val="22"/>
                <w:szCs w:val="22"/>
              </w:rPr>
            </w:pPr>
            <w:r>
              <w:rPr>
                <w:b/>
                <w:bCs/>
                <w:sz w:val="22"/>
                <w:szCs w:val="22"/>
              </w:rPr>
              <w:t>6</w:t>
            </w:r>
          </w:p>
        </w:tc>
        <w:tc>
          <w:tcPr>
            <w:tcW w:w="1109" w:type="dxa"/>
            <w:tcBorders>
              <w:top w:val="nil"/>
              <w:left w:val="nil"/>
              <w:bottom w:val="single" w:sz="4" w:space="0" w:color="auto"/>
              <w:right w:val="single" w:sz="4" w:space="0" w:color="auto"/>
            </w:tcBorders>
            <w:shd w:val="clear" w:color="000000" w:fill="FFFFFF"/>
            <w:vAlign w:val="center"/>
          </w:tcPr>
          <w:p w14:paraId="680C9C35" w14:textId="77777777" w:rsidR="00085789" w:rsidRDefault="00000000">
            <w:pPr>
              <w:spacing w:line="240" w:lineRule="auto"/>
              <w:jc w:val="center"/>
              <w:rPr>
                <w:b/>
                <w:bCs/>
                <w:sz w:val="22"/>
                <w:szCs w:val="22"/>
              </w:rPr>
            </w:pPr>
            <w:r>
              <w:rPr>
                <w:b/>
                <w:bCs/>
                <w:sz w:val="22"/>
                <w:szCs w:val="22"/>
              </w:rPr>
              <w:t>54,5</w:t>
            </w:r>
          </w:p>
        </w:tc>
        <w:tc>
          <w:tcPr>
            <w:tcW w:w="1158" w:type="dxa"/>
            <w:tcBorders>
              <w:top w:val="nil"/>
              <w:left w:val="nil"/>
              <w:bottom w:val="single" w:sz="4" w:space="0" w:color="auto"/>
              <w:right w:val="single" w:sz="4" w:space="0" w:color="auto"/>
            </w:tcBorders>
            <w:shd w:val="clear" w:color="000000" w:fill="FFFFFF"/>
            <w:vAlign w:val="center"/>
          </w:tcPr>
          <w:p w14:paraId="46D18CE6" w14:textId="77777777" w:rsidR="00085789" w:rsidRDefault="00000000">
            <w:pPr>
              <w:spacing w:line="240" w:lineRule="auto"/>
              <w:jc w:val="center"/>
              <w:rPr>
                <w:b/>
                <w:bCs/>
                <w:sz w:val="22"/>
                <w:szCs w:val="22"/>
              </w:rPr>
            </w:pPr>
            <w:r>
              <w:rPr>
                <w:b/>
                <w:bCs/>
                <w:sz w:val="22"/>
                <w:szCs w:val="22"/>
              </w:rPr>
              <w:t>1,3</w:t>
            </w:r>
          </w:p>
        </w:tc>
        <w:tc>
          <w:tcPr>
            <w:tcW w:w="1171" w:type="dxa"/>
            <w:tcBorders>
              <w:top w:val="nil"/>
              <w:left w:val="nil"/>
              <w:bottom w:val="single" w:sz="4" w:space="0" w:color="auto"/>
              <w:right w:val="single" w:sz="4" w:space="0" w:color="auto"/>
            </w:tcBorders>
            <w:shd w:val="clear" w:color="000000" w:fill="FFFFFF"/>
            <w:vAlign w:val="center"/>
          </w:tcPr>
          <w:p w14:paraId="70171FC1" w14:textId="77777777" w:rsidR="00085789" w:rsidRDefault="00000000">
            <w:pPr>
              <w:spacing w:line="240" w:lineRule="auto"/>
              <w:jc w:val="center"/>
              <w:rPr>
                <w:b/>
                <w:bCs/>
                <w:sz w:val="22"/>
                <w:szCs w:val="22"/>
              </w:rPr>
            </w:pPr>
            <w:r>
              <w:rPr>
                <w:b/>
                <w:bCs/>
                <w:sz w:val="22"/>
                <w:szCs w:val="22"/>
              </w:rPr>
              <w:t>54,5</w:t>
            </w:r>
          </w:p>
        </w:tc>
        <w:tc>
          <w:tcPr>
            <w:tcW w:w="1158" w:type="dxa"/>
            <w:tcBorders>
              <w:top w:val="nil"/>
              <w:left w:val="nil"/>
              <w:bottom w:val="single" w:sz="4" w:space="0" w:color="auto"/>
              <w:right w:val="single" w:sz="4" w:space="0" w:color="auto"/>
            </w:tcBorders>
            <w:shd w:val="clear" w:color="000000" w:fill="FFFFFF"/>
            <w:vAlign w:val="center"/>
          </w:tcPr>
          <w:p w14:paraId="422A24E7" w14:textId="77777777" w:rsidR="00085789" w:rsidRDefault="00000000">
            <w:pPr>
              <w:spacing w:line="240" w:lineRule="auto"/>
              <w:jc w:val="center"/>
              <w:rPr>
                <w:b/>
                <w:bCs/>
                <w:sz w:val="22"/>
                <w:szCs w:val="22"/>
              </w:rPr>
            </w:pPr>
            <w:r>
              <w:rPr>
                <w:b/>
                <w:bCs/>
                <w:sz w:val="22"/>
                <w:szCs w:val="22"/>
              </w:rPr>
              <w:t>3,4</w:t>
            </w:r>
          </w:p>
        </w:tc>
        <w:tc>
          <w:tcPr>
            <w:tcW w:w="1532" w:type="dxa"/>
            <w:tcBorders>
              <w:top w:val="nil"/>
              <w:left w:val="nil"/>
              <w:bottom w:val="single" w:sz="4" w:space="0" w:color="auto"/>
              <w:right w:val="single" w:sz="4" w:space="0" w:color="auto"/>
            </w:tcBorders>
            <w:shd w:val="clear" w:color="000000" w:fill="FFFFFF"/>
            <w:vAlign w:val="center"/>
          </w:tcPr>
          <w:p w14:paraId="65D67A12" w14:textId="77777777" w:rsidR="00085789" w:rsidRDefault="00000000">
            <w:pPr>
              <w:spacing w:line="240" w:lineRule="auto"/>
              <w:rPr>
                <w:sz w:val="22"/>
                <w:szCs w:val="22"/>
              </w:rPr>
            </w:pPr>
            <w:r>
              <w:rPr>
                <w:sz w:val="22"/>
                <w:szCs w:val="22"/>
              </w:rPr>
              <w:t>Thuê đơn vị có chức năng xử lý</w:t>
            </w:r>
          </w:p>
        </w:tc>
      </w:tr>
      <w:tr w:rsidR="00085789" w14:paraId="306A801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74AE400" w14:textId="77777777" w:rsidR="00085789" w:rsidRDefault="00000000">
            <w:pPr>
              <w:spacing w:line="240" w:lineRule="auto"/>
              <w:jc w:val="center"/>
              <w:rPr>
                <w:sz w:val="22"/>
                <w:szCs w:val="22"/>
              </w:rPr>
            </w:pPr>
            <w:r>
              <w:rPr>
                <w:sz w:val="22"/>
                <w:szCs w:val="22"/>
              </w:rPr>
              <w:t>1</w:t>
            </w:r>
          </w:p>
        </w:tc>
        <w:tc>
          <w:tcPr>
            <w:tcW w:w="1626" w:type="dxa"/>
            <w:tcBorders>
              <w:top w:val="nil"/>
              <w:left w:val="nil"/>
              <w:bottom w:val="single" w:sz="4" w:space="0" w:color="auto"/>
              <w:right w:val="single" w:sz="4" w:space="0" w:color="auto"/>
            </w:tcBorders>
            <w:shd w:val="clear" w:color="000000" w:fill="FFFFFF"/>
            <w:vAlign w:val="center"/>
          </w:tcPr>
          <w:p w14:paraId="2F19969D" w14:textId="77777777" w:rsidR="00085789" w:rsidRDefault="00000000">
            <w:pPr>
              <w:spacing w:line="240" w:lineRule="auto"/>
              <w:rPr>
                <w:sz w:val="22"/>
                <w:szCs w:val="22"/>
              </w:rPr>
            </w:pPr>
            <w:r>
              <w:rPr>
                <w:sz w:val="22"/>
                <w:szCs w:val="22"/>
              </w:rPr>
              <w:t>Trung tâm kiểm soát bệnh tật</w:t>
            </w:r>
          </w:p>
        </w:tc>
        <w:tc>
          <w:tcPr>
            <w:tcW w:w="965" w:type="dxa"/>
            <w:tcBorders>
              <w:top w:val="nil"/>
              <w:left w:val="nil"/>
              <w:bottom w:val="single" w:sz="4" w:space="0" w:color="auto"/>
              <w:right w:val="single" w:sz="4" w:space="0" w:color="auto"/>
            </w:tcBorders>
            <w:shd w:val="clear" w:color="000000" w:fill="FFFFFF"/>
            <w:vAlign w:val="center"/>
          </w:tcPr>
          <w:p w14:paraId="03B3CADF" w14:textId="77777777" w:rsidR="00085789" w:rsidRDefault="00000000">
            <w:pPr>
              <w:spacing w:line="240" w:lineRule="auto"/>
              <w:jc w:val="center"/>
              <w:rPr>
                <w:sz w:val="22"/>
                <w:szCs w:val="22"/>
              </w:rPr>
            </w:pPr>
            <w:r>
              <w:rPr>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237A8B94" w14:textId="77777777" w:rsidR="00085789" w:rsidRDefault="00000000">
            <w:pPr>
              <w:spacing w:line="240" w:lineRule="auto"/>
              <w:jc w:val="center"/>
              <w:rPr>
                <w:sz w:val="22"/>
                <w:szCs w:val="22"/>
              </w:rPr>
            </w:pPr>
            <w:r>
              <w:rPr>
                <w:sz w:val="22"/>
                <w:szCs w:val="22"/>
              </w:rPr>
              <w:t>30</w:t>
            </w:r>
          </w:p>
        </w:tc>
        <w:tc>
          <w:tcPr>
            <w:tcW w:w="1158" w:type="dxa"/>
            <w:tcBorders>
              <w:top w:val="nil"/>
              <w:left w:val="nil"/>
              <w:bottom w:val="single" w:sz="4" w:space="0" w:color="auto"/>
              <w:right w:val="single" w:sz="4" w:space="0" w:color="auto"/>
            </w:tcBorders>
            <w:shd w:val="clear" w:color="000000" w:fill="FFFFFF"/>
            <w:vAlign w:val="center"/>
          </w:tcPr>
          <w:p w14:paraId="2F4979F1" w14:textId="77777777" w:rsidR="00085789" w:rsidRDefault="00000000">
            <w:pPr>
              <w:spacing w:line="240" w:lineRule="auto"/>
              <w:jc w:val="center"/>
              <w:rPr>
                <w:sz w:val="22"/>
                <w:szCs w:val="22"/>
              </w:rPr>
            </w:pPr>
            <w:r>
              <w:rPr>
                <w:sz w:val="22"/>
                <w:szCs w:val="22"/>
              </w:rPr>
              <w:t>6</w:t>
            </w:r>
          </w:p>
        </w:tc>
        <w:tc>
          <w:tcPr>
            <w:tcW w:w="1133" w:type="dxa"/>
            <w:tcBorders>
              <w:top w:val="nil"/>
              <w:left w:val="nil"/>
              <w:bottom w:val="single" w:sz="4" w:space="0" w:color="auto"/>
              <w:right w:val="single" w:sz="4" w:space="0" w:color="auto"/>
            </w:tcBorders>
            <w:shd w:val="clear" w:color="000000" w:fill="FFFFFF"/>
            <w:vAlign w:val="center"/>
          </w:tcPr>
          <w:p w14:paraId="30D7EFD6" w14:textId="77777777" w:rsidR="00085789" w:rsidRDefault="00000000">
            <w:pPr>
              <w:spacing w:line="240" w:lineRule="auto"/>
              <w:jc w:val="center"/>
              <w:rPr>
                <w:sz w:val="22"/>
                <w:szCs w:val="22"/>
              </w:rPr>
            </w:pPr>
            <w:r>
              <w:rPr>
                <w:sz w:val="22"/>
                <w:szCs w:val="22"/>
              </w:rPr>
              <w:t>20</w:t>
            </w:r>
          </w:p>
        </w:tc>
        <w:tc>
          <w:tcPr>
            <w:tcW w:w="1158" w:type="dxa"/>
            <w:tcBorders>
              <w:top w:val="nil"/>
              <w:left w:val="nil"/>
              <w:bottom w:val="single" w:sz="4" w:space="0" w:color="auto"/>
              <w:right w:val="single" w:sz="4" w:space="0" w:color="auto"/>
            </w:tcBorders>
            <w:shd w:val="clear" w:color="000000" w:fill="FFFFFF"/>
            <w:vAlign w:val="center"/>
          </w:tcPr>
          <w:p w14:paraId="6718C40D" w14:textId="77777777" w:rsidR="00085789" w:rsidRDefault="00000000">
            <w:pPr>
              <w:spacing w:line="240" w:lineRule="auto"/>
              <w:jc w:val="center"/>
              <w:rPr>
                <w:sz w:val="22"/>
                <w:szCs w:val="22"/>
              </w:rPr>
            </w:pPr>
            <w:r>
              <w:rPr>
                <w:sz w:val="22"/>
                <w:szCs w:val="22"/>
              </w:rPr>
              <w:t>6</w:t>
            </w:r>
          </w:p>
        </w:tc>
        <w:tc>
          <w:tcPr>
            <w:tcW w:w="1109" w:type="dxa"/>
            <w:tcBorders>
              <w:top w:val="nil"/>
              <w:left w:val="nil"/>
              <w:bottom w:val="single" w:sz="4" w:space="0" w:color="auto"/>
              <w:right w:val="single" w:sz="4" w:space="0" w:color="auto"/>
            </w:tcBorders>
            <w:shd w:val="clear" w:color="000000" w:fill="FFFFFF"/>
            <w:vAlign w:val="center"/>
          </w:tcPr>
          <w:p w14:paraId="3C26025C" w14:textId="77777777" w:rsidR="00085789" w:rsidRDefault="00000000">
            <w:pPr>
              <w:spacing w:line="240" w:lineRule="auto"/>
              <w:jc w:val="center"/>
              <w:rPr>
                <w:sz w:val="22"/>
                <w:szCs w:val="22"/>
              </w:rPr>
            </w:pPr>
            <w:r>
              <w:rPr>
                <w:sz w:val="22"/>
                <w:szCs w:val="22"/>
              </w:rPr>
              <w:t>34,5</w:t>
            </w:r>
          </w:p>
        </w:tc>
        <w:tc>
          <w:tcPr>
            <w:tcW w:w="1158" w:type="dxa"/>
            <w:tcBorders>
              <w:top w:val="nil"/>
              <w:left w:val="nil"/>
              <w:bottom w:val="single" w:sz="4" w:space="0" w:color="auto"/>
              <w:right w:val="single" w:sz="4" w:space="0" w:color="auto"/>
            </w:tcBorders>
            <w:shd w:val="clear" w:color="000000" w:fill="FFFFFF"/>
            <w:vAlign w:val="center"/>
          </w:tcPr>
          <w:p w14:paraId="193562E2" w14:textId="77777777" w:rsidR="00085789" w:rsidRDefault="00000000">
            <w:pPr>
              <w:spacing w:line="240" w:lineRule="auto"/>
              <w:jc w:val="center"/>
              <w:rPr>
                <w:sz w:val="22"/>
                <w:szCs w:val="22"/>
              </w:rPr>
            </w:pPr>
            <w:r>
              <w:rPr>
                <w:sz w:val="22"/>
                <w:szCs w:val="22"/>
              </w:rPr>
              <w:t>1,3</w:t>
            </w:r>
          </w:p>
        </w:tc>
        <w:tc>
          <w:tcPr>
            <w:tcW w:w="1171" w:type="dxa"/>
            <w:tcBorders>
              <w:top w:val="nil"/>
              <w:left w:val="nil"/>
              <w:bottom w:val="single" w:sz="4" w:space="0" w:color="auto"/>
              <w:right w:val="single" w:sz="4" w:space="0" w:color="auto"/>
            </w:tcBorders>
            <w:shd w:val="clear" w:color="000000" w:fill="FFFFFF"/>
            <w:vAlign w:val="center"/>
          </w:tcPr>
          <w:p w14:paraId="301F3B50" w14:textId="77777777" w:rsidR="00085789" w:rsidRDefault="00000000">
            <w:pPr>
              <w:spacing w:line="240" w:lineRule="auto"/>
              <w:jc w:val="center"/>
              <w:rPr>
                <w:sz w:val="22"/>
                <w:szCs w:val="22"/>
              </w:rPr>
            </w:pPr>
            <w:r>
              <w:rPr>
                <w:sz w:val="22"/>
                <w:szCs w:val="22"/>
              </w:rPr>
              <w:t>34,5</w:t>
            </w:r>
          </w:p>
        </w:tc>
        <w:tc>
          <w:tcPr>
            <w:tcW w:w="1158" w:type="dxa"/>
            <w:tcBorders>
              <w:top w:val="nil"/>
              <w:left w:val="nil"/>
              <w:bottom w:val="single" w:sz="4" w:space="0" w:color="auto"/>
              <w:right w:val="single" w:sz="4" w:space="0" w:color="auto"/>
            </w:tcBorders>
            <w:shd w:val="clear" w:color="000000" w:fill="FFFFFF"/>
            <w:vAlign w:val="center"/>
          </w:tcPr>
          <w:p w14:paraId="39334348" w14:textId="77777777" w:rsidR="00085789" w:rsidRDefault="00000000">
            <w:pPr>
              <w:spacing w:line="240" w:lineRule="auto"/>
              <w:jc w:val="center"/>
              <w:rPr>
                <w:sz w:val="22"/>
                <w:szCs w:val="22"/>
              </w:rPr>
            </w:pPr>
            <w:r>
              <w:rPr>
                <w:sz w:val="22"/>
                <w:szCs w:val="22"/>
              </w:rPr>
              <w:t>3,4</w:t>
            </w:r>
          </w:p>
        </w:tc>
        <w:tc>
          <w:tcPr>
            <w:tcW w:w="1532" w:type="dxa"/>
            <w:tcBorders>
              <w:top w:val="nil"/>
              <w:left w:val="nil"/>
              <w:bottom w:val="single" w:sz="4" w:space="0" w:color="auto"/>
              <w:right w:val="single" w:sz="4" w:space="0" w:color="auto"/>
            </w:tcBorders>
            <w:shd w:val="clear" w:color="000000" w:fill="FFFFFF"/>
            <w:vAlign w:val="center"/>
          </w:tcPr>
          <w:p w14:paraId="7EA8E51D" w14:textId="77777777" w:rsidR="00085789" w:rsidRDefault="00000000">
            <w:pPr>
              <w:spacing w:line="240" w:lineRule="auto"/>
              <w:rPr>
                <w:sz w:val="22"/>
                <w:szCs w:val="22"/>
              </w:rPr>
            </w:pPr>
            <w:r>
              <w:rPr>
                <w:sz w:val="22"/>
                <w:szCs w:val="22"/>
              </w:rPr>
              <w:t>Thuê đơn vị có chức năng xử lý</w:t>
            </w:r>
          </w:p>
        </w:tc>
      </w:tr>
      <w:tr w:rsidR="00085789" w14:paraId="162B5612" w14:textId="77777777">
        <w:trPr>
          <w:trHeight w:val="810"/>
        </w:trPr>
        <w:tc>
          <w:tcPr>
            <w:tcW w:w="547" w:type="dxa"/>
            <w:tcBorders>
              <w:top w:val="nil"/>
              <w:left w:val="single" w:sz="4" w:space="0" w:color="auto"/>
              <w:bottom w:val="single" w:sz="4" w:space="0" w:color="auto"/>
              <w:right w:val="single" w:sz="4" w:space="0" w:color="auto"/>
            </w:tcBorders>
            <w:shd w:val="clear" w:color="000000" w:fill="FFFFFF"/>
            <w:vAlign w:val="center"/>
          </w:tcPr>
          <w:p w14:paraId="00C01A2B" w14:textId="77777777" w:rsidR="00085789" w:rsidRDefault="00000000">
            <w:pPr>
              <w:spacing w:line="240" w:lineRule="auto"/>
              <w:jc w:val="center"/>
              <w:rPr>
                <w:sz w:val="22"/>
                <w:szCs w:val="22"/>
              </w:rPr>
            </w:pPr>
            <w:r>
              <w:rPr>
                <w:sz w:val="22"/>
                <w:szCs w:val="22"/>
              </w:rPr>
              <w:t>2</w:t>
            </w:r>
          </w:p>
        </w:tc>
        <w:tc>
          <w:tcPr>
            <w:tcW w:w="1626" w:type="dxa"/>
            <w:tcBorders>
              <w:top w:val="nil"/>
              <w:left w:val="nil"/>
              <w:bottom w:val="single" w:sz="4" w:space="0" w:color="auto"/>
              <w:right w:val="single" w:sz="4" w:space="0" w:color="auto"/>
            </w:tcBorders>
            <w:shd w:val="clear" w:color="000000" w:fill="FFFFFF"/>
            <w:vAlign w:val="center"/>
          </w:tcPr>
          <w:p w14:paraId="64B89F1D" w14:textId="77777777" w:rsidR="00085789" w:rsidRDefault="00000000">
            <w:pPr>
              <w:spacing w:line="240" w:lineRule="auto"/>
              <w:rPr>
                <w:sz w:val="22"/>
                <w:szCs w:val="22"/>
              </w:rPr>
            </w:pPr>
            <w:r>
              <w:rPr>
                <w:sz w:val="22"/>
                <w:szCs w:val="22"/>
              </w:rPr>
              <w:t>Trung tâm kiểm nghiệm thuốc- Dược phẩm - Mỹ phẩm</w:t>
            </w:r>
          </w:p>
        </w:tc>
        <w:tc>
          <w:tcPr>
            <w:tcW w:w="965" w:type="dxa"/>
            <w:tcBorders>
              <w:top w:val="nil"/>
              <w:left w:val="nil"/>
              <w:bottom w:val="single" w:sz="4" w:space="0" w:color="auto"/>
              <w:right w:val="single" w:sz="4" w:space="0" w:color="auto"/>
            </w:tcBorders>
            <w:shd w:val="clear" w:color="000000" w:fill="FFFFFF"/>
            <w:vAlign w:val="center"/>
          </w:tcPr>
          <w:p w14:paraId="19BCFDEB" w14:textId="77777777" w:rsidR="00085789" w:rsidRDefault="00000000">
            <w:pPr>
              <w:spacing w:line="240" w:lineRule="auto"/>
              <w:jc w:val="center"/>
              <w:rPr>
                <w:sz w:val="22"/>
                <w:szCs w:val="22"/>
              </w:rPr>
            </w:pPr>
            <w:r>
              <w:rPr>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0265F246"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1C0C0900" w14:textId="77777777" w:rsidR="00085789" w:rsidRDefault="00000000">
            <w:pPr>
              <w:spacing w:line="240" w:lineRule="auto"/>
              <w:jc w:val="center"/>
              <w:rPr>
                <w:sz w:val="22"/>
                <w:szCs w:val="22"/>
              </w:rPr>
            </w:pPr>
            <w:r>
              <w:rPr>
                <w:sz w:val="22"/>
                <w:szCs w:val="22"/>
              </w:rPr>
              <w:t>0</w:t>
            </w:r>
          </w:p>
        </w:tc>
        <w:tc>
          <w:tcPr>
            <w:tcW w:w="1133" w:type="dxa"/>
            <w:tcBorders>
              <w:top w:val="nil"/>
              <w:left w:val="nil"/>
              <w:bottom w:val="single" w:sz="4" w:space="0" w:color="auto"/>
              <w:right w:val="single" w:sz="4" w:space="0" w:color="auto"/>
            </w:tcBorders>
            <w:shd w:val="clear" w:color="000000" w:fill="FFFFFF"/>
            <w:vAlign w:val="center"/>
          </w:tcPr>
          <w:p w14:paraId="14C206DE"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728E3029" w14:textId="77777777" w:rsidR="00085789" w:rsidRDefault="00000000">
            <w:pPr>
              <w:spacing w:line="240" w:lineRule="auto"/>
              <w:jc w:val="center"/>
              <w:rPr>
                <w:sz w:val="22"/>
                <w:szCs w:val="22"/>
              </w:rPr>
            </w:pPr>
            <w:r>
              <w:rPr>
                <w:sz w:val="22"/>
                <w:szCs w:val="22"/>
              </w:rPr>
              <w:t>0</w:t>
            </w:r>
          </w:p>
        </w:tc>
        <w:tc>
          <w:tcPr>
            <w:tcW w:w="1109" w:type="dxa"/>
            <w:tcBorders>
              <w:top w:val="nil"/>
              <w:left w:val="nil"/>
              <w:bottom w:val="single" w:sz="4" w:space="0" w:color="auto"/>
              <w:right w:val="single" w:sz="4" w:space="0" w:color="auto"/>
            </w:tcBorders>
            <w:shd w:val="clear" w:color="000000" w:fill="FFFFFF"/>
            <w:vAlign w:val="center"/>
          </w:tcPr>
          <w:p w14:paraId="53DA99F7"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0451895A" w14:textId="77777777" w:rsidR="00085789" w:rsidRDefault="00000000">
            <w:pPr>
              <w:spacing w:line="240" w:lineRule="auto"/>
              <w:jc w:val="center"/>
              <w:rPr>
                <w:sz w:val="22"/>
                <w:szCs w:val="22"/>
              </w:rPr>
            </w:pPr>
            <w:r>
              <w:rPr>
                <w:sz w:val="22"/>
                <w:szCs w:val="22"/>
              </w:rPr>
              <w:t>0</w:t>
            </w:r>
          </w:p>
        </w:tc>
        <w:tc>
          <w:tcPr>
            <w:tcW w:w="1171" w:type="dxa"/>
            <w:tcBorders>
              <w:top w:val="nil"/>
              <w:left w:val="nil"/>
              <w:bottom w:val="single" w:sz="4" w:space="0" w:color="auto"/>
              <w:right w:val="single" w:sz="4" w:space="0" w:color="auto"/>
            </w:tcBorders>
            <w:shd w:val="clear" w:color="000000" w:fill="FFFFFF"/>
            <w:vAlign w:val="center"/>
          </w:tcPr>
          <w:p w14:paraId="470EF565"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23E90A45" w14:textId="77777777" w:rsidR="00085789" w:rsidRDefault="00000000">
            <w:pPr>
              <w:spacing w:line="240" w:lineRule="auto"/>
              <w:jc w:val="center"/>
              <w:rPr>
                <w:sz w:val="22"/>
                <w:szCs w:val="22"/>
              </w:rPr>
            </w:pPr>
            <w:r>
              <w:rPr>
                <w:sz w:val="22"/>
                <w:szCs w:val="22"/>
              </w:rPr>
              <w:t>0</w:t>
            </w:r>
          </w:p>
        </w:tc>
        <w:tc>
          <w:tcPr>
            <w:tcW w:w="1532" w:type="dxa"/>
            <w:tcBorders>
              <w:top w:val="nil"/>
              <w:left w:val="nil"/>
              <w:bottom w:val="single" w:sz="4" w:space="0" w:color="auto"/>
              <w:right w:val="single" w:sz="4" w:space="0" w:color="auto"/>
            </w:tcBorders>
            <w:shd w:val="clear" w:color="000000" w:fill="FFFFFF"/>
            <w:vAlign w:val="center"/>
          </w:tcPr>
          <w:p w14:paraId="3E3BC618" w14:textId="77777777" w:rsidR="00085789" w:rsidRDefault="00000000">
            <w:pPr>
              <w:spacing w:line="240" w:lineRule="auto"/>
              <w:rPr>
                <w:sz w:val="22"/>
                <w:szCs w:val="22"/>
              </w:rPr>
            </w:pPr>
            <w:r>
              <w:rPr>
                <w:sz w:val="22"/>
                <w:szCs w:val="22"/>
              </w:rPr>
              <w:t> </w:t>
            </w:r>
          </w:p>
        </w:tc>
      </w:tr>
      <w:tr w:rsidR="00085789" w14:paraId="56FAEDF8"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1791B1BB" w14:textId="77777777" w:rsidR="00085789" w:rsidRDefault="00000000">
            <w:pPr>
              <w:spacing w:line="240" w:lineRule="auto"/>
              <w:jc w:val="center"/>
              <w:rPr>
                <w:sz w:val="22"/>
                <w:szCs w:val="22"/>
              </w:rPr>
            </w:pPr>
            <w:r>
              <w:rPr>
                <w:sz w:val="22"/>
                <w:szCs w:val="22"/>
              </w:rPr>
              <w:t>3</w:t>
            </w:r>
          </w:p>
        </w:tc>
        <w:tc>
          <w:tcPr>
            <w:tcW w:w="1626" w:type="dxa"/>
            <w:tcBorders>
              <w:top w:val="nil"/>
              <w:left w:val="nil"/>
              <w:bottom w:val="single" w:sz="4" w:space="0" w:color="auto"/>
              <w:right w:val="single" w:sz="4" w:space="0" w:color="auto"/>
            </w:tcBorders>
            <w:shd w:val="clear" w:color="000000" w:fill="FFFFFF"/>
            <w:vAlign w:val="center"/>
          </w:tcPr>
          <w:p w14:paraId="4B5C0775" w14:textId="77777777" w:rsidR="00085789" w:rsidRDefault="00000000">
            <w:pPr>
              <w:spacing w:line="240" w:lineRule="auto"/>
              <w:rPr>
                <w:sz w:val="22"/>
                <w:szCs w:val="22"/>
              </w:rPr>
            </w:pPr>
            <w:r>
              <w:rPr>
                <w:sz w:val="22"/>
                <w:szCs w:val="22"/>
              </w:rPr>
              <w:t>Trung tâm Pháp y - Giám định y khoa</w:t>
            </w:r>
          </w:p>
        </w:tc>
        <w:tc>
          <w:tcPr>
            <w:tcW w:w="965" w:type="dxa"/>
            <w:tcBorders>
              <w:top w:val="nil"/>
              <w:left w:val="nil"/>
              <w:bottom w:val="single" w:sz="4" w:space="0" w:color="auto"/>
              <w:right w:val="single" w:sz="4" w:space="0" w:color="auto"/>
            </w:tcBorders>
            <w:shd w:val="clear" w:color="000000" w:fill="FFFFFF"/>
            <w:vAlign w:val="center"/>
          </w:tcPr>
          <w:p w14:paraId="2496FA02" w14:textId="77777777" w:rsidR="00085789" w:rsidRDefault="00000000">
            <w:pPr>
              <w:spacing w:line="240" w:lineRule="auto"/>
              <w:jc w:val="center"/>
              <w:rPr>
                <w:sz w:val="22"/>
                <w:szCs w:val="22"/>
              </w:rPr>
            </w:pPr>
            <w:r>
              <w:rPr>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4F01E4C9"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16B2C67E" w14:textId="77777777" w:rsidR="00085789" w:rsidRDefault="00000000">
            <w:pPr>
              <w:spacing w:line="240" w:lineRule="auto"/>
              <w:jc w:val="center"/>
              <w:rPr>
                <w:sz w:val="22"/>
                <w:szCs w:val="22"/>
              </w:rPr>
            </w:pPr>
            <w:r>
              <w:rPr>
                <w:sz w:val="22"/>
                <w:szCs w:val="22"/>
              </w:rPr>
              <w:t>0</w:t>
            </w:r>
          </w:p>
        </w:tc>
        <w:tc>
          <w:tcPr>
            <w:tcW w:w="1133" w:type="dxa"/>
            <w:tcBorders>
              <w:top w:val="nil"/>
              <w:left w:val="nil"/>
              <w:bottom w:val="single" w:sz="4" w:space="0" w:color="auto"/>
              <w:right w:val="single" w:sz="4" w:space="0" w:color="auto"/>
            </w:tcBorders>
            <w:shd w:val="clear" w:color="000000" w:fill="FFFFFF"/>
            <w:vAlign w:val="center"/>
          </w:tcPr>
          <w:p w14:paraId="63759096"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3038A8E7" w14:textId="77777777" w:rsidR="00085789" w:rsidRDefault="00000000">
            <w:pPr>
              <w:spacing w:line="240" w:lineRule="auto"/>
              <w:jc w:val="center"/>
              <w:rPr>
                <w:sz w:val="22"/>
                <w:szCs w:val="22"/>
              </w:rPr>
            </w:pPr>
            <w:r>
              <w:rPr>
                <w:sz w:val="22"/>
                <w:szCs w:val="22"/>
              </w:rPr>
              <w:t>0</w:t>
            </w:r>
          </w:p>
        </w:tc>
        <w:tc>
          <w:tcPr>
            <w:tcW w:w="1109" w:type="dxa"/>
            <w:tcBorders>
              <w:top w:val="nil"/>
              <w:left w:val="nil"/>
              <w:bottom w:val="single" w:sz="4" w:space="0" w:color="auto"/>
              <w:right w:val="single" w:sz="4" w:space="0" w:color="auto"/>
            </w:tcBorders>
            <w:shd w:val="clear" w:color="000000" w:fill="FFFFFF"/>
            <w:vAlign w:val="center"/>
          </w:tcPr>
          <w:p w14:paraId="08B47AAA"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0ED28FF2" w14:textId="77777777" w:rsidR="00085789" w:rsidRDefault="00000000">
            <w:pPr>
              <w:spacing w:line="240" w:lineRule="auto"/>
              <w:jc w:val="center"/>
              <w:rPr>
                <w:sz w:val="22"/>
                <w:szCs w:val="22"/>
              </w:rPr>
            </w:pPr>
            <w:r>
              <w:rPr>
                <w:sz w:val="22"/>
                <w:szCs w:val="22"/>
              </w:rPr>
              <w:t>0</w:t>
            </w:r>
          </w:p>
        </w:tc>
        <w:tc>
          <w:tcPr>
            <w:tcW w:w="1171" w:type="dxa"/>
            <w:tcBorders>
              <w:top w:val="nil"/>
              <w:left w:val="nil"/>
              <w:bottom w:val="single" w:sz="4" w:space="0" w:color="auto"/>
              <w:right w:val="single" w:sz="4" w:space="0" w:color="auto"/>
            </w:tcBorders>
            <w:shd w:val="clear" w:color="000000" w:fill="FFFFFF"/>
            <w:vAlign w:val="center"/>
          </w:tcPr>
          <w:p w14:paraId="3EE8F5A1" w14:textId="77777777" w:rsidR="00085789" w:rsidRDefault="00000000">
            <w:pPr>
              <w:spacing w:line="240" w:lineRule="auto"/>
              <w:jc w:val="center"/>
              <w:rPr>
                <w:sz w:val="22"/>
                <w:szCs w:val="22"/>
              </w:rPr>
            </w:pPr>
            <w:r>
              <w:rPr>
                <w:sz w:val="22"/>
                <w:szCs w:val="22"/>
              </w:rPr>
              <w:t>10</w:t>
            </w:r>
          </w:p>
        </w:tc>
        <w:tc>
          <w:tcPr>
            <w:tcW w:w="1158" w:type="dxa"/>
            <w:tcBorders>
              <w:top w:val="nil"/>
              <w:left w:val="nil"/>
              <w:bottom w:val="single" w:sz="4" w:space="0" w:color="auto"/>
              <w:right w:val="single" w:sz="4" w:space="0" w:color="auto"/>
            </w:tcBorders>
            <w:shd w:val="clear" w:color="000000" w:fill="FFFFFF"/>
            <w:vAlign w:val="center"/>
          </w:tcPr>
          <w:p w14:paraId="0A23FC9B" w14:textId="77777777" w:rsidR="00085789" w:rsidRDefault="00000000">
            <w:pPr>
              <w:spacing w:line="240" w:lineRule="auto"/>
              <w:jc w:val="center"/>
              <w:rPr>
                <w:sz w:val="22"/>
                <w:szCs w:val="22"/>
              </w:rPr>
            </w:pPr>
            <w:r>
              <w:rPr>
                <w:sz w:val="22"/>
                <w:szCs w:val="22"/>
              </w:rPr>
              <w:t>0</w:t>
            </w:r>
          </w:p>
        </w:tc>
        <w:tc>
          <w:tcPr>
            <w:tcW w:w="1532" w:type="dxa"/>
            <w:tcBorders>
              <w:top w:val="nil"/>
              <w:left w:val="nil"/>
              <w:bottom w:val="single" w:sz="4" w:space="0" w:color="auto"/>
              <w:right w:val="single" w:sz="4" w:space="0" w:color="auto"/>
            </w:tcBorders>
            <w:shd w:val="clear" w:color="000000" w:fill="FFFFFF"/>
            <w:vAlign w:val="center"/>
          </w:tcPr>
          <w:p w14:paraId="219E74FE" w14:textId="77777777" w:rsidR="00085789" w:rsidRDefault="00000000">
            <w:pPr>
              <w:spacing w:line="240" w:lineRule="auto"/>
              <w:rPr>
                <w:sz w:val="22"/>
                <w:szCs w:val="22"/>
              </w:rPr>
            </w:pPr>
            <w:r>
              <w:rPr>
                <w:sz w:val="22"/>
                <w:szCs w:val="22"/>
              </w:rPr>
              <w:t> </w:t>
            </w:r>
          </w:p>
        </w:tc>
      </w:tr>
      <w:tr w:rsidR="00085789" w14:paraId="6FD7A9D9"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738817AF" w14:textId="77777777" w:rsidR="00085789" w:rsidRDefault="00000000">
            <w:pPr>
              <w:spacing w:line="240" w:lineRule="auto"/>
              <w:jc w:val="center"/>
              <w:rPr>
                <w:b/>
                <w:bCs/>
                <w:sz w:val="22"/>
                <w:szCs w:val="22"/>
              </w:rPr>
            </w:pPr>
            <w:r>
              <w:rPr>
                <w:b/>
                <w:bCs/>
                <w:sz w:val="22"/>
                <w:szCs w:val="22"/>
              </w:rPr>
              <w:t>II</w:t>
            </w:r>
          </w:p>
        </w:tc>
        <w:tc>
          <w:tcPr>
            <w:tcW w:w="1626" w:type="dxa"/>
            <w:tcBorders>
              <w:top w:val="nil"/>
              <w:left w:val="nil"/>
              <w:bottom w:val="single" w:sz="4" w:space="0" w:color="auto"/>
              <w:right w:val="single" w:sz="4" w:space="0" w:color="auto"/>
            </w:tcBorders>
            <w:shd w:val="clear" w:color="000000" w:fill="FFFFFF"/>
            <w:vAlign w:val="center"/>
          </w:tcPr>
          <w:p w14:paraId="4701978C" w14:textId="77777777" w:rsidR="00085789" w:rsidRDefault="00000000">
            <w:pPr>
              <w:spacing w:line="240" w:lineRule="auto"/>
              <w:rPr>
                <w:b/>
                <w:bCs/>
                <w:sz w:val="22"/>
                <w:szCs w:val="22"/>
              </w:rPr>
            </w:pPr>
            <w:r>
              <w:rPr>
                <w:b/>
                <w:bCs/>
                <w:sz w:val="22"/>
                <w:szCs w:val="22"/>
              </w:rPr>
              <w:t>Trung tâm y tế huyện (không có giường bệnh)</w:t>
            </w:r>
          </w:p>
        </w:tc>
        <w:tc>
          <w:tcPr>
            <w:tcW w:w="965" w:type="dxa"/>
            <w:tcBorders>
              <w:top w:val="nil"/>
              <w:left w:val="nil"/>
              <w:bottom w:val="single" w:sz="4" w:space="0" w:color="auto"/>
              <w:right w:val="single" w:sz="4" w:space="0" w:color="auto"/>
            </w:tcBorders>
            <w:shd w:val="clear" w:color="000000" w:fill="FFFFFF"/>
            <w:vAlign w:val="center"/>
          </w:tcPr>
          <w:p w14:paraId="231FC32F" w14:textId="77777777" w:rsidR="00085789" w:rsidRDefault="00000000">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148F9614" w14:textId="77777777" w:rsidR="00085789" w:rsidRDefault="00000000">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637D32FD" w14:textId="77777777" w:rsidR="00085789" w:rsidRDefault="00000000">
            <w:pPr>
              <w:spacing w:line="240" w:lineRule="auto"/>
              <w:jc w:val="center"/>
              <w:rPr>
                <w:b/>
                <w:bCs/>
                <w:sz w:val="22"/>
                <w:szCs w:val="22"/>
              </w:rPr>
            </w:pPr>
            <w:r>
              <w:rPr>
                <w:b/>
                <w:bCs/>
                <w:sz w:val="22"/>
                <w:szCs w:val="22"/>
              </w:rPr>
              <w:t>2</w:t>
            </w:r>
          </w:p>
        </w:tc>
        <w:tc>
          <w:tcPr>
            <w:tcW w:w="1133" w:type="dxa"/>
            <w:tcBorders>
              <w:top w:val="nil"/>
              <w:left w:val="nil"/>
              <w:bottom w:val="single" w:sz="4" w:space="0" w:color="auto"/>
              <w:right w:val="single" w:sz="4" w:space="0" w:color="auto"/>
            </w:tcBorders>
            <w:shd w:val="clear" w:color="000000" w:fill="FFFFFF"/>
            <w:vAlign w:val="center"/>
          </w:tcPr>
          <w:p w14:paraId="5519F6D1" w14:textId="77777777" w:rsidR="00085789" w:rsidRDefault="00000000">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601E80C6" w14:textId="77777777" w:rsidR="00085789" w:rsidRDefault="00000000">
            <w:pPr>
              <w:spacing w:line="240" w:lineRule="auto"/>
              <w:jc w:val="center"/>
              <w:rPr>
                <w:b/>
                <w:bCs/>
                <w:sz w:val="22"/>
                <w:szCs w:val="22"/>
              </w:rPr>
            </w:pPr>
            <w:r>
              <w:rPr>
                <w:b/>
                <w:bCs/>
                <w:sz w:val="22"/>
                <w:szCs w:val="22"/>
              </w:rPr>
              <w:t>2</w:t>
            </w:r>
          </w:p>
        </w:tc>
        <w:tc>
          <w:tcPr>
            <w:tcW w:w="1109" w:type="dxa"/>
            <w:tcBorders>
              <w:top w:val="nil"/>
              <w:left w:val="nil"/>
              <w:bottom w:val="single" w:sz="4" w:space="0" w:color="auto"/>
              <w:right w:val="single" w:sz="4" w:space="0" w:color="auto"/>
            </w:tcBorders>
            <w:shd w:val="clear" w:color="000000" w:fill="FFFFFF"/>
            <w:vAlign w:val="center"/>
          </w:tcPr>
          <w:p w14:paraId="0D3F0566" w14:textId="77777777" w:rsidR="00085789" w:rsidRDefault="00000000">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45BEC8E3" w14:textId="77777777" w:rsidR="00085789" w:rsidRDefault="00000000">
            <w:pPr>
              <w:spacing w:line="240" w:lineRule="auto"/>
              <w:jc w:val="center"/>
              <w:rPr>
                <w:b/>
                <w:bCs/>
                <w:sz w:val="22"/>
                <w:szCs w:val="22"/>
              </w:rPr>
            </w:pPr>
            <w:r>
              <w:rPr>
                <w:b/>
                <w:bCs/>
                <w:sz w:val="22"/>
                <w:szCs w:val="22"/>
              </w:rPr>
              <w:t>2</w:t>
            </w:r>
          </w:p>
        </w:tc>
        <w:tc>
          <w:tcPr>
            <w:tcW w:w="1171" w:type="dxa"/>
            <w:tcBorders>
              <w:top w:val="nil"/>
              <w:left w:val="nil"/>
              <w:bottom w:val="single" w:sz="4" w:space="0" w:color="auto"/>
              <w:right w:val="single" w:sz="4" w:space="0" w:color="auto"/>
            </w:tcBorders>
            <w:shd w:val="clear" w:color="000000" w:fill="FFFFFF"/>
            <w:vAlign w:val="center"/>
          </w:tcPr>
          <w:p w14:paraId="432D7419" w14:textId="77777777" w:rsidR="00085789" w:rsidRDefault="00000000">
            <w:pPr>
              <w:spacing w:line="240" w:lineRule="auto"/>
              <w:jc w:val="center"/>
              <w:rPr>
                <w:b/>
                <w:bCs/>
                <w:sz w:val="22"/>
                <w:szCs w:val="22"/>
              </w:rPr>
            </w:pPr>
            <w:r>
              <w:rPr>
                <w:b/>
                <w:bCs/>
                <w:sz w:val="22"/>
                <w:szCs w:val="22"/>
              </w:rPr>
              <w:t>60</w:t>
            </w:r>
          </w:p>
        </w:tc>
        <w:tc>
          <w:tcPr>
            <w:tcW w:w="1158" w:type="dxa"/>
            <w:tcBorders>
              <w:top w:val="nil"/>
              <w:left w:val="nil"/>
              <w:bottom w:val="single" w:sz="4" w:space="0" w:color="auto"/>
              <w:right w:val="single" w:sz="4" w:space="0" w:color="auto"/>
            </w:tcBorders>
            <w:shd w:val="clear" w:color="000000" w:fill="FFFFFF"/>
            <w:vAlign w:val="center"/>
          </w:tcPr>
          <w:p w14:paraId="41CBAF6F" w14:textId="77777777" w:rsidR="00085789" w:rsidRDefault="00000000">
            <w:pPr>
              <w:spacing w:line="240" w:lineRule="auto"/>
              <w:jc w:val="center"/>
              <w:rPr>
                <w:b/>
                <w:bCs/>
                <w:sz w:val="22"/>
                <w:szCs w:val="22"/>
              </w:rPr>
            </w:pPr>
            <w:r>
              <w:rPr>
                <w:b/>
                <w:bCs/>
                <w:sz w:val="22"/>
                <w:szCs w:val="22"/>
              </w:rPr>
              <w:t>2</w:t>
            </w:r>
          </w:p>
        </w:tc>
        <w:tc>
          <w:tcPr>
            <w:tcW w:w="1532" w:type="dxa"/>
            <w:tcBorders>
              <w:top w:val="nil"/>
              <w:left w:val="nil"/>
              <w:bottom w:val="single" w:sz="4" w:space="0" w:color="auto"/>
              <w:right w:val="single" w:sz="4" w:space="0" w:color="auto"/>
            </w:tcBorders>
            <w:shd w:val="clear" w:color="000000" w:fill="FFFFFF"/>
            <w:vAlign w:val="center"/>
          </w:tcPr>
          <w:p w14:paraId="3E1612AF" w14:textId="77777777" w:rsidR="00085789" w:rsidRDefault="00000000">
            <w:pPr>
              <w:spacing w:line="240" w:lineRule="auto"/>
              <w:rPr>
                <w:sz w:val="22"/>
                <w:szCs w:val="22"/>
              </w:rPr>
            </w:pPr>
            <w:r>
              <w:rPr>
                <w:sz w:val="22"/>
                <w:szCs w:val="22"/>
              </w:rPr>
              <w:t>Thuê đơn vị có chức năng xử lý</w:t>
            </w:r>
          </w:p>
        </w:tc>
      </w:tr>
      <w:tr w:rsidR="00085789" w14:paraId="30DE8883" w14:textId="77777777">
        <w:trPr>
          <w:trHeight w:val="600"/>
        </w:trPr>
        <w:tc>
          <w:tcPr>
            <w:tcW w:w="547" w:type="dxa"/>
            <w:tcBorders>
              <w:top w:val="nil"/>
              <w:left w:val="single" w:sz="4" w:space="0" w:color="auto"/>
              <w:bottom w:val="single" w:sz="4" w:space="0" w:color="auto"/>
              <w:right w:val="single" w:sz="4" w:space="0" w:color="auto"/>
            </w:tcBorders>
            <w:shd w:val="clear" w:color="000000" w:fill="FFFFFF"/>
            <w:vAlign w:val="center"/>
          </w:tcPr>
          <w:p w14:paraId="3F9BE7B6" w14:textId="77777777" w:rsidR="00085789" w:rsidRDefault="00000000">
            <w:pPr>
              <w:spacing w:line="240" w:lineRule="auto"/>
              <w:jc w:val="center"/>
              <w:rPr>
                <w:sz w:val="22"/>
                <w:szCs w:val="22"/>
              </w:rPr>
            </w:pPr>
            <w:r>
              <w:rPr>
                <w:sz w:val="22"/>
                <w:szCs w:val="22"/>
              </w:rPr>
              <w:t> </w:t>
            </w:r>
          </w:p>
        </w:tc>
        <w:tc>
          <w:tcPr>
            <w:tcW w:w="1626" w:type="dxa"/>
            <w:tcBorders>
              <w:top w:val="nil"/>
              <w:left w:val="nil"/>
              <w:bottom w:val="single" w:sz="4" w:space="0" w:color="auto"/>
              <w:right w:val="single" w:sz="4" w:space="0" w:color="auto"/>
            </w:tcBorders>
            <w:shd w:val="clear" w:color="000000" w:fill="FFFFFF"/>
            <w:vAlign w:val="center"/>
          </w:tcPr>
          <w:p w14:paraId="5B1510F3" w14:textId="77777777" w:rsidR="00085789" w:rsidRDefault="00000000">
            <w:pPr>
              <w:spacing w:line="240" w:lineRule="auto"/>
              <w:rPr>
                <w:b/>
                <w:bCs/>
                <w:i/>
                <w:iCs/>
                <w:sz w:val="22"/>
                <w:szCs w:val="22"/>
              </w:rPr>
            </w:pPr>
            <w:r>
              <w:rPr>
                <w:b/>
                <w:bCs/>
                <w:i/>
                <w:iCs/>
                <w:sz w:val="22"/>
                <w:szCs w:val="22"/>
              </w:rPr>
              <w:t>Cộng (A+B)</w:t>
            </w:r>
          </w:p>
        </w:tc>
        <w:tc>
          <w:tcPr>
            <w:tcW w:w="965" w:type="dxa"/>
            <w:tcBorders>
              <w:top w:val="nil"/>
              <w:left w:val="nil"/>
              <w:bottom w:val="single" w:sz="4" w:space="0" w:color="auto"/>
              <w:right w:val="single" w:sz="4" w:space="0" w:color="auto"/>
            </w:tcBorders>
            <w:shd w:val="clear" w:color="000000" w:fill="FFFFFF"/>
            <w:vAlign w:val="center"/>
          </w:tcPr>
          <w:p w14:paraId="52382054" w14:textId="77777777" w:rsidR="00085789" w:rsidRDefault="00000000">
            <w:pPr>
              <w:spacing w:line="240" w:lineRule="auto"/>
              <w:jc w:val="center"/>
              <w:rPr>
                <w:b/>
                <w:bCs/>
                <w:i/>
                <w:iCs/>
                <w:sz w:val="22"/>
                <w:szCs w:val="22"/>
              </w:rPr>
            </w:pPr>
            <w:r>
              <w:rPr>
                <w:b/>
                <w:bCs/>
                <w:i/>
                <w:iCs/>
                <w:sz w:val="22"/>
                <w:szCs w:val="22"/>
              </w:rPr>
              <w:t>3934</w:t>
            </w:r>
          </w:p>
        </w:tc>
        <w:tc>
          <w:tcPr>
            <w:tcW w:w="1236" w:type="dxa"/>
            <w:tcBorders>
              <w:top w:val="nil"/>
              <w:left w:val="nil"/>
              <w:bottom w:val="single" w:sz="4" w:space="0" w:color="auto"/>
              <w:right w:val="single" w:sz="4" w:space="0" w:color="auto"/>
            </w:tcBorders>
            <w:shd w:val="clear" w:color="000000" w:fill="FFFFFF"/>
            <w:vAlign w:val="center"/>
          </w:tcPr>
          <w:p w14:paraId="4E3D1F7D" w14:textId="77777777" w:rsidR="00085789" w:rsidRDefault="00000000">
            <w:pPr>
              <w:spacing w:line="240" w:lineRule="auto"/>
              <w:jc w:val="center"/>
              <w:rPr>
                <w:b/>
                <w:bCs/>
                <w:i/>
                <w:iCs/>
                <w:sz w:val="22"/>
                <w:szCs w:val="22"/>
              </w:rPr>
            </w:pPr>
            <w:r>
              <w:rPr>
                <w:b/>
                <w:bCs/>
                <w:i/>
                <w:iCs/>
                <w:sz w:val="22"/>
                <w:szCs w:val="22"/>
              </w:rPr>
              <w:t>5966</w:t>
            </w:r>
          </w:p>
        </w:tc>
        <w:tc>
          <w:tcPr>
            <w:tcW w:w="1158" w:type="dxa"/>
            <w:tcBorders>
              <w:top w:val="nil"/>
              <w:left w:val="nil"/>
              <w:bottom w:val="single" w:sz="4" w:space="0" w:color="auto"/>
              <w:right w:val="single" w:sz="4" w:space="0" w:color="auto"/>
            </w:tcBorders>
            <w:shd w:val="clear" w:color="000000" w:fill="FFFFFF"/>
            <w:vAlign w:val="center"/>
          </w:tcPr>
          <w:p w14:paraId="19EDEA9C" w14:textId="77777777" w:rsidR="00085789" w:rsidRDefault="00000000">
            <w:pPr>
              <w:spacing w:line="240" w:lineRule="auto"/>
              <w:jc w:val="center"/>
              <w:rPr>
                <w:b/>
                <w:bCs/>
                <w:i/>
                <w:iCs/>
                <w:sz w:val="22"/>
                <w:szCs w:val="22"/>
              </w:rPr>
            </w:pPr>
            <w:r>
              <w:rPr>
                <w:b/>
                <w:bCs/>
                <w:i/>
                <w:iCs/>
                <w:sz w:val="22"/>
                <w:szCs w:val="22"/>
              </w:rPr>
              <w:t>648</w:t>
            </w:r>
          </w:p>
        </w:tc>
        <w:tc>
          <w:tcPr>
            <w:tcW w:w="1133" w:type="dxa"/>
            <w:tcBorders>
              <w:top w:val="nil"/>
              <w:left w:val="nil"/>
              <w:bottom w:val="single" w:sz="4" w:space="0" w:color="auto"/>
              <w:right w:val="single" w:sz="4" w:space="0" w:color="auto"/>
            </w:tcBorders>
            <w:shd w:val="clear" w:color="000000" w:fill="FFFFFF"/>
            <w:vAlign w:val="center"/>
          </w:tcPr>
          <w:p w14:paraId="574E213C" w14:textId="77777777" w:rsidR="00085789" w:rsidRDefault="00000000">
            <w:pPr>
              <w:spacing w:line="240" w:lineRule="auto"/>
              <w:jc w:val="center"/>
              <w:rPr>
                <w:b/>
                <w:bCs/>
                <w:i/>
                <w:iCs/>
                <w:sz w:val="22"/>
                <w:szCs w:val="22"/>
              </w:rPr>
            </w:pPr>
            <w:r>
              <w:rPr>
                <w:b/>
                <w:bCs/>
                <w:i/>
                <w:iCs/>
                <w:sz w:val="22"/>
                <w:szCs w:val="22"/>
              </w:rPr>
              <w:t>6975</w:t>
            </w:r>
          </w:p>
        </w:tc>
        <w:tc>
          <w:tcPr>
            <w:tcW w:w="1158" w:type="dxa"/>
            <w:tcBorders>
              <w:top w:val="nil"/>
              <w:left w:val="nil"/>
              <w:bottom w:val="single" w:sz="4" w:space="0" w:color="auto"/>
              <w:right w:val="single" w:sz="4" w:space="0" w:color="auto"/>
            </w:tcBorders>
            <w:shd w:val="clear" w:color="000000" w:fill="FFFFFF"/>
            <w:vAlign w:val="center"/>
          </w:tcPr>
          <w:p w14:paraId="6B5DEE55" w14:textId="77777777" w:rsidR="00085789" w:rsidRDefault="00000000">
            <w:pPr>
              <w:spacing w:line="240" w:lineRule="auto"/>
              <w:jc w:val="center"/>
              <w:rPr>
                <w:b/>
                <w:bCs/>
                <w:i/>
                <w:iCs/>
                <w:sz w:val="22"/>
                <w:szCs w:val="22"/>
              </w:rPr>
            </w:pPr>
            <w:r>
              <w:rPr>
                <w:b/>
                <w:bCs/>
                <w:i/>
                <w:iCs/>
                <w:sz w:val="22"/>
                <w:szCs w:val="22"/>
              </w:rPr>
              <w:t>674</w:t>
            </w:r>
          </w:p>
        </w:tc>
        <w:tc>
          <w:tcPr>
            <w:tcW w:w="1109" w:type="dxa"/>
            <w:tcBorders>
              <w:top w:val="nil"/>
              <w:left w:val="nil"/>
              <w:bottom w:val="single" w:sz="4" w:space="0" w:color="auto"/>
              <w:right w:val="single" w:sz="4" w:space="0" w:color="auto"/>
            </w:tcBorders>
            <w:shd w:val="clear" w:color="000000" w:fill="FFFFFF"/>
            <w:vAlign w:val="center"/>
          </w:tcPr>
          <w:p w14:paraId="0D8D3688" w14:textId="77777777" w:rsidR="00085789" w:rsidRDefault="00000000">
            <w:pPr>
              <w:spacing w:line="240" w:lineRule="auto"/>
              <w:jc w:val="center"/>
              <w:rPr>
                <w:b/>
                <w:bCs/>
                <w:i/>
                <w:iCs/>
                <w:sz w:val="22"/>
                <w:szCs w:val="22"/>
              </w:rPr>
            </w:pPr>
            <w:r>
              <w:rPr>
                <w:b/>
                <w:bCs/>
                <w:i/>
                <w:iCs/>
                <w:sz w:val="22"/>
                <w:szCs w:val="22"/>
              </w:rPr>
              <w:t>6795,3</w:t>
            </w:r>
          </w:p>
        </w:tc>
        <w:tc>
          <w:tcPr>
            <w:tcW w:w="1158" w:type="dxa"/>
            <w:tcBorders>
              <w:top w:val="nil"/>
              <w:left w:val="nil"/>
              <w:bottom w:val="single" w:sz="4" w:space="0" w:color="auto"/>
              <w:right w:val="single" w:sz="4" w:space="0" w:color="auto"/>
            </w:tcBorders>
            <w:shd w:val="clear" w:color="000000" w:fill="FFFFFF"/>
            <w:vAlign w:val="center"/>
          </w:tcPr>
          <w:p w14:paraId="7D71B86C" w14:textId="77777777" w:rsidR="00085789" w:rsidRDefault="00000000">
            <w:pPr>
              <w:spacing w:line="240" w:lineRule="auto"/>
              <w:jc w:val="center"/>
              <w:rPr>
                <w:b/>
                <w:bCs/>
                <w:i/>
                <w:iCs/>
                <w:sz w:val="22"/>
                <w:szCs w:val="22"/>
              </w:rPr>
            </w:pPr>
            <w:r>
              <w:rPr>
                <w:b/>
                <w:bCs/>
                <w:i/>
                <w:iCs/>
                <w:sz w:val="22"/>
                <w:szCs w:val="22"/>
              </w:rPr>
              <w:t>682,8</w:t>
            </w:r>
          </w:p>
        </w:tc>
        <w:tc>
          <w:tcPr>
            <w:tcW w:w="1171" w:type="dxa"/>
            <w:tcBorders>
              <w:top w:val="nil"/>
              <w:left w:val="nil"/>
              <w:bottom w:val="single" w:sz="4" w:space="0" w:color="auto"/>
              <w:right w:val="single" w:sz="4" w:space="0" w:color="auto"/>
            </w:tcBorders>
            <w:shd w:val="clear" w:color="000000" w:fill="FFFFFF"/>
            <w:vAlign w:val="center"/>
          </w:tcPr>
          <w:p w14:paraId="0EBD1035" w14:textId="77777777" w:rsidR="00085789" w:rsidRDefault="00000000">
            <w:pPr>
              <w:spacing w:line="240" w:lineRule="auto"/>
              <w:jc w:val="center"/>
              <w:rPr>
                <w:b/>
                <w:bCs/>
                <w:i/>
                <w:iCs/>
                <w:sz w:val="22"/>
                <w:szCs w:val="22"/>
              </w:rPr>
            </w:pPr>
            <w:r>
              <w:rPr>
                <w:b/>
                <w:bCs/>
                <w:i/>
                <w:iCs/>
                <w:sz w:val="22"/>
                <w:szCs w:val="22"/>
              </w:rPr>
              <w:t>7771,4</w:t>
            </w:r>
          </w:p>
        </w:tc>
        <w:tc>
          <w:tcPr>
            <w:tcW w:w="1158" w:type="dxa"/>
            <w:tcBorders>
              <w:top w:val="nil"/>
              <w:left w:val="nil"/>
              <w:bottom w:val="single" w:sz="4" w:space="0" w:color="auto"/>
              <w:right w:val="single" w:sz="4" w:space="0" w:color="auto"/>
            </w:tcBorders>
            <w:shd w:val="clear" w:color="000000" w:fill="FFFFFF"/>
            <w:vAlign w:val="center"/>
          </w:tcPr>
          <w:p w14:paraId="0623763B" w14:textId="77777777" w:rsidR="00085789" w:rsidRDefault="00000000">
            <w:pPr>
              <w:spacing w:line="240" w:lineRule="auto"/>
              <w:jc w:val="center"/>
              <w:rPr>
                <w:b/>
                <w:bCs/>
                <w:i/>
                <w:iCs/>
                <w:sz w:val="22"/>
                <w:szCs w:val="22"/>
              </w:rPr>
            </w:pPr>
            <w:r>
              <w:rPr>
                <w:b/>
                <w:bCs/>
                <w:i/>
                <w:iCs/>
                <w:sz w:val="22"/>
                <w:szCs w:val="22"/>
              </w:rPr>
              <w:t>792,1</w:t>
            </w:r>
          </w:p>
        </w:tc>
        <w:tc>
          <w:tcPr>
            <w:tcW w:w="1532" w:type="dxa"/>
            <w:tcBorders>
              <w:top w:val="nil"/>
              <w:left w:val="nil"/>
              <w:bottom w:val="single" w:sz="4" w:space="0" w:color="auto"/>
              <w:right w:val="single" w:sz="4" w:space="0" w:color="auto"/>
            </w:tcBorders>
            <w:shd w:val="clear" w:color="000000" w:fill="FFFFFF"/>
            <w:vAlign w:val="center"/>
          </w:tcPr>
          <w:p w14:paraId="197B7906" w14:textId="77777777" w:rsidR="00085789" w:rsidRDefault="00000000">
            <w:pPr>
              <w:spacing w:line="240" w:lineRule="auto"/>
              <w:rPr>
                <w:sz w:val="22"/>
                <w:szCs w:val="22"/>
              </w:rPr>
            </w:pPr>
            <w:r>
              <w:rPr>
                <w:sz w:val="22"/>
                <w:szCs w:val="22"/>
              </w:rPr>
              <w:t> </w:t>
            </w:r>
          </w:p>
        </w:tc>
      </w:tr>
      <w:tr w:rsidR="00085789" w14:paraId="3C3106B5" w14:textId="77777777">
        <w:trPr>
          <w:trHeight w:val="600"/>
        </w:trPr>
        <w:tc>
          <w:tcPr>
            <w:tcW w:w="2173"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6427DF4E" w14:textId="77777777" w:rsidR="00085789" w:rsidRDefault="00000000">
            <w:pPr>
              <w:spacing w:line="240" w:lineRule="auto"/>
              <w:jc w:val="center"/>
              <w:rPr>
                <w:b/>
                <w:bCs/>
                <w:sz w:val="22"/>
                <w:szCs w:val="22"/>
              </w:rPr>
            </w:pPr>
            <w:r>
              <w:rPr>
                <w:b/>
                <w:bCs/>
                <w:sz w:val="22"/>
                <w:szCs w:val="22"/>
              </w:rPr>
              <w:t>Tổng (kg/ngày đêm)</w:t>
            </w:r>
          </w:p>
        </w:tc>
        <w:tc>
          <w:tcPr>
            <w:tcW w:w="965" w:type="dxa"/>
            <w:tcBorders>
              <w:top w:val="nil"/>
              <w:left w:val="nil"/>
              <w:bottom w:val="single" w:sz="4" w:space="0" w:color="auto"/>
              <w:right w:val="single" w:sz="4" w:space="0" w:color="auto"/>
            </w:tcBorders>
            <w:shd w:val="clear" w:color="000000" w:fill="FFFFFF"/>
            <w:vAlign w:val="center"/>
          </w:tcPr>
          <w:p w14:paraId="68AEABBE" w14:textId="77777777" w:rsidR="00085789" w:rsidRDefault="00000000">
            <w:pPr>
              <w:spacing w:line="240" w:lineRule="auto"/>
              <w:jc w:val="center"/>
              <w:rPr>
                <w:b/>
                <w:bCs/>
                <w:sz w:val="22"/>
                <w:szCs w:val="22"/>
              </w:rPr>
            </w:pPr>
            <w:r>
              <w:rPr>
                <w:b/>
                <w:b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0FFF9442" w14:textId="77777777" w:rsidR="00085789" w:rsidRDefault="00000000">
            <w:pPr>
              <w:spacing w:line="240" w:lineRule="auto"/>
              <w:jc w:val="center"/>
              <w:rPr>
                <w:b/>
                <w:bCs/>
                <w:i/>
                <w:iCs/>
                <w:sz w:val="22"/>
                <w:szCs w:val="22"/>
              </w:rPr>
            </w:pPr>
            <w:r>
              <w:rPr>
                <w:b/>
                <w:bCs/>
                <w:i/>
                <w:iCs/>
                <w:sz w:val="22"/>
                <w:szCs w:val="22"/>
              </w:rPr>
              <w:t>5966</w:t>
            </w:r>
          </w:p>
        </w:tc>
        <w:tc>
          <w:tcPr>
            <w:tcW w:w="1158" w:type="dxa"/>
            <w:tcBorders>
              <w:top w:val="nil"/>
              <w:left w:val="nil"/>
              <w:bottom w:val="single" w:sz="4" w:space="0" w:color="auto"/>
              <w:right w:val="single" w:sz="4" w:space="0" w:color="auto"/>
            </w:tcBorders>
            <w:shd w:val="clear" w:color="000000" w:fill="FFFFFF"/>
            <w:vAlign w:val="center"/>
          </w:tcPr>
          <w:p w14:paraId="5AE76198" w14:textId="77777777" w:rsidR="00085789" w:rsidRDefault="00000000">
            <w:pPr>
              <w:spacing w:line="240" w:lineRule="auto"/>
              <w:jc w:val="center"/>
              <w:rPr>
                <w:b/>
                <w:bCs/>
                <w:i/>
                <w:iCs/>
                <w:sz w:val="22"/>
                <w:szCs w:val="22"/>
              </w:rPr>
            </w:pPr>
            <w:r>
              <w:rPr>
                <w:b/>
                <w:bCs/>
                <w:i/>
                <w:iCs/>
                <w:sz w:val="22"/>
                <w:szCs w:val="22"/>
              </w:rPr>
              <w:t>648</w:t>
            </w:r>
          </w:p>
        </w:tc>
        <w:tc>
          <w:tcPr>
            <w:tcW w:w="1133" w:type="dxa"/>
            <w:tcBorders>
              <w:top w:val="nil"/>
              <w:left w:val="nil"/>
              <w:bottom w:val="single" w:sz="4" w:space="0" w:color="auto"/>
              <w:right w:val="single" w:sz="4" w:space="0" w:color="auto"/>
            </w:tcBorders>
            <w:shd w:val="clear" w:color="000000" w:fill="FFFFFF"/>
            <w:vAlign w:val="center"/>
          </w:tcPr>
          <w:p w14:paraId="7997F834" w14:textId="77777777" w:rsidR="00085789" w:rsidRDefault="00000000">
            <w:pPr>
              <w:spacing w:line="240" w:lineRule="auto"/>
              <w:jc w:val="center"/>
              <w:rPr>
                <w:b/>
                <w:bCs/>
                <w:i/>
                <w:iCs/>
                <w:sz w:val="22"/>
                <w:szCs w:val="22"/>
              </w:rPr>
            </w:pPr>
            <w:r>
              <w:rPr>
                <w:b/>
                <w:bCs/>
                <w:i/>
                <w:iCs/>
                <w:sz w:val="22"/>
                <w:szCs w:val="22"/>
              </w:rPr>
              <w:t>6975</w:t>
            </w:r>
          </w:p>
        </w:tc>
        <w:tc>
          <w:tcPr>
            <w:tcW w:w="1158" w:type="dxa"/>
            <w:tcBorders>
              <w:top w:val="nil"/>
              <w:left w:val="nil"/>
              <w:bottom w:val="single" w:sz="4" w:space="0" w:color="auto"/>
              <w:right w:val="single" w:sz="4" w:space="0" w:color="auto"/>
            </w:tcBorders>
            <w:shd w:val="clear" w:color="000000" w:fill="FFFFFF"/>
            <w:vAlign w:val="center"/>
          </w:tcPr>
          <w:p w14:paraId="5619E9FC" w14:textId="77777777" w:rsidR="00085789" w:rsidRDefault="00000000">
            <w:pPr>
              <w:spacing w:line="240" w:lineRule="auto"/>
              <w:jc w:val="center"/>
              <w:rPr>
                <w:b/>
                <w:bCs/>
                <w:i/>
                <w:iCs/>
                <w:sz w:val="22"/>
                <w:szCs w:val="22"/>
              </w:rPr>
            </w:pPr>
            <w:r>
              <w:rPr>
                <w:b/>
                <w:bCs/>
                <w:i/>
                <w:iCs/>
                <w:sz w:val="22"/>
                <w:szCs w:val="22"/>
              </w:rPr>
              <w:t>674</w:t>
            </w:r>
          </w:p>
        </w:tc>
        <w:tc>
          <w:tcPr>
            <w:tcW w:w="1109" w:type="dxa"/>
            <w:tcBorders>
              <w:top w:val="nil"/>
              <w:left w:val="nil"/>
              <w:bottom w:val="single" w:sz="4" w:space="0" w:color="auto"/>
              <w:right w:val="single" w:sz="4" w:space="0" w:color="auto"/>
            </w:tcBorders>
            <w:shd w:val="clear" w:color="000000" w:fill="FFFFFF"/>
            <w:vAlign w:val="center"/>
          </w:tcPr>
          <w:p w14:paraId="3B325591" w14:textId="77777777" w:rsidR="00085789" w:rsidRDefault="00000000">
            <w:pPr>
              <w:spacing w:line="240" w:lineRule="auto"/>
              <w:jc w:val="center"/>
              <w:rPr>
                <w:b/>
                <w:bCs/>
                <w:i/>
                <w:iCs/>
                <w:sz w:val="22"/>
                <w:szCs w:val="22"/>
              </w:rPr>
            </w:pPr>
            <w:r>
              <w:rPr>
                <w:b/>
                <w:bCs/>
                <w:i/>
                <w:iCs/>
                <w:sz w:val="22"/>
                <w:szCs w:val="22"/>
              </w:rPr>
              <w:t>6795,3</w:t>
            </w:r>
          </w:p>
        </w:tc>
        <w:tc>
          <w:tcPr>
            <w:tcW w:w="1158" w:type="dxa"/>
            <w:tcBorders>
              <w:top w:val="nil"/>
              <w:left w:val="nil"/>
              <w:bottom w:val="single" w:sz="4" w:space="0" w:color="auto"/>
              <w:right w:val="single" w:sz="4" w:space="0" w:color="auto"/>
            </w:tcBorders>
            <w:shd w:val="clear" w:color="000000" w:fill="FFFFFF"/>
            <w:vAlign w:val="center"/>
          </w:tcPr>
          <w:p w14:paraId="15098088" w14:textId="77777777" w:rsidR="00085789" w:rsidRDefault="00000000">
            <w:pPr>
              <w:spacing w:line="240" w:lineRule="auto"/>
              <w:jc w:val="center"/>
              <w:rPr>
                <w:b/>
                <w:bCs/>
                <w:i/>
                <w:iCs/>
                <w:sz w:val="22"/>
                <w:szCs w:val="22"/>
              </w:rPr>
            </w:pPr>
            <w:r>
              <w:rPr>
                <w:b/>
                <w:bCs/>
                <w:i/>
                <w:iCs/>
                <w:sz w:val="22"/>
                <w:szCs w:val="22"/>
              </w:rPr>
              <w:t>261,5</w:t>
            </w:r>
          </w:p>
        </w:tc>
        <w:tc>
          <w:tcPr>
            <w:tcW w:w="1171" w:type="dxa"/>
            <w:tcBorders>
              <w:top w:val="nil"/>
              <w:left w:val="nil"/>
              <w:bottom w:val="single" w:sz="4" w:space="0" w:color="auto"/>
              <w:right w:val="single" w:sz="4" w:space="0" w:color="auto"/>
            </w:tcBorders>
            <w:shd w:val="clear" w:color="000000" w:fill="FFFFFF"/>
            <w:vAlign w:val="center"/>
          </w:tcPr>
          <w:p w14:paraId="2894A79E" w14:textId="77777777" w:rsidR="00085789" w:rsidRDefault="00000000">
            <w:pPr>
              <w:spacing w:line="240" w:lineRule="auto"/>
              <w:jc w:val="center"/>
              <w:rPr>
                <w:b/>
                <w:bCs/>
                <w:i/>
                <w:iCs/>
                <w:sz w:val="22"/>
                <w:szCs w:val="22"/>
              </w:rPr>
            </w:pPr>
            <w:r>
              <w:rPr>
                <w:b/>
                <w:bCs/>
                <w:i/>
                <w:iCs/>
                <w:sz w:val="22"/>
                <w:szCs w:val="22"/>
              </w:rPr>
              <w:t>7771,4</w:t>
            </w:r>
          </w:p>
        </w:tc>
        <w:tc>
          <w:tcPr>
            <w:tcW w:w="1158" w:type="dxa"/>
            <w:tcBorders>
              <w:top w:val="nil"/>
              <w:left w:val="nil"/>
              <w:bottom w:val="single" w:sz="4" w:space="0" w:color="auto"/>
              <w:right w:val="single" w:sz="4" w:space="0" w:color="auto"/>
            </w:tcBorders>
            <w:shd w:val="clear" w:color="000000" w:fill="FFFFFF"/>
            <w:vAlign w:val="center"/>
          </w:tcPr>
          <w:p w14:paraId="69EF1371" w14:textId="77777777" w:rsidR="00085789" w:rsidRDefault="00000000">
            <w:pPr>
              <w:spacing w:line="240" w:lineRule="auto"/>
              <w:jc w:val="center"/>
              <w:rPr>
                <w:b/>
                <w:bCs/>
                <w:i/>
                <w:iCs/>
                <w:sz w:val="22"/>
                <w:szCs w:val="22"/>
              </w:rPr>
            </w:pPr>
            <w:r>
              <w:rPr>
                <w:b/>
                <w:bCs/>
                <w:i/>
                <w:iCs/>
                <w:sz w:val="22"/>
                <w:szCs w:val="22"/>
              </w:rPr>
              <w:t>336,2</w:t>
            </w:r>
          </w:p>
        </w:tc>
        <w:tc>
          <w:tcPr>
            <w:tcW w:w="1532" w:type="dxa"/>
            <w:tcBorders>
              <w:top w:val="nil"/>
              <w:left w:val="nil"/>
              <w:bottom w:val="single" w:sz="4" w:space="0" w:color="auto"/>
              <w:right w:val="single" w:sz="4" w:space="0" w:color="auto"/>
            </w:tcBorders>
            <w:shd w:val="clear" w:color="000000" w:fill="FFFFFF"/>
            <w:vAlign w:val="center"/>
          </w:tcPr>
          <w:p w14:paraId="13C9B4FD" w14:textId="77777777" w:rsidR="00085789" w:rsidRDefault="00000000">
            <w:pPr>
              <w:spacing w:line="240" w:lineRule="auto"/>
              <w:rPr>
                <w:sz w:val="22"/>
                <w:szCs w:val="22"/>
              </w:rPr>
            </w:pPr>
            <w:r>
              <w:rPr>
                <w:sz w:val="22"/>
                <w:szCs w:val="22"/>
              </w:rPr>
              <w:t> </w:t>
            </w:r>
          </w:p>
        </w:tc>
      </w:tr>
      <w:tr w:rsidR="00085789" w14:paraId="304C78ED" w14:textId="77777777">
        <w:trPr>
          <w:trHeight w:val="600"/>
        </w:trPr>
        <w:tc>
          <w:tcPr>
            <w:tcW w:w="2173"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14:paraId="3FDB1B74" w14:textId="77777777" w:rsidR="00085789" w:rsidRDefault="00000000">
            <w:pPr>
              <w:spacing w:line="240" w:lineRule="auto"/>
              <w:jc w:val="center"/>
              <w:rPr>
                <w:b/>
                <w:bCs/>
                <w:i/>
                <w:iCs/>
                <w:sz w:val="22"/>
                <w:szCs w:val="22"/>
              </w:rPr>
            </w:pPr>
            <w:r>
              <w:rPr>
                <w:b/>
                <w:bCs/>
                <w:i/>
                <w:iCs/>
                <w:sz w:val="22"/>
                <w:szCs w:val="22"/>
              </w:rPr>
              <w:t>Tổng (tấn/năm)</w:t>
            </w:r>
          </w:p>
        </w:tc>
        <w:tc>
          <w:tcPr>
            <w:tcW w:w="965" w:type="dxa"/>
            <w:tcBorders>
              <w:top w:val="nil"/>
              <w:left w:val="nil"/>
              <w:bottom w:val="single" w:sz="4" w:space="0" w:color="auto"/>
              <w:right w:val="single" w:sz="4" w:space="0" w:color="auto"/>
            </w:tcBorders>
            <w:shd w:val="clear" w:color="000000" w:fill="FFFFFF"/>
            <w:vAlign w:val="center"/>
          </w:tcPr>
          <w:p w14:paraId="53B918D7" w14:textId="77777777" w:rsidR="00085789" w:rsidRDefault="00000000">
            <w:pPr>
              <w:spacing w:line="240" w:lineRule="auto"/>
              <w:jc w:val="center"/>
              <w:rPr>
                <w:b/>
                <w:bCs/>
                <w:i/>
                <w:iCs/>
                <w:sz w:val="22"/>
                <w:szCs w:val="22"/>
              </w:rPr>
            </w:pPr>
            <w:r>
              <w:rPr>
                <w:b/>
                <w:bCs/>
                <w:i/>
                <w:iCs/>
                <w:sz w:val="22"/>
                <w:szCs w:val="22"/>
              </w:rPr>
              <w:t> </w:t>
            </w:r>
          </w:p>
        </w:tc>
        <w:tc>
          <w:tcPr>
            <w:tcW w:w="1236" w:type="dxa"/>
            <w:tcBorders>
              <w:top w:val="nil"/>
              <w:left w:val="nil"/>
              <w:bottom w:val="single" w:sz="4" w:space="0" w:color="auto"/>
              <w:right w:val="single" w:sz="4" w:space="0" w:color="auto"/>
            </w:tcBorders>
            <w:shd w:val="clear" w:color="000000" w:fill="FFFFFF"/>
            <w:vAlign w:val="center"/>
          </w:tcPr>
          <w:p w14:paraId="7EFAD8ED" w14:textId="77777777" w:rsidR="00085789" w:rsidRDefault="00000000">
            <w:pPr>
              <w:spacing w:line="240" w:lineRule="auto"/>
              <w:jc w:val="center"/>
              <w:rPr>
                <w:b/>
                <w:bCs/>
                <w:sz w:val="22"/>
                <w:szCs w:val="22"/>
              </w:rPr>
            </w:pPr>
            <w:r>
              <w:rPr>
                <w:b/>
                <w:bCs/>
                <w:sz w:val="22"/>
                <w:szCs w:val="22"/>
              </w:rPr>
              <w:t>2177</w:t>
            </w:r>
          </w:p>
        </w:tc>
        <w:tc>
          <w:tcPr>
            <w:tcW w:w="1158" w:type="dxa"/>
            <w:tcBorders>
              <w:top w:val="nil"/>
              <w:left w:val="nil"/>
              <w:bottom w:val="single" w:sz="4" w:space="0" w:color="auto"/>
              <w:right w:val="single" w:sz="4" w:space="0" w:color="auto"/>
            </w:tcBorders>
            <w:shd w:val="clear" w:color="000000" w:fill="FFFFFF"/>
            <w:vAlign w:val="center"/>
          </w:tcPr>
          <w:p w14:paraId="786100B8" w14:textId="77777777" w:rsidR="00085789" w:rsidRDefault="00000000">
            <w:pPr>
              <w:spacing w:line="240" w:lineRule="auto"/>
              <w:jc w:val="center"/>
              <w:rPr>
                <w:b/>
                <w:bCs/>
                <w:sz w:val="22"/>
                <w:szCs w:val="22"/>
              </w:rPr>
            </w:pPr>
            <w:r>
              <w:rPr>
                <w:b/>
                <w:bCs/>
                <w:sz w:val="22"/>
                <w:szCs w:val="22"/>
              </w:rPr>
              <w:t>236</w:t>
            </w:r>
          </w:p>
        </w:tc>
        <w:tc>
          <w:tcPr>
            <w:tcW w:w="1133" w:type="dxa"/>
            <w:tcBorders>
              <w:top w:val="nil"/>
              <w:left w:val="nil"/>
              <w:bottom w:val="single" w:sz="4" w:space="0" w:color="auto"/>
              <w:right w:val="single" w:sz="4" w:space="0" w:color="auto"/>
            </w:tcBorders>
            <w:shd w:val="clear" w:color="000000" w:fill="FFFFFF"/>
            <w:vAlign w:val="center"/>
          </w:tcPr>
          <w:p w14:paraId="3C65802A" w14:textId="77777777" w:rsidR="00085789" w:rsidRDefault="00000000">
            <w:pPr>
              <w:spacing w:line="240" w:lineRule="auto"/>
              <w:jc w:val="center"/>
              <w:rPr>
                <w:b/>
                <w:bCs/>
                <w:sz w:val="22"/>
                <w:szCs w:val="22"/>
              </w:rPr>
            </w:pPr>
            <w:r>
              <w:rPr>
                <w:b/>
                <w:bCs/>
                <w:sz w:val="22"/>
                <w:szCs w:val="22"/>
              </w:rPr>
              <w:t>2545</w:t>
            </w:r>
          </w:p>
        </w:tc>
        <w:tc>
          <w:tcPr>
            <w:tcW w:w="1158" w:type="dxa"/>
            <w:tcBorders>
              <w:top w:val="nil"/>
              <w:left w:val="nil"/>
              <w:bottom w:val="single" w:sz="4" w:space="0" w:color="auto"/>
              <w:right w:val="single" w:sz="4" w:space="0" w:color="auto"/>
            </w:tcBorders>
            <w:shd w:val="clear" w:color="000000" w:fill="FFFFFF"/>
            <w:vAlign w:val="center"/>
          </w:tcPr>
          <w:p w14:paraId="1CF2A5B3" w14:textId="77777777" w:rsidR="00085789" w:rsidRDefault="00000000">
            <w:pPr>
              <w:spacing w:line="240" w:lineRule="auto"/>
              <w:jc w:val="center"/>
              <w:rPr>
                <w:b/>
                <w:bCs/>
                <w:sz w:val="22"/>
                <w:szCs w:val="22"/>
              </w:rPr>
            </w:pPr>
            <w:r>
              <w:rPr>
                <w:b/>
                <w:bCs/>
                <w:sz w:val="22"/>
                <w:szCs w:val="22"/>
              </w:rPr>
              <w:t>246</w:t>
            </w:r>
          </w:p>
        </w:tc>
        <w:tc>
          <w:tcPr>
            <w:tcW w:w="1109" w:type="dxa"/>
            <w:tcBorders>
              <w:top w:val="nil"/>
              <w:left w:val="nil"/>
              <w:bottom w:val="single" w:sz="4" w:space="0" w:color="auto"/>
              <w:right w:val="single" w:sz="4" w:space="0" w:color="auto"/>
            </w:tcBorders>
            <w:shd w:val="clear" w:color="000000" w:fill="FFFFFF"/>
            <w:vAlign w:val="center"/>
          </w:tcPr>
          <w:p w14:paraId="23CB80B9" w14:textId="77777777" w:rsidR="00085789" w:rsidRDefault="00000000">
            <w:pPr>
              <w:spacing w:line="240" w:lineRule="auto"/>
              <w:jc w:val="center"/>
              <w:rPr>
                <w:b/>
                <w:bCs/>
                <w:sz w:val="22"/>
                <w:szCs w:val="22"/>
              </w:rPr>
            </w:pPr>
            <w:r>
              <w:rPr>
                <w:b/>
                <w:bCs/>
                <w:sz w:val="22"/>
                <w:szCs w:val="22"/>
              </w:rPr>
              <w:t>2480</w:t>
            </w:r>
          </w:p>
        </w:tc>
        <w:tc>
          <w:tcPr>
            <w:tcW w:w="1158" w:type="dxa"/>
            <w:tcBorders>
              <w:top w:val="nil"/>
              <w:left w:val="nil"/>
              <w:bottom w:val="single" w:sz="4" w:space="0" w:color="auto"/>
              <w:right w:val="single" w:sz="4" w:space="0" w:color="auto"/>
            </w:tcBorders>
            <w:shd w:val="clear" w:color="000000" w:fill="FFFFFF"/>
            <w:vAlign w:val="center"/>
          </w:tcPr>
          <w:p w14:paraId="5115F1A1" w14:textId="77777777" w:rsidR="00085789" w:rsidRDefault="00000000">
            <w:pPr>
              <w:spacing w:line="240" w:lineRule="auto"/>
              <w:jc w:val="center"/>
              <w:rPr>
                <w:b/>
                <w:bCs/>
                <w:sz w:val="22"/>
                <w:szCs w:val="22"/>
              </w:rPr>
            </w:pPr>
            <w:r>
              <w:rPr>
                <w:b/>
                <w:bCs/>
                <w:sz w:val="22"/>
                <w:szCs w:val="22"/>
              </w:rPr>
              <w:t>95</w:t>
            </w:r>
          </w:p>
        </w:tc>
        <w:tc>
          <w:tcPr>
            <w:tcW w:w="1171" w:type="dxa"/>
            <w:tcBorders>
              <w:top w:val="nil"/>
              <w:left w:val="nil"/>
              <w:bottom w:val="single" w:sz="4" w:space="0" w:color="auto"/>
              <w:right w:val="single" w:sz="4" w:space="0" w:color="auto"/>
            </w:tcBorders>
            <w:shd w:val="clear" w:color="000000" w:fill="FFFFFF"/>
            <w:vAlign w:val="center"/>
          </w:tcPr>
          <w:p w14:paraId="51E37EB6" w14:textId="77777777" w:rsidR="00085789" w:rsidRDefault="00000000">
            <w:pPr>
              <w:spacing w:line="240" w:lineRule="auto"/>
              <w:jc w:val="center"/>
              <w:rPr>
                <w:b/>
                <w:bCs/>
                <w:sz w:val="22"/>
                <w:szCs w:val="22"/>
              </w:rPr>
            </w:pPr>
            <w:r>
              <w:rPr>
                <w:b/>
                <w:bCs/>
                <w:sz w:val="22"/>
                <w:szCs w:val="22"/>
              </w:rPr>
              <w:t>2836</w:t>
            </w:r>
          </w:p>
        </w:tc>
        <w:tc>
          <w:tcPr>
            <w:tcW w:w="1158" w:type="dxa"/>
            <w:tcBorders>
              <w:top w:val="nil"/>
              <w:left w:val="nil"/>
              <w:bottom w:val="single" w:sz="4" w:space="0" w:color="auto"/>
              <w:right w:val="single" w:sz="4" w:space="0" w:color="auto"/>
            </w:tcBorders>
            <w:shd w:val="clear" w:color="000000" w:fill="FFFFFF"/>
            <w:vAlign w:val="center"/>
          </w:tcPr>
          <w:p w14:paraId="1F80E210" w14:textId="77777777" w:rsidR="00085789" w:rsidRDefault="00000000">
            <w:pPr>
              <w:spacing w:line="240" w:lineRule="auto"/>
              <w:jc w:val="center"/>
              <w:rPr>
                <w:b/>
                <w:bCs/>
                <w:sz w:val="22"/>
                <w:szCs w:val="22"/>
              </w:rPr>
            </w:pPr>
            <w:r>
              <w:rPr>
                <w:b/>
                <w:bCs/>
                <w:sz w:val="22"/>
                <w:szCs w:val="22"/>
              </w:rPr>
              <w:t>122</w:t>
            </w:r>
          </w:p>
        </w:tc>
        <w:tc>
          <w:tcPr>
            <w:tcW w:w="1532" w:type="dxa"/>
            <w:tcBorders>
              <w:top w:val="nil"/>
              <w:left w:val="nil"/>
              <w:bottom w:val="single" w:sz="4" w:space="0" w:color="auto"/>
              <w:right w:val="single" w:sz="4" w:space="0" w:color="auto"/>
            </w:tcBorders>
            <w:shd w:val="clear" w:color="000000" w:fill="FFFFFF"/>
            <w:vAlign w:val="center"/>
          </w:tcPr>
          <w:p w14:paraId="2E6D4067" w14:textId="77777777" w:rsidR="00085789" w:rsidRDefault="00000000">
            <w:pPr>
              <w:spacing w:line="240" w:lineRule="auto"/>
              <w:rPr>
                <w:sz w:val="22"/>
                <w:szCs w:val="22"/>
              </w:rPr>
            </w:pPr>
            <w:r>
              <w:rPr>
                <w:sz w:val="22"/>
                <w:szCs w:val="22"/>
              </w:rPr>
              <w:t> </w:t>
            </w:r>
          </w:p>
        </w:tc>
      </w:tr>
    </w:tbl>
    <w:p w14:paraId="00C7D6D8" w14:textId="77777777" w:rsidR="00085789" w:rsidRDefault="00085789">
      <w:pPr>
        <w:keepNext/>
        <w:spacing w:before="40" w:after="40" w:line="264" w:lineRule="auto"/>
        <w:ind w:firstLine="720"/>
        <w:jc w:val="both"/>
        <w:outlineLvl w:val="2"/>
        <w:rPr>
          <w:b/>
          <w:bCs/>
          <w:i/>
          <w:sz w:val="26"/>
          <w:szCs w:val="26"/>
          <w:lang w:val="nl-NL"/>
        </w:rPr>
      </w:pPr>
      <w:bookmarkStart w:id="1270" w:name="_Toc56740588"/>
      <w:bookmarkStart w:id="1271" w:name="_Toc56739082"/>
      <w:bookmarkStart w:id="1272" w:name="_Toc56739825"/>
      <w:bookmarkStart w:id="1273" w:name="_Toc56736920"/>
      <w:bookmarkStart w:id="1274" w:name="_Toc56737641"/>
    </w:p>
    <w:p w14:paraId="0D89DF88" w14:textId="77777777" w:rsidR="00085789" w:rsidRDefault="00085789">
      <w:pPr>
        <w:keepNext/>
        <w:spacing w:before="40" w:after="40" w:line="264" w:lineRule="auto"/>
        <w:ind w:firstLine="720"/>
        <w:jc w:val="both"/>
        <w:outlineLvl w:val="2"/>
        <w:rPr>
          <w:b/>
          <w:bCs/>
          <w:i/>
          <w:sz w:val="26"/>
          <w:szCs w:val="26"/>
          <w:lang w:val="nl-NL"/>
        </w:rPr>
        <w:sectPr w:rsidR="00085789">
          <w:pgSz w:w="16834" w:h="11909" w:orient="landscape" w:code="9"/>
          <w:pgMar w:top="1418" w:right="1134" w:bottom="1134" w:left="1134" w:header="720" w:footer="720" w:gutter="0"/>
          <w:cols w:space="720"/>
          <w:docGrid w:linePitch="381"/>
        </w:sectPr>
      </w:pPr>
    </w:p>
    <w:p w14:paraId="7D512DAF" w14:textId="77777777" w:rsidR="00085789" w:rsidRDefault="00085789">
      <w:pPr>
        <w:keepNext/>
        <w:spacing w:before="40" w:after="40" w:line="264" w:lineRule="auto"/>
        <w:ind w:firstLine="720"/>
        <w:jc w:val="both"/>
        <w:outlineLvl w:val="2"/>
        <w:rPr>
          <w:b/>
          <w:bCs/>
          <w:i/>
          <w:sz w:val="26"/>
          <w:szCs w:val="26"/>
          <w:lang w:val="nl-NL"/>
        </w:rPr>
        <w:sectPr w:rsidR="00085789">
          <w:type w:val="continuous"/>
          <w:pgSz w:w="16834" w:h="11909" w:orient="landscape" w:code="9"/>
          <w:pgMar w:top="1418" w:right="1134" w:bottom="1134" w:left="1134" w:header="720" w:footer="720" w:gutter="0"/>
          <w:cols w:space="720"/>
          <w:docGrid w:linePitch="381"/>
        </w:sectPr>
      </w:pPr>
    </w:p>
    <w:p w14:paraId="2E5290A4" w14:textId="77777777" w:rsidR="00085789" w:rsidRDefault="00000000">
      <w:pPr>
        <w:pStyle w:val="-bac3"/>
        <w:spacing w:before="120" w:after="0" w:line="240" w:lineRule="auto"/>
        <w:rPr>
          <w:lang w:val="nl-NL"/>
        </w:rPr>
      </w:pPr>
      <w:bookmarkStart w:id="1275" w:name="_Toc214311284"/>
      <w:r>
        <w:rPr>
          <w:lang w:val="nl-NL"/>
        </w:rPr>
        <w:lastRenderedPageBreak/>
        <w:t>7.5.2. Thu gom và xử lý CTR y tế</w:t>
      </w:r>
      <w:bookmarkEnd w:id="1270"/>
      <w:bookmarkEnd w:id="1271"/>
      <w:bookmarkEnd w:id="1272"/>
      <w:bookmarkEnd w:id="1273"/>
      <w:bookmarkEnd w:id="1274"/>
      <w:bookmarkEnd w:id="1275"/>
    </w:p>
    <w:p w14:paraId="3083C1C4" w14:textId="77777777" w:rsidR="00085789" w:rsidRDefault="00000000">
      <w:pPr>
        <w:spacing w:before="120" w:line="240" w:lineRule="auto"/>
        <w:ind w:firstLine="709"/>
        <w:jc w:val="both"/>
        <w:rPr>
          <w:sz w:val="26"/>
          <w:szCs w:val="26"/>
          <w:lang w:val="nl-NL"/>
        </w:rPr>
      </w:pPr>
      <w:r>
        <w:rPr>
          <w:sz w:val="26"/>
          <w:szCs w:val="26"/>
          <w:lang w:val="nl-NL"/>
        </w:rPr>
        <w:t>Hiện nay phương thức, tình trạng xử lý CTR y tế tại các cơ sở y tế được thực hiện như sau:</w:t>
      </w:r>
    </w:p>
    <w:p w14:paraId="49AD3C0B" w14:textId="77777777" w:rsidR="00085789" w:rsidRDefault="00000000">
      <w:pPr>
        <w:spacing w:before="120" w:line="240" w:lineRule="auto"/>
        <w:ind w:firstLine="709"/>
        <w:jc w:val="both"/>
        <w:rPr>
          <w:sz w:val="26"/>
          <w:szCs w:val="26"/>
          <w:lang w:val="it-IT"/>
        </w:rPr>
      </w:pPr>
      <w:r>
        <w:rPr>
          <w:sz w:val="26"/>
          <w:szCs w:val="26"/>
          <w:lang w:val="it-IT"/>
        </w:rPr>
        <w:t xml:space="preserve">- Về phân loại, thu gom: </w:t>
      </w:r>
      <w:r>
        <w:rPr>
          <w:sz w:val="26"/>
          <w:szCs w:val="26"/>
          <w:lang w:val="nl-NL"/>
        </w:rPr>
        <w:t xml:space="preserve">100 % </w:t>
      </w:r>
      <w:r>
        <w:rPr>
          <w:sz w:val="26"/>
          <w:szCs w:val="26"/>
          <w:lang w:val="vi-VN"/>
        </w:rPr>
        <w:t xml:space="preserve">các cơ sở y tế đã bố trí bao bì, dụng cụ, thiết bị lưu chứa chất thải y tế để phục vụ thu gom, phân loại; </w:t>
      </w:r>
      <w:r>
        <w:rPr>
          <w:sz w:val="26"/>
          <w:szCs w:val="26"/>
          <w:lang w:val="it-IT"/>
        </w:rPr>
        <w:t xml:space="preserve">thực hiện phân loại, thu gom, xử lý thoe các Quyết định của UBND tỉnh </w:t>
      </w:r>
      <w:r>
        <w:rPr>
          <w:sz w:val="26"/>
          <w:szCs w:val="26"/>
          <w:lang w:val="hsb-DE"/>
        </w:rPr>
        <w:t>số 34/2023/QĐ-UBND ngày 31/7/2023, số 67/2025/QĐ-UBND ngày 16/10/2025 sửa đổi, bổ sung Quyết định số 34/2023/QĐ-UBND ngày 31/7/2023 quy định về thu gom, vận chuyển và xử lý chất thải y tế nguy hại trên địa bàn tỉnh</w:t>
      </w:r>
      <w:r>
        <w:rPr>
          <w:lang w:val="hsb-DE"/>
        </w:rPr>
        <w:t xml:space="preserve"> </w:t>
      </w:r>
      <w:r>
        <w:rPr>
          <w:sz w:val="26"/>
          <w:szCs w:val="26"/>
          <w:lang w:val="hsb-DE"/>
        </w:rPr>
        <w:t>và Thông tư số 20/2021/TT-BYT của Bộ Y tế về quản lý chất thải y tế trong phạm vi khuôn viên cơ sở y tế</w:t>
      </w:r>
      <w:r>
        <w:rPr>
          <w:sz w:val="26"/>
          <w:szCs w:val="26"/>
          <w:lang w:val="it-IT"/>
        </w:rPr>
        <w:t>.</w:t>
      </w:r>
    </w:p>
    <w:p w14:paraId="15E5428C" w14:textId="77777777" w:rsidR="00085789" w:rsidRDefault="00000000">
      <w:pPr>
        <w:spacing w:before="120" w:line="240" w:lineRule="auto"/>
        <w:ind w:firstLine="720"/>
        <w:rPr>
          <w:sz w:val="26"/>
          <w:szCs w:val="26"/>
          <w:lang w:val="it-IT"/>
        </w:rPr>
      </w:pPr>
      <w:r>
        <w:rPr>
          <w:sz w:val="26"/>
          <w:szCs w:val="26"/>
          <w:lang w:val="it-IT"/>
        </w:rPr>
        <w:t xml:space="preserve">- Về vận chuyển, xử lý: </w:t>
      </w:r>
    </w:p>
    <w:p w14:paraId="1736B274" w14:textId="77777777" w:rsidR="00085789" w:rsidRDefault="00000000">
      <w:pPr>
        <w:spacing w:before="120" w:line="240" w:lineRule="auto"/>
        <w:ind w:firstLine="720"/>
        <w:jc w:val="both"/>
        <w:rPr>
          <w:spacing w:val="-4"/>
          <w:sz w:val="26"/>
          <w:szCs w:val="26"/>
          <w:lang w:val="it-IT"/>
        </w:rPr>
      </w:pPr>
      <w:r>
        <w:rPr>
          <w:spacing w:val="-4"/>
          <w:sz w:val="26"/>
          <w:szCs w:val="26"/>
          <w:lang w:val="it-IT"/>
        </w:rPr>
        <w:t>+ Đối với chất thải y tế thông thường: Các cơ sở y tế trên địa bàn đã ký hợp đồng với Công ty Môi trường đô thị hoặc Hợp tác xã môi trường địa phương để vận chuyển và xử lý.</w:t>
      </w:r>
    </w:p>
    <w:p w14:paraId="2868CB75" w14:textId="77777777" w:rsidR="00085789" w:rsidRDefault="00000000">
      <w:pPr>
        <w:spacing w:before="120" w:line="240" w:lineRule="auto"/>
        <w:ind w:firstLine="720"/>
        <w:jc w:val="both"/>
        <w:rPr>
          <w:sz w:val="26"/>
          <w:szCs w:val="26"/>
          <w:lang w:val="it-IT"/>
        </w:rPr>
      </w:pPr>
      <w:r>
        <w:rPr>
          <w:sz w:val="26"/>
          <w:szCs w:val="26"/>
          <w:lang w:val="it-IT"/>
        </w:rPr>
        <w:t>+ Đối với chất thải y tế nguy hại: Thực hiện theo các Quyết định số 34/2023/QĐ-UBND tỉnh ngày 31/7/2023,</w:t>
      </w:r>
      <w:r>
        <w:rPr>
          <w:sz w:val="26"/>
          <w:szCs w:val="26"/>
          <w:lang w:val="hsb-DE"/>
        </w:rPr>
        <w:t xml:space="preserve"> số 67/2025/QĐ-UBND ngày 16/10/2025 sửa đổi, bổ sung Quyết định số 34/2023/QĐ-UBND</w:t>
      </w:r>
      <w:r>
        <w:rPr>
          <w:sz w:val="26"/>
          <w:szCs w:val="26"/>
          <w:lang w:val="it-IT"/>
        </w:rPr>
        <w:t xml:space="preserve"> về việc quy định  thu gom, vận chuyển và xử lý chất thải y tế nguy hại trên địa bàn tỉnh Hà Tĩnh.</w:t>
      </w:r>
    </w:p>
    <w:p w14:paraId="57520DA3" w14:textId="77777777" w:rsidR="00085789" w:rsidRDefault="00000000">
      <w:pPr>
        <w:spacing w:before="120" w:line="240" w:lineRule="auto"/>
        <w:ind w:firstLine="720"/>
        <w:jc w:val="both"/>
        <w:rPr>
          <w:sz w:val="26"/>
          <w:szCs w:val="26"/>
          <w:lang w:val="it-IT"/>
        </w:rPr>
      </w:pPr>
      <w:r>
        <w:rPr>
          <w:sz w:val="26"/>
          <w:szCs w:val="26"/>
          <w:lang w:val="it-IT"/>
        </w:rPr>
        <w:t xml:space="preserve">- Tại </w:t>
      </w:r>
      <w:r>
        <w:rPr>
          <w:iCs/>
          <w:sz w:val="26"/>
          <w:szCs w:val="26"/>
          <w:lang w:val="it-IT"/>
        </w:rPr>
        <w:t xml:space="preserve">bệnh viện/trung tâm y tế: </w:t>
      </w:r>
      <w:r>
        <w:rPr>
          <w:sz w:val="26"/>
          <w:szCs w:val="26"/>
          <w:lang w:val="it-IT"/>
        </w:rPr>
        <w:t xml:space="preserve">có </w:t>
      </w:r>
      <w:r>
        <w:rPr>
          <w:iCs/>
          <w:sz w:val="26"/>
          <w:szCs w:val="26"/>
          <w:lang w:val="it-IT"/>
        </w:rPr>
        <w:t xml:space="preserve">22/22 đơn vị đạt </w:t>
      </w:r>
      <w:r>
        <w:rPr>
          <w:sz w:val="26"/>
          <w:szCs w:val="26"/>
          <w:lang w:val="it-IT"/>
        </w:rPr>
        <w:t>100 %</w:t>
      </w:r>
      <w:r>
        <w:rPr>
          <w:iCs/>
          <w:sz w:val="26"/>
          <w:szCs w:val="26"/>
          <w:lang w:val="it-IT"/>
        </w:rPr>
        <w:t xml:space="preserve"> xử lý đạt quy chuẩn; trong đó:</w:t>
      </w:r>
      <w:r>
        <w:rPr>
          <w:sz w:val="26"/>
          <w:szCs w:val="26"/>
          <w:lang w:val="it-IT"/>
        </w:rPr>
        <w:t xml:space="preserve"> </w:t>
      </w:r>
      <w:r>
        <w:rPr>
          <w:iCs/>
          <w:sz w:val="26"/>
          <w:szCs w:val="26"/>
          <w:lang w:val="it-IT"/>
        </w:rPr>
        <w:t xml:space="preserve">18/22 cơ sở thuê đơn vị </w:t>
      </w:r>
      <w:r>
        <w:rPr>
          <w:iCs/>
          <w:sz w:val="26"/>
          <w:szCs w:val="26"/>
          <w:lang w:val="vi-VN"/>
        </w:rPr>
        <w:t>có chức năng xử lý</w:t>
      </w:r>
      <w:r>
        <w:rPr>
          <w:iCs/>
          <w:sz w:val="26"/>
          <w:szCs w:val="26"/>
          <w:lang w:val="it-IT"/>
        </w:rPr>
        <w:t xml:space="preserve"> chất thải y tế nguy hại; 03 cụm xử lý bằng công nghệ hấp tiệt khuẩn kết hợp nghiền cắt (</w:t>
      </w:r>
      <w:r>
        <w:rPr>
          <w:spacing w:val="-6"/>
          <w:sz w:val="26"/>
          <w:szCs w:val="26"/>
          <w:lang w:val="vi-VN"/>
        </w:rPr>
        <w:t>Bệnh viện Đa khoa tỉnh</w:t>
      </w:r>
      <w:r>
        <w:rPr>
          <w:spacing w:val="-6"/>
          <w:sz w:val="26"/>
          <w:szCs w:val="26"/>
          <w:lang w:val="it-IT"/>
        </w:rPr>
        <w:t xml:space="preserve">, </w:t>
      </w:r>
      <w:r>
        <w:rPr>
          <w:sz w:val="26"/>
          <w:szCs w:val="26"/>
          <w:lang w:val="vi-VN"/>
        </w:rPr>
        <w:t>Trung tâm Y tế Hương Sơn</w:t>
      </w:r>
      <w:r>
        <w:rPr>
          <w:sz w:val="26"/>
          <w:szCs w:val="26"/>
          <w:lang w:val="it-IT"/>
        </w:rPr>
        <w:t xml:space="preserve"> và Trung tâm Y tế Hồng Lĩnh); 01 cơ sở (Trung tâm y tế Vũ Quang) xử lý tại chỗ bằng lò đốt. </w:t>
      </w:r>
    </w:p>
    <w:p w14:paraId="01E200A8" w14:textId="77777777" w:rsidR="00085789" w:rsidRDefault="00000000">
      <w:pPr>
        <w:spacing w:before="120" w:line="240" w:lineRule="auto"/>
        <w:ind w:firstLine="720"/>
        <w:jc w:val="both"/>
        <w:rPr>
          <w:sz w:val="26"/>
          <w:szCs w:val="26"/>
          <w:lang w:val="it-IT"/>
        </w:rPr>
      </w:pPr>
      <w:r>
        <w:rPr>
          <w:sz w:val="26"/>
          <w:szCs w:val="26"/>
          <w:lang w:val="it-IT"/>
        </w:rPr>
        <w:t>- Tại trạm y tế xã thực hiện vận chuyển chất thải y tế nguy hại về Trung tâm Y tế để xử lý theo mô hình cụm hoặc thuê xử lý</w:t>
      </w:r>
    </w:p>
    <w:p w14:paraId="563FE9B9" w14:textId="77777777" w:rsidR="00085789" w:rsidRDefault="00000000">
      <w:pPr>
        <w:spacing w:before="120" w:line="240" w:lineRule="auto"/>
        <w:ind w:firstLine="720"/>
        <w:jc w:val="both"/>
        <w:rPr>
          <w:sz w:val="26"/>
          <w:szCs w:val="26"/>
          <w:lang w:val="it-IT"/>
        </w:rPr>
      </w:pPr>
      <w:r>
        <w:rPr>
          <w:sz w:val="26"/>
          <w:szCs w:val="26"/>
          <w:lang w:val="it-IT"/>
        </w:rPr>
        <w:t xml:space="preserve">- Phòng khám tư nhân thực hiện vận chuyển chất thải y tế nguy hại về Bệnh viện đa khoa tỉnh hoặc Trung tâm Y tế để xử lý theo cụm hoặc thuê xử lý. </w:t>
      </w:r>
    </w:p>
    <w:p w14:paraId="6CF63CFE" w14:textId="77777777" w:rsidR="00085789" w:rsidRDefault="00000000">
      <w:pPr>
        <w:pStyle w:val="bac2"/>
        <w:spacing w:before="120" w:after="0" w:line="240" w:lineRule="auto"/>
        <w:rPr>
          <w:lang w:val="nl-NL"/>
        </w:rPr>
      </w:pPr>
      <w:bookmarkStart w:id="1276" w:name="_Toc214311285"/>
      <w:r>
        <w:rPr>
          <w:lang w:val="nl-NL"/>
        </w:rPr>
        <w:t>7.6. Xuất nhập khẩu phế liệu</w:t>
      </w:r>
      <w:bookmarkEnd w:id="1276"/>
    </w:p>
    <w:p w14:paraId="3D8EC480" w14:textId="77777777" w:rsidR="00085789" w:rsidRDefault="00000000">
      <w:pPr>
        <w:pStyle w:val="-bac3"/>
        <w:spacing w:before="120" w:after="0" w:line="240" w:lineRule="auto"/>
        <w:rPr>
          <w:lang w:val="it-IT"/>
        </w:rPr>
      </w:pPr>
      <w:bookmarkStart w:id="1277" w:name="_Toc214311286"/>
      <w:r>
        <w:rPr>
          <w:lang w:val="it-IT"/>
        </w:rPr>
        <w:t>7.6.1. Tình hình xuất nhập khẩu trên địa bàn tỉnh:</w:t>
      </w:r>
      <w:bookmarkEnd w:id="1277"/>
    </w:p>
    <w:p w14:paraId="29152F74" w14:textId="77777777" w:rsidR="00085789" w:rsidRDefault="00000000">
      <w:pPr>
        <w:spacing w:before="120" w:line="240" w:lineRule="auto"/>
        <w:ind w:firstLine="709"/>
        <w:jc w:val="both"/>
        <w:rPr>
          <w:sz w:val="26"/>
          <w:szCs w:val="26"/>
          <w:lang w:val="it-IT"/>
        </w:rPr>
      </w:pPr>
      <w:r>
        <w:rPr>
          <w:sz w:val="26"/>
          <w:szCs w:val="26"/>
          <w:lang w:val="it-IT"/>
        </w:rPr>
        <w:t xml:space="preserve">Hiện nay, toàn tỉnh có 01 cơ sở nhập khẩu phế liệu làm nguyên liệu sản xuất là Công </w:t>
      </w:r>
      <w:r>
        <w:rPr>
          <w:spacing w:val="-4"/>
          <w:sz w:val="26"/>
          <w:szCs w:val="26"/>
          <w:lang w:val="it-IT"/>
        </w:rPr>
        <w:t xml:space="preserve">ty TNHH Gang thép Hưng Nghiệp Formosa Hà Tĩnh. Tổng khối lượng phế liệu nhập khẩu từ năm 2021 đến </w:t>
      </w:r>
      <w:r>
        <w:rPr>
          <w:rFonts w:asciiTheme="majorHAnsi" w:hAnsiTheme="majorHAnsi" w:cstheme="majorHAnsi"/>
          <w:spacing w:val="-4"/>
          <w:sz w:val="26"/>
          <w:szCs w:val="26"/>
          <w:lang w:val="it-IT"/>
        </w:rPr>
        <w:t xml:space="preserve">26/9/2025 của Công ty TNHH Gang thép Hưng Nghiệp Formosa Hà Tĩnh là </w:t>
      </w:r>
      <w:r>
        <w:rPr>
          <w:rFonts w:asciiTheme="majorHAnsi" w:hAnsiTheme="majorHAnsi" w:cstheme="majorHAnsi"/>
          <w:color w:val="000000"/>
          <w:sz w:val="26"/>
          <w:szCs w:val="26"/>
          <w:lang w:val="it-IT"/>
        </w:rPr>
        <w:t xml:space="preserve">1.003.287,18 </w:t>
      </w:r>
      <w:r>
        <w:rPr>
          <w:rFonts w:asciiTheme="majorHAnsi" w:hAnsiTheme="majorHAnsi" w:cstheme="majorHAnsi"/>
          <w:spacing w:val="-4"/>
          <w:sz w:val="26"/>
          <w:szCs w:val="26"/>
          <w:lang w:val="it-IT"/>
        </w:rPr>
        <w:t>tấn,</w:t>
      </w:r>
      <w:r>
        <w:rPr>
          <w:spacing w:val="-4"/>
          <w:sz w:val="26"/>
          <w:szCs w:val="26"/>
          <w:lang w:val="it-IT"/>
        </w:rPr>
        <w:t xml:space="preserve"> cụ thể như sau:</w:t>
      </w:r>
    </w:p>
    <w:p w14:paraId="2CCA3D86" w14:textId="77777777" w:rsidR="00085789" w:rsidRDefault="00000000">
      <w:pPr>
        <w:pStyle w:val="-bac4"/>
        <w:spacing w:before="120" w:after="0" w:line="240" w:lineRule="auto"/>
        <w:rPr>
          <w:lang w:val="de-DE"/>
        </w:rPr>
      </w:pPr>
      <w:bookmarkStart w:id="1278" w:name="_Toc213597589"/>
      <w:bookmarkStart w:id="1279" w:name="_Toc213600882"/>
      <w:r>
        <w:rPr>
          <w:lang w:val="de-DE"/>
        </w:rPr>
        <w:t>Bảng 7.4. Khối lượng phế liệu nhập khẩu của Công ty TNHH Gang thép Hưng Nghiệp Formosa Hà Tĩnh giai đoạn 2021 - 9/2025</w:t>
      </w:r>
      <w:bookmarkEnd w:id="1278"/>
      <w:bookmarkEnd w:id="1279"/>
    </w:p>
    <w:p w14:paraId="65A702FD" w14:textId="77777777" w:rsidR="00085789" w:rsidRDefault="00085789">
      <w:pPr>
        <w:pStyle w:val="-bac4"/>
        <w:spacing w:before="120" w:after="0" w:line="240" w:lineRule="auto"/>
        <w:rPr>
          <w:sz w:val="2"/>
          <w:szCs w:val="2"/>
          <w:lang w:val="de-DE"/>
        </w:rPr>
      </w:pPr>
    </w:p>
    <w:tbl>
      <w:tblPr>
        <w:tblStyle w:val="TableGrid"/>
        <w:tblW w:w="9493" w:type="dxa"/>
        <w:tblLook w:val="04A0" w:firstRow="1" w:lastRow="0" w:firstColumn="1" w:lastColumn="0" w:noHBand="0" w:noVBand="1"/>
      </w:tblPr>
      <w:tblGrid>
        <w:gridCol w:w="1696"/>
        <w:gridCol w:w="1560"/>
        <w:gridCol w:w="1417"/>
        <w:gridCol w:w="1418"/>
        <w:gridCol w:w="1559"/>
        <w:gridCol w:w="1843"/>
      </w:tblGrid>
      <w:tr w:rsidR="00085789" w14:paraId="73C1C1A3" w14:textId="77777777">
        <w:tc>
          <w:tcPr>
            <w:tcW w:w="1696" w:type="dxa"/>
            <w:vMerge w:val="restart"/>
          </w:tcPr>
          <w:p w14:paraId="532A7E6C" w14:textId="77777777" w:rsidR="00085789" w:rsidRDefault="00000000">
            <w:pPr>
              <w:spacing w:line="320" w:lineRule="exact"/>
              <w:jc w:val="both"/>
              <w:rPr>
                <w:b/>
                <w:bCs/>
                <w:sz w:val="26"/>
                <w:szCs w:val="26"/>
                <w:lang w:val="de-DE"/>
              </w:rPr>
            </w:pPr>
            <w:r>
              <w:rPr>
                <w:b/>
                <w:bCs/>
                <w:sz w:val="26"/>
                <w:szCs w:val="26"/>
                <w:lang w:val="de-DE"/>
              </w:rPr>
              <w:t>Loại phế liệu nhập khẩu</w:t>
            </w:r>
          </w:p>
        </w:tc>
        <w:tc>
          <w:tcPr>
            <w:tcW w:w="7797" w:type="dxa"/>
            <w:gridSpan w:val="5"/>
          </w:tcPr>
          <w:p w14:paraId="2040DF43" w14:textId="77777777" w:rsidR="00085789" w:rsidRDefault="00000000">
            <w:pPr>
              <w:spacing w:line="320" w:lineRule="exact"/>
              <w:jc w:val="center"/>
              <w:rPr>
                <w:b/>
                <w:bCs/>
                <w:sz w:val="26"/>
                <w:szCs w:val="26"/>
                <w:lang w:val="de-DE"/>
              </w:rPr>
            </w:pPr>
            <w:r>
              <w:rPr>
                <w:b/>
                <w:bCs/>
                <w:sz w:val="26"/>
                <w:szCs w:val="26"/>
                <w:lang w:val="de-DE"/>
              </w:rPr>
              <w:t>Năm nhập khẩu (tấn/năm)</w:t>
            </w:r>
          </w:p>
        </w:tc>
      </w:tr>
      <w:tr w:rsidR="00085789" w14:paraId="10D55643" w14:textId="77777777">
        <w:tc>
          <w:tcPr>
            <w:tcW w:w="1696" w:type="dxa"/>
            <w:vMerge/>
          </w:tcPr>
          <w:p w14:paraId="6B2E822C" w14:textId="77777777" w:rsidR="00085789" w:rsidRDefault="00085789">
            <w:pPr>
              <w:spacing w:line="320" w:lineRule="exact"/>
              <w:jc w:val="both"/>
              <w:rPr>
                <w:b/>
                <w:bCs/>
                <w:sz w:val="26"/>
                <w:szCs w:val="26"/>
                <w:lang w:val="de-DE"/>
              </w:rPr>
            </w:pPr>
          </w:p>
        </w:tc>
        <w:tc>
          <w:tcPr>
            <w:tcW w:w="1560" w:type="dxa"/>
          </w:tcPr>
          <w:p w14:paraId="7244CAD7" w14:textId="77777777" w:rsidR="00085789" w:rsidRDefault="00000000">
            <w:pPr>
              <w:spacing w:line="320" w:lineRule="exact"/>
              <w:jc w:val="center"/>
              <w:rPr>
                <w:b/>
                <w:bCs/>
                <w:sz w:val="26"/>
                <w:szCs w:val="26"/>
                <w:lang w:val="de-DE"/>
              </w:rPr>
            </w:pPr>
            <w:r>
              <w:rPr>
                <w:b/>
                <w:bCs/>
                <w:sz w:val="26"/>
                <w:szCs w:val="26"/>
                <w:lang w:val="de-DE"/>
              </w:rPr>
              <w:t>2021</w:t>
            </w:r>
          </w:p>
        </w:tc>
        <w:tc>
          <w:tcPr>
            <w:tcW w:w="1417" w:type="dxa"/>
          </w:tcPr>
          <w:p w14:paraId="542699DB" w14:textId="77777777" w:rsidR="00085789" w:rsidRDefault="00000000">
            <w:pPr>
              <w:spacing w:line="320" w:lineRule="exact"/>
              <w:jc w:val="center"/>
              <w:rPr>
                <w:b/>
                <w:bCs/>
                <w:sz w:val="26"/>
                <w:szCs w:val="26"/>
                <w:lang w:val="de-DE"/>
              </w:rPr>
            </w:pPr>
            <w:r>
              <w:rPr>
                <w:b/>
                <w:bCs/>
                <w:sz w:val="26"/>
                <w:szCs w:val="26"/>
                <w:lang w:val="de-DE"/>
              </w:rPr>
              <w:t>2022</w:t>
            </w:r>
          </w:p>
        </w:tc>
        <w:tc>
          <w:tcPr>
            <w:tcW w:w="1418" w:type="dxa"/>
          </w:tcPr>
          <w:p w14:paraId="67E95B38" w14:textId="77777777" w:rsidR="00085789" w:rsidRDefault="00000000">
            <w:pPr>
              <w:spacing w:line="320" w:lineRule="exact"/>
              <w:jc w:val="center"/>
              <w:rPr>
                <w:b/>
                <w:bCs/>
                <w:sz w:val="26"/>
                <w:szCs w:val="26"/>
                <w:lang w:val="de-DE"/>
              </w:rPr>
            </w:pPr>
            <w:r>
              <w:rPr>
                <w:b/>
                <w:bCs/>
                <w:sz w:val="26"/>
                <w:szCs w:val="26"/>
                <w:lang w:val="de-DE"/>
              </w:rPr>
              <w:t>2023</w:t>
            </w:r>
          </w:p>
        </w:tc>
        <w:tc>
          <w:tcPr>
            <w:tcW w:w="1559" w:type="dxa"/>
          </w:tcPr>
          <w:p w14:paraId="7E5D6C6D" w14:textId="77777777" w:rsidR="00085789" w:rsidRDefault="00000000">
            <w:pPr>
              <w:spacing w:line="320" w:lineRule="exact"/>
              <w:jc w:val="center"/>
              <w:rPr>
                <w:b/>
                <w:bCs/>
                <w:sz w:val="26"/>
                <w:szCs w:val="26"/>
                <w:lang w:val="de-DE"/>
              </w:rPr>
            </w:pPr>
            <w:r>
              <w:rPr>
                <w:b/>
                <w:bCs/>
                <w:sz w:val="26"/>
                <w:szCs w:val="26"/>
                <w:lang w:val="de-DE"/>
              </w:rPr>
              <w:t>2024</w:t>
            </w:r>
          </w:p>
        </w:tc>
        <w:tc>
          <w:tcPr>
            <w:tcW w:w="1843" w:type="dxa"/>
          </w:tcPr>
          <w:p w14:paraId="61157FD1" w14:textId="77777777" w:rsidR="00085789" w:rsidRDefault="00000000">
            <w:pPr>
              <w:spacing w:line="320" w:lineRule="exact"/>
              <w:jc w:val="center"/>
              <w:rPr>
                <w:b/>
                <w:bCs/>
                <w:sz w:val="26"/>
                <w:szCs w:val="26"/>
                <w:lang w:val="de-DE"/>
              </w:rPr>
            </w:pPr>
            <w:r>
              <w:rPr>
                <w:b/>
                <w:bCs/>
                <w:sz w:val="26"/>
                <w:szCs w:val="26"/>
                <w:lang w:val="de-DE"/>
              </w:rPr>
              <w:t>Tháng 9/2025</w:t>
            </w:r>
          </w:p>
        </w:tc>
      </w:tr>
      <w:tr w:rsidR="00085789" w14:paraId="26DDABCC" w14:textId="77777777">
        <w:trPr>
          <w:trHeight w:val="267"/>
        </w:trPr>
        <w:tc>
          <w:tcPr>
            <w:tcW w:w="1696" w:type="dxa"/>
          </w:tcPr>
          <w:p w14:paraId="635AF9F1" w14:textId="77777777" w:rsidR="00085789" w:rsidRDefault="00000000">
            <w:pPr>
              <w:spacing w:line="320" w:lineRule="exact"/>
              <w:jc w:val="both"/>
              <w:rPr>
                <w:sz w:val="26"/>
                <w:szCs w:val="26"/>
                <w:lang w:val="de-DE"/>
              </w:rPr>
            </w:pPr>
            <w:r>
              <w:rPr>
                <w:sz w:val="26"/>
                <w:szCs w:val="26"/>
                <w:lang w:val="de-DE"/>
              </w:rPr>
              <w:t>Thép phế</w:t>
            </w:r>
          </w:p>
        </w:tc>
        <w:tc>
          <w:tcPr>
            <w:tcW w:w="1560" w:type="dxa"/>
          </w:tcPr>
          <w:p w14:paraId="343375D5" w14:textId="77777777" w:rsidR="00085789" w:rsidRDefault="00000000">
            <w:pPr>
              <w:spacing w:line="320" w:lineRule="exact"/>
              <w:jc w:val="center"/>
              <w:rPr>
                <w:bCs/>
                <w:sz w:val="26"/>
                <w:szCs w:val="26"/>
                <w:lang w:val="de-DE"/>
              </w:rPr>
            </w:pPr>
            <w:r>
              <w:rPr>
                <w:rFonts w:eastAsia="DFKai-SB"/>
                <w:bCs/>
                <w:sz w:val="26"/>
                <w:szCs w:val="26"/>
                <w:lang w:eastAsia="zh-TW"/>
              </w:rPr>
              <w:t>323.336,41</w:t>
            </w:r>
          </w:p>
        </w:tc>
        <w:tc>
          <w:tcPr>
            <w:tcW w:w="1417" w:type="dxa"/>
          </w:tcPr>
          <w:p w14:paraId="353C39B5" w14:textId="77777777" w:rsidR="00085789" w:rsidRDefault="00000000">
            <w:pPr>
              <w:spacing w:line="320" w:lineRule="exact"/>
              <w:jc w:val="center"/>
              <w:rPr>
                <w:bCs/>
                <w:sz w:val="26"/>
                <w:szCs w:val="26"/>
                <w:lang w:val="de-DE"/>
              </w:rPr>
            </w:pPr>
            <w:r>
              <w:rPr>
                <w:rFonts w:eastAsia="DFKai-SB"/>
                <w:bCs/>
                <w:sz w:val="26"/>
                <w:szCs w:val="26"/>
              </w:rPr>
              <w:t>179.626,6</w:t>
            </w:r>
          </w:p>
        </w:tc>
        <w:tc>
          <w:tcPr>
            <w:tcW w:w="1418" w:type="dxa"/>
          </w:tcPr>
          <w:p w14:paraId="627E999C" w14:textId="77777777" w:rsidR="00085789" w:rsidRDefault="00000000">
            <w:pPr>
              <w:spacing w:line="320" w:lineRule="exact"/>
              <w:jc w:val="center"/>
              <w:rPr>
                <w:bCs/>
                <w:sz w:val="26"/>
                <w:szCs w:val="26"/>
                <w:lang w:val="de-DE"/>
              </w:rPr>
            </w:pPr>
            <w:r>
              <w:rPr>
                <w:rFonts w:eastAsia="DFKai-SB"/>
                <w:bCs/>
                <w:sz w:val="26"/>
                <w:szCs w:val="26"/>
              </w:rPr>
              <w:t>115.274,4</w:t>
            </w:r>
          </w:p>
        </w:tc>
        <w:tc>
          <w:tcPr>
            <w:tcW w:w="1559" w:type="dxa"/>
          </w:tcPr>
          <w:p w14:paraId="2DD7F31A" w14:textId="77777777" w:rsidR="00085789" w:rsidRDefault="00000000">
            <w:pPr>
              <w:spacing w:line="320" w:lineRule="exact"/>
              <w:jc w:val="center"/>
              <w:rPr>
                <w:bCs/>
                <w:sz w:val="26"/>
                <w:szCs w:val="26"/>
                <w:lang w:val="de-DE"/>
              </w:rPr>
            </w:pPr>
            <w:r>
              <w:rPr>
                <w:rFonts w:eastAsia="DFKai-SB"/>
                <w:bCs/>
                <w:sz w:val="26"/>
                <w:szCs w:val="26"/>
                <w:lang w:eastAsia="zh-TW"/>
              </w:rPr>
              <w:t>217.780,52</w:t>
            </w:r>
          </w:p>
        </w:tc>
        <w:tc>
          <w:tcPr>
            <w:tcW w:w="1843" w:type="dxa"/>
          </w:tcPr>
          <w:p w14:paraId="509608D5" w14:textId="77777777" w:rsidR="00085789" w:rsidRDefault="00000000">
            <w:pPr>
              <w:spacing w:line="320" w:lineRule="exact"/>
              <w:jc w:val="center"/>
              <w:rPr>
                <w:bCs/>
                <w:sz w:val="26"/>
                <w:szCs w:val="26"/>
                <w:lang w:val="de-DE"/>
              </w:rPr>
            </w:pPr>
            <w:r>
              <w:rPr>
                <w:sz w:val="26"/>
                <w:szCs w:val="26"/>
                <w:lang w:val="hsb-DE"/>
              </w:rPr>
              <w:t>167.269,25</w:t>
            </w:r>
          </w:p>
        </w:tc>
      </w:tr>
    </w:tbl>
    <w:p w14:paraId="2114717A" w14:textId="77777777" w:rsidR="00085789" w:rsidRDefault="00000000">
      <w:pPr>
        <w:pStyle w:val="-bac3"/>
        <w:spacing w:before="120" w:after="0" w:line="240" w:lineRule="auto"/>
        <w:rPr>
          <w:lang w:val="it-IT"/>
        </w:rPr>
      </w:pPr>
      <w:bookmarkStart w:id="1280" w:name="_Toc214311287"/>
      <w:r>
        <w:rPr>
          <w:lang w:val="it-IT"/>
        </w:rPr>
        <w:t>7.6.2. Công tác quản lý và các vấn đề liên quan:</w:t>
      </w:r>
      <w:bookmarkEnd w:id="1280"/>
    </w:p>
    <w:p w14:paraId="285209EC" w14:textId="77777777" w:rsidR="00085789" w:rsidRDefault="00000000">
      <w:pPr>
        <w:spacing w:before="120" w:line="240" w:lineRule="auto"/>
        <w:ind w:firstLine="709"/>
        <w:jc w:val="both"/>
        <w:rPr>
          <w:rFonts w:eastAsia="DFKai-SB"/>
          <w:sz w:val="26"/>
          <w:szCs w:val="26"/>
          <w:lang w:val="it-IT"/>
        </w:rPr>
      </w:pPr>
      <w:r>
        <w:rPr>
          <w:sz w:val="26"/>
          <w:szCs w:val="26"/>
          <w:lang w:val="it-IT"/>
        </w:rPr>
        <w:t xml:space="preserve"> </w:t>
      </w:r>
      <w:r>
        <w:rPr>
          <w:sz w:val="26"/>
          <w:szCs w:val="26"/>
          <w:lang w:val="de-DE"/>
        </w:rPr>
        <w:t xml:space="preserve">Công ty TNHH Gang thép Hưng Nghiệp Formosa Hà Tĩnh </w:t>
      </w:r>
      <w:r>
        <w:rPr>
          <w:rFonts w:eastAsia="DFKai-SB"/>
          <w:sz w:val="26"/>
          <w:szCs w:val="26"/>
          <w:lang w:val="it-IT"/>
        </w:rPr>
        <w:t xml:space="preserve">đã có Giấy xác nhận đủ điều kiện về BVMT trong nhập khẩu phế liệu làm nguyên liệu sản xuất số 44/GXN-BTNMT ngày 30/3/2022 (thời hạn: 05 năm), khối lượng được phép nhập khẩu đối với thép phế là 3.105.784 tấn và vảy cán là 6.500.000 tấn do Bộ Tài nguyên và Môi trường (trước </w:t>
      </w:r>
      <w:r>
        <w:rPr>
          <w:rFonts w:eastAsia="DFKai-SB"/>
          <w:sz w:val="26"/>
          <w:szCs w:val="26"/>
          <w:lang w:val="it-IT"/>
        </w:rPr>
        <w:lastRenderedPageBreak/>
        <w:t xml:space="preserve">đây) cấp. </w:t>
      </w:r>
      <w:r>
        <w:rPr>
          <w:sz w:val="26"/>
          <w:szCs w:val="26"/>
          <w:lang w:val="it-IT"/>
        </w:rPr>
        <w:t xml:space="preserve">Toàn bộ hệ thống, công trình và thiết bị phục vụ hoạt động tái chế phế liệu của </w:t>
      </w:r>
      <w:r>
        <w:rPr>
          <w:sz w:val="26"/>
          <w:szCs w:val="26"/>
          <w:lang w:val="de-DE"/>
        </w:rPr>
        <w:t>Công ty TNHH Gang thép Hưng Nghiệp Formosa Hà Tĩnh</w:t>
      </w:r>
      <w:r>
        <w:rPr>
          <w:sz w:val="26"/>
          <w:szCs w:val="26"/>
          <w:lang w:val="it-IT"/>
        </w:rPr>
        <w:t xml:space="preserve"> đã được đầu tư, xây dựng và vận hành đúng theo hồ sơ môi trường đã được cơ quan có thẩm quyền phê duyệt và cấp phép. Cụ thể như sau:</w:t>
      </w:r>
    </w:p>
    <w:p w14:paraId="6E5369D7" w14:textId="77777777" w:rsidR="00085789" w:rsidRDefault="00000000">
      <w:pPr>
        <w:spacing w:before="120" w:line="240" w:lineRule="auto"/>
        <w:ind w:firstLine="709"/>
        <w:jc w:val="both"/>
        <w:rPr>
          <w:bCs/>
          <w:sz w:val="26"/>
          <w:szCs w:val="26"/>
          <w:lang w:val="it-IT"/>
        </w:rPr>
      </w:pPr>
      <w:r>
        <w:rPr>
          <w:bCs/>
          <w:sz w:val="26"/>
          <w:szCs w:val="26"/>
          <w:lang w:val="it-IT"/>
        </w:rPr>
        <w:t xml:space="preserve">- Kho, khu/bãi lưu giữ phế liệu nhập khẩu </w:t>
      </w:r>
      <w:r>
        <w:rPr>
          <w:sz w:val="26"/>
          <w:szCs w:val="26"/>
          <w:lang w:val="it-IT"/>
        </w:rPr>
        <w:t>được bố trí hợp lý, đáp ứng các yêu cầu về an toàn và vệ sinh môi trường trong suốt quá trình tiếp nhận lưu giữ.</w:t>
      </w:r>
    </w:p>
    <w:p w14:paraId="11104569" w14:textId="77777777" w:rsidR="00085789" w:rsidRDefault="00000000">
      <w:pPr>
        <w:spacing w:before="120" w:line="240" w:lineRule="auto"/>
        <w:ind w:firstLine="709"/>
        <w:jc w:val="both"/>
        <w:rPr>
          <w:sz w:val="26"/>
          <w:szCs w:val="26"/>
          <w:lang w:val="it-IT"/>
        </w:rPr>
      </w:pPr>
      <w:r>
        <w:rPr>
          <w:bCs/>
          <w:sz w:val="26"/>
          <w:szCs w:val="26"/>
          <w:lang w:val="it-IT"/>
        </w:rPr>
        <w:t>- Dây chuyền, thiết bị tái sử dụng phế liệu nhập khẩu có công nghệ</w:t>
      </w:r>
      <w:r>
        <w:rPr>
          <w:sz w:val="26"/>
          <w:szCs w:val="26"/>
          <w:lang w:val="it-IT"/>
        </w:rPr>
        <w:t xml:space="preserve"> phù hợp với loại phế liệu tiếp nhận, có công suất xử lý đáp ứng quy mô đã được cấp phép, đồng thời được trang bị hệ thống xử lý chất thải phù hợp, đảm bảo hiệu quả sử dụng phế liệu và kiểm soát chất thải phát sinh theo đúng quy định pháp luật.</w:t>
      </w:r>
    </w:p>
    <w:p w14:paraId="38437AA0" w14:textId="77777777" w:rsidR="00085789" w:rsidRDefault="00000000">
      <w:pPr>
        <w:spacing w:before="120" w:line="240" w:lineRule="auto"/>
        <w:ind w:firstLine="709"/>
        <w:jc w:val="both"/>
        <w:rPr>
          <w:sz w:val="26"/>
          <w:szCs w:val="26"/>
          <w:lang w:val="it-IT"/>
        </w:rPr>
      </w:pPr>
      <w:r>
        <w:rPr>
          <w:sz w:val="26"/>
          <w:szCs w:val="26"/>
          <w:lang w:val="it-IT"/>
        </w:rPr>
        <w:t>- Trong quá trình hoạt động, đã nghiêm túc phân công trách nhiệm cho từng bộ phận, đảm bảo thao tác đúng theo quy trình sản xuất, ghi chép và lưu giữ nhật ký vận hành theo quy định.</w:t>
      </w:r>
    </w:p>
    <w:p w14:paraId="0FC42FC8" w14:textId="77777777" w:rsidR="00085789" w:rsidRDefault="00000000">
      <w:pPr>
        <w:spacing w:before="120" w:line="240" w:lineRule="auto"/>
        <w:ind w:firstLine="709"/>
        <w:jc w:val="both"/>
        <w:rPr>
          <w:sz w:val="26"/>
          <w:szCs w:val="26"/>
          <w:lang w:val="it-IT"/>
        </w:rPr>
      </w:pPr>
      <w:r>
        <w:rPr>
          <w:sz w:val="26"/>
          <w:szCs w:val="26"/>
          <w:lang w:val="it-IT"/>
        </w:rPr>
        <w:t xml:space="preserve">Nhìn chung, </w:t>
      </w:r>
      <w:r>
        <w:rPr>
          <w:sz w:val="26"/>
          <w:szCs w:val="26"/>
          <w:lang w:val="de-DE"/>
        </w:rPr>
        <w:t>Công ty TNHH Gang thép Hưng Nghiệp Formosa Hà Tĩnh</w:t>
      </w:r>
      <w:r>
        <w:rPr>
          <w:sz w:val="26"/>
          <w:szCs w:val="26"/>
          <w:lang w:val="it-IT"/>
        </w:rPr>
        <w:t xml:space="preserve"> luôn tuân thủ nghiêm các yêu cầu trong hồ sơ môi trường đã được cấp phép và các quy định pháp luật có liên quan, đồng thời cam kết tiếp tục duy trì, vận hành hiệu quả các hệ thống, công trình và thiết bị đã được cấp phép, góp phần đảm bảo mục tiêu sản xuất gắn với bảo vệ môi trường và phát triển bền vững.</w:t>
      </w:r>
    </w:p>
    <w:p w14:paraId="7469D575" w14:textId="77777777" w:rsidR="00085789" w:rsidRDefault="00085789">
      <w:pPr>
        <w:spacing w:before="40" w:after="40" w:line="264" w:lineRule="auto"/>
        <w:ind w:firstLine="720"/>
        <w:jc w:val="both"/>
        <w:rPr>
          <w:sz w:val="26"/>
          <w:szCs w:val="26"/>
          <w:lang w:val="it-IT"/>
        </w:rPr>
        <w:sectPr w:rsidR="00085789">
          <w:pgSz w:w="11909" w:h="16834" w:code="9"/>
          <w:pgMar w:top="1134" w:right="1134" w:bottom="1134" w:left="1418" w:header="567" w:footer="567" w:gutter="0"/>
          <w:cols w:space="720"/>
          <w:docGrid w:linePitch="381"/>
        </w:sectPr>
      </w:pPr>
    </w:p>
    <w:p w14:paraId="1B2EE67D" w14:textId="77777777" w:rsidR="00085789" w:rsidRDefault="00000000">
      <w:pPr>
        <w:pStyle w:val="-bac1"/>
        <w:spacing w:before="0" w:after="0" w:line="240" w:lineRule="auto"/>
        <w:rPr>
          <w:lang w:val="nl-NL"/>
        </w:rPr>
      </w:pPr>
      <w:bookmarkStart w:id="1281" w:name="_Toc55594868"/>
      <w:bookmarkStart w:id="1282" w:name="_Toc56739828"/>
      <w:bookmarkStart w:id="1283" w:name="_Toc54810642"/>
      <w:bookmarkStart w:id="1284" w:name="_Toc54795639"/>
      <w:bookmarkStart w:id="1285" w:name="_Toc55007985"/>
      <w:bookmarkStart w:id="1286" w:name="_Toc56739085"/>
      <w:bookmarkStart w:id="1287" w:name="_Toc56740591"/>
      <w:bookmarkStart w:id="1288" w:name="_Toc55592307"/>
      <w:bookmarkStart w:id="1289" w:name="_Toc54796353"/>
      <w:bookmarkStart w:id="1290" w:name="_Toc56737644"/>
      <w:bookmarkStart w:id="1291" w:name="_Toc54794925"/>
      <w:bookmarkStart w:id="1292" w:name="_Toc56736923"/>
      <w:bookmarkStart w:id="1293" w:name="_Toc54794211"/>
      <w:bookmarkStart w:id="1294" w:name="_Toc214311288"/>
      <w:r>
        <w:rPr>
          <w:lang w:val="nl-NL"/>
        </w:rPr>
        <w:lastRenderedPageBreak/>
        <w:t>Chương VIII</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14CFBFC" w14:textId="77777777" w:rsidR="00085789" w:rsidRDefault="00000000">
      <w:pPr>
        <w:keepNext/>
        <w:spacing w:line="240" w:lineRule="auto"/>
        <w:jc w:val="center"/>
        <w:outlineLvl w:val="0"/>
        <w:rPr>
          <w:b/>
          <w:kern w:val="32"/>
          <w:sz w:val="26"/>
          <w:szCs w:val="26"/>
          <w:lang w:val="it-IT"/>
        </w:rPr>
      </w:pPr>
      <w:bookmarkStart w:id="1295" w:name="_Toc56739086"/>
      <w:bookmarkStart w:id="1296" w:name="_Toc54810643"/>
      <w:bookmarkStart w:id="1297" w:name="_Toc55594869"/>
      <w:bookmarkStart w:id="1298" w:name="_Toc54794926"/>
      <w:bookmarkStart w:id="1299" w:name="_Toc54795640"/>
      <w:bookmarkStart w:id="1300" w:name="_Toc56736924"/>
      <w:bookmarkStart w:id="1301" w:name="_Toc54794212"/>
      <w:bookmarkStart w:id="1302" w:name="_Toc54796354"/>
      <w:bookmarkStart w:id="1303" w:name="_Toc55592308"/>
      <w:bookmarkStart w:id="1304" w:name="_Toc55007986"/>
      <w:bookmarkStart w:id="1305" w:name="_Toc56740592"/>
      <w:bookmarkStart w:id="1306" w:name="_Toc56737645"/>
      <w:bookmarkStart w:id="1307" w:name="_Toc56739829"/>
      <w:r>
        <w:rPr>
          <w:b/>
          <w:kern w:val="32"/>
          <w:sz w:val="26"/>
          <w:szCs w:val="26"/>
          <w:lang w:val="it-IT"/>
        </w:rPr>
        <w:t>BIẾN ĐỔI KHÍ HẬU - THIÊN TAI - SỰ CỐ MÔI TRƯỜNG</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316BE3B1" w14:textId="77777777" w:rsidR="00085789" w:rsidRDefault="00085789">
      <w:pPr>
        <w:keepNext/>
        <w:spacing w:line="240" w:lineRule="auto"/>
        <w:jc w:val="center"/>
        <w:outlineLvl w:val="0"/>
        <w:rPr>
          <w:rFonts w:ascii="Arial" w:hAnsi="Arial" w:cs="Arial"/>
          <w:bCs/>
          <w:kern w:val="32"/>
          <w:sz w:val="26"/>
          <w:szCs w:val="26"/>
          <w:lang w:val="it-IT"/>
        </w:rPr>
      </w:pPr>
    </w:p>
    <w:p w14:paraId="130ABB92" w14:textId="77777777" w:rsidR="00085789" w:rsidRDefault="00000000">
      <w:pPr>
        <w:pStyle w:val="bac2"/>
        <w:spacing w:before="120" w:after="0" w:line="240" w:lineRule="auto"/>
        <w:rPr>
          <w:lang w:val="it-IT"/>
        </w:rPr>
      </w:pPr>
      <w:bookmarkStart w:id="1308" w:name="_Toc56740593"/>
      <w:bookmarkStart w:id="1309" w:name="_Toc55007987"/>
      <w:bookmarkStart w:id="1310" w:name="_Toc56736925"/>
      <w:bookmarkStart w:id="1311" w:name="_Toc54810644"/>
      <w:bookmarkStart w:id="1312" w:name="_Toc54794927"/>
      <w:bookmarkStart w:id="1313" w:name="_Toc54796355"/>
      <w:bookmarkStart w:id="1314" w:name="_Toc56737646"/>
      <w:bookmarkStart w:id="1315" w:name="_Toc56739087"/>
      <w:bookmarkStart w:id="1316" w:name="_Toc55592309"/>
      <w:bookmarkStart w:id="1317" w:name="_Toc54795641"/>
      <w:bookmarkStart w:id="1318" w:name="_Toc55594870"/>
      <w:bookmarkStart w:id="1319" w:name="_Toc54794213"/>
      <w:bookmarkStart w:id="1320" w:name="_Toc56739830"/>
      <w:bookmarkStart w:id="1321" w:name="_Toc214311289"/>
      <w:r>
        <w:rPr>
          <w:lang w:val="it-IT"/>
        </w:rPr>
        <w:t>8.1. Những vấn đề về phát thải khí nhà kính</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1DCA8158" w14:textId="77777777" w:rsidR="00085789" w:rsidRDefault="00000000">
      <w:pPr>
        <w:spacing w:before="120" w:line="240" w:lineRule="auto"/>
        <w:ind w:firstLine="709"/>
        <w:jc w:val="both"/>
        <w:rPr>
          <w:sz w:val="26"/>
          <w:szCs w:val="26"/>
          <w:lang w:val="it-IT"/>
        </w:rPr>
      </w:pPr>
      <w:bookmarkStart w:id="1322" w:name="_Toc54794930"/>
      <w:bookmarkStart w:id="1323" w:name="_Toc55007990"/>
      <w:bookmarkStart w:id="1324" w:name="_Toc56740596"/>
      <w:bookmarkStart w:id="1325" w:name="_Toc56736928"/>
      <w:bookmarkStart w:id="1326" w:name="_Toc56739090"/>
      <w:bookmarkStart w:id="1327" w:name="_Toc56739833"/>
      <w:bookmarkStart w:id="1328" w:name="_Toc54794216"/>
      <w:bookmarkStart w:id="1329" w:name="_Toc55592312"/>
      <w:bookmarkStart w:id="1330" w:name="_Toc56737649"/>
      <w:bookmarkStart w:id="1331" w:name="_Toc54795644"/>
      <w:bookmarkStart w:id="1332" w:name="_Toc55594873"/>
      <w:bookmarkStart w:id="1333" w:name="_Toc54796358"/>
      <w:bookmarkStart w:id="1334" w:name="_Toc54810647"/>
      <w:r>
        <w:rPr>
          <w:sz w:val="26"/>
          <w:szCs w:val="26"/>
          <w:lang w:val="it-IT"/>
        </w:rPr>
        <w:t>Hiện nay đang thực hiện thống kê số liệu kiểm kê phát thải khí nhà kính; việc phát thải khí nhà kính chủ yếu ở các hoạt động công nghiệp, giao thông, nông nghiệp, xử lý CTR,...., cụ thể như sau:</w:t>
      </w:r>
    </w:p>
    <w:p w14:paraId="7CD0D45F" w14:textId="77777777" w:rsidR="00085789" w:rsidRDefault="00000000">
      <w:pPr>
        <w:spacing w:before="120" w:line="240" w:lineRule="auto"/>
        <w:ind w:firstLine="709"/>
        <w:jc w:val="both"/>
        <w:rPr>
          <w:sz w:val="26"/>
          <w:szCs w:val="26"/>
          <w:lang w:val="it-IT"/>
        </w:rPr>
      </w:pPr>
      <w:r>
        <w:rPr>
          <w:sz w:val="26"/>
          <w:szCs w:val="26"/>
          <w:lang w:val="it-IT"/>
        </w:rPr>
        <w:t>- Cùng với sự gia tăng dân số thì các phương tiện cá nhân ngày càng gia tăng kéo theo sự gia tăng phát thải khí nhà kính do sử dụng động cơ đốt cháy nhiên liệu xăng, dầu sinh ra khí CO, CO</w:t>
      </w:r>
      <w:r>
        <w:rPr>
          <w:sz w:val="26"/>
          <w:szCs w:val="26"/>
          <w:vertAlign w:val="subscript"/>
          <w:lang w:val="it-IT"/>
        </w:rPr>
        <w:t>2</w:t>
      </w:r>
      <w:r>
        <w:rPr>
          <w:sz w:val="26"/>
          <w:szCs w:val="26"/>
          <w:lang w:val="it-IT"/>
        </w:rPr>
        <w:t>, NO</w:t>
      </w:r>
      <w:r>
        <w:rPr>
          <w:sz w:val="26"/>
          <w:szCs w:val="26"/>
          <w:vertAlign w:val="subscript"/>
          <w:lang w:val="it-IT"/>
        </w:rPr>
        <w:t>x,</w:t>
      </w:r>
      <w:r>
        <w:rPr>
          <w:sz w:val="26"/>
          <w:szCs w:val="26"/>
          <w:lang w:val="it-IT"/>
        </w:rPr>
        <w:t xml:space="preserve">.... </w:t>
      </w:r>
    </w:p>
    <w:p w14:paraId="727044AF" w14:textId="77777777" w:rsidR="00085789" w:rsidRDefault="00000000">
      <w:pPr>
        <w:spacing w:before="120" w:line="240" w:lineRule="auto"/>
        <w:ind w:firstLine="709"/>
        <w:jc w:val="both"/>
        <w:rPr>
          <w:sz w:val="26"/>
          <w:szCs w:val="26"/>
          <w:lang w:val="it-IT"/>
        </w:rPr>
      </w:pPr>
      <w:r>
        <w:rPr>
          <w:sz w:val="26"/>
          <w:szCs w:val="26"/>
          <w:lang w:val="it-IT"/>
        </w:rPr>
        <w:t xml:space="preserve">- Hoạt động sản xuất công nghiệp của các Nhà máy, làng nghề,… có sử dụng nhiên liệu hóa thạch (than, củi,…). </w:t>
      </w:r>
    </w:p>
    <w:p w14:paraId="5807D74C" w14:textId="77777777" w:rsidR="00085789" w:rsidRDefault="00000000">
      <w:pPr>
        <w:spacing w:before="120" w:line="240" w:lineRule="auto"/>
        <w:ind w:firstLine="709"/>
        <w:jc w:val="both"/>
        <w:rPr>
          <w:sz w:val="26"/>
          <w:szCs w:val="26"/>
          <w:lang w:val="it-IT"/>
        </w:rPr>
      </w:pPr>
      <w:r>
        <w:rPr>
          <w:sz w:val="26"/>
          <w:szCs w:val="26"/>
          <w:lang w:val="it-IT"/>
        </w:rPr>
        <w:t>- Nông nghiệp là một trong những ngành thế mạnh của tỉnh Hà Tĩnh, đây cũng là nguồn phát sinh khí thải nhà kính lớn. Cụ thể khí CH</w:t>
      </w:r>
      <w:r>
        <w:rPr>
          <w:sz w:val="26"/>
          <w:szCs w:val="26"/>
          <w:vertAlign w:val="subscript"/>
          <w:lang w:val="it-IT"/>
        </w:rPr>
        <w:t>4</w:t>
      </w:r>
      <w:r>
        <w:rPr>
          <w:sz w:val="26"/>
          <w:szCs w:val="26"/>
          <w:lang w:val="it-IT"/>
        </w:rPr>
        <w:t xml:space="preserve"> phát sinh từ trồng lúa nước, phân thải của vật nuôi và từ quá trình lên men thức ăn trong dạ dày của động vật nhai lại (trâu, bò) khi gia súc ợ thức ăn lên để nhai lại; khí CO, CO</w:t>
      </w:r>
      <w:r>
        <w:rPr>
          <w:sz w:val="26"/>
          <w:szCs w:val="26"/>
          <w:vertAlign w:val="subscript"/>
          <w:lang w:val="it-IT"/>
        </w:rPr>
        <w:t>2</w:t>
      </w:r>
      <w:r>
        <w:rPr>
          <w:sz w:val="26"/>
          <w:szCs w:val="26"/>
          <w:lang w:val="it-IT"/>
        </w:rPr>
        <w:t xml:space="preserve"> phát sinh từ hoạt động đốt phụ phẩm nông nghiệp sau thu hoạch, hoạt động này mặc dù đã giảm do rơm rạ được cầy lật ngay tại ruộng nhưng vẫn xảy ra ở một số địa phương. </w:t>
      </w:r>
    </w:p>
    <w:p w14:paraId="3FDB63D6" w14:textId="77777777" w:rsidR="00085789" w:rsidRDefault="00000000">
      <w:pPr>
        <w:spacing w:before="120" w:line="240" w:lineRule="auto"/>
        <w:ind w:firstLine="709"/>
        <w:jc w:val="both"/>
        <w:rPr>
          <w:sz w:val="26"/>
          <w:szCs w:val="26"/>
          <w:lang w:val="it-IT"/>
        </w:rPr>
      </w:pPr>
      <w:r>
        <w:rPr>
          <w:sz w:val="26"/>
          <w:szCs w:val="26"/>
          <w:lang w:val="it-IT"/>
        </w:rPr>
        <w:t>Các cơ sở sử dụng lò hơi đốt than, dầu đều được yêu cầu phải có hệ thống xử lý khí thải đảm bảo đạt quy chuẩn trước khi thải ra môi trường và quan trắc khí thải định kỳ theo quy định; đặc biệt, các cơ sở có nguồn thải khí thải lưu lượng lớn bắt buộc phải đầu tư hệ thống quan trắc khí thải tự động, liên tục. Các trang trại chăn nuôi đã đầu tư hệ thống hầm biogas tận dụng khí để phục vụ sinh hoạt, tuy nhiên tỷ lệ các hộ chăn nuôi nhỏ lẻ đầu tư hầm biogas còn thấp.</w:t>
      </w:r>
    </w:p>
    <w:p w14:paraId="5E91F1CA" w14:textId="77777777" w:rsidR="00085789" w:rsidRDefault="00000000">
      <w:pPr>
        <w:pStyle w:val="bac2"/>
        <w:spacing w:before="120" w:after="0" w:line="240" w:lineRule="auto"/>
        <w:rPr>
          <w:lang w:val="it-IT"/>
        </w:rPr>
      </w:pPr>
      <w:bookmarkStart w:id="1335" w:name="_Toc214311290"/>
      <w:r>
        <w:rPr>
          <w:lang w:val="it-IT"/>
        </w:rPr>
        <w:t>8.2. Biểu hiện và ảnh hưởng của BĐKH ở tỉnh Hà Tĩnh</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1FF5C58D" w14:textId="77777777" w:rsidR="00085789" w:rsidRDefault="00000000">
      <w:pPr>
        <w:spacing w:before="120" w:line="240" w:lineRule="auto"/>
        <w:ind w:firstLine="709"/>
        <w:jc w:val="both"/>
        <w:rPr>
          <w:sz w:val="26"/>
          <w:szCs w:val="26"/>
          <w:lang w:val="it-IT"/>
        </w:rPr>
      </w:pPr>
      <w:r>
        <w:rPr>
          <w:sz w:val="26"/>
          <w:szCs w:val="26"/>
          <w:lang w:val="it-IT"/>
        </w:rPr>
        <w:t>Hà Tĩnh có hai yếu tố khí hậu có xu thế tăng lên rõ rệt nhất bao gồm: số đợt nắng nóng và số ngày nắng nóng, nhiệt độ trung bình năm vào các tháng. Tốc độ xu thế của các ngày nắng nóng là tăng thêm 3 ngày trong mỗi thập kỷ và của nhiệt độ trung bình năm là 0,14 - 0,25</w:t>
      </w:r>
      <w:r>
        <w:rPr>
          <w:sz w:val="26"/>
          <w:szCs w:val="26"/>
          <w:vertAlign w:val="superscript"/>
          <w:lang w:val="it-IT"/>
        </w:rPr>
        <w:t>0</w:t>
      </w:r>
      <w:r>
        <w:rPr>
          <w:sz w:val="26"/>
          <w:szCs w:val="26"/>
          <w:lang w:val="it-IT"/>
        </w:rPr>
        <w:t>C mỗi thập kỷ, kết quả là trong khoảng 45 - 50 năm qua, nhiệt độ trung bình ở Hà Tĩnh tăng lên 0,7 - 1,0</w:t>
      </w:r>
      <w:r>
        <w:rPr>
          <w:sz w:val="26"/>
          <w:szCs w:val="26"/>
          <w:vertAlign w:val="superscript"/>
          <w:lang w:val="it-IT"/>
        </w:rPr>
        <w:t>0</w:t>
      </w:r>
      <w:r>
        <w:rPr>
          <w:sz w:val="26"/>
          <w:szCs w:val="26"/>
          <w:lang w:val="it-IT"/>
        </w:rPr>
        <w:t>C, vào loại cao nhất ở Việt Nam.</w:t>
      </w:r>
    </w:p>
    <w:p w14:paraId="32A86CAB" w14:textId="77777777" w:rsidR="00085789" w:rsidRDefault="00000000">
      <w:pPr>
        <w:spacing w:before="120" w:line="240" w:lineRule="auto"/>
        <w:ind w:firstLine="709"/>
        <w:jc w:val="both"/>
        <w:rPr>
          <w:sz w:val="26"/>
          <w:szCs w:val="26"/>
          <w:lang w:val="it-IT"/>
        </w:rPr>
      </w:pPr>
      <w:r>
        <w:rPr>
          <w:sz w:val="26"/>
          <w:szCs w:val="26"/>
          <w:lang w:val="it-IT"/>
        </w:rPr>
        <w:t>Kể từ năm 1959 đến năm 2025 nhiệt độ trung bình năm tại Hà Tĩnh tăng lên khoảng 1,5</w:t>
      </w:r>
      <w:r>
        <w:rPr>
          <w:sz w:val="26"/>
          <w:szCs w:val="26"/>
          <w:vertAlign w:val="superscript"/>
          <w:lang w:val="it-IT"/>
        </w:rPr>
        <w:t>0</w:t>
      </w:r>
      <w:r>
        <w:rPr>
          <w:sz w:val="26"/>
          <w:szCs w:val="26"/>
          <w:lang w:val="it-IT"/>
        </w:rPr>
        <w:t>C. Nhìn chung, nhiệt độ mùa Hè tăng nhanh hơn mùa đông, những năm gần đây (2021 - 2025) nhiệt độ trung bình tăng lên so với thập kỷ 2001 - 2010 khoảng 0,3</w:t>
      </w:r>
      <w:r>
        <w:rPr>
          <w:sz w:val="26"/>
          <w:szCs w:val="26"/>
          <w:vertAlign w:val="superscript"/>
          <w:lang w:val="it-IT"/>
        </w:rPr>
        <w:t>0</w:t>
      </w:r>
      <w:r>
        <w:rPr>
          <w:sz w:val="26"/>
          <w:szCs w:val="26"/>
          <w:lang w:val="it-IT"/>
        </w:rPr>
        <w:t>C. Số giờ nắng trung bình năm tăng lên, lượng mưa trung bình năm có giảm nhẹ và phân bố không đồng đều giữa các tháng trong năm.</w:t>
      </w:r>
    </w:p>
    <w:p w14:paraId="025DA9AD" w14:textId="77777777" w:rsidR="00085789" w:rsidRDefault="00000000">
      <w:pPr>
        <w:spacing w:before="120" w:line="240" w:lineRule="auto"/>
        <w:ind w:firstLine="709"/>
        <w:jc w:val="both"/>
        <w:rPr>
          <w:sz w:val="26"/>
          <w:szCs w:val="26"/>
          <w:lang w:val="it-IT"/>
        </w:rPr>
      </w:pPr>
      <w:r>
        <w:rPr>
          <w:sz w:val="26"/>
          <w:szCs w:val="26"/>
          <w:lang w:val="it-IT"/>
        </w:rPr>
        <w:t xml:space="preserve">Xu thế biến đổi lượng mưa trung bình năm trên địa bàn tỉnh khá rõ rệt theo các thời kỳ và các vùng khác nhau. </w:t>
      </w:r>
      <w:r>
        <w:rPr>
          <w:rFonts w:eastAsia="DengXian Light"/>
          <w:sz w:val="26"/>
          <w:szCs w:val="26"/>
          <w:lang w:val="it-IT"/>
        </w:rPr>
        <w:t>Mùa mưa bão lũ giai đoạn 2021 - 2025</w:t>
      </w:r>
      <w:r>
        <w:rPr>
          <w:sz w:val="26"/>
          <w:szCs w:val="26"/>
          <w:lang w:val="it-IT"/>
        </w:rPr>
        <w:t xml:space="preserve"> diễn ra tương đối ổn định, đúng quy luật hàng năm. Tần suất lũ lớn có xu hướng tăng và xuất hiện sớm hơn so với giai đoạn trước 2021, đặc biệt năm 2025 với mưa cực đoan đầu mùa và cuối mùa. Tổng lượng mưa năm 2023 cao hơn trung bình lịch sử, nên khí hậu ẩm ướt hơn.</w:t>
      </w:r>
    </w:p>
    <w:p w14:paraId="5E43053F" w14:textId="77777777" w:rsidR="00085789" w:rsidRDefault="00000000">
      <w:pPr>
        <w:spacing w:before="120" w:line="240" w:lineRule="auto"/>
        <w:ind w:firstLine="709"/>
        <w:jc w:val="both"/>
        <w:rPr>
          <w:sz w:val="26"/>
          <w:szCs w:val="26"/>
          <w:lang w:val="it-IT"/>
        </w:rPr>
      </w:pPr>
      <w:r>
        <w:rPr>
          <w:sz w:val="26"/>
          <w:szCs w:val="26"/>
          <w:lang w:val="it-IT"/>
        </w:rPr>
        <w:t>Thống kê số đợt lũ qua các năm từ 2021 - 2025 trên địa bàn Hà Tĩnh được thể hiện chi tiết ở bảng sau:</w:t>
      </w:r>
    </w:p>
    <w:p w14:paraId="4C2D32F5" w14:textId="77777777" w:rsidR="00085789" w:rsidRDefault="00000000">
      <w:pPr>
        <w:pStyle w:val="-bac4"/>
        <w:spacing w:before="120" w:after="0" w:line="240" w:lineRule="auto"/>
        <w:rPr>
          <w:lang w:val="it-IT"/>
        </w:rPr>
      </w:pPr>
      <w:bookmarkStart w:id="1336" w:name="_Toc205915899"/>
      <w:bookmarkStart w:id="1337" w:name="_Toc213597594"/>
      <w:bookmarkStart w:id="1338" w:name="_Toc213600883"/>
      <w:r>
        <w:rPr>
          <w:lang w:val="it-IT"/>
        </w:rPr>
        <w:t>Bảng 8.1. Tổng quan các đợt lũ tại Hà Tĩnh giai đoạn 2021 - 2025</w:t>
      </w:r>
      <w:bookmarkEnd w:id="1336"/>
      <w:bookmarkEnd w:id="1337"/>
      <w:bookmarkEnd w:id="1338"/>
    </w:p>
    <w:p w14:paraId="7D08AF27" w14:textId="77777777" w:rsidR="00085789" w:rsidRDefault="00085789">
      <w:pPr>
        <w:pStyle w:val="-bac4"/>
        <w:spacing w:before="120" w:after="0" w:line="240" w:lineRule="auto"/>
        <w:rPr>
          <w:sz w:val="8"/>
          <w:szCs w:val="6"/>
          <w:lang w:val="it-IT"/>
        </w:rPr>
      </w:pPr>
    </w:p>
    <w:tbl>
      <w:tblPr>
        <w:tblStyle w:val="TableGrid"/>
        <w:tblW w:w="0" w:type="auto"/>
        <w:jc w:val="center"/>
        <w:tblLook w:val="04A0" w:firstRow="1" w:lastRow="0" w:firstColumn="1" w:lastColumn="0" w:noHBand="0" w:noVBand="1"/>
      </w:tblPr>
      <w:tblGrid>
        <w:gridCol w:w="710"/>
        <w:gridCol w:w="1837"/>
        <w:gridCol w:w="2551"/>
        <w:gridCol w:w="1701"/>
        <w:gridCol w:w="2263"/>
      </w:tblGrid>
      <w:tr w:rsidR="00085789" w14:paraId="38515DFC" w14:textId="77777777">
        <w:trPr>
          <w:jc w:val="center"/>
        </w:trPr>
        <w:tc>
          <w:tcPr>
            <w:tcW w:w="710" w:type="dxa"/>
            <w:vAlign w:val="center"/>
          </w:tcPr>
          <w:p w14:paraId="51345651" w14:textId="77777777" w:rsidR="00085789" w:rsidRDefault="00000000">
            <w:pPr>
              <w:spacing w:line="240" w:lineRule="auto"/>
              <w:jc w:val="center"/>
              <w:rPr>
                <w:b/>
                <w:sz w:val="24"/>
                <w:szCs w:val="24"/>
              </w:rPr>
            </w:pPr>
            <w:r>
              <w:rPr>
                <w:b/>
                <w:sz w:val="24"/>
                <w:szCs w:val="24"/>
              </w:rPr>
              <w:lastRenderedPageBreak/>
              <w:t>Năm</w:t>
            </w:r>
          </w:p>
        </w:tc>
        <w:tc>
          <w:tcPr>
            <w:tcW w:w="1837" w:type="dxa"/>
            <w:vAlign w:val="center"/>
          </w:tcPr>
          <w:p w14:paraId="5FE031AC" w14:textId="77777777" w:rsidR="00085789" w:rsidRDefault="00000000">
            <w:pPr>
              <w:spacing w:line="240" w:lineRule="auto"/>
              <w:jc w:val="center"/>
              <w:rPr>
                <w:b/>
                <w:sz w:val="24"/>
                <w:szCs w:val="24"/>
              </w:rPr>
            </w:pPr>
            <w:r>
              <w:rPr>
                <w:b/>
                <w:sz w:val="24"/>
                <w:szCs w:val="24"/>
              </w:rPr>
              <w:t>Tổng mưa tương đối</w:t>
            </w:r>
          </w:p>
        </w:tc>
        <w:tc>
          <w:tcPr>
            <w:tcW w:w="2551" w:type="dxa"/>
            <w:vAlign w:val="center"/>
          </w:tcPr>
          <w:p w14:paraId="36DE81EE" w14:textId="77777777" w:rsidR="00085789" w:rsidRDefault="00000000">
            <w:pPr>
              <w:spacing w:line="240" w:lineRule="auto"/>
              <w:jc w:val="center"/>
              <w:rPr>
                <w:b/>
                <w:sz w:val="24"/>
                <w:szCs w:val="24"/>
              </w:rPr>
            </w:pPr>
            <w:r>
              <w:rPr>
                <w:b/>
                <w:sz w:val="24"/>
                <w:szCs w:val="24"/>
              </w:rPr>
              <w:t>Đợt lũ lớn nổi bật</w:t>
            </w:r>
          </w:p>
        </w:tc>
        <w:tc>
          <w:tcPr>
            <w:tcW w:w="1701" w:type="dxa"/>
            <w:vAlign w:val="center"/>
          </w:tcPr>
          <w:p w14:paraId="112B5743" w14:textId="77777777" w:rsidR="00085789" w:rsidRDefault="00000000">
            <w:pPr>
              <w:spacing w:line="240" w:lineRule="auto"/>
              <w:jc w:val="center"/>
              <w:rPr>
                <w:b/>
                <w:sz w:val="24"/>
                <w:szCs w:val="24"/>
              </w:rPr>
            </w:pPr>
            <w:r>
              <w:rPr>
                <w:b/>
                <w:sz w:val="24"/>
                <w:szCs w:val="24"/>
              </w:rPr>
              <w:t>Mức đỉnh lũ</w:t>
            </w:r>
          </w:p>
        </w:tc>
        <w:tc>
          <w:tcPr>
            <w:tcW w:w="2263" w:type="dxa"/>
            <w:vAlign w:val="center"/>
          </w:tcPr>
          <w:p w14:paraId="46BF69F9" w14:textId="77777777" w:rsidR="00085789" w:rsidRDefault="00000000">
            <w:pPr>
              <w:spacing w:line="240" w:lineRule="auto"/>
              <w:jc w:val="center"/>
              <w:rPr>
                <w:b/>
                <w:sz w:val="24"/>
                <w:szCs w:val="24"/>
              </w:rPr>
            </w:pPr>
            <w:r>
              <w:rPr>
                <w:b/>
                <w:sz w:val="24"/>
                <w:szCs w:val="24"/>
              </w:rPr>
              <w:t>Tác động chính</w:t>
            </w:r>
          </w:p>
        </w:tc>
      </w:tr>
      <w:tr w:rsidR="00085789" w14:paraId="3A90A4F1" w14:textId="77777777">
        <w:trPr>
          <w:jc w:val="center"/>
        </w:trPr>
        <w:tc>
          <w:tcPr>
            <w:tcW w:w="710" w:type="dxa"/>
            <w:vAlign w:val="center"/>
          </w:tcPr>
          <w:p w14:paraId="248F4EEF" w14:textId="77777777" w:rsidR="00085789" w:rsidRDefault="00000000">
            <w:pPr>
              <w:spacing w:line="240" w:lineRule="auto"/>
              <w:jc w:val="center"/>
              <w:rPr>
                <w:sz w:val="24"/>
                <w:szCs w:val="24"/>
              </w:rPr>
            </w:pPr>
            <w:r>
              <w:rPr>
                <w:sz w:val="24"/>
                <w:szCs w:val="24"/>
              </w:rPr>
              <w:t>2021</w:t>
            </w:r>
          </w:p>
        </w:tc>
        <w:tc>
          <w:tcPr>
            <w:tcW w:w="1837" w:type="dxa"/>
            <w:vAlign w:val="center"/>
          </w:tcPr>
          <w:p w14:paraId="28D3FE1E" w14:textId="77777777" w:rsidR="00085789" w:rsidRDefault="00000000">
            <w:pPr>
              <w:spacing w:line="240" w:lineRule="auto"/>
              <w:jc w:val="center"/>
              <w:rPr>
                <w:sz w:val="24"/>
                <w:szCs w:val="24"/>
              </w:rPr>
            </w:pPr>
            <w:r>
              <w:rPr>
                <w:sz w:val="24"/>
                <w:szCs w:val="24"/>
              </w:rPr>
              <w:t>Đúng quy luật</w:t>
            </w:r>
          </w:p>
        </w:tc>
        <w:tc>
          <w:tcPr>
            <w:tcW w:w="2551" w:type="dxa"/>
            <w:vAlign w:val="center"/>
          </w:tcPr>
          <w:p w14:paraId="67C88FD3" w14:textId="77777777" w:rsidR="00085789" w:rsidRDefault="00000000">
            <w:pPr>
              <w:spacing w:line="240" w:lineRule="auto"/>
              <w:jc w:val="center"/>
              <w:rPr>
                <w:sz w:val="24"/>
                <w:szCs w:val="24"/>
              </w:rPr>
            </w:pPr>
            <w:r>
              <w:rPr>
                <w:sz w:val="24"/>
                <w:szCs w:val="24"/>
              </w:rPr>
              <w:t>Đợt lũ lớn cuối tháng 9</w:t>
            </w:r>
          </w:p>
        </w:tc>
        <w:tc>
          <w:tcPr>
            <w:tcW w:w="1701" w:type="dxa"/>
            <w:vAlign w:val="center"/>
          </w:tcPr>
          <w:p w14:paraId="14428412" w14:textId="77777777" w:rsidR="00085789" w:rsidRDefault="00000000">
            <w:pPr>
              <w:spacing w:line="240" w:lineRule="auto"/>
              <w:jc w:val="center"/>
              <w:rPr>
                <w:sz w:val="24"/>
                <w:szCs w:val="24"/>
              </w:rPr>
            </w:pPr>
            <w:r>
              <w:rPr>
                <w:sz w:val="24"/>
                <w:szCs w:val="24"/>
              </w:rPr>
              <w:t>Dưới BĐ1 - BĐII</w:t>
            </w:r>
          </w:p>
        </w:tc>
        <w:tc>
          <w:tcPr>
            <w:tcW w:w="2263" w:type="dxa"/>
            <w:vAlign w:val="center"/>
          </w:tcPr>
          <w:p w14:paraId="56D16806" w14:textId="77777777" w:rsidR="00085789" w:rsidRDefault="00000000">
            <w:pPr>
              <w:spacing w:line="240" w:lineRule="auto"/>
              <w:jc w:val="center"/>
              <w:rPr>
                <w:sz w:val="24"/>
                <w:szCs w:val="24"/>
              </w:rPr>
            </w:pPr>
            <w:r>
              <w:rPr>
                <w:sz w:val="24"/>
                <w:szCs w:val="24"/>
              </w:rPr>
              <w:t>Lũ vừa - ít thiệt hại</w:t>
            </w:r>
          </w:p>
        </w:tc>
      </w:tr>
      <w:tr w:rsidR="00085789" w14:paraId="0E571C5C" w14:textId="77777777">
        <w:trPr>
          <w:jc w:val="center"/>
        </w:trPr>
        <w:tc>
          <w:tcPr>
            <w:tcW w:w="710" w:type="dxa"/>
            <w:vAlign w:val="center"/>
          </w:tcPr>
          <w:p w14:paraId="5A148791" w14:textId="77777777" w:rsidR="00085789" w:rsidRDefault="00000000">
            <w:pPr>
              <w:spacing w:line="240" w:lineRule="auto"/>
              <w:jc w:val="center"/>
              <w:rPr>
                <w:sz w:val="24"/>
                <w:szCs w:val="24"/>
              </w:rPr>
            </w:pPr>
            <w:r>
              <w:rPr>
                <w:sz w:val="24"/>
                <w:szCs w:val="24"/>
              </w:rPr>
              <w:t>2022</w:t>
            </w:r>
          </w:p>
        </w:tc>
        <w:tc>
          <w:tcPr>
            <w:tcW w:w="1837" w:type="dxa"/>
            <w:vAlign w:val="center"/>
          </w:tcPr>
          <w:p w14:paraId="60A1B398" w14:textId="77777777" w:rsidR="00085789" w:rsidRDefault="00000000">
            <w:pPr>
              <w:spacing w:line="240" w:lineRule="auto"/>
              <w:jc w:val="center"/>
              <w:rPr>
                <w:sz w:val="24"/>
                <w:szCs w:val="24"/>
                <w:lang w:val="sv-SE"/>
              </w:rPr>
            </w:pPr>
            <w:r>
              <w:rPr>
                <w:sz w:val="24"/>
                <w:szCs w:val="24"/>
                <w:lang w:val="sv-SE"/>
              </w:rPr>
              <w:t>Trung bình - thấp hơn TB</w:t>
            </w:r>
          </w:p>
        </w:tc>
        <w:tc>
          <w:tcPr>
            <w:tcW w:w="2551" w:type="dxa"/>
            <w:vAlign w:val="center"/>
          </w:tcPr>
          <w:p w14:paraId="3673B9F7" w14:textId="77777777" w:rsidR="00085789" w:rsidRDefault="00000000">
            <w:pPr>
              <w:spacing w:line="240" w:lineRule="auto"/>
              <w:jc w:val="center"/>
              <w:rPr>
                <w:sz w:val="24"/>
                <w:szCs w:val="24"/>
                <w:lang w:val="sv-SE"/>
              </w:rPr>
            </w:pPr>
            <w:r>
              <w:rPr>
                <w:sz w:val="24"/>
                <w:szCs w:val="24"/>
                <w:lang w:val="sv-SE"/>
              </w:rPr>
              <w:t>Đợt lũ lớn cuối tháng 9</w:t>
            </w:r>
          </w:p>
        </w:tc>
        <w:tc>
          <w:tcPr>
            <w:tcW w:w="1701" w:type="dxa"/>
            <w:vAlign w:val="center"/>
          </w:tcPr>
          <w:p w14:paraId="10B21A37" w14:textId="77777777" w:rsidR="00085789" w:rsidRDefault="00000000">
            <w:pPr>
              <w:spacing w:line="240" w:lineRule="auto"/>
              <w:jc w:val="center"/>
              <w:rPr>
                <w:sz w:val="24"/>
                <w:szCs w:val="24"/>
                <w:lang w:val="sv-SE"/>
              </w:rPr>
            </w:pPr>
            <w:r>
              <w:rPr>
                <w:sz w:val="24"/>
                <w:szCs w:val="24"/>
                <w:lang w:val="sv-SE"/>
              </w:rPr>
              <w:t>Sông Ngàn Phố, Ngàn Sâu lên đến BĐIII</w:t>
            </w:r>
          </w:p>
        </w:tc>
        <w:tc>
          <w:tcPr>
            <w:tcW w:w="2263" w:type="dxa"/>
            <w:vAlign w:val="center"/>
          </w:tcPr>
          <w:p w14:paraId="1BA46F86" w14:textId="77777777" w:rsidR="00085789" w:rsidRDefault="00000000">
            <w:pPr>
              <w:spacing w:line="240" w:lineRule="auto"/>
              <w:jc w:val="center"/>
              <w:rPr>
                <w:sz w:val="24"/>
                <w:szCs w:val="24"/>
                <w:lang w:val="sv-SE"/>
              </w:rPr>
            </w:pPr>
            <w:r>
              <w:rPr>
                <w:sz w:val="24"/>
                <w:szCs w:val="24"/>
                <w:lang w:val="sv-SE"/>
              </w:rPr>
              <w:t>Ngập vùng thấp, sạt lở</w:t>
            </w:r>
          </w:p>
        </w:tc>
      </w:tr>
      <w:tr w:rsidR="00085789" w14:paraId="057931A1" w14:textId="77777777">
        <w:trPr>
          <w:jc w:val="center"/>
        </w:trPr>
        <w:tc>
          <w:tcPr>
            <w:tcW w:w="710" w:type="dxa"/>
            <w:vAlign w:val="center"/>
          </w:tcPr>
          <w:p w14:paraId="3EE79D22" w14:textId="77777777" w:rsidR="00085789" w:rsidRDefault="00000000">
            <w:pPr>
              <w:spacing w:line="240" w:lineRule="auto"/>
              <w:jc w:val="center"/>
              <w:rPr>
                <w:sz w:val="24"/>
                <w:szCs w:val="24"/>
              </w:rPr>
            </w:pPr>
            <w:r>
              <w:rPr>
                <w:sz w:val="24"/>
                <w:szCs w:val="24"/>
              </w:rPr>
              <w:t>2023</w:t>
            </w:r>
          </w:p>
        </w:tc>
        <w:tc>
          <w:tcPr>
            <w:tcW w:w="1837" w:type="dxa"/>
            <w:vAlign w:val="center"/>
          </w:tcPr>
          <w:p w14:paraId="56840588" w14:textId="77777777" w:rsidR="00085789" w:rsidRDefault="00000000">
            <w:pPr>
              <w:spacing w:line="240" w:lineRule="auto"/>
              <w:jc w:val="center"/>
              <w:rPr>
                <w:sz w:val="24"/>
                <w:szCs w:val="24"/>
              </w:rPr>
            </w:pPr>
            <w:r>
              <w:rPr>
                <w:sz w:val="24"/>
                <w:szCs w:val="24"/>
              </w:rPr>
              <w:t>Cao hơn TB 5 - 25%</w:t>
            </w:r>
          </w:p>
        </w:tc>
        <w:tc>
          <w:tcPr>
            <w:tcW w:w="2551" w:type="dxa"/>
            <w:vAlign w:val="center"/>
          </w:tcPr>
          <w:p w14:paraId="21D506A1" w14:textId="77777777" w:rsidR="00085789" w:rsidRDefault="00000000">
            <w:pPr>
              <w:spacing w:line="240" w:lineRule="auto"/>
              <w:jc w:val="center"/>
              <w:rPr>
                <w:sz w:val="24"/>
                <w:szCs w:val="24"/>
              </w:rPr>
            </w:pPr>
            <w:r>
              <w:rPr>
                <w:sz w:val="24"/>
                <w:szCs w:val="24"/>
              </w:rPr>
              <w:t>Có 06 đợt lũ, có lũ lớn</w:t>
            </w:r>
          </w:p>
        </w:tc>
        <w:tc>
          <w:tcPr>
            <w:tcW w:w="1701" w:type="dxa"/>
            <w:vAlign w:val="center"/>
          </w:tcPr>
          <w:p w14:paraId="046C0843" w14:textId="77777777" w:rsidR="00085789" w:rsidRDefault="00000000">
            <w:pPr>
              <w:spacing w:line="240" w:lineRule="auto"/>
              <w:jc w:val="center"/>
              <w:rPr>
                <w:sz w:val="24"/>
                <w:szCs w:val="24"/>
              </w:rPr>
            </w:pPr>
            <w:r>
              <w:rPr>
                <w:sz w:val="24"/>
                <w:szCs w:val="24"/>
              </w:rPr>
              <w:t>BĐIII - vượt BĐIII</w:t>
            </w:r>
          </w:p>
        </w:tc>
        <w:tc>
          <w:tcPr>
            <w:tcW w:w="2263" w:type="dxa"/>
            <w:vAlign w:val="center"/>
          </w:tcPr>
          <w:p w14:paraId="3F85A78A" w14:textId="77777777" w:rsidR="00085789" w:rsidRDefault="00000000">
            <w:pPr>
              <w:spacing w:line="240" w:lineRule="auto"/>
              <w:jc w:val="center"/>
              <w:rPr>
                <w:sz w:val="24"/>
                <w:szCs w:val="24"/>
              </w:rPr>
            </w:pPr>
            <w:r>
              <w:rPr>
                <w:sz w:val="24"/>
                <w:szCs w:val="24"/>
              </w:rPr>
              <w:t>Mưa lũ kéo dài, nước thấp</w:t>
            </w:r>
          </w:p>
        </w:tc>
      </w:tr>
      <w:tr w:rsidR="00085789" w14:paraId="6DFACFC7" w14:textId="77777777">
        <w:trPr>
          <w:jc w:val="center"/>
        </w:trPr>
        <w:tc>
          <w:tcPr>
            <w:tcW w:w="710" w:type="dxa"/>
            <w:vAlign w:val="center"/>
          </w:tcPr>
          <w:p w14:paraId="15718E76" w14:textId="77777777" w:rsidR="00085789" w:rsidRDefault="00000000">
            <w:pPr>
              <w:spacing w:line="240" w:lineRule="auto"/>
              <w:jc w:val="center"/>
              <w:rPr>
                <w:sz w:val="24"/>
                <w:szCs w:val="24"/>
              </w:rPr>
            </w:pPr>
            <w:r>
              <w:rPr>
                <w:sz w:val="24"/>
                <w:szCs w:val="24"/>
              </w:rPr>
              <w:t>2024</w:t>
            </w:r>
          </w:p>
        </w:tc>
        <w:tc>
          <w:tcPr>
            <w:tcW w:w="1837" w:type="dxa"/>
            <w:vAlign w:val="center"/>
          </w:tcPr>
          <w:p w14:paraId="4072F559" w14:textId="77777777" w:rsidR="00085789" w:rsidRDefault="00000000">
            <w:pPr>
              <w:spacing w:line="240" w:lineRule="auto"/>
              <w:jc w:val="center"/>
              <w:rPr>
                <w:sz w:val="24"/>
                <w:szCs w:val="24"/>
              </w:rPr>
            </w:pPr>
            <w:r>
              <w:rPr>
                <w:sz w:val="24"/>
                <w:szCs w:val="24"/>
              </w:rPr>
              <w:t>Mưa cuối năm lớn</w:t>
            </w:r>
          </w:p>
        </w:tc>
        <w:tc>
          <w:tcPr>
            <w:tcW w:w="2551" w:type="dxa"/>
            <w:vAlign w:val="center"/>
          </w:tcPr>
          <w:p w14:paraId="153B1ED1" w14:textId="77777777" w:rsidR="00085789" w:rsidRDefault="00000000">
            <w:pPr>
              <w:spacing w:line="240" w:lineRule="auto"/>
              <w:jc w:val="center"/>
              <w:rPr>
                <w:sz w:val="24"/>
                <w:szCs w:val="24"/>
              </w:rPr>
            </w:pPr>
            <w:r>
              <w:rPr>
                <w:sz w:val="24"/>
                <w:szCs w:val="24"/>
              </w:rPr>
              <w:t>Mưa cuối tháng 10, tháng 11</w:t>
            </w:r>
          </w:p>
        </w:tc>
        <w:tc>
          <w:tcPr>
            <w:tcW w:w="1701" w:type="dxa"/>
            <w:vAlign w:val="center"/>
          </w:tcPr>
          <w:p w14:paraId="1819F658" w14:textId="77777777" w:rsidR="00085789" w:rsidRDefault="00000000">
            <w:pPr>
              <w:spacing w:line="240" w:lineRule="auto"/>
              <w:jc w:val="center"/>
              <w:rPr>
                <w:sz w:val="24"/>
                <w:szCs w:val="24"/>
              </w:rPr>
            </w:pPr>
            <w:r>
              <w:rPr>
                <w:sz w:val="24"/>
                <w:szCs w:val="24"/>
              </w:rPr>
              <w:t>-</w:t>
            </w:r>
          </w:p>
        </w:tc>
        <w:tc>
          <w:tcPr>
            <w:tcW w:w="2263" w:type="dxa"/>
            <w:vAlign w:val="center"/>
          </w:tcPr>
          <w:p w14:paraId="370C4D36" w14:textId="77777777" w:rsidR="00085789" w:rsidRDefault="00000000">
            <w:pPr>
              <w:spacing w:line="240" w:lineRule="auto"/>
              <w:jc w:val="center"/>
              <w:rPr>
                <w:sz w:val="24"/>
                <w:szCs w:val="24"/>
              </w:rPr>
            </w:pPr>
            <w:r>
              <w:rPr>
                <w:sz w:val="24"/>
                <w:szCs w:val="24"/>
              </w:rPr>
              <w:t>Ngập úng cục bộ, sạt lở, giao thông bị ảnh hưởng</w:t>
            </w:r>
          </w:p>
        </w:tc>
      </w:tr>
      <w:tr w:rsidR="00085789" w14:paraId="3702756C" w14:textId="77777777">
        <w:trPr>
          <w:jc w:val="center"/>
        </w:trPr>
        <w:tc>
          <w:tcPr>
            <w:tcW w:w="710" w:type="dxa"/>
            <w:vMerge w:val="restart"/>
            <w:vAlign w:val="center"/>
          </w:tcPr>
          <w:p w14:paraId="4A020A37" w14:textId="77777777" w:rsidR="00085789" w:rsidRDefault="00000000">
            <w:pPr>
              <w:spacing w:line="240" w:lineRule="auto"/>
              <w:jc w:val="center"/>
              <w:rPr>
                <w:sz w:val="24"/>
                <w:szCs w:val="24"/>
              </w:rPr>
            </w:pPr>
            <w:r>
              <w:rPr>
                <w:sz w:val="24"/>
                <w:szCs w:val="24"/>
              </w:rPr>
              <w:t>2025</w:t>
            </w:r>
          </w:p>
        </w:tc>
        <w:tc>
          <w:tcPr>
            <w:tcW w:w="1837" w:type="dxa"/>
            <w:vAlign w:val="center"/>
          </w:tcPr>
          <w:p w14:paraId="4B4EC2CF" w14:textId="77777777" w:rsidR="00085789" w:rsidRDefault="00000000">
            <w:pPr>
              <w:spacing w:line="240" w:lineRule="auto"/>
              <w:jc w:val="center"/>
              <w:rPr>
                <w:sz w:val="24"/>
                <w:szCs w:val="24"/>
              </w:rPr>
            </w:pPr>
            <w:r>
              <w:rPr>
                <w:sz w:val="24"/>
                <w:szCs w:val="24"/>
              </w:rPr>
              <w:t>Mưa cực đoan đầu mùa</w:t>
            </w:r>
          </w:p>
        </w:tc>
        <w:tc>
          <w:tcPr>
            <w:tcW w:w="2551" w:type="dxa"/>
            <w:vAlign w:val="center"/>
          </w:tcPr>
          <w:p w14:paraId="27946F72" w14:textId="77777777" w:rsidR="00085789" w:rsidRDefault="00000000">
            <w:pPr>
              <w:spacing w:line="240" w:lineRule="auto"/>
              <w:jc w:val="center"/>
              <w:rPr>
                <w:sz w:val="24"/>
                <w:szCs w:val="24"/>
              </w:rPr>
            </w:pPr>
            <w:r>
              <w:rPr>
                <w:sz w:val="24"/>
                <w:szCs w:val="24"/>
              </w:rPr>
              <w:t>Ngày 24/5 - 25/5, nhiều trạm mưa 300 - 400mm</w:t>
            </w:r>
          </w:p>
        </w:tc>
        <w:tc>
          <w:tcPr>
            <w:tcW w:w="1701" w:type="dxa"/>
            <w:vAlign w:val="center"/>
          </w:tcPr>
          <w:p w14:paraId="04841FA4" w14:textId="77777777" w:rsidR="00085789" w:rsidRDefault="00000000">
            <w:pPr>
              <w:spacing w:line="240" w:lineRule="auto"/>
              <w:jc w:val="center"/>
              <w:rPr>
                <w:sz w:val="24"/>
                <w:szCs w:val="24"/>
              </w:rPr>
            </w:pPr>
            <w:r>
              <w:rPr>
                <w:sz w:val="24"/>
                <w:szCs w:val="24"/>
              </w:rPr>
              <w:t>Lượng mưa cực lớn</w:t>
            </w:r>
          </w:p>
        </w:tc>
        <w:tc>
          <w:tcPr>
            <w:tcW w:w="2263" w:type="dxa"/>
            <w:vAlign w:val="center"/>
          </w:tcPr>
          <w:p w14:paraId="5BBE8508" w14:textId="77777777" w:rsidR="00085789" w:rsidRDefault="00000000">
            <w:pPr>
              <w:spacing w:line="240" w:lineRule="auto"/>
              <w:jc w:val="center"/>
              <w:rPr>
                <w:sz w:val="24"/>
                <w:szCs w:val="24"/>
              </w:rPr>
            </w:pPr>
            <w:r>
              <w:rPr>
                <w:sz w:val="24"/>
                <w:szCs w:val="24"/>
              </w:rPr>
              <w:t>Lũ đầu mùa bất thường, thiệt hại xã hội</w:t>
            </w:r>
          </w:p>
        </w:tc>
      </w:tr>
      <w:tr w:rsidR="00085789" w14:paraId="505DE0E9" w14:textId="77777777">
        <w:trPr>
          <w:jc w:val="center"/>
        </w:trPr>
        <w:tc>
          <w:tcPr>
            <w:tcW w:w="710" w:type="dxa"/>
            <w:vMerge/>
            <w:vAlign w:val="center"/>
          </w:tcPr>
          <w:p w14:paraId="745F9130" w14:textId="77777777" w:rsidR="00085789" w:rsidRDefault="00085789">
            <w:pPr>
              <w:spacing w:line="240" w:lineRule="auto"/>
              <w:jc w:val="center"/>
              <w:rPr>
                <w:sz w:val="24"/>
                <w:szCs w:val="24"/>
              </w:rPr>
            </w:pPr>
          </w:p>
        </w:tc>
        <w:tc>
          <w:tcPr>
            <w:tcW w:w="1837" w:type="dxa"/>
            <w:vAlign w:val="center"/>
          </w:tcPr>
          <w:p w14:paraId="1151E04B" w14:textId="77777777" w:rsidR="00085789" w:rsidRDefault="00000000">
            <w:pPr>
              <w:spacing w:line="240" w:lineRule="auto"/>
              <w:jc w:val="center"/>
              <w:rPr>
                <w:sz w:val="24"/>
                <w:szCs w:val="24"/>
              </w:rPr>
            </w:pPr>
            <w:r>
              <w:rPr>
                <w:sz w:val="24"/>
                <w:szCs w:val="24"/>
              </w:rPr>
              <w:t>Mưa cuối năm lớn</w:t>
            </w:r>
          </w:p>
        </w:tc>
        <w:tc>
          <w:tcPr>
            <w:tcW w:w="2551" w:type="dxa"/>
            <w:vAlign w:val="center"/>
          </w:tcPr>
          <w:p w14:paraId="0D16487C" w14:textId="77777777" w:rsidR="00085789" w:rsidRDefault="00000000">
            <w:pPr>
              <w:spacing w:line="240" w:lineRule="auto"/>
              <w:jc w:val="center"/>
              <w:rPr>
                <w:sz w:val="24"/>
                <w:szCs w:val="24"/>
              </w:rPr>
            </w:pPr>
            <w:r>
              <w:rPr>
                <w:sz w:val="24"/>
                <w:szCs w:val="24"/>
              </w:rPr>
              <w:t>Ngày 29/10 - 3/11, nhiều trạm mưa 600 - 1.400 mm</w:t>
            </w:r>
          </w:p>
        </w:tc>
        <w:tc>
          <w:tcPr>
            <w:tcW w:w="1701" w:type="dxa"/>
            <w:vAlign w:val="center"/>
          </w:tcPr>
          <w:p w14:paraId="2AE7691B" w14:textId="77777777" w:rsidR="00085789" w:rsidRDefault="00000000">
            <w:pPr>
              <w:spacing w:line="240" w:lineRule="auto"/>
              <w:jc w:val="center"/>
              <w:rPr>
                <w:sz w:val="24"/>
                <w:szCs w:val="24"/>
              </w:rPr>
            </w:pPr>
            <w:r>
              <w:rPr>
                <w:sz w:val="24"/>
                <w:szCs w:val="24"/>
              </w:rPr>
              <w:t>Lượng mưa cực lớn</w:t>
            </w:r>
          </w:p>
        </w:tc>
        <w:tc>
          <w:tcPr>
            <w:tcW w:w="2263" w:type="dxa"/>
            <w:vAlign w:val="center"/>
          </w:tcPr>
          <w:p w14:paraId="0AB80329" w14:textId="77777777" w:rsidR="00085789" w:rsidRDefault="00000000">
            <w:pPr>
              <w:spacing w:line="240" w:lineRule="auto"/>
              <w:jc w:val="center"/>
              <w:rPr>
                <w:sz w:val="24"/>
                <w:szCs w:val="24"/>
              </w:rPr>
            </w:pPr>
            <w:r>
              <w:rPr>
                <w:sz w:val="24"/>
                <w:szCs w:val="24"/>
              </w:rPr>
              <w:t>Gây lũ lụt, thiệt hại xã hội</w:t>
            </w:r>
          </w:p>
        </w:tc>
      </w:tr>
    </w:tbl>
    <w:p w14:paraId="3C8A1A25" w14:textId="77777777" w:rsidR="00085789" w:rsidRDefault="00000000">
      <w:pPr>
        <w:spacing w:before="120" w:line="240" w:lineRule="auto"/>
        <w:ind w:firstLine="709"/>
        <w:jc w:val="both"/>
        <w:rPr>
          <w:sz w:val="26"/>
          <w:szCs w:val="26"/>
        </w:rPr>
      </w:pPr>
      <w:r>
        <w:rPr>
          <w:sz w:val="26"/>
          <w:szCs w:val="26"/>
        </w:rPr>
        <w:t xml:space="preserve">- Không khí lạnh: Từ 2021-2025, Hà Tĩnh duy trì chu kỳ không khí lạnh 2 đỉnh rõ rệt: </w:t>
      </w:r>
      <w:r>
        <w:rPr>
          <w:rFonts w:eastAsia="DengXian Light"/>
          <w:bCs/>
          <w:sz w:val="26"/>
          <w:szCs w:val="26"/>
        </w:rPr>
        <w:t>đầu năm</w:t>
      </w:r>
      <w:r>
        <w:rPr>
          <w:b/>
          <w:sz w:val="26"/>
          <w:szCs w:val="26"/>
        </w:rPr>
        <w:t xml:space="preserve"> </w:t>
      </w:r>
      <w:r>
        <w:rPr>
          <w:sz w:val="26"/>
          <w:szCs w:val="26"/>
        </w:rPr>
        <w:t xml:space="preserve">và </w:t>
      </w:r>
      <w:r>
        <w:rPr>
          <w:rFonts w:eastAsia="DengXian Light"/>
          <w:bCs/>
          <w:sz w:val="26"/>
          <w:szCs w:val="26"/>
        </w:rPr>
        <w:t>cuối năm</w:t>
      </w:r>
      <w:r>
        <w:rPr>
          <w:b/>
          <w:sz w:val="26"/>
          <w:szCs w:val="26"/>
        </w:rPr>
        <w:t xml:space="preserve">, </w:t>
      </w:r>
      <w:r>
        <w:rPr>
          <w:sz w:val="26"/>
          <w:szCs w:val="26"/>
        </w:rPr>
        <w:t>nhưng cũng có xu hướng</w:t>
      </w:r>
      <w:r>
        <w:rPr>
          <w:b/>
          <w:sz w:val="26"/>
          <w:szCs w:val="26"/>
        </w:rPr>
        <w:t xml:space="preserve"> </w:t>
      </w:r>
      <w:r>
        <w:rPr>
          <w:sz w:val="26"/>
          <w:szCs w:val="26"/>
        </w:rPr>
        <w:t>không khí lạnh</w:t>
      </w:r>
      <w:r>
        <w:rPr>
          <w:rFonts w:eastAsia="DengXian Light"/>
          <w:bCs/>
          <w:sz w:val="26"/>
          <w:szCs w:val="26"/>
        </w:rPr>
        <w:t xml:space="preserve"> bất thường sớm</w:t>
      </w:r>
      <w:r>
        <w:rPr>
          <w:sz w:val="26"/>
          <w:szCs w:val="26"/>
        </w:rPr>
        <w:t xml:space="preserve"> và kèm theo mưa lớn. Đặc biệt từ 2023 trở đi, số đợt không khí lạnh giữa mùa tăng lên, cho thấy sự biến động ngày càng phức tạp của thời tiết và xu hướng BĐKH. </w:t>
      </w:r>
    </w:p>
    <w:p w14:paraId="1919CC92" w14:textId="77777777" w:rsidR="00085789" w:rsidRDefault="00000000">
      <w:pPr>
        <w:spacing w:before="120" w:line="240" w:lineRule="auto"/>
        <w:ind w:firstLine="709"/>
        <w:jc w:val="both"/>
        <w:rPr>
          <w:sz w:val="26"/>
          <w:szCs w:val="26"/>
        </w:rPr>
      </w:pPr>
      <w:r>
        <w:rPr>
          <w:sz w:val="26"/>
          <w:szCs w:val="26"/>
        </w:rPr>
        <w:t>- Nắng nóng: Từ 2021 đến 2025, Hà Tĩnh trải qua nhiều đợt nắng nóng với cường độ tăng dần, đặc biệt đỉnh điểm năm 2024 vượt kỷ lục vùng lên đến 43,2 °C. Vùng Hương Khê tuy nhỏ nhưng rất “nóng”, thường xuyên ghi nhận mức &gt;40 °C và là trong các khu vực nắng nóng nhất nước. Năm 2025, xu hướng nắng nóng chậm, muộn và nhẹ hơn, phù hợp với dự báo ENSO ở các trạng thái trung tính - ít gây nóng kéo dài như năm trước. Xu hướng chung là nắng nóng diễn ra sớm hơn và gay gắt hơn trước, tuy năm 2025 có dấu hiệu giảm cường độ nắng nóng so với 2024. Tổng quan về tình hình nắng nóng ở Hà Tĩnh giai đoạn từ năm 2021 đến năm 2025 được thể hiện chi tiết ở bảng sau:</w:t>
      </w:r>
    </w:p>
    <w:p w14:paraId="0DC9A953" w14:textId="77777777" w:rsidR="00085789" w:rsidRDefault="00000000">
      <w:pPr>
        <w:pStyle w:val="-bac4"/>
      </w:pPr>
      <w:bookmarkStart w:id="1339" w:name="_Toc205915900"/>
      <w:bookmarkStart w:id="1340" w:name="_Toc213597595"/>
      <w:bookmarkStart w:id="1341" w:name="_Toc213600884"/>
      <w:r>
        <w:t>Bảng 8.2. Tổng quan các đợt nắng nóng tại Hà Tĩnh giai đoạn 2021 - 2025</w:t>
      </w:r>
      <w:bookmarkEnd w:id="1339"/>
      <w:bookmarkEnd w:id="1340"/>
      <w:bookmarkEnd w:id="1341"/>
    </w:p>
    <w:tbl>
      <w:tblPr>
        <w:tblStyle w:val="TableGrid"/>
        <w:tblW w:w="9067" w:type="dxa"/>
        <w:jc w:val="center"/>
        <w:tblLook w:val="04A0" w:firstRow="1" w:lastRow="0" w:firstColumn="1" w:lastColumn="0" w:noHBand="0" w:noVBand="1"/>
      </w:tblPr>
      <w:tblGrid>
        <w:gridCol w:w="710"/>
        <w:gridCol w:w="3254"/>
        <w:gridCol w:w="2694"/>
        <w:gridCol w:w="2409"/>
      </w:tblGrid>
      <w:tr w:rsidR="00085789" w14:paraId="16143831" w14:textId="77777777">
        <w:trPr>
          <w:jc w:val="center"/>
        </w:trPr>
        <w:tc>
          <w:tcPr>
            <w:tcW w:w="710" w:type="dxa"/>
            <w:vAlign w:val="center"/>
          </w:tcPr>
          <w:p w14:paraId="0C71960B" w14:textId="77777777" w:rsidR="00085789" w:rsidRDefault="00000000">
            <w:pPr>
              <w:spacing w:line="240" w:lineRule="auto"/>
              <w:jc w:val="center"/>
              <w:rPr>
                <w:b/>
                <w:sz w:val="24"/>
                <w:szCs w:val="24"/>
              </w:rPr>
            </w:pPr>
            <w:r>
              <w:rPr>
                <w:b/>
                <w:sz w:val="24"/>
                <w:szCs w:val="24"/>
              </w:rPr>
              <w:t>Năm</w:t>
            </w:r>
          </w:p>
        </w:tc>
        <w:tc>
          <w:tcPr>
            <w:tcW w:w="3254" w:type="dxa"/>
            <w:vAlign w:val="center"/>
          </w:tcPr>
          <w:p w14:paraId="7C95E302" w14:textId="77777777" w:rsidR="00085789" w:rsidRDefault="00000000">
            <w:pPr>
              <w:spacing w:line="240" w:lineRule="auto"/>
              <w:jc w:val="center"/>
              <w:rPr>
                <w:b/>
                <w:sz w:val="24"/>
                <w:szCs w:val="24"/>
              </w:rPr>
            </w:pPr>
            <w:r>
              <w:rPr>
                <w:b/>
                <w:sz w:val="24"/>
                <w:szCs w:val="24"/>
              </w:rPr>
              <w:t>Thời điểm chính xuất hiện nắng nóng</w:t>
            </w:r>
          </w:p>
        </w:tc>
        <w:tc>
          <w:tcPr>
            <w:tcW w:w="2694" w:type="dxa"/>
            <w:vAlign w:val="center"/>
          </w:tcPr>
          <w:p w14:paraId="1D32BAB7" w14:textId="77777777" w:rsidR="00085789" w:rsidRDefault="00000000">
            <w:pPr>
              <w:spacing w:line="240" w:lineRule="auto"/>
              <w:jc w:val="center"/>
              <w:rPr>
                <w:b/>
                <w:sz w:val="24"/>
                <w:szCs w:val="24"/>
              </w:rPr>
            </w:pPr>
            <w:r>
              <w:rPr>
                <w:b/>
                <w:sz w:val="24"/>
                <w:szCs w:val="24"/>
              </w:rPr>
              <w:t>Nhiệt độ cao đỉnh</w:t>
            </w:r>
          </w:p>
        </w:tc>
        <w:tc>
          <w:tcPr>
            <w:tcW w:w="2409" w:type="dxa"/>
            <w:vAlign w:val="center"/>
          </w:tcPr>
          <w:p w14:paraId="3E31C30A" w14:textId="77777777" w:rsidR="00085789" w:rsidRDefault="00000000">
            <w:pPr>
              <w:spacing w:line="240" w:lineRule="auto"/>
              <w:jc w:val="center"/>
              <w:rPr>
                <w:b/>
                <w:sz w:val="24"/>
                <w:szCs w:val="24"/>
              </w:rPr>
            </w:pPr>
            <w:r>
              <w:rPr>
                <w:b/>
                <w:sz w:val="24"/>
                <w:szCs w:val="24"/>
              </w:rPr>
              <w:t>Số đợt nổi bật và mức độ</w:t>
            </w:r>
          </w:p>
        </w:tc>
      </w:tr>
      <w:tr w:rsidR="00085789" w14:paraId="6E0B7C55" w14:textId="77777777">
        <w:trPr>
          <w:jc w:val="center"/>
        </w:trPr>
        <w:tc>
          <w:tcPr>
            <w:tcW w:w="710" w:type="dxa"/>
            <w:vAlign w:val="center"/>
          </w:tcPr>
          <w:p w14:paraId="20BC764F" w14:textId="77777777" w:rsidR="00085789" w:rsidRDefault="00000000">
            <w:pPr>
              <w:spacing w:line="240" w:lineRule="auto"/>
              <w:jc w:val="center"/>
              <w:rPr>
                <w:sz w:val="24"/>
                <w:szCs w:val="24"/>
              </w:rPr>
            </w:pPr>
            <w:r>
              <w:rPr>
                <w:sz w:val="24"/>
                <w:szCs w:val="24"/>
              </w:rPr>
              <w:t>2021</w:t>
            </w:r>
          </w:p>
        </w:tc>
        <w:tc>
          <w:tcPr>
            <w:tcW w:w="3254" w:type="dxa"/>
            <w:vAlign w:val="center"/>
          </w:tcPr>
          <w:p w14:paraId="79138B9D" w14:textId="77777777" w:rsidR="00085789" w:rsidRDefault="00000000">
            <w:pPr>
              <w:spacing w:line="240" w:lineRule="auto"/>
              <w:jc w:val="center"/>
              <w:rPr>
                <w:sz w:val="24"/>
                <w:szCs w:val="24"/>
              </w:rPr>
            </w:pPr>
            <w:r>
              <w:rPr>
                <w:sz w:val="24"/>
                <w:szCs w:val="24"/>
              </w:rPr>
              <w:t>Cuối tháng 3, đầu tháng 8</w:t>
            </w:r>
          </w:p>
        </w:tc>
        <w:tc>
          <w:tcPr>
            <w:tcW w:w="2694" w:type="dxa"/>
            <w:vAlign w:val="center"/>
          </w:tcPr>
          <w:p w14:paraId="7DDFFAD8" w14:textId="77777777" w:rsidR="00085789" w:rsidRDefault="00000000">
            <w:pPr>
              <w:spacing w:line="240" w:lineRule="auto"/>
              <w:jc w:val="center"/>
              <w:rPr>
                <w:sz w:val="24"/>
                <w:szCs w:val="24"/>
              </w:rPr>
            </w:pPr>
            <w:r>
              <w:rPr>
                <w:sz w:val="24"/>
                <w:szCs w:val="24"/>
              </w:rPr>
              <w:t>&gt; 39</w:t>
            </w:r>
            <w:r>
              <w:rPr>
                <w:sz w:val="24"/>
                <w:szCs w:val="24"/>
                <w:vertAlign w:val="superscript"/>
              </w:rPr>
              <w:t>0</w:t>
            </w:r>
            <w:r>
              <w:rPr>
                <w:sz w:val="24"/>
                <w:szCs w:val="24"/>
              </w:rPr>
              <w:t>C</w:t>
            </w:r>
          </w:p>
        </w:tc>
        <w:tc>
          <w:tcPr>
            <w:tcW w:w="2409" w:type="dxa"/>
            <w:vAlign w:val="center"/>
          </w:tcPr>
          <w:p w14:paraId="14A73791" w14:textId="77777777" w:rsidR="00085789" w:rsidRDefault="00000000">
            <w:pPr>
              <w:spacing w:line="240" w:lineRule="auto"/>
              <w:jc w:val="center"/>
              <w:rPr>
                <w:sz w:val="24"/>
                <w:szCs w:val="24"/>
              </w:rPr>
            </w:pPr>
            <w:r>
              <w:rPr>
                <w:sz w:val="24"/>
                <w:szCs w:val="24"/>
              </w:rPr>
              <w:t>9 đợt, trong đó 4 - 6 ngày cực độ</w:t>
            </w:r>
          </w:p>
        </w:tc>
      </w:tr>
      <w:tr w:rsidR="00085789" w14:paraId="6B827A90" w14:textId="77777777">
        <w:trPr>
          <w:jc w:val="center"/>
        </w:trPr>
        <w:tc>
          <w:tcPr>
            <w:tcW w:w="710" w:type="dxa"/>
            <w:vAlign w:val="center"/>
          </w:tcPr>
          <w:p w14:paraId="49ADADBB" w14:textId="77777777" w:rsidR="00085789" w:rsidRDefault="00000000">
            <w:pPr>
              <w:spacing w:line="240" w:lineRule="auto"/>
              <w:jc w:val="center"/>
              <w:rPr>
                <w:sz w:val="24"/>
                <w:szCs w:val="24"/>
              </w:rPr>
            </w:pPr>
            <w:r>
              <w:rPr>
                <w:sz w:val="24"/>
                <w:szCs w:val="24"/>
              </w:rPr>
              <w:t>2022</w:t>
            </w:r>
          </w:p>
        </w:tc>
        <w:tc>
          <w:tcPr>
            <w:tcW w:w="3254" w:type="dxa"/>
            <w:vAlign w:val="center"/>
          </w:tcPr>
          <w:p w14:paraId="26EECBA8" w14:textId="77777777" w:rsidR="00085789" w:rsidRDefault="00000000">
            <w:pPr>
              <w:spacing w:line="240" w:lineRule="auto"/>
              <w:jc w:val="center"/>
              <w:rPr>
                <w:sz w:val="24"/>
                <w:szCs w:val="24"/>
              </w:rPr>
            </w:pPr>
            <w:r>
              <w:rPr>
                <w:sz w:val="24"/>
                <w:szCs w:val="24"/>
              </w:rPr>
              <w:t>Tháng 7 - đầu tháng 8</w:t>
            </w:r>
          </w:p>
        </w:tc>
        <w:tc>
          <w:tcPr>
            <w:tcW w:w="2694" w:type="dxa"/>
            <w:vAlign w:val="center"/>
          </w:tcPr>
          <w:p w14:paraId="3207B503" w14:textId="77777777" w:rsidR="00085789" w:rsidRDefault="00000000">
            <w:pPr>
              <w:spacing w:line="240" w:lineRule="auto"/>
              <w:jc w:val="center"/>
              <w:rPr>
                <w:sz w:val="24"/>
                <w:szCs w:val="24"/>
              </w:rPr>
            </w:pPr>
            <w:r>
              <w:rPr>
                <w:sz w:val="24"/>
                <w:szCs w:val="24"/>
              </w:rPr>
              <w:t>~ 38 - 38,6</w:t>
            </w:r>
            <w:r>
              <w:rPr>
                <w:sz w:val="24"/>
                <w:szCs w:val="24"/>
                <w:vertAlign w:val="superscript"/>
              </w:rPr>
              <w:t>0</w:t>
            </w:r>
            <w:r>
              <w:rPr>
                <w:sz w:val="24"/>
                <w:szCs w:val="24"/>
              </w:rPr>
              <w:t>C</w:t>
            </w:r>
          </w:p>
        </w:tc>
        <w:tc>
          <w:tcPr>
            <w:tcW w:w="2409" w:type="dxa"/>
            <w:vAlign w:val="center"/>
          </w:tcPr>
          <w:p w14:paraId="6CB80AC8" w14:textId="77777777" w:rsidR="00085789" w:rsidRDefault="00000000">
            <w:pPr>
              <w:spacing w:line="240" w:lineRule="auto"/>
              <w:jc w:val="center"/>
              <w:rPr>
                <w:sz w:val="24"/>
                <w:szCs w:val="24"/>
              </w:rPr>
            </w:pPr>
            <w:r>
              <w:rPr>
                <w:sz w:val="24"/>
                <w:szCs w:val="24"/>
              </w:rPr>
              <w:t>3 đợt nắng nóng vừa, không gay gắt</w:t>
            </w:r>
          </w:p>
        </w:tc>
      </w:tr>
      <w:tr w:rsidR="00085789" w14:paraId="0BA88E35" w14:textId="77777777">
        <w:trPr>
          <w:jc w:val="center"/>
        </w:trPr>
        <w:tc>
          <w:tcPr>
            <w:tcW w:w="710" w:type="dxa"/>
            <w:vAlign w:val="center"/>
          </w:tcPr>
          <w:p w14:paraId="07A4D356" w14:textId="77777777" w:rsidR="00085789" w:rsidRDefault="00000000">
            <w:pPr>
              <w:spacing w:line="240" w:lineRule="auto"/>
              <w:jc w:val="center"/>
              <w:rPr>
                <w:sz w:val="24"/>
                <w:szCs w:val="24"/>
              </w:rPr>
            </w:pPr>
            <w:r>
              <w:rPr>
                <w:sz w:val="24"/>
                <w:szCs w:val="24"/>
              </w:rPr>
              <w:t>2023</w:t>
            </w:r>
          </w:p>
        </w:tc>
        <w:tc>
          <w:tcPr>
            <w:tcW w:w="3254" w:type="dxa"/>
            <w:vAlign w:val="center"/>
          </w:tcPr>
          <w:p w14:paraId="594C48CE" w14:textId="77777777" w:rsidR="00085789" w:rsidRDefault="00000000">
            <w:pPr>
              <w:spacing w:line="240" w:lineRule="auto"/>
              <w:jc w:val="center"/>
              <w:rPr>
                <w:sz w:val="24"/>
                <w:szCs w:val="24"/>
              </w:rPr>
            </w:pPr>
            <w:r>
              <w:rPr>
                <w:sz w:val="24"/>
                <w:szCs w:val="24"/>
              </w:rPr>
              <w:t>Tháng 4 - 5, tháng 7</w:t>
            </w:r>
          </w:p>
        </w:tc>
        <w:tc>
          <w:tcPr>
            <w:tcW w:w="2694" w:type="dxa"/>
            <w:vAlign w:val="center"/>
          </w:tcPr>
          <w:p w14:paraId="5E91FA60" w14:textId="77777777" w:rsidR="00085789" w:rsidRDefault="00000000">
            <w:pPr>
              <w:spacing w:line="240" w:lineRule="auto"/>
              <w:jc w:val="center"/>
              <w:rPr>
                <w:sz w:val="24"/>
                <w:szCs w:val="24"/>
              </w:rPr>
            </w:pPr>
            <w:r>
              <w:rPr>
                <w:sz w:val="24"/>
                <w:szCs w:val="24"/>
              </w:rPr>
              <w:t>Có thể lên ~ 40</w:t>
            </w:r>
            <w:r>
              <w:rPr>
                <w:sz w:val="24"/>
                <w:szCs w:val="24"/>
                <w:vertAlign w:val="superscript"/>
              </w:rPr>
              <w:t>0</w:t>
            </w:r>
            <w:r>
              <w:rPr>
                <w:sz w:val="24"/>
                <w:szCs w:val="24"/>
              </w:rPr>
              <w:t>C</w:t>
            </w:r>
          </w:p>
        </w:tc>
        <w:tc>
          <w:tcPr>
            <w:tcW w:w="2409" w:type="dxa"/>
            <w:vAlign w:val="center"/>
          </w:tcPr>
          <w:p w14:paraId="213F122A" w14:textId="77777777" w:rsidR="00085789" w:rsidRDefault="00000000">
            <w:pPr>
              <w:spacing w:line="240" w:lineRule="auto"/>
              <w:jc w:val="center"/>
              <w:rPr>
                <w:sz w:val="24"/>
                <w:szCs w:val="24"/>
              </w:rPr>
            </w:pPr>
            <w:r>
              <w:rPr>
                <w:sz w:val="24"/>
                <w:szCs w:val="24"/>
              </w:rPr>
              <w:t>Ảnh hưởng nhiệt đột phá và hạn hán lớn</w:t>
            </w:r>
          </w:p>
        </w:tc>
      </w:tr>
      <w:tr w:rsidR="00085789" w14:paraId="3DBDAF39" w14:textId="77777777">
        <w:trPr>
          <w:jc w:val="center"/>
        </w:trPr>
        <w:tc>
          <w:tcPr>
            <w:tcW w:w="710" w:type="dxa"/>
            <w:vAlign w:val="center"/>
          </w:tcPr>
          <w:p w14:paraId="5C643C87" w14:textId="77777777" w:rsidR="00085789" w:rsidRDefault="00000000">
            <w:pPr>
              <w:spacing w:line="240" w:lineRule="auto"/>
              <w:jc w:val="center"/>
              <w:rPr>
                <w:sz w:val="24"/>
                <w:szCs w:val="24"/>
              </w:rPr>
            </w:pPr>
            <w:r>
              <w:rPr>
                <w:sz w:val="24"/>
                <w:szCs w:val="24"/>
              </w:rPr>
              <w:t>2024</w:t>
            </w:r>
          </w:p>
        </w:tc>
        <w:tc>
          <w:tcPr>
            <w:tcW w:w="3254" w:type="dxa"/>
            <w:vAlign w:val="center"/>
          </w:tcPr>
          <w:p w14:paraId="0C72E681" w14:textId="77777777" w:rsidR="00085789" w:rsidRDefault="00000000">
            <w:pPr>
              <w:spacing w:line="240" w:lineRule="auto"/>
              <w:jc w:val="center"/>
              <w:rPr>
                <w:sz w:val="24"/>
                <w:szCs w:val="24"/>
              </w:rPr>
            </w:pPr>
            <w:r>
              <w:rPr>
                <w:sz w:val="24"/>
                <w:szCs w:val="24"/>
              </w:rPr>
              <w:t>26 - 30/4; 06 đợt từ tháng 6 đến 15/8</w:t>
            </w:r>
          </w:p>
        </w:tc>
        <w:tc>
          <w:tcPr>
            <w:tcW w:w="2694" w:type="dxa"/>
            <w:vAlign w:val="center"/>
          </w:tcPr>
          <w:p w14:paraId="2F01A613" w14:textId="77777777" w:rsidR="00085789" w:rsidRDefault="00000000">
            <w:pPr>
              <w:spacing w:line="240" w:lineRule="auto"/>
              <w:jc w:val="center"/>
              <w:rPr>
                <w:sz w:val="24"/>
                <w:szCs w:val="24"/>
              </w:rPr>
            </w:pPr>
            <w:r>
              <w:rPr>
                <w:sz w:val="24"/>
                <w:szCs w:val="24"/>
              </w:rPr>
              <w:t>43,2</w:t>
            </w:r>
            <w:r>
              <w:rPr>
                <w:sz w:val="24"/>
                <w:szCs w:val="24"/>
                <w:vertAlign w:val="superscript"/>
              </w:rPr>
              <w:t>0</w:t>
            </w:r>
            <w:r>
              <w:rPr>
                <w:sz w:val="24"/>
                <w:szCs w:val="24"/>
              </w:rPr>
              <w:t>C tại TP Hà Tĩnh</w:t>
            </w:r>
          </w:p>
        </w:tc>
        <w:tc>
          <w:tcPr>
            <w:tcW w:w="2409" w:type="dxa"/>
            <w:vAlign w:val="center"/>
          </w:tcPr>
          <w:p w14:paraId="6D4CFE1E" w14:textId="77777777" w:rsidR="00085789" w:rsidRDefault="00000000">
            <w:pPr>
              <w:spacing w:line="240" w:lineRule="auto"/>
              <w:jc w:val="center"/>
              <w:rPr>
                <w:sz w:val="24"/>
                <w:szCs w:val="24"/>
              </w:rPr>
            </w:pPr>
            <w:r>
              <w:rPr>
                <w:sz w:val="24"/>
                <w:szCs w:val="24"/>
              </w:rPr>
              <w:t>Đợt nắng cực gay gắt, nhiều nơi &gt;40</w:t>
            </w:r>
            <w:r>
              <w:rPr>
                <w:sz w:val="24"/>
                <w:szCs w:val="24"/>
                <w:vertAlign w:val="superscript"/>
              </w:rPr>
              <w:t>0</w:t>
            </w:r>
            <w:r>
              <w:rPr>
                <w:sz w:val="24"/>
                <w:szCs w:val="24"/>
              </w:rPr>
              <w:t>C</w:t>
            </w:r>
          </w:p>
        </w:tc>
      </w:tr>
      <w:tr w:rsidR="00085789" w14:paraId="66730CC3" w14:textId="77777777">
        <w:trPr>
          <w:jc w:val="center"/>
        </w:trPr>
        <w:tc>
          <w:tcPr>
            <w:tcW w:w="710" w:type="dxa"/>
            <w:vAlign w:val="center"/>
          </w:tcPr>
          <w:p w14:paraId="30F7EDF5" w14:textId="77777777" w:rsidR="00085789" w:rsidRDefault="00000000">
            <w:pPr>
              <w:spacing w:line="240" w:lineRule="auto"/>
              <w:jc w:val="center"/>
              <w:rPr>
                <w:sz w:val="24"/>
                <w:szCs w:val="24"/>
              </w:rPr>
            </w:pPr>
            <w:r>
              <w:rPr>
                <w:sz w:val="24"/>
                <w:szCs w:val="24"/>
              </w:rPr>
              <w:t>2025</w:t>
            </w:r>
          </w:p>
        </w:tc>
        <w:tc>
          <w:tcPr>
            <w:tcW w:w="3254" w:type="dxa"/>
            <w:vAlign w:val="center"/>
          </w:tcPr>
          <w:p w14:paraId="32709816" w14:textId="77777777" w:rsidR="00085789" w:rsidRDefault="00000000">
            <w:pPr>
              <w:spacing w:line="240" w:lineRule="auto"/>
              <w:jc w:val="center"/>
              <w:rPr>
                <w:sz w:val="24"/>
                <w:szCs w:val="24"/>
              </w:rPr>
            </w:pPr>
            <w:r>
              <w:rPr>
                <w:sz w:val="24"/>
                <w:szCs w:val="24"/>
              </w:rPr>
              <w:t>17 - 22/4 đầu mùa, mùa hè dịu hơn</w:t>
            </w:r>
          </w:p>
        </w:tc>
        <w:tc>
          <w:tcPr>
            <w:tcW w:w="2694" w:type="dxa"/>
            <w:vAlign w:val="center"/>
          </w:tcPr>
          <w:p w14:paraId="248753CB" w14:textId="77777777" w:rsidR="00085789" w:rsidRDefault="00000000">
            <w:pPr>
              <w:spacing w:line="240" w:lineRule="auto"/>
              <w:jc w:val="center"/>
              <w:rPr>
                <w:sz w:val="24"/>
                <w:szCs w:val="24"/>
              </w:rPr>
            </w:pPr>
            <w:r>
              <w:rPr>
                <w:sz w:val="24"/>
                <w:szCs w:val="24"/>
              </w:rPr>
              <w:t>37 - 39</w:t>
            </w:r>
            <w:r>
              <w:rPr>
                <w:sz w:val="24"/>
                <w:szCs w:val="24"/>
                <w:vertAlign w:val="superscript"/>
              </w:rPr>
              <w:t>0</w:t>
            </w:r>
            <w:r>
              <w:rPr>
                <w:sz w:val="24"/>
                <w:szCs w:val="24"/>
              </w:rPr>
              <w:t>C</w:t>
            </w:r>
          </w:p>
        </w:tc>
        <w:tc>
          <w:tcPr>
            <w:tcW w:w="2409" w:type="dxa"/>
            <w:vAlign w:val="center"/>
          </w:tcPr>
          <w:p w14:paraId="76A65761" w14:textId="77777777" w:rsidR="00085789" w:rsidRDefault="00000000">
            <w:pPr>
              <w:spacing w:line="240" w:lineRule="auto"/>
              <w:jc w:val="center"/>
              <w:rPr>
                <w:sz w:val="24"/>
                <w:szCs w:val="24"/>
              </w:rPr>
            </w:pPr>
            <w:r>
              <w:rPr>
                <w:sz w:val="24"/>
                <w:szCs w:val="24"/>
              </w:rPr>
              <w:t>Đợt đầu mùa, dự báo ít gay gắt hơn năm 2024</w:t>
            </w:r>
          </w:p>
        </w:tc>
      </w:tr>
    </w:tbl>
    <w:p w14:paraId="66BD7DAA" w14:textId="77777777" w:rsidR="00085789" w:rsidRDefault="00000000">
      <w:pPr>
        <w:spacing w:before="120" w:line="240" w:lineRule="auto"/>
        <w:ind w:firstLine="709"/>
        <w:jc w:val="both"/>
        <w:rPr>
          <w:sz w:val="26"/>
          <w:szCs w:val="26"/>
        </w:rPr>
      </w:pPr>
      <w:r>
        <w:rPr>
          <w:sz w:val="26"/>
          <w:szCs w:val="26"/>
          <w:lang w:val="de-DE"/>
        </w:rPr>
        <w:t xml:space="preserve">- Lượng mưa và mực nước hồ chứa: </w:t>
      </w:r>
      <w:r>
        <w:rPr>
          <w:sz w:val="26"/>
          <w:szCs w:val="26"/>
        </w:rPr>
        <w:t xml:space="preserve">Giai đoạn 2021 - 2025 xuất hiện các đợt mưa lớn vào cuối mùa đều có những mức đo cục bộ đáng kể. Năm 2025 nổi bật với đợt mưa dữ dội phá kỷ lục: lượng mưa một ngày lên đến 601 mm, xuất hiện nhiều trạm vượt các giá trị lịch sử từ trước đến nay. Các năm gần đây lượng mưa có xu hướng biến động mạnh: Mưa </w:t>
      </w:r>
      <w:r>
        <w:rPr>
          <w:sz w:val="26"/>
          <w:szCs w:val="26"/>
        </w:rPr>
        <w:lastRenderedPageBreak/>
        <w:t>tập trung, dồn dập và bất thường, đặc biệt các đợt mưa ngoài mùa truyền thống. Điều này phù hợp với xu hướng BĐKH gây nhiều hiện tượng mưa cực đoan, bất thường về thời điểm và cường độ.</w:t>
      </w:r>
    </w:p>
    <w:p w14:paraId="0E8AC105" w14:textId="77777777" w:rsidR="00085789" w:rsidRDefault="00000000">
      <w:pPr>
        <w:spacing w:before="120" w:line="240" w:lineRule="auto"/>
        <w:ind w:firstLine="709"/>
        <w:jc w:val="both"/>
        <w:rPr>
          <w:sz w:val="26"/>
          <w:szCs w:val="26"/>
        </w:rPr>
      </w:pPr>
      <w:r>
        <w:rPr>
          <w:sz w:val="26"/>
          <w:szCs w:val="26"/>
        </w:rPr>
        <w:t xml:space="preserve">Theo Kịch bản BĐKH và nước biển dâng năm 2020 do Bộ Tài nguyên và Môi </w:t>
      </w:r>
      <w:r>
        <w:rPr>
          <w:spacing w:val="-4"/>
          <w:sz w:val="26"/>
          <w:szCs w:val="26"/>
        </w:rPr>
        <w:t>trường công bố, nếu mực nước biển dâng cao, mưa bão lớn hơn cùng với triều cường, Hà Tĩnh có thể sẽ bị ngập khoảng 599.304 ha, là tỉnh có diện tích bị ngập do nước biển dâng xếp thứ 4 trong cả nước. Trong những năm gần đây, tỉnh Hà Tĩnh đã chịu ảnh hưởng của mực nước biển dâng, nước mặn xâm nhập sâu trong sông và gây ngập lụt tại một số xã ven biển.</w:t>
      </w:r>
      <w:r>
        <w:rPr>
          <w:sz w:val="26"/>
          <w:szCs w:val="26"/>
        </w:rPr>
        <w:t xml:space="preserve"> Hà Tĩnh nằm trong khu vực nhiệt đới gió mùa, có khí hậu rất đa dạng và phức tạp, chịu ảnh hưởng của các hệ thống thời tiết gió mùa, là địa phương có gió mùa Tây Nam tốc độ khá mạnh. Mặt khác, địa hình Hà Tĩnh có hệ thống sông suối nhiều, ngắn lại dốc, đồng bằng hẹp làm cho lũ thượng nguồn đổ xuống đồng bằng nhanh gây lũ lụt, ngập úng trên diện rộng.</w:t>
      </w:r>
    </w:p>
    <w:p w14:paraId="7C1BA39F" w14:textId="77777777" w:rsidR="00085789" w:rsidRDefault="00000000">
      <w:pPr>
        <w:spacing w:before="120" w:line="240" w:lineRule="auto"/>
        <w:ind w:firstLine="709"/>
        <w:jc w:val="both"/>
        <w:rPr>
          <w:spacing w:val="-4"/>
          <w:sz w:val="26"/>
          <w:szCs w:val="26"/>
        </w:rPr>
      </w:pPr>
      <w:r>
        <w:rPr>
          <w:spacing w:val="-4"/>
          <w:sz w:val="26"/>
          <w:szCs w:val="26"/>
        </w:rPr>
        <w:t>Năm 2025: Mưa lũ phức tạp từ chiều 24/5 tới sáng 25/5 đã gây thiệt hại lớn cho nhiều địa phương trên địa bàn tỉnh. Lượng mưa tại các trạm đo mưa tự động từ 13 giờ ngày 24/5 đến 12 giờ ngày 25/5 dao động từ 333 - 420 mm, đặc biệt, tại trạm hồ Kẻ Gỗ là 525 mm, trạm hồ Thượng Sông Trí lên tới 601,8 mm. Mưa lớn khiến cho 2.250 ha lúa xuân chưa thu hoạch của người dân bị ngập; 2.076 tấn lúa đã thu hoạch bị ướt; 397 ha cây trồng các loại bị ngập. \</w:t>
      </w:r>
    </w:p>
    <w:p w14:paraId="4B60FD8D" w14:textId="77777777" w:rsidR="00085789" w:rsidRDefault="00000000">
      <w:pPr>
        <w:spacing w:before="120" w:line="240" w:lineRule="auto"/>
        <w:ind w:firstLine="709"/>
        <w:jc w:val="both"/>
        <w:rPr>
          <w:spacing w:val="-4"/>
          <w:sz w:val="22"/>
          <w:szCs w:val="22"/>
        </w:rPr>
      </w:pPr>
      <w:r>
        <w:rPr>
          <w:sz w:val="26"/>
          <w:szCs w:val="26"/>
        </w:rPr>
        <w:t>Do ảnh hưởng không khí lạnh tăng cường kết hợp gió Đông trên cao, từ đêm 29/10/2025 đến ngày 03/11/2025 trên địa bàn tỉnh đã có mưa, riêng khu vực đồng bằng ven biển phía Nam có mưa vừa, mưa to, có nơi mưa rất to. Lượng mưa đo được tại các trạm đo mưa tự động (từ 19 giờ ngày 29/10 đến 10 giờ ngày 03/11) phổ biến từ 600 mm - 1.400 mm. Lượng mưa từ 19 giờ ngày 02/11 đến 10 giờ ngày 03/11 đã giảm, chỉ tập trung ở phía Nam của tỉnh, phổ biến từ 100 mm - 220 mm. Mực nước hồ chứa lớn lúc 10</w:t>
      </w:r>
      <w:r>
        <w:t xml:space="preserve"> </w:t>
      </w:r>
      <w:r>
        <w:rPr>
          <w:sz w:val="26"/>
          <w:szCs w:val="26"/>
        </w:rPr>
        <w:t>giờ ngày 03/11 tại Kẻ Gỗ là 31,83 m/32,5 m, đạt 93,3 % so với thiết kế (giảm so với thời điểm lúc 21</w:t>
      </w:r>
      <w:r>
        <w:t xml:space="preserve"> </w:t>
      </w:r>
      <w:r>
        <w:rPr>
          <w:sz w:val="26"/>
          <w:szCs w:val="26"/>
        </w:rPr>
        <w:t>giờ là 5 cm, hạ lưu hồ tại xã Cẩm Duệ giảm so với thời điểm ngập lụt cao nhất là 34 cm lúc 8</w:t>
      </w:r>
      <w:r>
        <w:t xml:space="preserve"> </w:t>
      </w:r>
      <w:r>
        <w:rPr>
          <w:sz w:val="26"/>
          <w:szCs w:val="26"/>
        </w:rPr>
        <w:t>giờ ngày 31/10); Sông Rác 22,08 m/23,2 m đạt 84,1 % so với thiết kế (tăng so với thời điểm lúc 7</w:t>
      </w:r>
      <w:r>
        <w:t xml:space="preserve"> </w:t>
      </w:r>
      <w:r>
        <w:rPr>
          <w:sz w:val="26"/>
          <w:szCs w:val="26"/>
        </w:rPr>
        <w:t>giờ là 19 cm); hồ Ngàn Trươi 46,2 m/52,0 m đạt 70,7 % so với thiết kế (mực nước giữ nguyên so với lúc 7</w:t>
      </w:r>
      <w:r>
        <w:t xml:space="preserve"> </w:t>
      </w:r>
      <w:r>
        <w:rPr>
          <w:sz w:val="26"/>
          <w:szCs w:val="26"/>
        </w:rPr>
        <w:t>giờ).</w:t>
      </w:r>
    </w:p>
    <w:p w14:paraId="62EBEE8D" w14:textId="77777777" w:rsidR="00085789" w:rsidRDefault="00085789">
      <w:pPr>
        <w:spacing w:line="72" w:lineRule="auto"/>
        <w:ind w:firstLine="709"/>
        <w:jc w:val="both"/>
        <w:rPr>
          <w:sz w:val="26"/>
          <w:szCs w:val="26"/>
        </w:rPr>
      </w:pPr>
      <w:bookmarkStart w:id="1342" w:name="_Toc54796359"/>
      <w:bookmarkStart w:id="1343" w:name="_Toc55592313"/>
      <w:bookmarkStart w:id="1344" w:name="_Toc56737650"/>
      <w:bookmarkStart w:id="1345" w:name="_Toc54794931"/>
      <w:bookmarkStart w:id="1346" w:name="_Toc55007991"/>
      <w:bookmarkStart w:id="1347" w:name="_Toc54810648"/>
      <w:bookmarkStart w:id="1348" w:name="_Toc55594874"/>
      <w:bookmarkStart w:id="1349" w:name="_Toc54794217"/>
      <w:bookmarkStart w:id="1350" w:name="_Toc54795645"/>
      <w:bookmarkStart w:id="1351" w:name="_Toc56739091"/>
      <w:bookmarkStart w:id="1352" w:name="_Toc56740597"/>
      <w:bookmarkStart w:id="1353" w:name="_Toc56739834"/>
      <w:bookmarkStart w:id="1354" w:name="_Toc56736929"/>
    </w:p>
    <w:p w14:paraId="102B7962" w14:textId="77777777" w:rsidR="00085789" w:rsidRDefault="00000000">
      <w:pPr>
        <w:spacing w:before="120" w:line="240" w:lineRule="auto"/>
        <w:ind w:firstLine="709"/>
        <w:jc w:val="both"/>
        <w:rPr>
          <w:sz w:val="26"/>
          <w:szCs w:val="26"/>
        </w:rPr>
      </w:pPr>
      <w:r>
        <w:rPr>
          <w:sz w:val="26"/>
          <w:szCs w:val="26"/>
        </w:rPr>
        <w:t xml:space="preserve">- Tác động của BĐKH tới lĩnh vực nông nghiệp: </w:t>
      </w:r>
    </w:p>
    <w:p w14:paraId="6EDC5620" w14:textId="77777777" w:rsidR="00085789" w:rsidRDefault="00000000">
      <w:pPr>
        <w:spacing w:before="120" w:line="240" w:lineRule="auto"/>
        <w:ind w:firstLine="709"/>
        <w:jc w:val="both"/>
        <w:rPr>
          <w:sz w:val="26"/>
          <w:szCs w:val="26"/>
        </w:rPr>
      </w:pPr>
      <w:r>
        <w:rPr>
          <w:sz w:val="26"/>
          <w:szCs w:val="26"/>
        </w:rPr>
        <w:t xml:space="preserve">Hiện nay, sản xuất nông nghiệp của Hà Tĩnh còn phụ thuộc rất nhiều vào thời tiết. Khi nhiệt độ, tính biến động và dị thường của thời tiết và khí hậu tăng sẽ ảnh hưởng rất lớn tới sản xuất nông nghiệp, nhất là trồng trọt. Sự bất thường của chu kỳ sinh khí hậu nông nghiệp không những dẫn tới sự tăng dịch bệnh, dịch hại, giảm sút năng suất mùa màng, mà còn có thể gây ra các rủi ro nghiêm trọng khác. Trong thời gian qua, ở nhiều địa phương, mùa màng đã bị mất trắng do thiên tai (lũ lụt và hạn hán). </w:t>
      </w:r>
    </w:p>
    <w:p w14:paraId="15E10C4E" w14:textId="77777777" w:rsidR="00085789" w:rsidRDefault="00000000">
      <w:pPr>
        <w:spacing w:before="120" w:line="240" w:lineRule="auto"/>
        <w:ind w:firstLine="709"/>
        <w:jc w:val="both"/>
        <w:rPr>
          <w:sz w:val="26"/>
          <w:szCs w:val="26"/>
        </w:rPr>
      </w:pPr>
      <w:r>
        <w:rPr>
          <w:sz w:val="26"/>
          <w:szCs w:val="26"/>
        </w:rPr>
        <w:t>- Tác động của BĐKH tới tài nguyên ĐDSH rừng:</w:t>
      </w:r>
    </w:p>
    <w:p w14:paraId="75A1B76B" w14:textId="77777777" w:rsidR="00085789" w:rsidRDefault="00000000">
      <w:pPr>
        <w:spacing w:before="120" w:line="240" w:lineRule="auto"/>
        <w:ind w:firstLine="709"/>
        <w:jc w:val="both"/>
        <w:rPr>
          <w:sz w:val="26"/>
          <w:szCs w:val="26"/>
        </w:rPr>
      </w:pPr>
      <w:r>
        <w:rPr>
          <w:sz w:val="26"/>
          <w:szCs w:val="26"/>
        </w:rPr>
        <w:t xml:space="preserve">Hà Tĩnh là địa phương có ĐDSH cao, có các HST đa dạng. Tuy nhiên trong thời gian qua, do những nguyên nhân khác nhau, ĐDSH, các HST, đặc biệt là các HST rừng - HST có ĐDSH cũng bị ảnh hưởng. Nhiệt độ trung bình tăng sẽ làm thay đổi vùng phân bố và cấu trúc quần xã sinh vật của nhiều HST. Các loài nhiệt đới sẽ giảm đi trong các HST ven biển và có xu hướng chuyển dịch lên các đới và vĩ độ cao hơn trong các HST trên cạn. Nhiệt độ tăng, còn làm gia tăng khả năng cháy rừng, làm tăng lượng phát thải khí nhà kính và làm gia tăng BĐKH. </w:t>
      </w:r>
    </w:p>
    <w:p w14:paraId="58066EB8" w14:textId="77777777" w:rsidR="00085789" w:rsidRDefault="00000000">
      <w:pPr>
        <w:spacing w:before="120" w:line="240" w:lineRule="auto"/>
        <w:ind w:firstLine="709"/>
        <w:jc w:val="both"/>
        <w:rPr>
          <w:spacing w:val="-2"/>
          <w:sz w:val="26"/>
          <w:szCs w:val="26"/>
        </w:rPr>
      </w:pPr>
      <w:r>
        <w:rPr>
          <w:spacing w:val="-2"/>
          <w:sz w:val="26"/>
          <w:szCs w:val="26"/>
        </w:rPr>
        <w:t xml:space="preserve">- Tác động của BĐKH tới tài nguyên đất: Trong thời gian gần đây, diện tích đất nông nghiệp bị thu hẹp do sức ép dân số, đô thị hóa, công nghiệp hóa và bị chuyển đổi mục đích </w:t>
      </w:r>
      <w:r>
        <w:rPr>
          <w:spacing w:val="-2"/>
          <w:sz w:val="26"/>
          <w:szCs w:val="26"/>
        </w:rPr>
        <w:lastRenderedPageBreak/>
        <w:t xml:space="preserve">sử dụng. Hiện tượng xói mòn, rửa trôi và ô nhiễm do hóa chất nông nghiệp ngày càng gia tăng. Dưới tác động của BĐKH thiên tai, bão, lũ gia tăng sẽ làm tăng hiện tượng xói mòn, rửa trôi, sạt lở bờ sông, bờ biển, bồi lắng làm ảnh hưởng nghiêm trọng tới tài nguyên đất. Hiện tượng thiếu nước và hạn hán sẽ dẫn tới hoang mạc hóa, đặc biệt là các tỉnh miền Trung. </w:t>
      </w:r>
    </w:p>
    <w:p w14:paraId="09D26396" w14:textId="77777777" w:rsidR="00085789" w:rsidRDefault="00000000">
      <w:pPr>
        <w:spacing w:before="120" w:line="240" w:lineRule="auto"/>
        <w:ind w:firstLine="709"/>
        <w:jc w:val="both"/>
        <w:rPr>
          <w:spacing w:val="-2"/>
          <w:sz w:val="26"/>
          <w:szCs w:val="26"/>
        </w:rPr>
      </w:pPr>
      <w:r>
        <w:rPr>
          <w:spacing w:val="-2"/>
          <w:sz w:val="26"/>
          <w:szCs w:val="26"/>
        </w:rPr>
        <w:t xml:space="preserve">- Tác động của BĐKH tới sức khỏe: Báo cáo gần đây nhất của Ủy ban liên quốc gia về BĐKH đã khẳng định, BĐKH gây ra tử vong và bệnh tật thông qua hậu quả của các dạng thiên tai như sóng nhiệt/nóng, bão, lũ lụt, hạn hán,…. Do nhiều bệnh sẽ gia tăng dưới tác động của sự thay đổi nhiệt độ và hoàn cảnh, nhất là các bệnh truyền qua vật trung gian như sốt rét (do muỗi truyền), sốt xuất huyết (muỗi), viêm não (muỗi) qua môi trường nước (các bệnh đường ruột), và các bệnh khác (suy dinh dưỡng, bệnh về phổi…). Những bệnh này đặc biệt ảnh hưởng lớn tới các vùng kém phát triển, đông dân và có tỷ lệ đói nghèo cao. </w:t>
      </w:r>
    </w:p>
    <w:p w14:paraId="674323B1" w14:textId="77777777" w:rsidR="00085789" w:rsidRDefault="00000000">
      <w:pPr>
        <w:spacing w:before="120" w:line="240" w:lineRule="auto"/>
        <w:ind w:firstLine="709"/>
        <w:jc w:val="both"/>
        <w:rPr>
          <w:sz w:val="26"/>
          <w:szCs w:val="26"/>
        </w:rPr>
      </w:pPr>
      <w:r>
        <w:rPr>
          <w:sz w:val="26"/>
          <w:szCs w:val="26"/>
        </w:rPr>
        <w:t xml:space="preserve">- Tác động của BĐKH tới cơ sở hạ tầng: Đặc trưng của những đối tượng này là thời gian tồn tại tương đối dài, có thể hàng thế kỷ và chịu tác động trực tiếp và liên tục của khí hậu, thời tiết, và hiện nay là BĐKH với xu hướng ngày càng gia tăng. BĐKH sẽ tác động sức chịu tải, độ bền, độ an toàn của các công trình được thiết kế. </w:t>
      </w:r>
    </w:p>
    <w:p w14:paraId="15BD31F8" w14:textId="77777777" w:rsidR="00085789" w:rsidRDefault="00000000">
      <w:pPr>
        <w:spacing w:before="120" w:line="240" w:lineRule="auto"/>
        <w:ind w:firstLine="709"/>
        <w:jc w:val="both"/>
        <w:rPr>
          <w:sz w:val="26"/>
          <w:szCs w:val="26"/>
        </w:rPr>
      </w:pPr>
      <w:r>
        <w:rPr>
          <w:sz w:val="26"/>
          <w:szCs w:val="26"/>
        </w:rPr>
        <w:t>BĐKH là một vấn đề phức hợp, vừa mang tính cấp bách trước mắt, vừa mang tính lâu dài, tác động tới tất cả các lĩnh vực từ tự nhiên đến phát triển KT-XH trên phạm vi toàn cầu. Vì vậy, ứng phó với BĐKH cần phải được tiến hành trong một chương trình, kế hoạch quốc gia thống nhất và trong sự hợp tác chặt chẽ với cộng đồng quốc tế.</w:t>
      </w:r>
    </w:p>
    <w:p w14:paraId="1632A374" w14:textId="77777777" w:rsidR="00085789" w:rsidRDefault="00000000">
      <w:pPr>
        <w:pStyle w:val="bac2"/>
        <w:spacing w:before="120" w:after="0" w:line="240" w:lineRule="auto"/>
      </w:pPr>
      <w:bookmarkStart w:id="1355" w:name="_Toc214311291"/>
      <w:r>
        <w:t>8.3. Một số chính sách và biện pháp giảm nhẹ, thích ứng với BĐKH ở Hà Tĩnh</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FB56100" w14:textId="77777777" w:rsidR="00085789" w:rsidRDefault="00000000">
      <w:pPr>
        <w:spacing w:before="120" w:line="240" w:lineRule="auto"/>
        <w:ind w:firstLine="709"/>
        <w:jc w:val="both"/>
        <w:rPr>
          <w:sz w:val="26"/>
          <w:szCs w:val="26"/>
        </w:rPr>
      </w:pPr>
      <w:r>
        <w:rPr>
          <w:sz w:val="26"/>
          <w:szCs w:val="26"/>
        </w:rPr>
        <w:t>Trong thời gian qua, tỉnh Hà Tĩnh đã chủ động ứng phó với BĐKH, bước đầu đã phát huy hiệu quả, các giải pháp đã thực hiện: Tăng cường công tác tuyên truyền, giáo dục nâng cao nhận thức về chủ động ứng phó với BĐKH, sử dụng tiết kiệm, hiệu quả, bền vững tài nguyên và bảo vệ môi trường; chủ động xây dựng, triển khai kế hoạch, phương án phòng, chống lụt bão, giảm nhẹ thiên tai; nâng cao năng lực tìm kiếm, cứu nạn, cứu hộ, phòng, chống dịch bệnh; chú trọng chăm sóc sức khỏe nhân dân trong các vùng bị tác động lụt bão; phát huy trách nhiệm và huy động các doanh nghiệp, cộng đồng dân cư tích cực tham gia phòng, tránh, giảm nhẹ thiên tai, ứng phó với BĐKH; thực hiện đầu tư nâng cấp, bảo đảm an toàn các hồ chứa nước; ban hành các văn bản về BĐKH: Kế hoạch số 329/KH-UBND ngày 26/8/2022 về việc triển khai, thực hiện Đề án phát triển các đô thị Việt Nam ứng phó với BĐKH giai đoạn 2021 - 2030 trên địa bàn tỉnh Hà Tĩnh; Quyết định số 864/QĐ-UBND ngày 13/4/2023 phê duyệt kế hoạch hành động ứng phó với BĐKH giai đoạn 2021 - 2030, tầm nhìn đến năm 2050 trên địa bàn tỉnh Hà Tĩnh.</w:t>
      </w:r>
    </w:p>
    <w:p w14:paraId="5C56F7E4" w14:textId="77777777" w:rsidR="00085789" w:rsidRDefault="00000000">
      <w:pPr>
        <w:spacing w:before="120" w:line="240" w:lineRule="auto"/>
        <w:ind w:firstLine="709"/>
        <w:jc w:val="both"/>
        <w:rPr>
          <w:sz w:val="26"/>
          <w:szCs w:val="26"/>
        </w:rPr>
      </w:pPr>
      <w:r>
        <w:rPr>
          <w:sz w:val="26"/>
          <w:szCs w:val="26"/>
        </w:rPr>
        <w:t xml:space="preserve">Trong nghiên cứu khoa học đã đề xuất được một số các giải pháp, các mô hình tích hợp thích ứng, giảm nhẹ BĐKH như giảm thiểu tác động tiêu cực trong khai thác, sử dụng nước ngầm, kế hoạch sử dụng đất thích ứng với BĐKH; đề xuất nhóm giải pháp công nghệ như công nghệ thân thiện với môi trường, sử dụng năng lượng tái tạo, tiết kiệm nhiên liệu. Nhiều mô hình, giải pháp thích ứng, ứng phó với BĐKH được áp dụng vào thực tế góp phần chủ động ứng phó hiệu quả với BĐKH, sử dụng hiệu quả, hợp lý tài nguyên để phát triển bền vững trong việc dựa vào những đánh giá, dự báo định lượng, tin cậy và có khả năng nghiên cứu nhân rộng trong thời gian tới, như: Mô hình canh tác, sản xuất tiên tiến hướng đến nền sản xuất nông nghiệp tiên tiến, hiện đại; mô hình chăn nuôi, thủy sản theo hướng bền vững, đảm bảo an toàn dịch bệnh, vệ sinh môi trường; thay đổi phương thức canh tác nông nghiệp, sử dụng nước, phân bón, thức ăn chăn nuôi phù hợp, quản lý và xử lý chất thải trong chăn nuôi, phát triển sử dụng khí sinh học làm nhiên liệu, hạn chế và loại bỏ dần các nhà máy nông nghiệp lạc hậu tiêu thụ nhiều năng lượng và đã triển khai thí </w:t>
      </w:r>
      <w:r>
        <w:rPr>
          <w:sz w:val="26"/>
          <w:szCs w:val="26"/>
        </w:rPr>
        <w:lastRenderedPageBreak/>
        <w:t xml:space="preserve">điểm, nhân rộng một số mô hình cộng đồng ứng phó với BĐKH và bảo vệ môi trường,… bước đầu thu hút được sự quan tâm của cộng đồng tham gia ứng phó với BĐKH. </w:t>
      </w:r>
    </w:p>
    <w:p w14:paraId="0F70DD31" w14:textId="77777777" w:rsidR="00085789" w:rsidRDefault="00000000">
      <w:pPr>
        <w:spacing w:before="120" w:line="240" w:lineRule="auto"/>
        <w:ind w:firstLine="709"/>
        <w:jc w:val="both"/>
        <w:rPr>
          <w:sz w:val="26"/>
          <w:szCs w:val="26"/>
        </w:rPr>
      </w:pPr>
      <w:r>
        <w:rPr>
          <w:sz w:val="26"/>
          <w:szCs w:val="26"/>
        </w:rPr>
        <w:t>Việc lồng ghép ứng phó BĐKH vào các chiến lược, quy hoạch, kế hoạch phát triển KT-XH, phát triển ngành đã được quan tâm, chỉ đạo thực hiện, bước đầu đạt hiệu quả. Công tác xây dựng, cập nhật Kế hoạch hành động ứng phó với BĐKH và đánh giá khí hậu tỉnh Hà Tĩnh của tỉnh đang được triển khai thực hiện cho giai đoạn 2021-2030, tầm nhìn đến năm 2050 theo Quyết định số 864/QĐ-UBND ngày 13/4/2023.</w:t>
      </w:r>
    </w:p>
    <w:p w14:paraId="77E261D6" w14:textId="77777777" w:rsidR="00085789" w:rsidRDefault="00000000">
      <w:pPr>
        <w:spacing w:before="120" w:line="240" w:lineRule="auto"/>
        <w:ind w:firstLine="709"/>
        <w:jc w:val="both"/>
        <w:rPr>
          <w:sz w:val="26"/>
          <w:szCs w:val="26"/>
        </w:rPr>
      </w:pPr>
      <w:r>
        <w:rPr>
          <w:sz w:val="26"/>
          <w:szCs w:val="26"/>
        </w:rPr>
        <w:t xml:space="preserve">Một số dự án cấp bách thực hiện chương trình mục tiêu ứng phó với BĐKH và tăng trưởng xanh đã được đầu tư, đang triển khai thực hiện, như: (1) Tiểu Dự án Cải thiện cơ sở hạ tầng đô thị Thạch Hà, tỉnh Hà Tĩnh và Tiểu dự án Cải thiện đô thị Hương Khê, tỉnh Hà Tĩnh thuộc dự án Cải thiện cơ sở hạ tầng đô thị nhằm giảm thiểu tác động của BĐKH cho 04 tỉnh ven biển Bắc Trung Bộ; (2) Dự án Hạ tầng ưu tiên và phát triển đô thị thích ứng với BĐKH thành phố Hà Tĩnh. </w:t>
      </w:r>
    </w:p>
    <w:p w14:paraId="42D0420F" w14:textId="77777777" w:rsidR="00085789" w:rsidRDefault="00000000">
      <w:pPr>
        <w:pStyle w:val="bac2"/>
        <w:spacing w:before="120" w:after="0" w:line="240" w:lineRule="auto"/>
      </w:pPr>
      <w:bookmarkStart w:id="1356" w:name="_Toc54795646"/>
      <w:bookmarkStart w:id="1357" w:name="_Toc56739835"/>
      <w:bookmarkStart w:id="1358" w:name="_Toc55592314"/>
      <w:bookmarkStart w:id="1359" w:name="_Toc54794218"/>
      <w:bookmarkStart w:id="1360" w:name="_Toc56737651"/>
      <w:bookmarkStart w:id="1361" w:name="_Toc55007992"/>
      <w:bookmarkStart w:id="1362" w:name="_Toc54810649"/>
      <w:bookmarkStart w:id="1363" w:name="_Toc55594875"/>
      <w:bookmarkStart w:id="1364" w:name="_Toc54796360"/>
      <w:bookmarkStart w:id="1365" w:name="_Toc54794932"/>
      <w:bookmarkStart w:id="1366" w:name="_Toc56740598"/>
      <w:bookmarkStart w:id="1367" w:name="_Toc56736930"/>
      <w:bookmarkStart w:id="1368" w:name="_Toc56739092"/>
      <w:bookmarkStart w:id="1369" w:name="_Toc214311292"/>
      <w:r>
        <w:t>8.4. Tai biến thiên nhiên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A8301E8" w14:textId="77777777" w:rsidR="00085789" w:rsidRDefault="00000000">
      <w:pPr>
        <w:spacing w:before="120" w:line="240" w:lineRule="auto"/>
        <w:ind w:firstLine="709"/>
        <w:jc w:val="both"/>
        <w:rPr>
          <w:sz w:val="26"/>
          <w:szCs w:val="26"/>
        </w:rPr>
      </w:pPr>
      <w:bookmarkStart w:id="1370" w:name="_Toc56739836"/>
      <w:bookmarkStart w:id="1371" w:name="_Toc56736931"/>
      <w:bookmarkStart w:id="1372" w:name="_Toc54795647"/>
      <w:bookmarkStart w:id="1373" w:name="_Toc56739093"/>
      <w:bookmarkStart w:id="1374" w:name="_Toc55592315"/>
      <w:bookmarkStart w:id="1375" w:name="_Toc56737652"/>
      <w:bookmarkStart w:id="1376" w:name="_Toc54796361"/>
      <w:bookmarkStart w:id="1377" w:name="_Toc54794219"/>
      <w:bookmarkStart w:id="1378" w:name="_Toc56740599"/>
      <w:bookmarkStart w:id="1379" w:name="_Toc205915904"/>
      <w:r>
        <w:rPr>
          <w:sz w:val="26"/>
          <w:szCs w:val="26"/>
        </w:rPr>
        <w:t>Tai biến thiên nhiên (thiên tai) được hiểu là những hiện tượng xảy ra trong tự nhiên gây tác hại. Theo Báo cáo của Ban chỉ huy phòng chống thiên tai và tìm kiếm cứu nạn, trong giai đoạn từ 2021 - tháng 10/2025, tỉnh hà Tĩnh có 03 trận bão, 06 đợt lũ lụt, 08 trận lốc xoáy, 06 đợt rét đậm, rét hại kéo dài và 47 đợt nắng nóng. Tình hình thiên tai ảnh hưởng đến tỉnh Hà Tĩnh cụ thể như sau:</w:t>
      </w:r>
    </w:p>
    <w:p w14:paraId="1EECED90" w14:textId="77777777" w:rsidR="00085789" w:rsidRDefault="00000000">
      <w:pPr>
        <w:pStyle w:val="-bac4"/>
        <w:spacing w:before="120" w:after="0" w:line="240" w:lineRule="auto"/>
      </w:pPr>
      <w:bookmarkStart w:id="1380" w:name="_Toc213597598"/>
      <w:bookmarkStart w:id="1381" w:name="_Toc213600885"/>
      <w:r>
        <w:t>Bảng 8.3. Thống kê các loại do thiên tai gây ra từ năm 2021 - 202</w:t>
      </w:r>
      <w:bookmarkEnd w:id="1370"/>
      <w:bookmarkEnd w:id="1371"/>
      <w:bookmarkEnd w:id="1372"/>
      <w:bookmarkEnd w:id="1373"/>
      <w:bookmarkEnd w:id="1374"/>
      <w:bookmarkEnd w:id="1375"/>
      <w:bookmarkEnd w:id="1376"/>
      <w:bookmarkEnd w:id="1377"/>
      <w:bookmarkEnd w:id="1378"/>
      <w:r>
        <w:t>5</w:t>
      </w:r>
      <w:bookmarkEnd w:id="1379"/>
      <w:bookmarkEnd w:id="1380"/>
      <w:bookmarkEnd w:id="1381"/>
    </w:p>
    <w:p w14:paraId="02625D58" w14:textId="77777777" w:rsidR="00085789" w:rsidRDefault="00085789">
      <w:pPr>
        <w:pStyle w:val="-bac4"/>
        <w:spacing w:before="120" w:after="0" w:line="240" w:lineRule="auto"/>
        <w:rPr>
          <w:sz w:val="8"/>
          <w:szCs w:val="6"/>
        </w:rPr>
      </w:pPr>
    </w:p>
    <w:tbl>
      <w:tblPr>
        <w:tblW w:w="91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2"/>
        <w:gridCol w:w="1263"/>
        <w:gridCol w:w="895"/>
        <w:gridCol w:w="992"/>
        <w:gridCol w:w="1125"/>
        <w:gridCol w:w="1126"/>
        <w:gridCol w:w="7"/>
      </w:tblGrid>
      <w:tr w:rsidR="00085789" w14:paraId="647E9D38" w14:textId="77777777">
        <w:trPr>
          <w:trHeight w:val="148"/>
        </w:trPr>
        <w:tc>
          <w:tcPr>
            <w:tcW w:w="3762" w:type="dxa"/>
            <w:vMerge w:val="restart"/>
            <w:vAlign w:val="center"/>
          </w:tcPr>
          <w:p w14:paraId="12A3BD02" w14:textId="77777777" w:rsidR="00085789" w:rsidRDefault="00000000">
            <w:pPr>
              <w:spacing w:before="40" w:after="40" w:line="264" w:lineRule="auto"/>
              <w:jc w:val="center"/>
              <w:rPr>
                <w:b/>
                <w:bCs/>
                <w:sz w:val="26"/>
                <w:szCs w:val="26"/>
              </w:rPr>
            </w:pPr>
            <w:r>
              <w:rPr>
                <w:b/>
                <w:bCs/>
                <w:sz w:val="26"/>
                <w:szCs w:val="26"/>
              </w:rPr>
              <w:t>Thiệt hại</w:t>
            </w:r>
          </w:p>
        </w:tc>
        <w:tc>
          <w:tcPr>
            <w:tcW w:w="5408" w:type="dxa"/>
            <w:gridSpan w:val="6"/>
            <w:vAlign w:val="center"/>
          </w:tcPr>
          <w:p w14:paraId="2E96A682" w14:textId="77777777" w:rsidR="00085789" w:rsidRDefault="00000000">
            <w:pPr>
              <w:spacing w:before="40" w:after="40" w:line="264" w:lineRule="auto"/>
              <w:jc w:val="center"/>
              <w:rPr>
                <w:b/>
                <w:bCs/>
                <w:sz w:val="26"/>
                <w:szCs w:val="26"/>
              </w:rPr>
            </w:pPr>
            <w:r>
              <w:rPr>
                <w:b/>
                <w:bCs/>
                <w:sz w:val="26"/>
                <w:szCs w:val="26"/>
              </w:rPr>
              <w:t>Năm</w:t>
            </w:r>
          </w:p>
        </w:tc>
      </w:tr>
      <w:tr w:rsidR="00085789" w14:paraId="7DA586AF" w14:textId="77777777">
        <w:trPr>
          <w:gridAfter w:val="1"/>
          <w:wAfter w:w="7" w:type="dxa"/>
          <w:trHeight w:val="44"/>
        </w:trPr>
        <w:tc>
          <w:tcPr>
            <w:tcW w:w="3762" w:type="dxa"/>
            <w:vMerge/>
            <w:vAlign w:val="center"/>
          </w:tcPr>
          <w:p w14:paraId="68625EEF" w14:textId="77777777" w:rsidR="00085789" w:rsidRDefault="00085789">
            <w:pPr>
              <w:spacing w:before="40" w:after="40" w:line="264" w:lineRule="auto"/>
              <w:jc w:val="center"/>
              <w:rPr>
                <w:bCs/>
                <w:sz w:val="26"/>
                <w:szCs w:val="26"/>
              </w:rPr>
            </w:pPr>
          </w:p>
        </w:tc>
        <w:tc>
          <w:tcPr>
            <w:tcW w:w="1263" w:type="dxa"/>
            <w:vAlign w:val="center"/>
          </w:tcPr>
          <w:p w14:paraId="20E0DEC1" w14:textId="77777777" w:rsidR="00085789" w:rsidRDefault="00000000">
            <w:pPr>
              <w:spacing w:before="40" w:after="40" w:line="264" w:lineRule="auto"/>
              <w:jc w:val="center"/>
              <w:rPr>
                <w:bCs/>
                <w:sz w:val="26"/>
                <w:szCs w:val="26"/>
              </w:rPr>
            </w:pPr>
            <w:r>
              <w:rPr>
                <w:bCs/>
                <w:sz w:val="26"/>
                <w:szCs w:val="26"/>
              </w:rPr>
              <w:t>2021</w:t>
            </w:r>
          </w:p>
        </w:tc>
        <w:tc>
          <w:tcPr>
            <w:tcW w:w="895" w:type="dxa"/>
            <w:vAlign w:val="center"/>
          </w:tcPr>
          <w:p w14:paraId="6DCE431D" w14:textId="77777777" w:rsidR="00085789" w:rsidRDefault="00000000">
            <w:pPr>
              <w:spacing w:before="40" w:after="40" w:line="264" w:lineRule="auto"/>
              <w:jc w:val="center"/>
              <w:rPr>
                <w:bCs/>
                <w:sz w:val="26"/>
                <w:szCs w:val="26"/>
              </w:rPr>
            </w:pPr>
            <w:r>
              <w:rPr>
                <w:bCs/>
                <w:sz w:val="26"/>
                <w:szCs w:val="26"/>
              </w:rPr>
              <w:t>2022</w:t>
            </w:r>
          </w:p>
        </w:tc>
        <w:tc>
          <w:tcPr>
            <w:tcW w:w="992" w:type="dxa"/>
            <w:vAlign w:val="center"/>
          </w:tcPr>
          <w:p w14:paraId="1CF1A7CC" w14:textId="77777777" w:rsidR="00085789" w:rsidRDefault="00000000">
            <w:pPr>
              <w:spacing w:before="40" w:after="40" w:line="264" w:lineRule="auto"/>
              <w:jc w:val="center"/>
              <w:rPr>
                <w:bCs/>
                <w:sz w:val="26"/>
                <w:szCs w:val="26"/>
              </w:rPr>
            </w:pPr>
            <w:r>
              <w:rPr>
                <w:bCs/>
                <w:sz w:val="26"/>
                <w:szCs w:val="26"/>
              </w:rPr>
              <w:t>2023</w:t>
            </w:r>
          </w:p>
        </w:tc>
        <w:tc>
          <w:tcPr>
            <w:tcW w:w="1125" w:type="dxa"/>
            <w:vAlign w:val="center"/>
          </w:tcPr>
          <w:p w14:paraId="7DBF051D" w14:textId="77777777" w:rsidR="00085789" w:rsidRDefault="00000000">
            <w:pPr>
              <w:spacing w:before="40" w:after="40" w:line="264" w:lineRule="auto"/>
              <w:jc w:val="center"/>
              <w:rPr>
                <w:bCs/>
                <w:sz w:val="26"/>
                <w:szCs w:val="26"/>
              </w:rPr>
            </w:pPr>
            <w:r>
              <w:rPr>
                <w:bCs/>
                <w:sz w:val="26"/>
                <w:szCs w:val="26"/>
              </w:rPr>
              <w:t>2024</w:t>
            </w:r>
          </w:p>
        </w:tc>
        <w:tc>
          <w:tcPr>
            <w:tcW w:w="1126" w:type="dxa"/>
            <w:vAlign w:val="center"/>
          </w:tcPr>
          <w:p w14:paraId="243418BB" w14:textId="77777777" w:rsidR="00085789" w:rsidRDefault="00000000">
            <w:pPr>
              <w:spacing w:before="40" w:after="40" w:line="264" w:lineRule="auto"/>
              <w:jc w:val="center"/>
              <w:rPr>
                <w:bCs/>
                <w:sz w:val="26"/>
                <w:szCs w:val="26"/>
              </w:rPr>
            </w:pPr>
            <w:r>
              <w:rPr>
                <w:bCs/>
                <w:sz w:val="26"/>
                <w:szCs w:val="26"/>
              </w:rPr>
              <w:t>10/2025</w:t>
            </w:r>
          </w:p>
        </w:tc>
      </w:tr>
      <w:tr w:rsidR="00085789" w14:paraId="12323DFF" w14:textId="77777777">
        <w:trPr>
          <w:gridAfter w:val="1"/>
          <w:wAfter w:w="7" w:type="dxa"/>
          <w:trHeight w:val="148"/>
        </w:trPr>
        <w:tc>
          <w:tcPr>
            <w:tcW w:w="3762" w:type="dxa"/>
            <w:vAlign w:val="center"/>
          </w:tcPr>
          <w:p w14:paraId="522CF616" w14:textId="77777777" w:rsidR="00085789" w:rsidRDefault="00000000">
            <w:pPr>
              <w:spacing w:before="40" w:after="40" w:line="264" w:lineRule="auto"/>
              <w:jc w:val="both"/>
              <w:rPr>
                <w:bCs/>
                <w:sz w:val="26"/>
                <w:szCs w:val="26"/>
              </w:rPr>
            </w:pPr>
            <w:r>
              <w:rPr>
                <w:bCs/>
                <w:sz w:val="26"/>
                <w:szCs w:val="26"/>
              </w:rPr>
              <w:t>Tổng số người chết</w:t>
            </w:r>
          </w:p>
        </w:tc>
        <w:tc>
          <w:tcPr>
            <w:tcW w:w="1263" w:type="dxa"/>
            <w:vAlign w:val="center"/>
          </w:tcPr>
          <w:p w14:paraId="21E9966A" w14:textId="77777777" w:rsidR="00085789" w:rsidRDefault="00000000">
            <w:pPr>
              <w:spacing w:before="40" w:after="40" w:line="264" w:lineRule="auto"/>
              <w:jc w:val="center"/>
              <w:rPr>
                <w:bCs/>
                <w:sz w:val="26"/>
                <w:szCs w:val="26"/>
              </w:rPr>
            </w:pPr>
            <w:r>
              <w:rPr>
                <w:bCs/>
                <w:sz w:val="26"/>
                <w:szCs w:val="26"/>
              </w:rPr>
              <w:t>0</w:t>
            </w:r>
          </w:p>
        </w:tc>
        <w:tc>
          <w:tcPr>
            <w:tcW w:w="895" w:type="dxa"/>
            <w:vAlign w:val="center"/>
          </w:tcPr>
          <w:p w14:paraId="193C33FB" w14:textId="77777777" w:rsidR="00085789" w:rsidRDefault="00000000">
            <w:pPr>
              <w:spacing w:before="40" w:after="40" w:line="264" w:lineRule="auto"/>
              <w:jc w:val="center"/>
              <w:rPr>
                <w:bCs/>
                <w:sz w:val="26"/>
                <w:szCs w:val="26"/>
              </w:rPr>
            </w:pPr>
            <w:r>
              <w:rPr>
                <w:bCs/>
                <w:sz w:val="26"/>
                <w:szCs w:val="26"/>
              </w:rPr>
              <w:t>2</w:t>
            </w:r>
          </w:p>
        </w:tc>
        <w:tc>
          <w:tcPr>
            <w:tcW w:w="992" w:type="dxa"/>
            <w:vAlign w:val="center"/>
          </w:tcPr>
          <w:p w14:paraId="35A2E4FF" w14:textId="77777777" w:rsidR="00085789" w:rsidRDefault="00000000">
            <w:pPr>
              <w:spacing w:before="40" w:after="40" w:line="264" w:lineRule="auto"/>
              <w:jc w:val="center"/>
              <w:rPr>
                <w:bCs/>
                <w:sz w:val="26"/>
                <w:szCs w:val="26"/>
              </w:rPr>
            </w:pPr>
            <w:r>
              <w:rPr>
                <w:bCs/>
                <w:sz w:val="26"/>
                <w:szCs w:val="26"/>
              </w:rPr>
              <w:t>3</w:t>
            </w:r>
          </w:p>
        </w:tc>
        <w:tc>
          <w:tcPr>
            <w:tcW w:w="1125" w:type="dxa"/>
            <w:vAlign w:val="center"/>
          </w:tcPr>
          <w:p w14:paraId="4537E90C" w14:textId="77777777" w:rsidR="00085789" w:rsidRDefault="00000000">
            <w:pPr>
              <w:spacing w:before="40" w:after="40" w:line="264" w:lineRule="auto"/>
              <w:jc w:val="center"/>
              <w:rPr>
                <w:bCs/>
                <w:sz w:val="26"/>
                <w:szCs w:val="26"/>
              </w:rPr>
            </w:pPr>
            <w:r>
              <w:rPr>
                <w:bCs/>
                <w:sz w:val="26"/>
                <w:szCs w:val="26"/>
              </w:rPr>
              <w:t>345</w:t>
            </w:r>
          </w:p>
        </w:tc>
        <w:tc>
          <w:tcPr>
            <w:tcW w:w="1126" w:type="dxa"/>
            <w:vAlign w:val="center"/>
          </w:tcPr>
          <w:p w14:paraId="0CF4461B" w14:textId="77777777" w:rsidR="00085789" w:rsidRDefault="00000000">
            <w:pPr>
              <w:spacing w:before="40" w:after="40" w:line="264" w:lineRule="auto"/>
              <w:jc w:val="center"/>
              <w:rPr>
                <w:bCs/>
                <w:sz w:val="26"/>
                <w:szCs w:val="26"/>
              </w:rPr>
            </w:pPr>
            <w:r>
              <w:rPr>
                <w:bCs/>
                <w:sz w:val="26"/>
                <w:szCs w:val="26"/>
              </w:rPr>
              <w:t>5</w:t>
            </w:r>
          </w:p>
        </w:tc>
      </w:tr>
      <w:tr w:rsidR="00085789" w14:paraId="12EDD5C0" w14:textId="77777777">
        <w:trPr>
          <w:gridAfter w:val="1"/>
          <w:wAfter w:w="7" w:type="dxa"/>
          <w:trHeight w:val="148"/>
        </w:trPr>
        <w:tc>
          <w:tcPr>
            <w:tcW w:w="3762" w:type="dxa"/>
            <w:vAlign w:val="center"/>
          </w:tcPr>
          <w:p w14:paraId="2C811E5A" w14:textId="77777777" w:rsidR="00085789" w:rsidRDefault="00000000">
            <w:pPr>
              <w:spacing w:before="40" w:after="40" w:line="264" w:lineRule="auto"/>
              <w:jc w:val="both"/>
              <w:rPr>
                <w:bCs/>
                <w:sz w:val="26"/>
                <w:szCs w:val="26"/>
              </w:rPr>
            </w:pPr>
            <w:r>
              <w:rPr>
                <w:bCs/>
                <w:sz w:val="26"/>
                <w:szCs w:val="26"/>
              </w:rPr>
              <w:t>Tổng số người mất tích</w:t>
            </w:r>
          </w:p>
        </w:tc>
        <w:tc>
          <w:tcPr>
            <w:tcW w:w="1263" w:type="dxa"/>
            <w:vAlign w:val="center"/>
          </w:tcPr>
          <w:p w14:paraId="70763DCE" w14:textId="77777777" w:rsidR="00085789" w:rsidRDefault="00000000">
            <w:pPr>
              <w:spacing w:before="40" w:after="40" w:line="264" w:lineRule="auto"/>
              <w:jc w:val="center"/>
              <w:rPr>
                <w:bCs/>
                <w:sz w:val="26"/>
                <w:szCs w:val="26"/>
              </w:rPr>
            </w:pPr>
            <w:r>
              <w:rPr>
                <w:bCs/>
                <w:sz w:val="26"/>
                <w:szCs w:val="26"/>
              </w:rPr>
              <w:t>-</w:t>
            </w:r>
          </w:p>
        </w:tc>
        <w:tc>
          <w:tcPr>
            <w:tcW w:w="895" w:type="dxa"/>
            <w:vAlign w:val="center"/>
          </w:tcPr>
          <w:p w14:paraId="032E033F" w14:textId="77777777" w:rsidR="00085789" w:rsidRDefault="00000000">
            <w:pPr>
              <w:spacing w:before="40" w:after="40" w:line="264" w:lineRule="auto"/>
              <w:jc w:val="center"/>
              <w:rPr>
                <w:bCs/>
                <w:sz w:val="26"/>
                <w:szCs w:val="26"/>
              </w:rPr>
            </w:pPr>
            <w:r>
              <w:rPr>
                <w:bCs/>
                <w:sz w:val="26"/>
                <w:szCs w:val="26"/>
              </w:rPr>
              <w:t>-</w:t>
            </w:r>
          </w:p>
        </w:tc>
        <w:tc>
          <w:tcPr>
            <w:tcW w:w="992" w:type="dxa"/>
            <w:vAlign w:val="center"/>
          </w:tcPr>
          <w:p w14:paraId="173F41A9" w14:textId="77777777" w:rsidR="00085789" w:rsidRDefault="00000000">
            <w:pPr>
              <w:spacing w:before="40" w:after="40" w:line="264" w:lineRule="auto"/>
              <w:jc w:val="center"/>
              <w:rPr>
                <w:bCs/>
                <w:sz w:val="26"/>
                <w:szCs w:val="26"/>
              </w:rPr>
            </w:pPr>
            <w:r>
              <w:rPr>
                <w:bCs/>
                <w:sz w:val="26"/>
                <w:szCs w:val="26"/>
              </w:rPr>
              <w:t>-</w:t>
            </w:r>
          </w:p>
        </w:tc>
        <w:tc>
          <w:tcPr>
            <w:tcW w:w="1125" w:type="dxa"/>
            <w:vAlign w:val="center"/>
          </w:tcPr>
          <w:p w14:paraId="70C6A598"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0FCBA7B7" w14:textId="77777777" w:rsidR="00085789" w:rsidRDefault="00000000">
            <w:pPr>
              <w:spacing w:before="40" w:after="40" w:line="264" w:lineRule="auto"/>
              <w:jc w:val="center"/>
              <w:rPr>
                <w:bCs/>
                <w:sz w:val="26"/>
                <w:szCs w:val="26"/>
              </w:rPr>
            </w:pPr>
            <w:r>
              <w:rPr>
                <w:bCs/>
                <w:sz w:val="26"/>
                <w:szCs w:val="26"/>
              </w:rPr>
              <w:t>2</w:t>
            </w:r>
          </w:p>
        </w:tc>
      </w:tr>
      <w:tr w:rsidR="00085789" w14:paraId="3964B36E" w14:textId="77777777">
        <w:trPr>
          <w:gridAfter w:val="1"/>
          <w:wAfter w:w="7" w:type="dxa"/>
          <w:trHeight w:val="148"/>
        </w:trPr>
        <w:tc>
          <w:tcPr>
            <w:tcW w:w="3762" w:type="dxa"/>
            <w:vAlign w:val="center"/>
          </w:tcPr>
          <w:p w14:paraId="492DD80D" w14:textId="77777777" w:rsidR="00085789" w:rsidRDefault="00000000">
            <w:pPr>
              <w:spacing w:before="40" w:after="40" w:line="264" w:lineRule="auto"/>
              <w:jc w:val="both"/>
              <w:rPr>
                <w:bCs/>
                <w:sz w:val="26"/>
                <w:szCs w:val="26"/>
              </w:rPr>
            </w:pPr>
            <w:r>
              <w:rPr>
                <w:bCs/>
                <w:sz w:val="26"/>
                <w:szCs w:val="26"/>
              </w:rPr>
              <w:t>Tổng số người bị thương</w:t>
            </w:r>
          </w:p>
        </w:tc>
        <w:tc>
          <w:tcPr>
            <w:tcW w:w="1263" w:type="dxa"/>
            <w:vAlign w:val="center"/>
          </w:tcPr>
          <w:p w14:paraId="7EC6587D" w14:textId="77777777" w:rsidR="00085789" w:rsidRDefault="00000000">
            <w:pPr>
              <w:spacing w:before="40" w:after="40" w:line="264" w:lineRule="auto"/>
              <w:jc w:val="center"/>
              <w:rPr>
                <w:bCs/>
                <w:sz w:val="26"/>
                <w:szCs w:val="26"/>
              </w:rPr>
            </w:pPr>
            <w:r>
              <w:rPr>
                <w:bCs/>
                <w:sz w:val="26"/>
                <w:szCs w:val="26"/>
              </w:rPr>
              <w:t>-</w:t>
            </w:r>
          </w:p>
        </w:tc>
        <w:tc>
          <w:tcPr>
            <w:tcW w:w="895" w:type="dxa"/>
            <w:vAlign w:val="center"/>
          </w:tcPr>
          <w:p w14:paraId="1A3DB796" w14:textId="77777777" w:rsidR="00085789" w:rsidRDefault="00000000">
            <w:pPr>
              <w:spacing w:before="40" w:after="40" w:line="264" w:lineRule="auto"/>
              <w:jc w:val="center"/>
              <w:rPr>
                <w:bCs/>
                <w:sz w:val="26"/>
                <w:szCs w:val="26"/>
              </w:rPr>
            </w:pPr>
            <w:r>
              <w:rPr>
                <w:bCs/>
                <w:sz w:val="26"/>
                <w:szCs w:val="26"/>
              </w:rPr>
              <w:t>2</w:t>
            </w:r>
          </w:p>
        </w:tc>
        <w:tc>
          <w:tcPr>
            <w:tcW w:w="992" w:type="dxa"/>
            <w:vAlign w:val="center"/>
          </w:tcPr>
          <w:p w14:paraId="4CB8B8DA" w14:textId="77777777" w:rsidR="00085789" w:rsidRDefault="00000000">
            <w:pPr>
              <w:spacing w:before="40" w:after="40" w:line="264" w:lineRule="auto"/>
              <w:jc w:val="center"/>
              <w:rPr>
                <w:bCs/>
                <w:sz w:val="26"/>
                <w:szCs w:val="26"/>
              </w:rPr>
            </w:pPr>
            <w:r>
              <w:rPr>
                <w:bCs/>
                <w:sz w:val="26"/>
                <w:szCs w:val="26"/>
              </w:rPr>
              <w:t>-</w:t>
            </w:r>
          </w:p>
        </w:tc>
        <w:tc>
          <w:tcPr>
            <w:tcW w:w="1125" w:type="dxa"/>
            <w:vAlign w:val="center"/>
          </w:tcPr>
          <w:p w14:paraId="65986859"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22E8006A" w14:textId="77777777" w:rsidR="00085789" w:rsidRDefault="00000000">
            <w:pPr>
              <w:spacing w:before="40" w:after="40" w:line="264" w:lineRule="auto"/>
              <w:jc w:val="center"/>
              <w:rPr>
                <w:bCs/>
                <w:sz w:val="26"/>
                <w:szCs w:val="26"/>
              </w:rPr>
            </w:pPr>
            <w:r>
              <w:rPr>
                <w:bCs/>
                <w:sz w:val="26"/>
                <w:szCs w:val="26"/>
              </w:rPr>
              <w:t>83</w:t>
            </w:r>
          </w:p>
        </w:tc>
      </w:tr>
      <w:tr w:rsidR="00085789" w14:paraId="2E8C95CE" w14:textId="77777777">
        <w:trPr>
          <w:gridAfter w:val="1"/>
          <w:wAfter w:w="7" w:type="dxa"/>
          <w:trHeight w:val="267"/>
        </w:trPr>
        <w:tc>
          <w:tcPr>
            <w:tcW w:w="3762" w:type="dxa"/>
            <w:vAlign w:val="center"/>
          </w:tcPr>
          <w:p w14:paraId="67446364" w14:textId="77777777" w:rsidR="00085789" w:rsidRDefault="00000000">
            <w:pPr>
              <w:spacing w:before="40" w:after="40" w:line="264" w:lineRule="auto"/>
              <w:jc w:val="both"/>
              <w:rPr>
                <w:bCs/>
                <w:sz w:val="26"/>
                <w:szCs w:val="26"/>
              </w:rPr>
            </w:pPr>
            <w:r>
              <w:rPr>
                <w:bCs/>
                <w:sz w:val="26"/>
                <w:szCs w:val="26"/>
              </w:rPr>
              <w:t>Tổng diện tích đất sản xuất bị ngập (ha)</w:t>
            </w:r>
          </w:p>
        </w:tc>
        <w:tc>
          <w:tcPr>
            <w:tcW w:w="1263" w:type="dxa"/>
            <w:vAlign w:val="center"/>
          </w:tcPr>
          <w:p w14:paraId="45A5EAC4" w14:textId="77777777" w:rsidR="00085789" w:rsidRDefault="00000000">
            <w:pPr>
              <w:spacing w:before="40" w:after="40" w:line="264" w:lineRule="auto"/>
              <w:jc w:val="center"/>
              <w:rPr>
                <w:bCs/>
                <w:sz w:val="26"/>
                <w:szCs w:val="26"/>
              </w:rPr>
            </w:pPr>
            <w:r>
              <w:rPr>
                <w:bCs/>
                <w:sz w:val="26"/>
                <w:szCs w:val="26"/>
              </w:rPr>
              <w:t>16.201</w:t>
            </w:r>
          </w:p>
        </w:tc>
        <w:tc>
          <w:tcPr>
            <w:tcW w:w="895" w:type="dxa"/>
            <w:vAlign w:val="center"/>
          </w:tcPr>
          <w:p w14:paraId="092C2936" w14:textId="77777777" w:rsidR="00085789" w:rsidRDefault="00000000">
            <w:pPr>
              <w:spacing w:before="40" w:after="40" w:line="264" w:lineRule="auto"/>
              <w:jc w:val="center"/>
              <w:rPr>
                <w:bCs/>
                <w:sz w:val="26"/>
                <w:szCs w:val="26"/>
              </w:rPr>
            </w:pPr>
            <w:r>
              <w:rPr>
                <w:bCs/>
                <w:sz w:val="26"/>
                <w:szCs w:val="26"/>
              </w:rPr>
              <w:t>364</w:t>
            </w:r>
          </w:p>
        </w:tc>
        <w:tc>
          <w:tcPr>
            <w:tcW w:w="992" w:type="dxa"/>
            <w:vAlign w:val="center"/>
          </w:tcPr>
          <w:p w14:paraId="7E35C572" w14:textId="77777777" w:rsidR="00085789" w:rsidRDefault="00000000">
            <w:pPr>
              <w:spacing w:before="40" w:after="40" w:line="264" w:lineRule="auto"/>
              <w:jc w:val="center"/>
              <w:rPr>
                <w:bCs/>
                <w:sz w:val="26"/>
                <w:szCs w:val="26"/>
              </w:rPr>
            </w:pPr>
            <w:r>
              <w:rPr>
                <w:bCs/>
                <w:sz w:val="26"/>
                <w:szCs w:val="26"/>
              </w:rPr>
              <w:t>708</w:t>
            </w:r>
          </w:p>
        </w:tc>
        <w:tc>
          <w:tcPr>
            <w:tcW w:w="1125" w:type="dxa"/>
            <w:vAlign w:val="center"/>
          </w:tcPr>
          <w:p w14:paraId="6FE49588"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2F496AA2" w14:textId="77777777" w:rsidR="00085789" w:rsidRDefault="00000000">
            <w:pPr>
              <w:spacing w:before="40" w:after="40" w:line="264" w:lineRule="auto"/>
              <w:jc w:val="center"/>
              <w:rPr>
                <w:bCs/>
                <w:sz w:val="26"/>
                <w:szCs w:val="26"/>
              </w:rPr>
            </w:pPr>
            <w:r>
              <w:rPr>
                <w:bCs/>
                <w:sz w:val="26"/>
                <w:szCs w:val="26"/>
              </w:rPr>
              <w:t>49.368</w:t>
            </w:r>
          </w:p>
        </w:tc>
      </w:tr>
      <w:tr w:rsidR="00085789" w14:paraId="54A5F627" w14:textId="77777777">
        <w:trPr>
          <w:gridAfter w:val="1"/>
          <w:wAfter w:w="7" w:type="dxa"/>
          <w:trHeight w:val="263"/>
        </w:trPr>
        <w:tc>
          <w:tcPr>
            <w:tcW w:w="3762" w:type="dxa"/>
            <w:vAlign w:val="center"/>
          </w:tcPr>
          <w:p w14:paraId="625BC837" w14:textId="77777777" w:rsidR="00085789" w:rsidRDefault="00000000">
            <w:pPr>
              <w:spacing w:before="40" w:after="40" w:line="264" w:lineRule="auto"/>
              <w:jc w:val="both"/>
              <w:rPr>
                <w:bCs/>
                <w:sz w:val="26"/>
                <w:szCs w:val="26"/>
              </w:rPr>
            </w:pPr>
            <w:r>
              <w:rPr>
                <w:bCs/>
                <w:sz w:val="26"/>
                <w:szCs w:val="26"/>
              </w:rPr>
              <w:t>Tổng số gia súc gia súc, gia cầm bị chết, cuốn trôi (con)</w:t>
            </w:r>
          </w:p>
        </w:tc>
        <w:tc>
          <w:tcPr>
            <w:tcW w:w="1263" w:type="dxa"/>
            <w:vAlign w:val="center"/>
          </w:tcPr>
          <w:p w14:paraId="761CD1A6" w14:textId="77777777" w:rsidR="00085789" w:rsidRDefault="00000000">
            <w:pPr>
              <w:spacing w:before="40" w:after="40" w:line="264" w:lineRule="auto"/>
              <w:jc w:val="center"/>
              <w:rPr>
                <w:bCs/>
                <w:sz w:val="26"/>
                <w:szCs w:val="26"/>
              </w:rPr>
            </w:pPr>
            <w:r>
              <w:rPr>
                <w:bCs/>
                <w:sz w:val="26"/>
                <w:szCs w:val="26"/>
              </w:rPr>
              <w:t>-</w:t>
            </w:r>
          </w:p>
        </w:tc>
        <w:tc>
          <w:tcPr>
            <w:tcW w:w="895" w:type="dxa"/>
            <w:vAlign w:val="center"/>
          </w:tcPr>
          <w:p w14:paraId="4AA3CE2E" w14:textId="77777777" w:rsidR="00085789" w:rsidRDefault="00000000">
            <w:pPr>
              <w:spacing w:before="40" w:after="40" w:line="264" w:lineRule="auto"/>
              <w:jc w:val="center"/>
              <w:rPr>
                <w:bCs/>
                <w:sz w:val="26"/>
                <w:szCs w:val="26"/>
              </w:rPr>
            </w:pPr>
            <w:r>
              <w:rPr>
                <w:bCs/>
                <w:sz w:val="26"/>
                <w:szCs w:val="26"/>
              </w:rPr>
              <w:t>2.016</w:t>
            </w:r>
          </w:p>
        </w:tc>
        <w:tc>
          <w:tcPr>
            <w:tcW w:w="992" w:type="dxa"/>
            <w:vAlign w:val="center"/>
          </w:tcPr>
          <w:p w14:paraId="0929A4BD" w14:textId="77777777" w:rsidR="00085789" w:rsidRDefault="00000000">
            <w:pPr>
              <w:spacing w:before="40" w:after="40" w:line="264" w:lineRule="auto"/>
              <w:jc w:val="center"/>
              <w:rPr>
                <w:bCs/>
                <w:sz w:val="26"/>
                <w:szCs w:val="26"/>
              </w:rPr>
            </w:pPr>
            <w:r>
              <w:rPr>
                <w:bCs/>
                <w:sz w:val="26"/>
                <w:szCs w:val="26"/>
              </w:rPr>
              <w:t>3.600</w:t>
            </w:r>
          </w:p>
        </w:tc>
        <w:tc>
          <w:tcPr>
            <w:tcW w:w="1125" w:type="dxa"/>
            <w:vAlign w:val="center"/>
          </w:tcPr>
          <w:p w14:paraId="1DA19AF6"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5BC2A0F6" w14:textId="77777777" w:rsidR="00085789" w:rsidRDefault="00000000">
            <w:pPr>
              <w:spacing w:before="40" w:after="40" w:line="264" w:lineRule="auto"/>
              <w:jc w:val="center"/>
              <w:rPr>
                <w:bCs/>
                <w:sz w:val="26"/>
                <w:szCs w:val="26"/>
              </w:rPr>
            </w:pPr>
            <w:r>
              <w:rPr>
                <w:bCs/>
                <w:sz w:val="26"/>
                <w:szCs w:val="26"/>
              </w:rPr>
              <w:t>225.806</w:t>
            </w:r>
          </w:p>
        </w:tc>
      </w:tr>
      <w:tr w:rsidR="00085789" w14:paraId="35FFD7BC" w14:textId="77777777">
        <w:trPr>
          <w:gridAfter w:val="1"/>
          <w:wAfter w:w="7" w:type="dxa"/>
          <w:trHeight w:val="263"/>
        </w:trPr>
        <w:tc>
          <w:tcPr>
            <w:tcW w:w="3762" w:type="dxa"/>
            <w:vAlign w:val="center"/>
          </w:tcPr>
          <w:p w14:paraId="7DE10883" w14:textId="77777777" w:rsidR="00085789" w:rsidRDefault="00000000">
            <w:pPr>
              <w:spacing w:before="40" w:after="40" w:line="264" w:lineRule="auto"/>
              <w:jc w:val="both"/>
              <w:rPr>
                <w:bCs/>
                <w:sz w:val="26"/>
                <w:szCs w:val="26"/>
              </w:rPr>
            </w:pPr>
            <w:r>
              <w:rPr>
                <w:bCs/>
                <w:sz w:val="26"/>
                <w:szCs w:val="26"/>
              </w:rPr>
              <w:t>Tổng số diện tích NTTS bị thiệt hại (ha)</w:t>
            </w:r>
          </w:p>
        </w:tc>
        <w:tc>
          <w:tcPr>
            <w:tcW w:w="1263" w:type="dxa"/>
            <w:vAlign w:val="center"/>
          </w:tcPr>
          <w:p w14:paraId="3D107B55" w14:textId="77777777" w:rsidR="00085789" w:rsidRDefault="00000000">
            <w:pPr>
              <w:spacing w:before="40" w:after="40" w:line="264" w:lineRule="auto"/>
              <w:jc w:val="center"/>
              <w:rPr>
                <w:bCs/>
                <w:sz w:val="26"/>
                <w:szCs w:val="26"/>
              </w:rPr>
            </w:pPr>
            <w:r>
              <w:rPr>
                <w:bCs/>
                <w:sz w:val="26"/>
                <w:szCs w:val="26"/>
              </w:rPr>
              <w:t>-</w:t>
            </w:r>
          </w:p>
        </w:tc>
        <w:tc>
          <w:tcPr>
            <w:tcW w:w="895" w:type="dxa"/>
            <w:vAlign w:val="center"/>
          </w:tcPr>
          <w:p w14:paraId="3C583B87" w14:textId="77777777" w:rsidR="00085789" w:rsidRDefault="00000000">
            <w:pPr>
              <w:spacing w:before="40" w:after="40" w:line="264" w:lineRule="auto"/>
              <w:jc w:val="center"/>
              <w:rPr>
                <w:bCs/>
                <w:sz w:val="26"/>
                <w:szCs w:val="26"/>
              </w:rPr>
            </w:pPr>
            <w:r>
              <w:rPr>
                <w:bCs/>
                <w:sz w:val="26"/>
                <w:szCs w:val="26"/>
              </w:rPr>
              <w:t>-</w:t>
            </w:r>
          </w:p>
        </w:tc>
        <w:tc>
          <w:tcPr>
            <w:tcW w:w="992" w:type="dxa"/>
            <w:vAlign w:val="center"/>
          </w:tcPr>
          <w:p w14:paraId="1FF0871B" w14:textId="77777777" w:rsidR="00085789" w:rsidRDefault="00000000">
            <w:pPr>
              <w:spacing w:before="40" w:after="40" w:line="264" w:lineRule="auto"/>
              <w:jc w:val="center"/>
              <w:rPr>
                <w:bCs/>
                <w:sz w:val="26"/>
                <w:szCs w:val="26"/>
              </w:rPr>
            </w:pPr>
            <w:r>
              <w:rPr>
                <w:bCs/>
                <w:sz w:val="26"/>
                <w:szCs w:val="26"/>
              </w:rPr>
              <w:t>-</w:t>
            </w:r>
          </w:p>
        </w:tc>
        <w:tc>
          <w:tcPr>
            <w:tcW w:w="1125" w:type="dxa"/>
            <w:vAlign w:val="center"/>
          </w:tcPr>
          <w:p w14:paraId="697BE136"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507BBC9E" w14:textId="77777777" w:rsidR="00085789" w:rsidRDefault="00000000">
            <w:pPr>
              <w:spacing w:before="40" w:after="40" w:line="264" w:lineRule="auto"/>
              <w:jc w:val="center"/>
              <w:rPr>
                <w:bCs/>
                <w:sz w:val="26"/>
                <w:szCs w:val="26"/>
              </w:rPr>
            </w:pPr>
            <w:r>
              <w:rPr>
                <w:bCs/>
                <w:sz w:val="26"/>
                <w:szCs w:val="26"/>
              </w:rPr>
              <w:t>1.681,4</w:t>
            </w:r>
          </w:p>
        </w:tc>
      </w:tr>
      <w:tr w:rsidR="00085789" w14:paraId="2392258F" w14:textId="77777777">
        <w:trPr>
          <w:gridAfter w:val="1"/>
          <w:wAfter w:w="7" w:type="dxa"/>
          <w:trHeight w:val="263"/>
        </w:trPr>
        <w:tc>
          <w:tcPr>
            <w:tcW w:w="3762" w:type="dxa"/>
            <w:vAlign w:val="center"/>
          </w:tcPr>
          <w:p w14:paraId="33041513" w14:textId="77777777" w:rsidR="00085789" w:rsidRDefault="00000000">
            <w:pPr>
              <w:spacing w:before="40" w:after="40" w:line="264" w:lineRule="auto"/>
              <w:jc w:val="both"/>
              <w:rPr>
                <w:bCs/>
                <w:sz w:val="26"/>
                <w:szCs w:val="26"/>
              </w:rPr>
            </w:pPr>
            <w:r>
              <w:rPr>
                <w:bCs/>
                <w:sz w:val="26"/>
                <w:szCs w:val="26"/>
              </w:rPr>
              <w:t>Tổng số nhà bị ngập (nhà)</w:t>
            </w:r>
          </w:p>
        </w:tc>
        <w:tc>
          <w:tcPr>
            <w:tcW w:w="1263" w:type="dxa"/>
            <w:vAlign w:val="center"/>
          </w:tcPr>
          <w:p w14:paraId="3EA94235" w14:textId="77777777" w:rsidR="00085789" w:rsidRDefault="00000000">
            <w:pPr>
              <w:spacing w:before="40" w:after="40" w:line="264" w:lineRule="auto"/>
              <w:jc w:val="center"/>
              <w:rPr>
                <w:bCs/>
                <w:sz w:val="26"/>
                <w:szCs w:val="26"/>
              </w:rPr>
            </w:pPr>
            <w:r>
              <w:rPr>
                <w:bCs/>
                <w:sz w:val="26"/>
                <w:szCs w:val="26"/>
              </w:rPr>
              <w:t>200</w:t>
            </w:r>
          </w:p>
        </w:tc>
        <w:tc>
          <w:tcPr>
            <w:tcW w:w="895" w:type="dxa"/>
            <w:vAlign w:val="center"/>
          </w:tcPr>
          <w:p w14:paraId="7E5DCFF4" w14:textId="77777777" w:rsidR="00085789" w:rsidRDefault="00000000">
            <w:pPr>
              <w:spacing w:before="40" w:after="40" w:line="264" w:lineRule="auto"/>
              <w:jc w:val="center"/>
              <w:rPr>
                <w:bCs/>
                <w:sz w:val="26"/>
                <w:szCs w:val="26"/>
              </w:rPr>
            </w:pPr>
            <w:r>
              <w:rPr>
                <w:bCs/>
                <w:sz w:val="26"/>
                <w:szCs w:val="26"/>
              </w:rPr>
              <w:t>-</w:t>
            </w:r>
          </w:p>
        </w:tc>
        <w:tc>
          <w:tcPr>
            <w:tcW w:w="992" w:type="dxa"/>
            <w:vAlign w:val="center"/>
          </w:tcPr>
          <w:p w14:paraId="6FFFC8A3" w14:textId="77777777" w:rsidR="00085789" w:rsidRDefault="00000000">
            <w:pPr>
              <w:spacing w:before="40" w:after="40" w:line="264" w:lineRule="auto"/>
              <w:jc w:val="center"/>
              <w:rPr>
                <w:bCs/>
                <w:sz w:val="26"/>
                <w:szCs w:val="26"/>
              </w:rPr>
            </w:pPr>
            <w:r>
              <w:rPr>
                <w:bCs/>
                <w:sz w:val="26"/>
                <w:szCs w:val="26"/>
              </w:rPr>
              <w:t>3.936</w:t>
            </w:r>
          </w:p>
        </w:tc>
        <w:tc>
          <w:tcPr>
            <w:tcW w:w="1125" w:type="dxa"/>
            <w:vAlign w:val="center"/>
          </w:tcPr>
          <w:p w14:paraId="42C0FEF0"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0101226B" w14:textId="77777777" w:rsidR="00085789" w:rsidRDefault="00000000">
            <w:pPr>
              <w:spacing w:before="40" w:after="40" w:line="264" w:lineRule="auto"/>
              <w:jc w:val="center"/>
              <w:rPr>
                <w:bCs/>
                <w:sz w:val="26"/>
                <w:szCs w:val="26"/>
              </w:rPr>
            </w:pPr>
            <w:r>
              <w:rPr>
                <w:bCs/>
                <w:sz w:val="26"/>
                <w:szCs w:val="26"/>
              </w:rPr>
              <w:t>1.350</w:t>
            </w:r>
          </w:p>
        </w:tc>
      </w:tr>
      <w:tr w:rsidR="00085789" w14:paraId="3958EBF5" w14:textId="77777777">
        <w:trPr>
          <w:gridAfter w:val="1"/>
          <w:wAfter w:w="7" w:type="dxa"/>
          <w:trHeight w:val="263"/>
        </w:trPr>
        <w:tc>
          <w:tcPr>
            <w:tcW w:w="3762" w:type="dxa"/>
            <w:vAlign w:val="center"/>
          </w:tcPr>
          <w:p w14:paraId="38B7ABC1" w14:textId="77777777" w:rsidR="00085789" w:rsidRDefault="00000000">
            <w:pPr>
              <w:spacing w:before="40" w:after="40" w:line="264" w:lineRule="auto"/>
              <w:jc w:val="both"/>
              <w:rPr>
                <w:bCs/>
                <w:sz w:val="26"/>
                <w:szCs w:val="26"/>
              </w:rPr>
            </w:pPr>
            <w:r>
              <w:rPr>
                <w:bCs/>
                <w:sz w:val="26"/>
                <w:szCs w:val="26"/>
              </w:rPr>
              <w:t>Tổng số nhà bị tốc mái (nhà)</w:t>
            </w:r>
          </w:p>
        </w:tc>
        <w:tc>
          <w:tcPr>
            <w:tcW w:w="1263" w:type="dxa"/>
            <w:vAlign w:val="center"/>
          </w:tcPr>
          <w:p w14:paraId="7944D10E" w14:textId="77777777" w:rsidR="00085789" w:rsidRDefault="00000000">
            <w:pPr>
              <w:spacing w:before="40" w:after="40" w:line="264" w:lineRule="auto"/>
              <w:jc w:val="center"/>
              <w:rPr>
                <w:bCs/>
                <w:sz w:val="26"/>
                <w:szCs w:val="26"/>
              </w:rPr>
            </w:pPr>
            <w:r>
              <w:rPr>
                <w:bCs/>
                <w:sz w:val="26"/>
                <w:szCs w:val="26"/>
              </w:rPr>
              <w:t>-</w:t>
            </w:r>
          </w:p>
        </w:tc>
        <w:tc>
          <w:tcPr>
            <w:tcW w:w="895" w:type="dxa"/>
            <w:vAlign w:val="center"/>
          </w:tcPr>
          <w:p w14:paraId="6015089C" w14:textId="77777777" w:rsidR="00085789" w:rsidRDefault="00000000">
            <w:pPr>
              <w:spacing w:before="40" w:after="40" w:line="264" w:lineRule="auto"/>
              <w:jc w:val="center"/>
              <w:rPr>
                <w:bCs/>
                <w:sz w:val="26"/>
                <w:szCs w:val="26"/>
              </w:rPr>
            </w:pPr>
            <w:r>
              <w:rPr>
                <w:bCs/>
                <w:sz w:val="26"/>
                <w:szCs w:val="26"/>
              </w:rPr>
              <w:t>-</w:t>
            </w:r>
          </w:p>
        </w:tc>
        <w:tc>
          <w:tcPr>
            <w:tcW w:w="992" w:type="dxa"/>
            <w:vAlign w:val="center"/>
          </w:tcPr>
          <w:p w14:paraId="21F832B3" w14:textId="77777777" w:rsidR="00085789" w:rsidRDefault="00000000">
            <w:pPr>
              <w:spacing w:before="40" w:after="40" w:line="264" w:lineRule="auto"/>
              <w:jc w:val="center"/>
              <w:rPr>
                <w:bCs/>
                <w:sz w:val="26"/>
                <w:szCs w:val="26"/>
              </w:rPr>
            </w:pPr>
            <w:r>
              <w:rPr>
                <w:bCs/>
                <w:sz w:val="26"/>
                <w:szCs w:val="26"/>
              </w:rPr>
              <w:t>-</w:t>
            </w:r>
          </w:p>
        </w:tc>
        <w:tc>
          <w:tcPr>
            <w:tcW w:w="1125" w:type="dxa"/>
            <w:vAlign w:val="center"/>
          </w:tcPr>
          <w:p w14:paraId="49BDB154" w14:textId="77777777" w:rsidR="00085789" w:rsidRDefault="00000000">
            <w:pPr>
              <w:spacing w:before="40" w:after="40" w:line="264" w:lineRule="auto"/>
              <w:jc w:val="center"/>
              <w:rPr>
                <w:bCs/>
                <w:sz w:val="26"/>
                <w:szCs w:val="26"/>
              </w:rPr>
            </w:pPr>
            <w:r>
              <w:rPr>
                <w:bCs/>
                <w:sz w:val="26"/>
                <w:szCs w:val="26"/>
              </w:rPr>
              <w:t>-</w:t>
            </w:r>
          </w:p>
        </w:tc>
        <w:tc>
          <w:tcPr>
            <w:tcW w:w="1126" w:type="dxa"/>
            <w:vAlign w:val="center"/>
          </w:tcPr>
          <w:p w14:paraId="0D48B51E" w14:textId="77777777" w:rsidR="00085789" w:rsidRDefault="00000000">
            <w:pPr>
              <w:spacing w:before="40" w:after="40" w:line="264" w:lineRule="auto"/>
              <w:jc w:val="center"/>
              <w:rPr>
                <w:bCs/>
                <w:sz w:val="26"/>
                <w:szCs w:val="26"/>
              </w:rPr>
            </w:pPr>
            <w:r>
              <w:rPr>
                <w:bCs/>
                <w:sz w:val="26"/>
                <w:szCs w:val="26"/>
              </w:rPr>
              <w:t>6.300</w:t>
            </w:r>
          </w:p>
        </w:tc>
      </w:tr>
      <w:tr w:rsidR="00085789" w14:paraId="0A46E4E6" w14:textId="77777777">
        <w:trPr>
          <w:gridAfter w:val="1"/>
          <w:wAfter w:w="7" w:type="dxa"/>
          <w:trHeight w:val="267"/>
        </w:trPr>
        <w:tc>
          <w:tcPr>
            <w:tcW w:w="3762" w:type="dxa"/>
            <w:vAlign w:val="center"/>
          </w:tcPr>
          <w:p w14:paraId="2360E85A" w14:textId="77777777" w:rsidR="00085789" w:rsidRDefault="00000000">
            <w:pPr>
              <w:spacing w:before="40" w:after="40" w:line="264" w:lineRule="auto"/>
              <w:jc w:val="both"/>
              <w:rPr>
                <w:sz w:val="26"/>
                <w:szCs w:val="26"/>
              </w:rPr>
            </w:pPr>
            <w:r>
              <w:rPr>
                <w:sz w:val="26"/>
                <w:szCs w:val="26"/>
              </w:rPr>
              <w:t>Tổng giá trị thiệt hại (tỷ đồng)</w:t>
            </w:r>
          </w:p>
        </w:tc>
        <w:tc>
          <w:tcPr>
            <w:tcW w:w="1263" w:type="dxa"/>
            <w:vAlign w:val="center"/>
          </w:tcPr>
          <w:p w14:paraId="57BE9012" w14:textId="77777777" w:rsidR="00085789" w:rsidRDefault="00000000">
            <w:pPr>
              <w:spacing w:before="40" w:after="40" w:line="264" w:lineRule="auto"/>
              <w:jc w:val="center"/>
              <w:rPr>
                <w:sz w:val="26"/>
                <w:szCs w:val="26"/>
              </w:rPr>
            </w:pPr>
            <w:r>
              <w:rPr>
                <w:sz w:val="26"/>
                <w:szCs w:val="26"/>
              </w:rPr>
              <w:t>140</w:t>
            </w:r>
          </w:p>
        </w:tc>
        <w:tc>
          <w:tcPr>
            <w:tcW w:w="895" w:type="dxa"/>
            <w:vAlign w:val="center"/>
          </w:tcPr>
          <w:p w14:paraId="44A9F867" w14:textId="77777777" w:rsidR="00085789" w:rsidRDefault="00000000">
            <w:pPr>
              <w:spacing w:before="40" w:after="40" w:line="264" w:lineRule="auto"/>
              <w:jc w:val="center"/>
              <w:rPr>
                <w:sz w:val="26"/>
                <w:szCs w:val="26"/>
              </w:rPr>
            </w:pPr>
            <w:r>
              <w:rPr>
                <w:sz w:val="26"/>
                <w:szCs w:val="26"/>
              </w:rPr>
              <w:t>220</w:t>
            </w:r>
          </w:p>
        </w:tc>
        <w:tc>
          <w:tcPr>
            <w:tcW w:w="992" w:type="dxa"/>
            <w:vAlign w:val="center"/>
          </w:tcPr>
          <w:p w14:paraId="47AB568B" w14:textId="77777777" w:rsidR="00085789" w:rsidRDefault="00000000">
            <w:pPr>
              <w:spacing w:before="40" w:after="40" w:line="264" w:lineRule="auto"/>
              <w:jc w:val="center"/>
              <w:rPr>
                <w:sz w:val="26"/>
                <w:szCs w:val="26"/>
              </w:rPr>
            </w:pPr>
            <w:r>
              <w:rPr>
                <w:sz w:val="26"/>
                <w:szCs w:val="26"/>
              </w:rPr>
              <w:t>161</w:t>
            </w:r>
          </w:p>
        </w:tc>
        <w:tc>
          <w:tcPr>
            <w:tcW w:w="1125" w:type="dxa"/>
            <w:vAlign w:val="center"/>
          </w:tcPr>
          <w:p w14:paraId="1323E525" w14:textId="77777777" w:rsidR="00085789" w:rsidRDefault="00000000">
            <w:pPr>
              <w:spacing w:before="40" w:after="40" w:line="264" w:lineRule="auto"/>
              <w:jc w:val="center"/>
              <w:rPr>
                <w:sz w:val="26"/>
                <w:szCs w:val="26"/>
              </w:rPr>
            </w:pPr>
            <w:r>
              <w:rPr>
                <w:sz w:val="26"/>
                <w:szCs w:val="26"/>
              </w:rPr>
              <w:t>81.700</w:t>
            </w:r>
          </w:p>
        </w:tc>
        <w:tc>
          <w:tcPr>
            <w:tcW w:w="1126" w:type="dxa"/>
            <w:vAlign w:val="center"/>
          </w:tcPr>
          <w:p w14:paraId="631A7D54" w14:textId="77777777" w:rsidR="00085789" w:rsidRDefault="00000000">
            <w:pPr>
              <w:spacing w:before="40" w:after="40" w:line="264" w:lineRule="auto"/>
              <w:jc w:val="center"/>
              <w:rPr>
                <w:sz w:val="26"/>
                <w:szCs w:val="26"/>
              </w:rPr>
            </w:pPr>
            <w:r>
              <w:rPr>
                <w:sz w:val="26"/>
                <w:szCs w:val="26"/>
              </w:rPr>
              <w:t>9.969</w:t>
            </w:r>
          </w:p>
        </w:tc>
      </w:tr>
    </w:tbl>
    <w:p w14:paraId="5CC7F5D0" w14:textId="77777777" w:rsidR="00085789" w:rsidRDefault="00000000">
      <w:pPr>
        <w:spacing w:before="120" w:line="240" w:lineRule="auto"/>
        <w:jc w:val="both"/>
        <w:rPr>
          <w:bCs/>
          <w:sz w:val="26"/>
          <w:szCs w:val="26"/>
        </w:rPr>
      </w:pPr>
      <w:r>
        <w:rPr>
          <w:bCs/>
          <w:sz w:val="26"/>
          <w:szCs w:val="26"/>
        </w:rPr>
        <w:tab/>
        <w:t>Hà Tĩnh là địa phương chịu nhiều hiện tượng tai biến thiên nhiên. Dưới sự tác động của các hiện tượng tai biến thiên nhiên, Hà Tĩnh đã chịu nhiều thiệt hại về người và tài sản, ảnh hưởng nặng nề đến các nhiệm vụ, mục tiêu phát triển KT-XH của tỉnh.</w:t>
      </w:r>
    </w:p>
    <w:p w14:paraId="7E2E177B" w14:textId="77777777" w:rsidR="00085789" w:rsidRDefault="00000000">
      <w:pPr>
        <w:pStyle w:val="bac2"/>
        <w:spacing w:before="120" w:after="0" w:line="240" w:lineRule="auto"/>
        <w:rPr>
          <w:lang w:val="it-IT"/>
        </w:rPr>
      </w:pPr>
      <w:bookmarkStart w:id="1382" w:name="_Toc56740600"/>
      <w:bookmarkStart w:id="1383" w:name="_Toc55594877"/>
      <w:bookmarkStart w:id="1384" w:name="_Toc55007994"/>
      <w:bookmarkStart w:id="1385" w:name="_Toc54794220"/>
      <w:bookmarkStart w:id="1386" w:name="_Toc54796362"/>
      <w:bookmarkStart w:id="1387" w:name="_Toc56736932"/>
      <w:bookmarkStart w:id="1388" w:name="_Toc56739094"/>
      <w:bookmarkStart w:id="1389" w:name="_Toc56737653"/>
      <w:bookmarkStart w:id="1390" w:name="_Toc56739837"/>
      <w:bookmarkStart w:id="1391" w:name="_Toc54794934"/>
      <w:bookmarkStart w:id="1392" w:name="_Toc54810651"/>
      <w:bookmarkStart w:id="1393" w:name="_Toc55592316"/>
      <w:bookmarkStart w:id="1394" w:name="_Toc54795648"/>
      <w:bookmarkStart w:id="1395" w:name="_Toc214311293"/>
      <w:r>
        <w:rPr>
          <w:lang w:val="it-IT"/>
        </w:rPr>
        <w:t>8.4.1 Bão, áp thấp nhiệt đới, lốc xoáy, sét, lũ lụt</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947D19A" w14:textId="77777777" w:rsidR="00085789" w:rsidRDefault="00000000">
      <w:pPr>
        <w:spacing w:before="120" w:line="240" w:lineRule="auto"/>
        <w:ind w:firstLine="720"/>
        <w:jc w:val="both"/>
        <w:rPr>
          <w:sz w:val="26"/>
          <w:szCs w:val="26"/>
          <w:lang w:val="it-IT"/>
        </w:rPr>
      </w:pPr>
      <w:r>
        <w:rPr>
          <w:sz w:val="26"/>
          <w:szCs w:val="26"/>
          <w:lang w:val="it-IT"/>
        </w:rPr>
        <w:t xml:space="preserve">Đây là dạng tai biến xuất hiện thường xuyên ở các đồng bằng và ven biển ở tỉnh Hà Tĩnh. Do sự phân hoá phức tạp về điều kiện tự nhiên, địa hình (dốc, hẹp), mạng lưới sông </w:t>
      </w:r>
      <w:r>
        <w:rPr>
          <w:sz w:val="26"/>
          <w:szCs w:val="26"/>
          <w:lang w:val="it-IT"/>
        </w:rPr>
        <w:lastRenderedPageBreak/>
        <w:t>ngòi (dày, ngắn, dốc) cùng với sự hoạt động của các đồi cát theo mùa ở cửa sông, nên những thời điểm có lượng mưa lớn làm lũ lụt gia tăng về cường độ. Hà Tĩnh có mùa Đông ngắn và mùa Hè đến sớm và kết thúc muộn, đặc biệt là một trong những vùng có lượng mưa lớn so với cả nước. Hơn nữa, ở các khu vực đầu nguồn, thảm thực vật bị tàn phá nặng nề (trong và sau chiến tranh) cộng với sự bố trí sản xuất và dân cư bất hợp lý làm cho mức độ thiệt hại cả về con người và vật chất trong thời điểm có lũ lụt trở nên nghiêm trọng hơn.</w:t>
      </w:r>
    </w:p>
    <w:p w14:paraId="6340EDF7" w14:textId="77777777" w:rsidR="00085789" w:rsidRDefault="00000000">
      <w:pPr>
        <w:pStyle w:val="bac2"/>
        <w:spacing w:before="120" w:after="0" w:line="240" w:lineRule="auto"/>
        <w:rPr>
          <w:lang w:val="da-DK"/>
        </w:rPr>
      </w:pPr>
      <w:bookmarkStart w:id="1396" w:name="_Toc54794937"/>
      <w:bookmarkStart w:id="1397" w:name="_Toc54795651"/>
      <w:bookmarkStart w:id="1398" w:name="_Toc55592319"/>
      <w:bookmarkStart w:id="1399" w:name="_Toc54794223"/>
      <w:bookmarkStart w:id="1400" w:name="_Toc54796365"/>
      <w:bookmarkStart w:id="1401" w:name="_Toc56740603"/>
      <w:bookmarkStart w:id="1402" w:name="_Toc55594880"/>
      <w:bookmarkStart w:id="1403" w:name="_Toc56736935"/>
      <w:bookmarkStart w:id="1404" w:name="_Toc56737656"/>
      <w:bookmarkStart w:id="1405" w:name="_Toc54810654"/>
      <w:bookmarkStart w:id="1406" w:name="_Toc55007997"/>
      <w:bookmarkStart w:id="1407" w:name="_Toc56739097"/>
      <w:bookmarkStart w:id="1408" w:name="_Toc56739840"/>
      <w:bookmarkStart w:id="1409" w:name="_Toc214311294"/>
      <w:r>
        <w:rPr>
          <w:lang w:val="da-DK"/>
        </w:rPr>
        <w:t>8.4.2. Sạt lở bờ biển, bờ sông và bồi lấp</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4CF60195" w14:textId="77777777" w:rsidR="00085789" w:rsidRDefault="00000000">
      <w:pPr>
        <w:spacing w:before="120" w:line="240" w:lineRule="auto"/>
        <w:ind w:firstLine="720"/>
        <w:jc w:val="both"/>
        <w:textAlignment w:val="baseline"/>
        <w:rPr>
          <w:sz w:val="26"/>
          <w:szCs w:val="26"/>
          <w:lang w:val="da-DK"/>
        </w:rPr>
      </w:pPr>
      <w:r>
        <w:rPr>
          <w:bCs/>
          <w:sz w:val="26"/>
          <w:szCs w:val="26"/>
          <w:lang w:val="da-DK"/>
        </w:rPr>
        <w:t xml:space="preserve">Bờ biển Hà Tĩnh với chiều dài 137 km và có khoảng 200 km đê biển, 317 km đê sông, đê nội đồng, dọc bờ biển bờ sông là các khu vực định cư tập trung của nhân dân đánh bắt và chế biến thủy sản. </w:t>
      </w:r>
      <w:r>
        <w:rPr>
          <w:sz w:val="26"/>
          <w:szCs w:val="26"/>
          <w:lang w:val="da-DK"/>
        </w:rPr>
        <w:t xml:space="preserve">Các khu vực điển hình ở Hà Tĩnh thường xuất hiện xói lở bờ biển như sau: </w:t>
      </w:r>
    </w:p>
    <w:p w14:paraId="14A79DB4" w14:textId="77777777" w:rsidR="00085789" w:rsidRDefault="00000000">
      <w:pPr>
        <w:spacing w:before="120" w:line="240" w:lineRule="auto"/>
        <w:ind w:firstLine="720"/>
        <w:jc w:val="both"/>
        <w:textAlignment w:val="baseline"/>
        <w:rPr>
          <w:sz w:val="26"/>
          <w:szCs w:val="26"/>
          <w:lang w:val="da-DK"/>
        </w:rPr>
      </w:pPr>
      <w:r>
        <w:rPr>
          <w:sz w:val="26"/>
          <w:szCs w:val="26"/>
          <w:lang w:val="da-DK"/>
        </w:rPr>
        <w:t>* Sạt lở bờ biển: Từ năm 2021 đến cuối 2024, khoảng 100 km bờ biển Hà Tĩnh bị xói lở nghiêm trọng; biển xâm thực vào đất liền từ 15 - 20 m mỗi năm, đe dọa rừng phòng hộ và khu dân cư ven biển. Tại xã Đan Trường đoạn bờ biển dài khoảng 1,4-2 km chịu tác động nặng nề sau bão số 4 (cuối tháng 9/2024); biển ăn sâu 4-10 m vào đất liền, nhiều vị trí sạt lở, chỉ cách đê biển Hội Thống chưa đầy 10 m, đe dọa hơn 400 hộ dân bên trong đê; các công trình kè chắn sóng chống sạt lở (tổng đầu tư gần 15 tỷ đồng) xây dựng vào tháng 8/2024 sau khi hoàn thành lại bị sóng mạnh phá hỏng, không đạt hiệu quả phòng chống như kỳ vọng.</w:t>
      </w:r>
    </w:p>
    <w:p w14:paraId="7D59BD6E" w14:textId="77777777" w:rsidR="00085789" w:rsidRDefault="00000000">
      <w:pPr>
        <w:spacing w:before="120" w:line="240" w:lineRule="auto"/>
        <w:ind w:firstLine="709"/>
        <w:jc w:val="both"/>
        <w:rPr>
          <w:sz w:val="26"/>
          <w:szCs w:val="26"/>
          <w:lang w:val="da-DK"/>
        </w:rPr>
      </w:pPr>
      <w:r>
        <w:rPr>
          <w:sz w:val="26"/>
          <w:szCs w:val="26"/>
          <w:lang w:val="da-DK"/>
        </w:rPr>
        <w:t>* Sạt lở bờ sông:</w:t>
      </w:r>
    </w:p>
    <w:p w14:paraId="76C52A41" w14:textId="77777777" w:rsidR="00085789" w:rsidRDefault="00000000">
      <w:pPr>
        <w:spacing w:before="120" w:line="240" w:lineRule="auto"/>
        <w:ind w:firstLine="709"/>
        <w:jc w:val="both"/>
        <w:rPr>
          <w:sz w:val="26"/>
          <w:szCs w:val="26"/>
          <w:lang w:val="da-DK"/>
        </w:rPr>
      </w:pPr>
      <w:r>
        <w:rPr>
          <w:sz w:val="26"/>
          <w:szCs w:val="26"/>
          <w:lang w:val="da-DK"/>
        </w:rPr>
        <w:t>- Tại bờ sông Lam đoạn qua xã Nghi Xuân mỗi năm bị sạt lở thêm 5 - 7 m với chiều dài sạt lở khoảng 1,5 km làm mất nhiều ha đất canh tác của hàng chục hộ dân nơi đây. Tình trạng sạt lở vẫn tiếp tục hiện hữu mỗi ngày vì nơi đây chưa có bờ kè chống sạt lở. Những năm có lũ lụt lớn đã thu hẹp đất sản xuất hoa màu của khoảng 50 - 60 hộ dân. Khoảng 5 năm trở lại đây, đất màu của người dân ở khu vực này đã bị sạt lở, sông lấn vào khoảng 3 đến 4 ha.  </w:t>
      </w:r>
    </w:p>
    <w:p w14:paraId="04F30537" w14:textId="77777777" w:rsidR="00085789" w:rsidRDefault="00000000">
      <w:pPr>
        <w:spacing w:before="120" w:line="240" w:lineRule="auto"/>
        <w:ind w:firstLine="709"/>
        <w:jc w:val="both"/>
        <w:rPr>
          <w:sz w:val="26"/>
          <w:szCs w:val="26"/>
          <w:lang w:val="da-DK"/>
        </w:rPr>
      </w:pPr>
      <w:r>
        <w:rPr>
          <w:sz w:val="26"/>
          <w:szCs w:val="26"/>
          <w:lang w:val="da-DK"/>
        </w:rPr>
        <w:t>- Tại bờ sông Ngàn Sâu (đoạn qua thôn Liên Hòa, xã Thượng Đức), tình trạng sạt lở đã diễn ra trong nhiều năm đe dọa tuyến đường giao thông và nguy cơ ảnh hưởng tới tuyến đường sắt Bắc - Nam chạy qua địa bàn. Ngoài ra, tuyến đường trục xã tại địa bàn xã Đức Quang cũng bị sạt lở nghiêm trọng do ảnh hưởng mưa lũ.</w:t>
      </w:r>
    </w:p>
    <w:p w14:paraId="7A1BBD5C" w14:textId="77777777" w:rsidR="00085789" w:rsidRDefault="00000000">
      <w:pPr>
        <w:spacing w:before="120" w:line="240" w:lineRule="auto"/>
        <w:ind w:firstLine="709"/>
        <w:jc w:val="both"/>
        <w:rPr>
          <w:sz w:val="26"/>
          <w:szCs w:val="26"/>
          <w:lang w:val="da-DK"/>
        </w:rPr>
      </w:pPr>
      <w:r>
        <w:rPr>
          <w:sz w:val="26"/>
          <w:szCs w:val="26"/>
          <w:lang w:val="da-DK"/>
        </w:rPr>
        <w:t xml:space="preserve"> - Tại bờ sông Ngàn Mọ (đoạn qua xã Cẩm Duệ) tình trạng sạt lở xảy ra trong nhiều năm nay, đã cuốn trôi nhiều diện tích đất vườn của người dân sống dọc hai bên bờ sông.</w:t>
      </w:r>
    </w:p>
    <w:p w14:paraId="153C5CF9" w14:textId="77777777" w:rsidR="00085789" w:rsidRDefault="00000000">
      <w:pPr>
        <w:spacing w:before="120" w:line="240" w:lineRule="auto"/>
        <w:ind w:firstLine="709"/>
        <w:jc w:val="both"/>
        <w:rPr>
          <w:sz w:val="26"/>
          <w:szCs w:val="26"/>
          <w:lang w:val="da-DK"/>
        </w:rPr>
      </w:pPr>
      <w:r>
        <w:rPr>
          <w:sz w:val="26"/>
          <w:szCs w:val="26"/>
          <w:lang w:val="da-DK"/>
        </w:rPr>
        <w:t xml:space="preserve">- Tại bờ sông Ngàn Sâu (đoạn qua thôn Đông Xá, xã Đức Thọ), cũng bị sạt lở nghiêm trọng, nhiều diện tích đất nông nghiệp của người dân đang bị “ăn mòn” hàng năm. </w:t>
      </w:r>
    </w:p>
    <w:p w14:paraId="47C77B52" w14:textId="77777777" w:rsidR="00085789" w:rsidRDefault="00000000">
      <w:pPr>
        <w:spacing w:before="120" w:line="240" w:lineRule="auto"/>
        <w:ind w:firstLine="720"/>
        <w:jc w:val="both"/>
        <w:rPr>
          <w:sz w:val="26"/>
          <w:szCs w:val="26"/>
          <w:lang w:val="nl-NL"/>
        </w:rPr>
      </w:pPr>
      <w:r>
        <w:rPr>
          <w:bCs/>
          <w:sz w:val="26"/>
          <w:szCs w:val="26"/>
          <w:lang w:val="nl-NL"/>
        </w:rPr>
        <w:t xml:space="preserve">Hiện trạng sông ngòi Hà Tĩnh ngắn và dốc, vào mùa mưa nước tập trung nhanh, thường xảy ra lũ quét và sạt lở đất hai bên bờ sông, nhất là những đoạn sông cong. Xói lở hàng năm mất đi diện tích đất canh tác, nhiều hộ gia đình phải di dời, ảnh hưởng đến đời sống của người dân xảy ra tại các địa phương: sạt lở bờ sông Ngàn Mọ, xã Cẩm Quan; sạt lở bờ sông La tại thôn Trung Khánh, xã Đức Thọ và thôn Cảnh Hà, xã Vũ Quang; sạt lở bờ sông Ngàn Sâu tại xóm Ngọc Bội, xã Hương Bình và thôn Tân Thanh, xã Phúc Trạch; sạt lở bờ sông Rác tại xã Cẩm Lạc,.... </w:t>
      </w:r>
    </w:p>
    <w:p w14:paraId="4AD2E1D7" w14:textId="77777777" w:rsidR="00085789" w:rsidRDefault="00000000">
      <w:pPr>
        <w:pStyle w:val="bac2"/>
        <w:spacing w:before="120" w:after="0" w:line="240" w:lineRule="auto"/>
        <w:rPr>
          <w:rFonts w:eastAsia="MS Gothic" w:hint="eastAsia"/>
          <w:lang w:val="nl-NL"/>
        </w:rPr>
      </w:pPr>
      <w:bookmarkStart w:id="1410" w:name="_Toc54794226"/>
      <w:bookmarkStart w:id="1411" w:name="_Toc55592322"/>
      <w:bookmarkStart w:id="1412" w:name="_Toc56737659"/>
      <w:bookmarkStart w:id="1413" w:name="_Toc54794940"/>
      <w:bookmarkStart w:id="1414" w:name="_Toc55594883"/>
      <w:bookmarkStart w:id="1415" w:name="_Toc54795654"/>
      <w:bookmarkStart w:id="1416" w:name="_Toc55008000"/>
      <w:bookmarkStart w:id="1417" w:name="_Toc56739100"/>
      <w:bookmarkStart w:id="1418" w:name="_Toc54796368"/>
      <w:bookmarkStart w:id="1419" w:name="_Toc56739843"/>
      <w:bookmarkStart w:id="1420" w:name="_Toc56736938"/>
      <w:bookmarkStart w:id="1421" w:name="_Toc54810657"/>
      <w:bookmarkStart w:id="1422" w:name="_Toc56740606"/>
      <w:bookmarkStart w:id="1423" w:name="_Toc214311295"/>
      <w:r>
        <w:rPr>
          <w:rFonts w:eastAsia="MS Gothic"/>
          <w:lang w:val="nl-NL"/>
        </w:rPr>
        <w:t>8.5. Sự cố môi trường</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172EC1E9" w14:textId="77777777" w:rsidR="00085789" w:rsidRDefault="00000000">
      <w:pPr>
        <w:pStyle w:val="-bac3"/>
        <w:spacing w:before="120" w:after="0" w:line="240" w:lineRule="auto"/>
        <w:rPr>
          <w:lang w:val="pt-BR"/>
        </w:rPr>
      </w:pPr>
      <w:bookmarkStart w:id="1424" w:name="_Toc56740607"/>
      <w:bookmarkStart w:id="1425" w:name="_Toc54795655"/>
      <w:bookmarkStart w:id="1426" w:name="_Toc56739844"/>
      <w:bookmarkStart w:id="1427" w:name="_Toc422410785"/>
      <w:bookmarkStart w:id="1428" w:name="_Toc55594884"/>
      <w:bookmarkStart w:id="1429" w:name="_Toc56739101"/>
      <w:bookmarkStart w:id="1430" w:name="_Toc56736939"/>
      <w:bookmarkStart w:id="1431" w:name="_Toc55592323"/>
      <w:bookmarkStart w:id="1432" w:name="_Toc54810658"/>
      <w:bookmarkStart w:id="1433" w:name="_Toc54794941"/>
      <w:bookmarkStart w:id="1434" w:name="_Toc54794227"/>
      <w:bookmarkStart w:id="1435" w:name="_Toc55008001"/>
      <w:bookmarkStart w:id="1436" w:name="_Toc56737660"/>
      <w:bookmarkStart w:id="1437" w:name="_Toc54796369"/>
      <w:bookmarkStart w:id="1438" w:name="_Toc214311296"/>
      <w:r>
        <w:rPr>
          <w:lang w:val="pt-BR"/>
        </w:rPr>
        <w:t>8.5.1. Khái quát hiện trạng xảy ra sự cố môi trường và các hậu quả xảy ra</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77D1C216" w14:textId="77777777" w:rsidR="00085789" w:rsidRDefault="00000000">
      <w:pPr>
        <w:widowControl w:val="0"/>
        <w:spacing w:before="120" w:line="240" w:lineRule="auto"/>
        <w:ind w:firstLine="709"/>
        <w:jc w:val="both"/>
        <w:rPr>
          <w:sz w:val="26"/>
          <w:szCs w:val="26"/>
          <w:lang w:val="pt-BR"/>
        </w:rPr>
      </w:pPr>
      <w:r>
        <w:rPr>
          <w:sz w:val="26"/>
          <w:szCs w:val="26"/>
          <w:lang w:val="pt-BR"/>
        </w:rPr>
        <w:lastRenderedPageBreak/>
        <w:t xml:space="preserve">Các sự cố môi trường ảnh hưởng tới tỉnh Hà Tĩnh bao gồm: Sự cố sạt lở đất, sụt lún, cháy rừng, sự cố tràn dầu,…. Bên cạnh đó, ảnh hưởng của BĐKH toàn cầu cũng là một trong những yếu tố gây ra các sự cố môi trường ở tỉnh Hà Tĩnh. </w:t>
      </w:r>
    </w:p>
    <w:p w14:paraId="450FB9E8" w14:textId="77777777" w:rsidR="00085789" w:rsidRDefault="00000000">
      <w:pPr>
        <w:widowControl w:val="0"/>
        <w:spacing w:before="120" w:line="240" w:lineRule="auto"/>
        <w:ind w:firstLine="709"/>
        <w:jc w:val="both"/>
        <w:rPr>
          <w:b/>
          <w:bCs/>
          <w:i/>
          <w:sz w:val="26"/>
          <w:szCs w:val="26"/>
          <w:lang w:val="pt-BR" w:bidi="th-TH"/>
        </w:rPr>
      </w:pPr>
      <w:r>
        <w:rPr>
          <w:b/>
          <w:bCs/>
          <w:i/>
          <w:sz w:val="26"/>
          <w:szCs w:val="26"/>
          <w:lang w:val="pt-BR" w:bidi="th-TH"/>
        </w:rPr>
        <w:t>a) Sự cố sạt lở đất, sụt lún:</w:t>
      </w:r>
    </w:p>
    <w:p w14:paraId="075BD320" w14:textId="77777777" w:rsidR="00085789" w:rsidRDefault="00000000">
      <w:pPr>
        <w:spacing w:before="120" w:line="240" w:lineRule="auto"/>
        <w:ind w:firstLine="709"/>
        <w:jc w:val="both"/>
        <w:rPr>
          <w:sz w:val="26"/>
          <w:szCs w:val="26"/>
          <w:lang w:val="pt-BR"/>
        </w:rPr>
      </w:pPr>
      <w:r>
        <w:rPr>
          <w:sz w:val="26"/>
          <w:szCs w:val="26"/>
          <w:lang w:val="pt-BR"/>
        </w:rPr>
        <w:t xml:space="preserve">- Tại xã Sơn Giang, huyện Hương Sơn trước đây: Do ảnh hưởng mưa lũ từ hoàn lưu bão Noru (cuối tháng 9/2022) nên 2 tuyến đường giao thông nông thôn </w:t>
      </w:r>
      <w:r>
        <w:rPr>
          <w:spacing w:val="-6"/>
          <w:sz w:val="26"/>
          <w:szCs w:val="26"/>
          <w:lang w:val="pt-BR"/>
        </w:rPr>
        <w:t>bị hư hỏng nặng, gây ảnh hưởng đến an toàn, việc đi lại của người dân.</w:t>
      </w:r>
    </w:p>
    <w:p w14:paraId="68BF1DEE" w14:textId="77777777" w:rsidR="00085789" w:rsidRDefault="00000000">
      <w:pPr>
        <w:spacing w:before="120" w:line="240" w:lineRule="auto"/>
        <w:ind w:firstLine="709"/>
        <w:jc w:val="both"/>
        <w:rPr>
          <w:sz w:val="26"/>
          <w:szCs w:val="26"/>
          <w:lang w:val="pt-BR"/>
        </w:rPr>
      </w:pPr>
      <w:r>
        <w:rPr>
          <w:sz w:val="26"/>
          <w:szCs w:val="26"/>
          <w:lang w:val="pt-BR"/>
        </w:rPr>
        <w:t>- Tại huyện Cẩm Xuyên trước đây: Cuối tháng 9 năm 2022, mưa lớn, kèm theo gió giật mạnh đã gây nên tình trạng sạt lở đất, đê kè và chia cắt, ngập cục bộ tại một số địa phương; tuyến đường Quốc phòng đoạn qua xã Cẩm Lĩnh trước đây có 10 điểm bị sạt lở, chiều dài khoảng 1 km; Tháng 10/2023 dọc bờ sông Ngàn Mọ thuộc địa bàn các xã Cẩm Thành, Cẩm Duệ trước đây nhiều vị trí bị sạt lở khá nghiêm trọng, ăn sâu vào các tuyến đường dân sinh, ảnh hưởng trực tiếp đến đất vườn, nhà cửa của nhiều hộ dân sống ven sông; tuyến kè biển Cẩm Nhượng tiếp tục xuất hiện thêm 3 vị trí sụt lún với diện tích 15 m</w:t>
      </w:r>
      <w:r>
        <w:rPr>
          <w:sz w:val="26"/>
          <w:szCs w:val="26"/>
          <w:vertAlign w:val="superscript"/>
          <w:lang w:val="pt-BR"/>
        </w:rPr>
        <w:t>2</w:t>
      </w:r>
      <w:r>
        <w:rPr>
          <w:sz w:val="26"/>
          <w:szCs w:val="26"/>
          <w:lang w:val="pt-BR"/>
        </w:rPr>
        <w:t>, toàn tuyến kè với chiều dài 1,2 km có nhiều điểm sụt lún, sạt lở, nguy cơ mất an toàn rất cao.</w:t>
      </w:r>
    </w:p>
    <w:p w14:paraId="06EC3338" w14:textId="77777777" w:rsidR="00085789" w:rsidRDefault="00000000">
      <w:pPr>
        <w:spacing w:before="120" w:line="240" w:lineRule="auto"/>
        <w:ind w:firstLine="709"/>
        <w:jc w:val="both"/>
        <w:rPr>
          <w:sz w:val="26"/>
          <w:szCs w:val="26"/>
          <w:lang w:val="pt-BR"/>
        </w:rPr>
      </w:pPr>
      <w:r>
        <w:rPr>
          <w:sz w:val="26"/>
          <w:szCs w:val="26"/>
          <w:shd w:val="clear" w:color="auto" w:fill="FFFFFF"/>
          <w:lang w:val="pt-BR"/>
        </w:rPr>
        <w:t>- Cuối tháng 10 năm 2023, mưa lớn khiến đập Tắt ở xã Hòa Hải (huyện Hương Khê</w:t>
      </w:r>
      <w:r>
        <w:rPr>
          <w:sz w:val="26"/>
          <w:szCs w:val="26"/>
          <w:lang w:val="pt-BR"/>
        </w:rPr>
        <w:t xml:space="preserve"> trước đây</w:t>
      </w:r>
      <w:r>
        <w:rPr>
          <w:sz w:val="26"/>
          <w:szCs w:val="26"/>
          <w:shd w:val="clear" w:color="auto" w:fill="FFFFFF"/>
          <w:lang w:val="pt-BR"/>
        </w:rPr>
        <w:t xml:space="preserve">) bị vỡ thân đập với chiều dài 15 m, rộng 7 m, gây xói lở đường giao thông, bồi lấp khoảng 30 ha diện tích trồng hoa màu của người dân vùng hạ du. </w:t>
      </w:r>
      <w:r>
        <w:rPr>
          <w:sz w:val="27"/>
          <w:szCs w:val="27"/>
          <w:shd w:val="clear" w:color="auto" w:fill="FFFFFF"/>
          <w:lang w:val="pt-BR"/>
        </w:rPr>
        <w:t xml:space="preserve">Tháng 10/2023 </w:t>
      </w:r>
      <w:r>
        <w:rPr>
          <w:sz w:val="26"/>
          <w:szCs w:val="26"/>
          <w:lang w:val="pt-BR"/>
        </w:rPr>
        <w:t>tại huyện Vũ Quang trước đây: sạt lở một số tuyến đường giao thông tại thị trấn Vũ Quang, xã Đức Bồng, xã Đức Liên; sạt lở 2 điểm trên tuyến đường sắt Bắc - Nam đoạn đi qua địa phận thôn Liên Châu, xã Đức Liên với chiều dài khoảng 100 m.</w:t>
      </w:r>
    </w:p>
    <w:p w14:paraId="2E759335" w14:textId="77777777" w:rsidR="00085789" w:rsidRDefault="00000000">
      <w:pPr>
        <w:spacing w:before="120" w:line="240" w:lineRule="auto"/>
        <w:ind w:firstLine="709"/>
        <w:jc w:val="both"/>
        <w:rPr>
          <w:sz w:val="26"/>
          <w:szCs w:val="26"/>
          <w:lang w:val="pt-BR"/>
        </w:rPr>
      </w:pPr>
      <w:r>
        <w:rPr>
          <w:sz w:val="26"/>
          <w:szCs w:val="26"/>
          <w:lang w:val="pt-BR"/>
        </w:rPr>
        <w:t>- Tại xã Thịnh Lộc trước đây, vào lúc 17 h ngày 27/10/2024, do ảnh hưởng của mưa, gió bão và triều cường dâng cao nên tuyến kè biển qua thôn Yên Điềm đã bị sạt lở thân, mái với chiều dài khoảng 40 m (K44+710 đến K44+750), rộng 8 - 10 m.</w:t>
      </w:r>
    </w:p>
    <w:p w14:paraId="6F9D2401" w14:textId="77777777" w:rsidR="00085789" w:rsidRDefault="00000000">
      <w:pPr>
        <w:spacing w:before="120" w:line="240" w:lineRule="auto"/>
        <w:ind w:firstLine="709"/>
        <w:jc w:val="both"/>
        <w:rPr>
          <w:sz w:val="26"/>
          <w:szCs w:val="26"/>
          <w:lang w:val="pt-BR"/>
        </w:rPr>
      </w:pPr>
      <w:r>
        <w:rPr>
          <w:sz w:val="26"/>
          <w:szCs w:val="26"/>
          <w:lang w:val="pt-BR"/>
        </w:rPr>
        <w:t>- Ngày 23/10/2024, mưa to đã làm sạt lở nhiều điểm trên tuyến Quốc lộ 8A đi Cửa khẩu Quốc tế Cầu Treo.</w:t>
      </w:r>
    </w:p>
    <w:p w14:paraId="7A7B2CB3" w14:textId="77777777" w:rsidR="00085789" w:rsidRDefault="00000000">
      <w:pPr>
        <w:widowControl w:val="0"/>
        <w:spacing w:before="120" w:line="240" w:lineRule="auto"/>
        <w:ind w:firstLine="709"/>
        <w:jc w:val="both"/>
        <w:rPr>
          <w:b/>
          <w:bCs/>
          <w:i/>
          <w:iCs/>
          <w:sz w:val="26"/>
          <w:szCs w:val="26"/>
          <w:lang w:val="pt-BR"/>
        </w:rPr>
      </w:pPr>
      <w:r>
        <w:rPr>
          <w:b/>
          <w:bCs/>
          <w:i/>
          <w:iCs/>
          <w:sz w:val="26"/>
          <w:szCs w:val="26"/>
          <w:lang w:val="pt-BR"/>
        </w:rPr>
        <w:t xml:space="preserve">b) Sự cố tràn dầu: </w:t>
      </w:r>
      <w:r>
        <w:rPr>
          <w:spacing w:val="-2"/>
          <w:sz w:val="26"/>
          <w:szCs w:val="26"/>
          <w:lang w:val="es-CO"/>
        </w:rPr>
        <w:t>Trong giai đoạn năm 2021 - 2025, trên địa bàn tỉnh Hà Tĩnh có các sự cố tràn dầu như sau:</w:t>
      </w:r>
    </w:p>
    <w:p w14:paraId="626ED66C" w14:textId="77777777" w:rsidR="00085789" w:rsidRDefault="00000000">
      <w:pPr>
        <w:spacing w:before="120" w:line="240" w:lineRule="auto"/>
        <w:ind w:firstLine="709"/>
        <w:jc w:val="both"/>
        <w:rPr>
          <w:sz w:val="26"/>
          <w:szCs w:val="26"/>
          <w:lang w:val="es-CO"/>
        </w:rPr>
      </w:pPr>
      <w:r>
        <w:rPr>
          <w:sz w:val="26"/>
          <w:szCs w:val="26"/>
          <w:lang w:val="es-CO"/>
        </w:rPr>
        <w:t>- Năm 2021: Khoảng 03 giờ sáng vào ngày 15/11/2021 tại khu vực biển xã Kỳ Lợi, thị xã Kỳ Anh</w:t>
      </w:r>
      <w:r>
        <w:rPr>
          <w:sz w:val="26"/>
          <w:szCs w:val="26"/>
          <w:lang w:val="pt-BR"/>
        </w:rPr>
        <w:t xml:space="preserve"> trước đây</w:t>
      </w:r>
      <w:r>
        <w:rPr>
          <w:sz w:val="26"/>
          <w:szCs w:val="26"/>
          <w:lang w:val="es-CO"/>
        </w:rPr>
        <w:t xml:space="preserve"> xảy ra hiện tượng tràn dầu chưa rõ nguyên nhân. Sau khi tiếp nhận thông tin, Sở Tài nguyên và Môi trường đã chủ trì phối hợp với BQL KKT tỉnh, BCH bộ đội biên phòng tỉnh, Cảng vụ Hàng hải Hà Tĩnh, UBND thị xã Kỳ Anh</w:t>
      </w:r>
      <w:r>
        <w:rPr>
          <w:sz w:val="26"/>
          <w:szCs w:val="26"/>
          <w:lang w:val="pt-BR"/>
        </w:rPr>
        <w:t xml:space="preserve"> trước đây</w:t>
      </w:r>
      <w:r>
        <w:rPr>
          <w:sz w:val="26"/>
          <w:szCs w:val="26"/>
          <w:lang w:val="es-CO"/>
        </w:rPr>
        <w:t xml:space="preserve"> và các đơn vị liên quan kiểm tra cụ thể. Qua kiểm tra xác định nguyên nhân do tàu PVT Dragon, số IMO 9140580 thuộc sở hữu của Công ty TNHH xăng dầu Giang Nam đang cập cảng Xuất nhập Xăng dầu Vũng Áng ngày 14/11/2021 để thực hiện dỡ hàng (dầu FO) vào tổng kho xăng dầu Vũng Áng, quá trình xuất hàng đã gây ra sự cố tràn dầu, khối lượng tràn khoảng 150 lít dầu FO; phạm vi tác động là khu vực bè nổi đến chân cầu cảng. Khi xảy ra sự cố, Công ty TNHH xăng dầu Giang Nam phối hợp với Ban chỉ huy UPSCTD tại Tổng kho xăng dầu Vũng Áng triển khai kế hoạch ứng phó sự cố tràn dầu. Quá trình triển khai ứng phó sự cố có sự tham gia của lực lượng bộ đội biên phòng. Đến ngày 26/11/2021 kết thúc hoạt động ứng phó.</w:t>
      </w:r>
    </w:p>
    <w:p w14:paraId="5124CFC4" w14:textId="77777777" w:rsidR="00085789" w:rsidRDefault="00000000">
      <w:pPr>
        <w:spacing w:before="120" w:line="240" w:lineRule="auto"/>
        <w:ind w:firstLine="709"/>
        <w:jc w:val="both"/>
        <w:rPr>
          <w:sz w:val="26"/>
          <w:szCs w:val="26"/>
          <w:lang w:val="es-CO"/>
        </w:rPr>
      </w:pPr>
      <w:r>
        <w:rPr>
          <w:sz w:val="26"/>
          <w:szCs w:val="26"/>
          <w:lang w:val="es-CO"/>
        </w:rPr>
        <w:t>- Năm 2022: Không có sự cố tràn dầu.</w:t>
      </w:r>
    </w:p>
    <w:p w14:paraId="0C436693" w14:textId="77777777" w:rsidR="00085789" w:rsidRPr="00AA3A70" w:rsidRDefault="00000000">
      <w:pPr>
        <w:spacing w:before="120" w:line="240" w:lineRule="auto"/>
        <w:ind w:firstLine="709"/>
        <w:jc w:val="both"/>
        <w:rPr>
          <w:spacing w:val="-6"/>
          <w:sz w:val="26"/>
          <w:szCs w:val="26"/>
          <w:lang w:val="es-CO"/>
        </w:rPr>
      </w:pPr>
      <w:r w:rsidRPr="00AA3A70">
        <w:rPr>
          <w:spacing w:val="-6"/>
          <w:sz w:val="26"/>
          <w:szCs w:val="26"/>
          <w:lang w:val="es-CO"/>
        </w:rPr>
        <w:t>- Năm 2023: Đã xảy ra 02 sự cố tràn dầu trên biển thuộc phạm vi quản lý của tỉnh, gồm:</w:t>
      </w:r>
    </w:p>
    <w:p w14:paraId="10C2DD1D" w14:textId="77777777" w:rsidR="00085789" w:rsidRDefault="00000000">
      <w:pPr>
        <w:spacing w:before="120" w:line="240" w:lineRule="auto"/>
        <w:ind w:firstLine="709"/>
        <w:jc w:val="both"/>
        <w:rPr>
          <w:sz w:val="26"/>
          <w:szCs w:val="26"/>
          <w:lang w:val="es-CO"/>
        </w:rPr>
      </w:pPr>
      <w:r>
        <w:rPr>
          <w:sz w:val="26"/>
          <w:szCs w:val="26"/>
          <w:lang w:val="es-CO"/>
        </w:rPr>
        <w:lastRenderedPageBreak/>
        <w:t>+ Vào lúc 7 giờ 30 phút ngày 27/10/2023 tàu Trí Vũ-09 bị chìm tại khu vực bờ kè phía Đông cảng Sơn Dương. Sau khi tiếp nhận thông tin, Sở Tài nguyên và Môi trường đã phối hợp với Văn phòng thường trực BCH Phòng chống thiên tai và TKCN tỉnh, BQL KKT tỉnh, UBND thị xã Kỳ Anh trước đây tiến hành kiểm tra thực tế tại khu vực dầu tràn và yêu cầu chủ phương tiện khẩn trương khắc phục. Quá trình thực hiện ứng phó Công ty TNHH Gang thép Hưng nghiệp Formosa Hà Tĩnh đã hỗ trợ phao quây, tấm hút dầu, máy bơm dầu trên mặt nước; Công ty CP Xăng dầu Dầu khí Vũng Áng đã hỗ trợ phao quây để khắc phục sự cố. Theo đó các đơn vị đã hỗ trợ chủ phương tiện thực hiện trục vớt tàu chìm, triển khai phao quây dài 450m (thả phao quây 2 lớp), tiến hành thu gom lượng dầu tràn trên mặt biển (khối lượng khoảng 01 m</w:t>
      </w:r>
      <w:r>
        <w:rPr>
          <w:sz w:val="26"/>
          <w:szCs w:val="26"/>
          <w:vertAlign w:val="superscript"/>
          <w:lang w:val="es-CO"/>
        </w:rPr>
        <w:t>3</w:t>
      </w:r>
      <w:r>
        <w:rPr>
          <w:sz w:val="26"/>
          <w:szCs w:val="26"/>
          <w:lang w:val="es-CO"/>
        </w:rPr>
        <w:t>), bơm toàn bộ lượng dầu trong tàu (khoảng 16 m</w:t>
      </w:r>
      <w:r>
        <w:rPr>
          <w:sz w:val="26"/>
          <w:szCs w:val="26"/>
          <w:vertAlign w:val="superscript"/>
          <w:lang w:val="es-CO"/>
        </w:rPr>
        <w:t>3</w:t>
      </w:r>
      <w:r>
        <w:rPr>
          <w:sz w:val="26"/>
          <w:szCs w:val="26"/>
          <w:lang w:val="es-CO"/>
        </w:rPr>
        <w:t xml:space="preserve">) lên két chứa trên bờ. Đến ngày 29/10/2023 kết thúc hoạt động khắc phục sự cố. </w:t>
      </w:r>
    </w:p>
    <w:p w14:paraId="1EA94E7F" w14:textId="77777777" w:rsidR="00085789" w:rsidRDefault="00000000">
      <w:pPr>
        <w:spacing w:before="120" w:line="240" w:lineRule="auto"/>
        <w:ind w:firstLine="709"/>
        <w:jc w:val="both"/>
        <w:rPr>
          <w:sz w:val="26"/>
          <w:szCs w:val="26"/>
          <w:lang w:val="es-CO"/>
        </w:rPr>
      </w:pPr>
      <w:r>
        <w:rPr>
          <w:sz w:val="26"/>
          <w:szCs w:val="26"/>
          <w:lang w:val="es-CO"/>
        </w:rPr>
        <w:t>+ Vào lúc 6 giờ 15 phút ngày 08/11/2023 phát hiện có váng dầu trôi dạt vào khu vực cửa nhận nước làm mát của Nhà máy Nhiệt điện Vũng Áng I chưa rõ nguyên nhân. Sau khi tiếp nhận thông tin, Sở Tài nguyên và Môi trường đã thông tin với BQL KKT tỉnh, UBND thị xã Kỳ Anh</w:t>
      </w:r>
      <w:r>
        <w:rPr>
          <w:sz w:val="26"/>
          <w:szCs w:val="26"/>
          <w:lang w:val="pt-BR"/>
        </w:rPr>
        <w:t xml:space="preserve"> trước đây</w:t>
      </w:r>
      <w:r>
        <w:rPr>
          <w:sz w:val="26"/>
          <w:szCs w:val="26"/>
          <w:lang w:val="es-CO"/>
        </w:rPr>
        <w:t xml:space="preserve"> và các đơn vị có liên quan phối hợp kiểm tra và yêu cầu Công ty Điện lực Dầu khí Hà Tĩnh triển khai các hoạt động khắc phục. Thực hiện ý kiến chỉ đạo, Công ty Điện lực Dầu khí Hà Tĩnh đã triển khai lực lượng, phương tiện thiết bị tiến hành thu gom các váng dầu trôi dạt vào khu vực và chuyển giao xử lý theo quy định (khối lượng váng dầu thu gom được khoảng 50 kg), đến 11 giờ 30 phút ngày 08/11/2023 kết thúc việc thu gom váng dầu trôi dạt.</w:t>
      </w:r>
    </w:p>
    <w:p w14:paraId="60351103" w14:textId="77777777" w:rsidR="00085789" w:rsidRDefault="00000000">
      <w:pPr>
        <w:spacing w:before="120" w:line="240" w:lineRule="auto"/>
        <w:ind w:firstLine="709"/>
        <w:jc w:val="both"/>
        <w:rPr>
          <w:sz w:val="26"/>
          <w:szCs w:val="26"/>
          <w:lang w:val="es-CO"/>
        </w:rPr>
      </w:pPr>
      <w:r>
        <w:rPr>
          <w:sz w:val="26"/>
          <w:szCs w:val="26"/>
          <w:lang w:val="es-CO"/>
        </w:rPr>
        <w:t>- Năm 2024: Đã xảy ra 2 sự cố tràn dầu:</w:t>
      </w:r>
    </w:p>
    <w:p w14:paraId="6EDA86BD" w14:textId="77777777" w:rsidR="00085789" w:rsidRDefault="00000000">
      <w:pPr>
        <w:spacing w:before="120" w:line="240" w:lineRule="auto"/>
        <w:ind w:firstLine="709"/>
        <w:jc w:val="both"/>
        <w:rPr>
          <w:sz w:val="26"/>
          <w:szCs w:val="26"/>
          <w:lang w:val="es-CO"/>
        </w:rPr>
      </w:pPr>
      <w:r>
        <w:rPr>
          <w:sz w:val="26"/>
          <w:szCs w:val="26"/>
          <w:lang w:val="es-CO"/>
        </w:rPr>
        <w:t xml:space="preserve">+ Sự cố tràn dầu tại xã Kỳ Lợi, thị xã Kỳ Anh </w:t>
      </w:r>
      <w:r>
        <w:rPr>
          <w:sz w:val="26"/>
          <w:szCs w:val="26"/>
          <w:lang w:val="pt-BR"/>
        </w:rPr>
        <w:t>trước đây</w:t>
      </w:r>
      <w:r>
        <w:rPr>
          <w:sz w:val="26"/>
          <w:szCs w:val="26"/>
          <w:lang w:val="es-CO"/>
        </w:rPr>
        <w:t xml:space="preserve"> vào khoảng 17 giờ 30 phút ngày 16/02/2024, Sở Tài nguyên và Môi trường nhận được thông tin tại bờ biển thuộc thôn Hải Phong xuất hiện các vón cục của dầu trôi dạt, sóng đánh lên bờ biển, chiều dài khu vực bãi biển ảnh hưởng khoảng 1,5 km, chiều rộng từ 0,5- 2 m. Ngay sau khi tiếp nhận thông tin, Sở Tài nguyên và Môi trường đã thông tin cho Ban Chỉ huy Phòng, chống thiên tai và Tìm kiếm cứu nạn tỉnh, BCH quân sự tỉnh, BCH Bộ đội biên phòng tỉnh, BQL KKT tỉnh, </w:t>
      </w:r>
      <w:r>
        <w:rPr>
          <w:spacing w:val="-4"/>
          <w:sz w:val="26"/>
          <w:szCs w:val="26"/>
          <w:lang w:val="es-CO"/>
        </w:rPr>
        <w:t>Phòng Cảnh sát điều tra tội phạm về tham nhũng, kinh tế, buôn lậu, môi trường - Công an tỉnh, Cảng vụ Hàng hải Hà Tĩnh và các đơn vị có liên quan để kịp thời phối hợp xử lý, đồng thời hướng dẫn UBND thị xã Kỳ Anh trước đây triển khai thực hiện các biện pháp khắc phục sự cố. Sở Tài nguyên và Môi trường đã trực tiếp kiểm tra tại khu vực xuất hiện dầu tràn và hướng dẫn các lực lượng thực hiện thu gom và chuyển giao xử lý lượng dầu tràn có lẫn cát theo quy định về bảo vệ môi trường. Qua nắm bắt thông tin và theo dõi tại hiện trường thì lực lượng tham gia khắc phục sự cố có khoảng 220 người, tổng khối lượng thu gom, vận chuyển, xử lý khoảng 02 tấn (dầu lẫn cát) được chuyển giao cho Công ty TNHH một thành viên chế biến rác thải công nghiệp Hà Tĩnh tổ chức vận chuyển, xử lý theo quy định.</w:t>
      </w:r>
      <w:r>
        <w:rPr>
          <w:sz w:val="26"/>
          <w:szCs w:val="26"/>
          <w:lang w:val="es-CO"/>
        </w:rPr>
        <w:t xml:space="preserve"> </w:t>
      </w:r>
    </w:p>
    <w:p w14:paraId="506FFB04" w14:textId="77777777" w:rsidR="00085789" w:rsidRDefault="00000000">
      <w:pPr>
        <w:spacing w:before="120" w:line="240" w:lineRule="auto"/>
        <w:ind w:firstLine="709"/>
        <w:jc w:val="both"/>
        <w:rPr>
          <w:sz w:val="26"/>
          <w:szCs w:val="26"/>
          <w:lang w:val="es-CO"/>
        </w:rPr>
      </w:pPr>
      <w:r>
        <w:rPr>
          <w:sz w:val="26"/>
          <w:szCs w:val="26"/>
          <w:lang w:val="es-CO"/>
        </w:rPr>
        <w:t>+ Sự cố tràn dầu trong quá trình thi công đường bộ Cao tốc Bắc - Nam tại thôn Bình Sơn, xã Gia Hanh, huyện Can Lộc</w:t>
      </w:r>
      <w:r>
        <w:rPr>
          <w:sz w:val="26"/>
          <w:szCs w:val="26"/>
          <w:lang w:val="pt-BR"/>
        </w:rPr>
        <w:t xml:space="preserve"> trước đây:</w:t>
      </w:r>
      <w:r>
        <w:rPr>
          <w:sz w:val="26"/>
          <w:szCs w:val="26"/>
          <w:lang w:val="es-CO"/>
        </w:rPr>
        <w:t xml:space="preserve"> Ngày 27/6/2024, do téc chứa dầu diesel phục vụ máy thi công của công ty Cổ phần Trường Long (nhà thầu phụ thi công dự án đường bộ cao tốc Bắc - Nam đoạn đi qua thôn Bình Sơn) bị thủng và trời mưa to nên dầu bị rò rỉ chảy ra ruộng lúa của nhân dân gần đó. Tổng diện tích bị ảnh hưởng, lúa chết là 11.892 m</w:t>
      </w:r>
      <w:r>
        <w:rPr>
          <w:sz w:val="26"/>
          <w:szCs w:val="26"/>
          <w:vertAlign w:val="superscript"/>
          <w:lang w:val="es-CO"/>
        </w:rPr>
        <w:t>2</w:t>
      </w:r>
      <w:r>
        <w:rPr>
          <w:sz w:val="26"/>
          <w:szCs w:val="26"/>
          <w:lang w:val="es-CO"/>
        </w:rPr>
        <w:t xml:space="preserve">, của 13 hộ dân. Sau khi phát hiện ra sự việc, UBND huyện Can Lộc, UBND xã Gia Hanh cùng các đơn vị liên quan đã chỉ đạo công ty cổ phần Trường Long thực hiện các bước khắc phục ban đầu, đắp bờ khoanh vùng khu vực bị dầu loang ra. Ngày 05/7/2024, UBND huyện mời đại diện Trung tâm ứng phó sự cố tràn dầu Việt Nam kiểm tra, tham vấn xử lý sự cố. Để ngăn chặn việc dầu lan rộng thêm, đặc biệt nếu có thời tiết trời mưa to, UBND huyện đã giao Công ty Cổ phần Trường Long gia cố đắp bờ khoanh vùng thêm lớp 2 và dùng vải </w:t>
      </w:r>
      <w:r>
        <w:rPr>
          <w:sz w:val="26"/>
          <w:szCs w:val="26"/>
          <w:lang w:val="es-CO"/>
        </w:rPr>
        <w:lastRenderedPageBreak/>
        <w:t>kỹ thuật để thấm dầu. Kết qủa đã cơ bản ngăn chặn được việc dầu lan rộng thêm, sự cố tràn dầu đã được khắc phục xong.</w:t>
      </w:r>
    </w:p>
    <w:p w14:paraId="72FDBA1E" w14:textId="77777777" w:rsidR="00085789" w:rsidRDefault="00000000">
      <w:pPr>
        <w:spacing w:line="360" w:lineRule="exact"/>
        <w:ind w:firstLine="709"/>
        <w:jc w:val="both"/>
        <w:rPr>
          <w:sz w:val="26"/>
          <w:szCs w:val="26"/>
          <w:lang w:val="es-CO"/>
        </w:rPr>
      </w:pPr>
      <w:r>
        <w:rPr>
          <w:sz w:val="26"/>
          <w:szCs w:val="26"/>
          <w:lang w:val="es-CO"/>
        </w:rPr>
        <w:t>- Năm 2025: Không có sự cố tràn dầu.</w:t>
      </w:r>
    </w:p>
    <w:p w14:paraId="0AD9FFCC" w14:textId="77777777" w:rsidR="00085789" w:rsidRDefault="00000000">
      <w:pPr>
        <w:widowControl w:val="0"/>
        <w:spacing w:before="120" w:line="240" w:lineRule="auto"/>
        <w:ind w:firstLine="709"/>
        <w:jc w:val="both"/>
        <w:rPr>
          <w:i/>
          <w:sz w:val="26"/>
          <w:szCs w:val="26"/>
          <w:lang w:val="pt-BR"/>
        </w:rPr>
      </w:pPr>
      <w:r>
        <w:rPr>
          <w:i/>
          <w:sz w:val="26"/>
          <w:szCs w:val="26"/>
          <w:lang w:val="pt-BR"/>
        </w:rPr>
        <w:t>c) Cháy rừng:</w:t>
      </w:r>
    </w:p>
    <w:p w14:paraId="6836E1FD" w14:textId="77777777" w:rsidR="00085789" w:rsidRDefault="00000000">
      <w:pPr>
        <w:widowControl w:val="0"/>
        <w:spacing w:before="120" w:line="240" w:lineRule="auto"/>
        <w:ind w:firstLine="709"/>
        <w:jc w:val="both"/>
        <w:rPr>
          <w:i/>
          <w:sz w:val="26"/>
          <w:szCs w:val="26"/>
          <w:lang w:val="it-IT"/>
        </w:rPr>
      </w:pPr>
      <w:r>
        <w:rPr>
          <w:bCs/>
          <w:sz w:val="26"/>
          <w:szCs w:val="26"/>
          <w:lang w:val="it-IT"/>
        </w:rPr>
        <w:t xml:space="preserve">Hiện nay Hà Tĩnh có </w:t>
      </w:r>
      <w:r>
        <w:rPr>
          <w:sz w:val="26"/>
          <w:szCs w:val="26"/>
          <w:lang w:val="pt-BR"/>
        </w:rPr>
        <w:t xml:space="preserve">358.472 ha rừng và đất lâm nghiệp </w:t>
      </w:r>
      <w:r>
        <w:rPr>
          <w:i/>
          <w:sz w:val="26"/>
          <w:szCs w:val="26"/>
          <w:lang w:val="it-IT"/>
        </w:rPr>
        <w:t>(chiếm trên 60 % diện tích tự nhiên)</w:t>
      </w:r>
      <w:r>
        <w:rPr>
          <w:sz w:val="26"/>
          <w:szCs w:val="26"/>
          <w:lang w:val="it-IT"/>
        </w:rPr>
        <w:t>. Trong đó: Trong đó, phân theo quy hoạch 3 loại rừng: Rừng đặc dụng 74.501 ha (rừng tự nhiên 73.499 ha, rừng trồng 510 ha, đất chưa có rừng 492 ha);</w:t>
      </w:r>
      <w:r>
        <w:rPr>
          <w:i/>
          <w:sz w:val="26"/>
          <w:szCs w:val="26"/>
          <w:lang w:val="it-IT"/>
        </w:rPr>
        <w:t xml:space="preserve"> Rừng </w:t>
      </w:r>
      <w:r>
        <w:rPr>
          <w:sz w:val="26"/>
          <w:szCs w:val="26"/>
          <w:lang w:val="it-IT"/>
        </w:rPr>
        <w:t>phòng hộ 115.971 ha (rừng tự nhiên 84.082 ha, rừng trồng 26.201 ha, đất</w:t>
      </w:r>
      <w:r>
        <w:rPr>
          <w:i/>
          <w:sz w:val="26"/>
          <w:szCs w:val="26"/>
          <w:lang w:val="it-IT"/>
        </w:rPr>
        <w:t xml:space="preserve"> </w:t>
      </w:r>
      <w:r>
        <w:rPr>
          <w:sz w:val="26"/>
          <w:szCs w:val="26"/>
          <w:lang w:val="it-IT"/>
        </w:rPr>
        <w:t>chưa có rừng 5.688 ha); Rừng sản xuất 168.000 ha (rừng tự nhiên 59.770 ha, rừng trồng 93.998 ha, đất</w:t>
      </w:r>
      <w:r>
        <w:rPr>
          <w:i/>
          <w:sz w:val="26"/>
          <w:szCs w:val="26"/>
          <w:lang w:val="it-IT"/>
        </w:rPr>
        <w:t xml:space="preserve"> </w:t>
      </w:r>
      <w:r>
        <w:rPr>
          <w:sz w:val="26"/>
          <w:szCs w:val="26"/>
          <w:lang w:val="it-IT"/>
        </w:rPr>
        <w:t>chưa có rừng 14.231 ha).</w:t>
      </w:r>
      <w:r>
        <w:rPr>
          <w:rFonts w:ascii="Arial" w:hAnsi="Arial" w:cs="Arial"/>
          <w:b/>
          <w:bCs/>
          <w:kern w:val="32"/>
          <w:sz w:val="26"/>
          <w:szCs w:val="26"/>
          <w:lang w:val="it-IT"/>
        </w:rPr>
        <w:t xml:space="preserve"> </w:t>
      </w:r>
      <w:r>
        <w:rPr>
          <w:sz w:val="26"/>
          <w:szCs w:val="26"/>
          <w:lang w:val="it-IT"/>
        </w:rPr>
        <w:t>Tỷ lệ che phủ rừng năm 2024 đạt 52,33%, năm 2023 đạt 52,58%, năm 2022 đạt 52,56%, năm 2021 đạt 52,25%, năm 2025 là 48,9 %.</w:t>
      </w:r>
    </w:p>
    <w:p w14:paraId="1C889F8C" w14:textId="77777777" w:rsidR="00085789" w:rsidRDefault="00000000">
      <w:pPr>
        <w:spacing w:before="120" w:line="240" w:lineRule="auto"/>
        <w:ind w:firstLine="709"/>
        <w:jc w:val="both"/>
        <w:rPr>
          <w:sz w:val="26"/>
          <w:szCs w:val="26"/>
          <w:lang w:val="it-IT"/>
        </w:rPr>
      </w:pPr>
      <w:r>
        <w:rPr>
          <w:sz w:val="26"/>
          <w:szCs w:val="26"/>
          <w:lang w:val="it-IT"/>
        </w:rPr>
        <w:t xml:space="preserve">Hàng năm, UBND tỉnh đã chỉ đạo kịp thời các biện pháp, giải pháp PCCCR, như: Xây dựng và triển khai thực hiện Kế hoạch, phương án PCCCR sát đúng với tình hình thực tế; kiểm tra, rà soát hệ thống các công trình, các trang thiết bị PCCCR để đầu tư xây dựng, tu sửa, mua sắm bổ sung kịp thời; </w:t>
      </w:r>
      <w:r>
        <w:rPr>
          <w:spacing w:val="-4"/>
          <w:sz w:val="26"/>
          <w:szCs w:val="26"/>
          <w:lang w:val="it-IT"/>
        </w:rPr>
        <w:t xml:space="preserve">kiểm tra, giám sát việc tổ chức thực hiện phương án PCCCR các chủ rừng và các địa phương theo phương châm </w:t>
      </w:r>
      <w:r>
        <w:rPr>
          <w:i/>
          <w:iCs/>
          <w:spacing w:val="-4"/>
          <w:sz w:val="26"/>
          <w:szCs w:val="26"/>
          <w:lang w:val="it-IT"/>
        </w:rPr>
        <w:t>“4</w:t>
      </w:r>
      <w:r>
        <w:rPr>
          <w:spacing w:val="-4"/>
          <w:sz w:val="26"/>
          <w:szCs w:val="26"/>
          <w:lang w:val="it-IT"/>
        </w:rPr>
        <w:t xml:space="preserve"> </w:t>
      </w:r>
      <w:r>
        <w:rPr>
          <w:i/>
          <w:iCs/>
          <w:spacing w:val="-4"/>
          <w:sz w:val="26"/>
          <w:szCs w:val="26"/>
          <w:lang w:val="it-IT"/>
        </w:rPr>
        <w:t xml:space="preserve">tại chỗ”; </w:t>
      </w:r>
      <w:r>
        <w:rPr>
          <w:spacing w:val="-4"/>
          <w:sz w:val="26"/>
          <w:szCs w:val="26"/>
          <w:lang w:val="it-IT"/>
        </w:rPr>
        <w:t>duy trì chế độ thường trực 24/24 giờ phát hiện sớm lửa rừng, giám sát người ra, vào các khu vực rừng dễ cháy; công tác tuyên truyền, phổ biến, giáo dục pháp luật nâng cao ý thức, trách nhiệm PCCCR luôn được quan tâm, chú trọng tổ chức thực hiện. Nên những năm gần đây số vụ cháy rừng và diện tích rừng thiệt hại giảm hẳn so với giai đoạn trước đây. Từ năm 2021 đến nay toàn tỉnh xảy ra 23 vụ cháy rừng, diện tích rừng thiệt hại 16,094 ha.</w:t>
      </w:r>
      <w:r>
        <w:rPr>
          <w:sz w:val="24"/>
          <w:szCs w:val="24"/>
          <w:lang w:val="it-IT"/>
        </w:rPr>
        <w:t xml:space="preserve"> </w:t>
      </w:r>
    </w:p>
    <w:p w14:paraId="405D8245" w14:textId="77777777" w:rsidR="00085789" w:rsidRDefault="00000000">
      <w:pPr>
        <w:pStyle w:val="-bac3"/>
        <w:spacing w:before="120" w:after="0" w:line="240" w:lineRule="auto"/>
        <w:rPr>
          <w:lang w:val="pt-BR"/>
        </w:rPr>
      </w:pPr>
      <w:bookmarkStart w:id="1439" w:name="_Toc55592324"/>
      <w:bookmarkStart w:id="1440" w:name="_Toc422410786"/>
      <w:bookmarkStart w:id="1441" w:name="_Toc54796370"/>
      <w:bookmarkStart w:id="1442" w:name="_Toc56737661"/>
      <w:bookmarkStart w:id="1443" w:name="_Toc56739102"/>
      <w:bookmarkStart w:id="1444" w:name="_Toc54794942"/>
      <w:bookmarkStart w:id="1445" w:name="_Toc55008002"/>
      <w:bookmarkStart w:id="1446" w:name="_Toc54794228"/>
      <w:bookmarkStart w:id="1447" w:name="_Toc54810659"/>
      <w:bookmarkStart w:id="1448" w:name="_Toc56736940"/>
      <w:bookmarkStart w:id="1449" w:name="_Toc55594885"/>
      <w:bookmarkStart w:id="1450" w:name="_Toc54795656"/>
      <w:bookmarkStart w:id="1451" w:name="_Toc56740608"/>
      <w:bookmarkStart w:id="1452" w:name="_Toc56739845"/>
      <w:bookmarkStart w:id="1453" w:name="_Toc214311297"/>
      <w:r>
        <w:rPr>
          <w:lang w:val="pt-BR"/>
        </w:rPr>
        <w:t>8.5.2. Đánh giá mức độ thực hiện các mục tiêu đề ra để khắc phục, phòng ngừa đối với sự cố môi trường</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5E5B64AF" w14:textId="77777777" w:rsidR="00085789" w:rsidRDefault="00000000">
      <w:pPr>
        <w:spacing w:before="80" w:line="240" w:lineRule="auto"/>
        <w:ind w:firstLine="720"/>
        <w:jc w:val="both"/>
        <w:rPr>
          <w:sz w:val="26"/>
          <w:szCs w:val="26"/>
          <w:lang w:val="pt-BR"/>
        </w:rPr>
      </w:pPr>
      <w:r>
        <w:rPr>
          <w:sz w:val="26"/>
          <w:szCs w:val="26"/>
          <w:lang w:val="pt-BR"/>
        </w:rPr>
        <w:t>UBND tỉnh đã ban hành Văn bản số 3748/UBND-NL</w:t>
      </w:r>
      <w:r>
        <w:rPr>
          <w:sz w:val="26"/>
          <w:szCs w:val="26"/>
          <w:vertAlign w:val="subscript"/>
          <w:lang w:val="pt-BR"/>
        </w:rPr>
        <w:t>3</w:t>
      </w:r>
      <w:r>
        <w:rPr>
          <w:sz w:val="26"/>
          <w:szCs w:val="26"/>
          <w:lang w:val="pt-BR"/>
        </w:rPr>
        <w:t xml:space="preserve"> ngày 18/6/2025 về việc triển khai thực hiện quy chế ứng phó sự cố chất thải theo Quyết định số 11/2025/QĐ-TTg ngày 23/4/2025 của Thủ tướng Chính phủ; chỉ đạo Sở Nông nghiệp và Môi tường xây dựng Kế hoạch ứng phó sự cố chất thải cấp tỉnh (hiện nay đang xây dựng dự thảo Kế hoạch).</w:t>
      </w:r>
    </w:p>
    <w:p w14:paraId="733282AF" w14:textId="77777777" w:rsidR="00085789" w:rsidRDefault="00000000">
      <w:pPr>
        <w:spacing w:before="80" w:line="240" w:lineRule="auto"/>
        <w:ind w:firstLine="720"/>
        <w:jc w:val="both"/>
        <w:rPr>
          <w:sz w:val="26"/>
          <w:szCs w:val="26"/>
          <w:lang w:val="pt-BR"/>
        </w:rPr>
      </w:pPr>
      <w:r>
        <w:rPr>
          <w:rFonts w:ascii="inherit" w:hAnsi="inherit"/>
          <w:sz w:val="26"/>
          <w:szCs w:val="26"/>
          <w:bdr w:val="none" w:sz="0" w:space="0" w:color="auto" w:frame="1"/>
          <w:lang w:val="pt-BR"/>
        </w:rPr>
        <w:t>C</w:t>
      </w:r>
      <w:r>
        <w:rPr>
          <w:rFonts w:ascii="inherit" w:hAnsi="inherit" w:hint="eastAsia"/>
          <w:sz w:val="26"/>
          <w:szCs w:val="26"/>
          <w:bdr w:val="none" w:sz="0" w:space="0" w:color="auto" w:frame="1"/>
          <w:lang w:val="pt-BR"/>
        </w:rPr>
        <w:t>á</w:t>
      </w:r>
      <w:r>
        <w:rPr>
          <w:rFonts w:ascii="inherit" w:hAnsi="inherit"/>
          <w:sz w:val="26"/>
          <w:szCs w:val="26"/>
          <w:bdr w:val="none" w:sz="0" w:space="0" w:color="auto" w:frame="1"/>
          <w:lang w:val="pt-BR"/>
        </w:rPr>
        <w:t>c c</w:t>
      </w:r>
      <w:r>
        <w:rPr>
          <w:rFonts w:ascii="inherit" w:hAnsi="inherit" w:hint="eastAsia"/>
          <w:sz w:val="26"/>
          <w:szCs w:val="26"/>
          <w:bdr w:val="none" w:sz="0" w:space="0" w:color="auto" w:frame="1"/>
          <w:lang w:val="pt-BR"/>
        </w:rPr>
        <w:t>ơ</w:t>
      </w:r>
      <w:r>
        <w:rPr>
          <w:rFonts w:ascii="inherit" w:hAnsi="inherit"/>
          <w:sz w:val="26"/>
          <w:szCs w:val="26"/>
          <w:bdr w:val="none" w:sz="0" w:space="0" w:color="auto" w:frame="1"/>
          <w:lang w:val="pt-BR"/>
        </w:rPr>
        <w:t xml:space="preserve"> sở sản xuất, kinh doanh, dịch vụ c</w:t>
      </w:r>
      <w:r>
        <w:rPr>
          <w:rFonts w:ascii="inherit" w:hAnsi="inherit" w:hint="eastAsia"/>
          <w:sz w:val="26"/>
          <w:szCs w:val="26"/>
          <w:bdr w:val="none" w:sz="0" w:space="0" w:color="auto" w:frame="1"/>
          <w:lang w:val="pt-BR"/>
        </w:rPr>
        <w:t>ó</w:t>
      </w:r>
      <w:r>
        <w:rPr>
          <w:rFonts w:ascii="inherit" w:hAnsi="inherit"/>
          <w:sz w:val="26"/>
          <w:szCs w:val="26"/>
          <w:bdr w:val="none" w:sz="0" w:space="0" w:color="auto" w:frame="1"/>
          <w:lang w:val="pt-BR"/>
        </w:rPr>
        <w:t xml:space="preserve"> quy m</w:t>
      </w:r>
      <w:r>
        <w:rPr>
          <w:rFonts w:ascii="inherit" w:hAnsi="inherit" w:hint="eastAsia"/>
          <w:sz w:val="26"/>
          <w:szCs w:val="26"/>
          <w:bdr w:val="none" w:sz="0" w:space="0" w:color="auto" w:frame="1"/>
          <w:lang w:val="pt-BR"/>
        </w:rPr>
        <w:t>ô</w:t>
      </w:r>
      <w:r>
        <w:rPr>
          <w:rFonts w:ascii="inherit" w:hAnsi="inherit"/>
          <w:sz w:val="26"/>
          <w:szCs w:val="26"/>
          <w:bdr w:val="none" w:sz="0" w:space="0" w:color="auto" w:frame="1"/>
          <w:lang w:val="pt-BR"/>
        </w:rPr>
        <w:t xml:space="preserve"> lớn, c</w:t>
      </w:r>
      <w:r>
        <w:rPr>
          <w:rFonts w:ascii="inherit" w:hAnsi="inherit" w:hint="eastAsia"/>
          <w:sz w:val="26"/>
          <w:szCs w:val="26"/>
          <w:bdr w:val="none" w:sz="0" w:space="0" w:color="auto" w:frame="1"/>
          <w:lang w:val="pt-BR"/>
        </w:rPr>
        <w:t>á</w:t>
      </w:r>
      <w:r>
        <w:rPr>
          <w:rFonts w:ascii="inherit" w:hAnsi="inherit"/>
          <w:sz w:val="26"/>
          <w:szCs w:val="26"/>
          <w:bdr w:val="none" w:sz="0" w:space="0" w:color="auto" w:frame="1"/>
          <w:lang w:val="pt-BR"/>
        </w:rPr>
        <w:t>c c</w:t>
      </w:r>
      <w:r>
        <w:rPr>
          <w:rFonts w:ascii="inherit" w:hAnsi="inherit" w:hint="eastAsia"/>
          <w:sz w:val="26"/>
          <w:szCs w:val="26"/>
          <w:bdr w:val="none" w:sz="0" w:space="0" w:color="auto" w:frame="1"/>
          <w:lang w:val="pt-BR"/>
        </w:rPr>
        <w:t>ơ</w:t>
      </w:r>
      <w:r>
        <w:rPr>
          <w:rFonts w:ascii="inherit" w:hAnsi="inherit"/>
          <w:sz w:val="26"/>
          <w:szCs w:val="26"/>
          <w:bdr w:val="none" w:sz="0" w:space="0" w:color="auto" w:frame="1"/>
          <w:lang w:val="pt-BR"/>
        </w:rPr>
        <w:t xml:space="preserve"> sở y tế tr</w:t>
      </w:r>
      <w:r>
        <w:rPr>
          <w:rFonts w:ascii="inherit" w:hAnsi="inherit" w:hint="eastAsia"/>
          <w:sz w:val="26"/>
          <w:szCs w:val="26"/>
          <w:bdr w:val="none" w:sz="0" w:space="0" w:color="auto" w:frame="1"/>
          <w:lang w:val="pt-BR"/>
        </w:rPr>
        <w:t>ê</w:t>
      </w:r>
      <w:r>
        <w:rPr>
          <w:rFonts w:ascii="inherit" w:hAnsi="inherit"/>
          <w:sz w:val="26"/>
          <w:szCs w:val="26"/>
          <w:bdr w:val="none" w:sz="0" w:space="0" w:color="auto" w:frame="1"/>
          <w:lang w:val="pt-BR"/>
        </w:rPr>
        <w:t xml:space="preserve">n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ịa b</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 xml:space="preserve">n tỉnh hiện nay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ều </w:t>
      </w:r>
      <w:r>
        <w:rPr>
          <w:rFonts w:ascii="inherit" w:hAnsi="inherit" w:hint="eastAsia"/>
          <w:sz w:val="26"/>
          <w:szCs w:val="26"/>
          <w:bdr w:val="none" w:sz="0" w:space="0" w:color="auto" w:frame="1"/>
          <w:lang w:val="pt-BR"/>
        </w:rPr>
        <w:t>đã</w:t>
      </w:r>
      <w:r>
        <w:rPr>
          <w:rFonts w:ascii="inherit" w:hAnsi="inherit"/>
          <w:sz w:val="26"/>
          <w:szCs w:val="26"/>
          <w:bdr w:val="none" w:sz="0" w:space="0" w:color="auto" w:frame="1"/>
          <w:lang w:val="pt-BR"/>
        </w:rPr>
        <w:t xml:space="preserve"> x</w:t>
      </w:r>
      <w:r>
        <w:rPr>
          <w:rFonts w:ascii="inherit" w:hAnsi="inherit" w:hint="eastAsia"/>
          <w:sz w:val="26"/>
          <w:szCs w:val="26"/>
          <w:bdr w:val="none" w:sz="0" w:space="0" w:color="auto" w:frame="1"/>
          <w:lang w:val="pt-BR"/>
        </w:rPr>
        <w:t>â</w:t>
      </w:r>
      <w:r>
        <w:rPr>
          <w:rFonts w:ascii="inherit" w:hAnsi="inherit"/>
          <w:sz w:val="26"/>
          <w:szCs w:val="26"/>
          <w:bdr w:val="none" w:sz="0" w:space="0" w:color="auto" w:frame="1"/>
          <w:lang w:val="pt-BR"/>
        </w:rPr>
        <w:t>y dựng, ban h</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nh kế hoạch ứng ph</w:t>
      </w:r>
      <w:r>
        <w:rPr>
          <w:rFonts w:ascii="inherit" w:hAnsi="inherit" w:hint="eastAsia"/>
          <w:sz w:val="26"/>
          <w:szCs w:val="26"/>
          <w:bdr w:val="none" w:sz="0" w:space="0" w:color="auto" w:frame="1"/>
          <w:lang w:val="pt-BR"/>
        </w:rPr>
        <w:t>ó</w:t>
      </w:r>
      <w:r>
        <w:rPr>
          <w:rFonts w:ascii="inherit" w:hAnsi="inherit"/>
          <w:sz w:val="26"/>
          <w:szCs w:val="26"/>
          <w:bdr w:val="none" w:sz="0" w:space="0" w:color="auto" w:frame="1"/>
          <w:lang w:val="pt-BR"/>
        </w:rPr>
        <w:t xml:space="preserve"> sự cố m</w:t>
      </w:r>
      <w:r>
        <w:rPr>
          <w:rFonts w:ascii="inherit" w:hAnsi="inherit" w:hint="eastAsia"/>
          <w:sz w:val="26"/>
          <w:szCs w:val="26"/>
          <w:bdr w:val="none" w:sz="0" w:space="0" w:color="auto" w:frame="1"/>
          <w:lang w:val="pt-BR"/>
        </w:rPr>
        <w:t>ô</w:t>
      </w:r>
      <w:r>
        <w:rPr>
          <w:rFonts w:ascii="inherit" w:hAnsi="inherit"/>
          <w:sz w:val="26"/>
          <w:szCs w:val="26"/>
          <w:bdr w:val="none" w:sz="0" w:space="0" w:color="auto" w:frame="1"/>
          <w:lang w:val="pt-BR"/>
        </w:rPr>
        <w:t>i tr</w:t>
      </w:r>
      <w:r>
        <w:rPr>
          <w:rFonts w:ascii="inherit" w:hAnsi="inherit" w:hint="eastAsia"/>
          <w:sz w:val="26"/>
          <w:szCs w:val="26"/>
          <w:bdr w:val="none" w:sz="0" w:space="0" w:color="auto" w:frame="1"/>
          <w:lang w:val="pt-BR"/>
        </w:rPr>
        <w:t>ư</w:t>
      </w:r>
      <w:r>
        <w:rPr>
          <w:rFonts w:ascii="inherit" w:hAnsi="inherit"/>
          <w:sz w:val="26"/>
          <w:szCs w:val="26"/>
          <w:bdr w:val="none" w:sz="0" w:space="0" w:color="auto" w:frame="1"/>
          <w:lang w:val="pt-BR"/>
        </w:rPr>
        <w:t xml:space="preserve">ờng theo quy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ịnh tại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iểm d khoản 4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iều 124 Luật Bảo vệ m</w:t>
      </w:r>
      <w:r>
        <w:rPr>
          <w:rFonts w:ascii="inherit" w:hAnsi="inherit" w:hint="eastAsia"/>
          <w:sz w:val="26"/>
          <w:szCs w:val="26"/>
          <w:bdr w:val="none" w:sz="0" w:space="0" w:color="auto" w:frame="1"/>
          <w:lang w:val="pt-BR"/>
        </w:rPr>
        <w:t>ô</w:t>
      </w:r>
      <w:r>
        <w:rPr>
          <w:rFonts w:ascii="inherit" w:hAnsi="inherit"/>
          <w:sz w:val="26"/>
          <w:szCs w:val="26"/>
          <w:bdr w:val="none" w:sz="0" w:space="0" w:color="auto" w:frame="1"/>
          <w:lang w:val="pt-BR"/>
        </w:rPr>
        <w:t>i tr</w:t>
      </w:r>
      <w:r>
        <w:rPr>
          <w:rFonts w:ascii="inherit" w:hAnsi="inherit" w:hint="eastAsia"/>
          <w:sz w:val="26"/>
          <w:szCs w:val="26"/>
          <w:bdr w:val="none" w:sz="0" w:space="0" w:color="auto" w:frame="1"/>
          <w:lang w:val="pt-BR"/>
        </w:rPr>
        <w:t>ư</w:t>
      </w:r>
      <w:r>
        <w:rPr>
          <w:rFonts w:ascii="inherit" w:hAnsi="inherit"/>
          <w:sz w:val="26"/>
          <w:szCs w:val="26"/>
          <w:bdr w:val="none" w:sz="0" w:space="0" w:color="auto" w:frame="1"/>
          <w:lang w:val="pt-BR"/>
        </w:rPr>
        <w:t>ờng n</w:t>
      </w:r>
      <w:r>
        <w:rPr>
          <w:rFonts w:ascii="inherit" w:hAnsi="inherit" w:hint="eastAsia"/>
          <w:sz w:val="26"/>
          <w:szCs w:val="26"/>
          <w:bdr w:val="none" w:sz="0" w:space="0" w:color="auto" w:frame="1"/>
          <w:lang w:val="pt-BR"/>
        </w:rPr>
        <w:t>ă</w:t>
      </w:r>
      <w:r>
        <w:rPr>
          <w:rFonts w:ascii="inherit" w:hAnsi="inherit"/>
          <w:sz w:val="26"/>
          <w:szCs w:val="26"/>
          <w:bdr w:val="none" w:sz="0" w:space="0" w:color="auto" w:frame="1"/>
          <w:lang w:val="pt-BR"/>
        </w:rPr>
        <w:t xml:space="preserve">m 2020, khoản 1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iều 109 Nghị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ịnh số 08/2022/N</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-CP ng</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y 10/01/2022 của Ch</w:t>
      </w:r>
      <w:r>
        <w:rPr>
          <w:rFonts w:ascii="inherit" w:hAnsi="inherit" w:hint="eastAsia"/>
          <w:sz w:val="26"/>
          <w:szCs w:val="26"/>
          <w:bdr w:val="none" w:sz="0" w:space="0" w:color="auto" w:frame="1"/>
          <w:lang w:val="pt-BR"/>
        </w:rPr>
        <w:t>í</w:t>
      </w:r>
      <w:r>
        <w:rPr>
          <w:rFonts w:ascii="inherit" w:hAnsi="inherit"/>
          <w:sz w:val="26"/>
          <w:szCs w:val="26"/>
          <w:bdr w:val="none" w:sz="0" w:space="0" w:color="auto" w:frame="1"/>
          <w:lang w:val="pt-BR"/>
        </w:rPr>
        <w:t xml:space="preserve">nh phủ,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iểm a khoản 1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 xml:space="preserve">iều 4 Quyết </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ịnh số 11/2025/Q</w:t>
      </w:r>
      <w:r>
        <w:rPr>
          <w:rFonts w:ascii="inherit" w:hAnsi="inherit" w:hint="eastAsia"/>
          <w:sz w:val="26"/>
          <w:szCs w:val="26"/>
          <w:bdr w:val="none" w:sz="0" w:space="0" w:color="auto" w:frame="1"/>
          <w:lang w:val="pt-BR"/>
        </w:rPr>
        <w:t>Đ</w:t>
      </w:r>
      <w:r>
        <w:rPr>
          <w:rFonts w:ascii="inherit" w:hAnsi="inherit"/>
          <w:sz w:val="26"/>
          <w:szCs w:val="26"/>
          <w:bdr w:val="none" w:sz="0" w:space="0" w:color="auto" w:frame="1"/>
          <w:lang w:val="pt-BR"/>
        </w:rPr>
        <w:t>-TTg ng</w:t>
      </w:r>
      <w:r>
        <w:rPr>
          <w:rFonts w:ascii="inherit" w:hAnsi="inherit" w:hint="eastAsia"/>
          <w:sz w:val="26"/>
          <w:szCs w:val="26"/>
          <w:bdr w:val="none" w:sz="0" w:space="0" w:color="auto" w:frame="1"/>
          <w:lang w:val="pt-BR"/>
        </w:rPr>
        <w:t>à</w:t>
      </w:r>
      <w:r>
        <w:rPr>
          <w:rFonts w:ascii="inherit" w:hAnsi="inherit"/>
          <w:sz w:val="26"/>
          <w:szCs w:val="26"/>
          <w:bdr w:val="none" w:sz="0" w:space="0" w:color="auto" w:frame="1"/>
          <w:lang w:val="pt-BR"/>
        </w:rPr>
        <w:t>y 23/4/2025 của Thủ t</w:t>
      </w:r>
      <w:r>
        <w:rPr>
          <w:rFonts w:ascii="inherit" w:hAnsi="inherit" w:hint="eastAsia"/>
          <w:sz w:val="26"/>
          <w:szCs w:val="26"/>
          <w:bdr w:val="none" w:sz="0" w:space="0" w:color="auto" w:frame="1"/>
          <w:lang w:val="pt-BR"/>
        </w:rPr>
        <w:t>ư</w:t>
      </w:r>
      <w:r>
        <w:rPr>
          <w:rFonts w:ascii="inherit" w:hAnsi="inherit"/>
          <w:sz w:val="26"/>
          <w:szCs w:val="26"/>
          <w:bdr w:val="none" w:sz="0" w:space="0" w:color="auto" w:frame="1"/>
          <w:lang w:val="pt-BR"/>
        </w:rPr>
        <w:t>ớng Ch</w:t>
      </w:r>
      <w:r>
        <w:rPr>
          <w:rFonts w:ascii="inherit" w:hAnsi="inherit" w:hint="eastAsia"/>
          <w:sz w:val="26"/>
          <w:szCs w:val="26"/>
          <w:bdr w:val="none" w:sz="0" w:space="0" w:color="auto" w:frame="1"/>
          <w:lang w:val="pt-BR"/>
        </w:rPr>
        <w:t>í</w:t>
      </w:r>
      <w:r>
        <w:rPr>
          <w:rFonts w:ascii="inherit" w:hAnsi="inherit"/>
          <w:sz w:val="26"/>
          <w:szCs w:val="26"/>
          <w:bdr w:val="none" w:sz="0" w:space="0" w:color="auto" w:frame="1"/>
          <w:lang w:val="pt-BR"/>
        </w:rPr>
        <w:t xml:space="preserve">nh phủ. </w:t>
      </w:r>
      <w:r>
        <w:rPr>
          <w:sz w:val="26"/>
          <w:szCs w:val="26"/>
          <w:lang w:val="pt-BR"/>
        </w:rPr>
        <w:t>Thực hiện trách nhiệm phòng ngừa sự cố môi trường, chuẩn bị ứng phó sự cố môi trường, tổ chức ứng phó sự cố môi trường, phục hồi môi trường sau sự cố môi trường theo quy định tại các Điều 122, 125, 126 Luật Bảo vệ môi trường năm 2020.</w:t>
      </w:r>
    </w:p>
    <w:p w14:paraId="73CC701A" w14:textId="77777777" w:rsidR="00085789" w:rsidRDefault="00000000">
      <w:pPr>
        <w:keepNext/>
        <w:spacing w:before="80" w:line="240" w:lineRule="auto"/>
        <w:ind w:firstLine="720"/>
        <w:jc w:val="both"/>
        <w:outlineLvl w:val="0"/>
        <w:rPr>
          <w:b/>
          <w:bCs/>
          <w:kern w:val="32"/>
          <w:position w:val="-6"/>
          <w:sz w:val="26"/>
          <w:szCs w:val="26"/>
          <w:lang w:val="pt-BR"/>
        </w:rPr>
      </w:pPr>
      <w:r>
        <w:rPr>
          <w:sz w:val="26"/>
          <w:szCs w:val="26"/>
          <w:lang w:val="pt-BR"/>
        </w:rPr>
        <w:t xml:space="preserve">Việc tăng cường phòng ngừa, ứng phó sự cố chất thải còn được thực hiện thông qua hệ thống quan trắc môi trường tự động, liên tục, định kỳ; việc kiểm tra chấp hành pháp luật về bảo vệ môi trường của các cơ quan quản lý nhà nước; việc xử lý các thông tin kiến nghị, phán ánh của các tổ chức và cá nhân về ô nhiễm môi trường. </w:t>
      </w:r>
      <w:bookmarkStart w:id="1454" w:name="_Toc56739846"/>
      <w:bookmarkStart w:id="1455" w:name="_Toc54810660"/>
      <w:bookmarkStart w:id="1456" w:name="_Toc54795657"/>
      <w:bookmarkStart w:id="1457" w:name="_Toc55008003"/>
      <w:bookmarkStart w:id="1458" w:name="_Toc56737662"/>
      <w:bookmarkStart w:id="1459" w:name="_Toc56739103"/>
      <w:bookmarkStart w:id="1460" w:name="_Toc56740609"/>
      <w:bookmarkStart w:id="1461" w:name="_Toc54796371"/>
      <w:bookmarkStart w:id="1462" w:name="_Toc55592325"/>
      <w:bookmarkStart w:id="1463" w:name="_Toc56736941"/>
      <w:bookmarkStart w:id="1464" w:name="_Toc54794229"/>
      <w:bookmarkStart w:id="1465" w:name="_Toc54794943"/>
      <w:bookmarkStart w:id="1466" w:name="_Toc55594886"/>
      <w:bookmarkStart w:id="1467" w:name="_Toc421888796"/>
      <w:bookmarkStart w:id="1468" w:name="_Toc423076237"/>
      <w:bookmarkStart w:id="1469" w:name="_Toc423075983"/>
    </w:p>
    <w:p w14:paraId="04F59175" w14:textId="77777777" w:rsidR="00085789" w:rsidRDefault="00085789">
      <w:pPr>
        <w:rPr>
          <w:sz w:val="26"/>
          <w:szCs w:val="26"/>
          <w:lang w:val="pt-BR"/>
        </w:rPr>
      </w:pPr>
    </w:p>
    <w:p w14:paraId="5BD9DA4B" w14:textId="77777777" w:rsidR="00085789" w:rsidRDefault="00085789">
      <w:pPr>
        <w:rPr>
          <w:sz w:val="26"/>
          <w:szCs w:val="26"/>
          <w:lang w:val="pt-BR"/>
        </w:rPr>
      </w:pPr>
    </w:p>
    <w:p w14:paraId="4F985034" w14:textId="77777777" w:rsidR="00085789" w:rsidRDefault="00085789">
      <w:pPr>
        <w:rPr>
          <w:sz w:val="26"/>
          <w:szCs w:val="26"/>
          <w:lang w:val="pt-BR"/>
        </w:rPr>
      </w:pPr>
    </w:p>
    <w:p w14:paraId="2149B661" w14:textId="77777777" w:rsidR="00085789" w:rsidRDefault="00085789">
      <w:pPr>
        <w:rPr>
          <w:sz w:val="26"/>
          <w:szCs w:val="26"/>
          <w:lang w:val="pt-BR"/>
        </w:rPr>
      </w:pPr>
    </w:p>
    <w:p w14:paraId="23E678C3" w14:textId="77777777" w:rsidR="00085789" w:rsidRDefault="00085789">
      <w:pPr>
        <w:pStyle w:val="-bac1"/>
        <w:spacing w:before="0" w:after="0" w:line="240" w:lineRule="auto"/>
        <w:rPr>
          <w:lang w:val="pt-BR"/>
        </w:rPr>
      </w:pPr>
      <w:bookmarkStart w:id="1470" w:name="_Toc214311298"/>
    </w:p>
    <w:p w14:paraId="5BB39C4B" w14:textId="77777777" w:rsidR="00085789" w:rsidRDefault="00085789">
      <w:pPr>
        <w:pStyle w:val="-bac1"/>
        <w:spacing w:before="0" w:after="0" w:line="240" w:lineRule="auto"/>
        <w:rPr>
          <w:lang w:val="pt-BR"/>
        </w:rPr>
      </w:pPr>
    </w:p>
    <w:p w14:paraId="147FBFB7" w14:textId="77777777" w:rsidR="00085789" w:rsidRDefault="00085789">
      <w:pPr>
        <w:pStyle w:val="-bac1"/>
        <w:spacing w:before="0" w:after="0" w:line="240" w:lineRule="auto"/>
        <w:rPr>
          <w:lang w:val="pt-BR"/>
        </w:rPr>
      </w:pPr>
    </w:p>
    <w:p w14:paraId="03EA9A7D" w14:textId="77777777" w:rsidR="00085789" w:rsidRDefault="00000000">
      <w:pPr>
        <w:pStyle w:val="-bac1"/>
        <w:spacing w:before="0" w:after="0" w:line="240" w:lineRule="auto"/>
        <w:rPr>
          <w:lang w:val="pt-BR"/>
        </w:rPr>
      </w:pPr>
      <w:r>
        <w:rPr>
          <w:lang w:val="pt-BR"/>
        </w:rPr>
        <w:lastRenderedPageBreak/>
        <w:t>Chương IX</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70"/>
    </w:p>
    <w:p w14:paraId="5A355A11" w14:textId="77777777" w:rsidR="00085789" w:rsidRDefault="00000000">
      <w:pPr>
        <w:keepNext/>
        <w:spacing w:line="240" w:lineRule="auto"/>
        <w:jc w:val="center"/>
        <w:outlineLvl w:val="0"/>
        <w:rPr>
          <w:b/>
          <w:bCs/>
          <w:kern w:val="32"/>
          <w:position w:val="-6"/>
          <w:sz w:val="26"/>
          <w:szCs w:val="26"/>
          <w:lang w:val="pt-BR"/>
        </w:rPr>
      </w:pPr>
      <w:bookmarkStart w:id="1471" w:name="_Toc54810661"/>
      <w:bookmarkStart w:id="1472" w:name="_Toc56737663"/>
      <w:bookmarkStart w:id="1473" w:name="_Toc54796372"/>
      <w:bookmarkStart w:id="1474" w:name="_Toc56740610"/>
      <w:bookmarkStart w:id="1475" w:name="_Toc56739847"/>
      <w:bookmarkStart w:id="1476" w:name="_Toc54794230"/>
      <w:bookmarkStart w:id="1477" w:name="_Toc54795658"/>
      <w:bookmarkStart w:id="1478" w:name="_Toc55008004"/>
      <w:bookmarkStart w:id="1479" w:name="_Toc55592326"/>
      <w:bookmarkStart w:id="1480" w:name="_Toc55594887"/>
      <w:bookmarkStart w:id="1481" w:name="_Toc56736942"/>
      <w:bookmarkStart w:id="1482" w:name="_Toc54794944"/>
      <w:bookmarkStart w:id="1483" w:name="_Toc56739104"/>
      <w:r>
        <w:rPr>
          <w:b/>
          <w:bCs/>
          <w:kern w:val="32"/>
          <w:position w:val="-6"/>
          <w:sz w:val="26"/>
          <w:szCs w:val="26"/>
          <w:lang w:val="pt-BR"/>
        </w:rPr>
        <w:t>TÁC ĐỘNG CỦA Ô NHIỄM MÔI TRƯỜNG</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4BCD21E8" w14:textId="77777777" w:rsidR="00085789" w:rsidRDefault="00085789">
      <w:pPr>
        <w:keepNext/>
        <w:spacing w:line="240" w:lineRule="auto"/>
        <w:jc w:val="center"/>
        <w:outlineLvl w:val="0"/>
        <w:rPr>
          <w:b/>
          <w:bCs/>
          <w:kern w:val="32"/>
          <w:position w:val="-6"/>
          <w:sz w:val="26"/>
          <w:szCs w:val="26"/>
          <w:lang w:val="pt-BR"/>
        </w:rPr>
      </w:pPr>
    </w:p>
    <w:p w14:paraId="179A920F" w14:textId="77777777" w:rsidR="00085789" w:rsidRDefault="00000000">
      <w:pPr>
        <w:pStyle w:val="bac2"/>
        <w:spacing w:before="120" w:after="0" w:line="240" w:lineRule="auto"/>
        <w:rPr>
          <w:lang w:val="pt-BR"/>
        </w:rPr>
      </w:pPr>
      <w:bookmarkStart w:id="1484" w:name="_Toc214311299"/>
      <w:bookmarkStart w:id="1485" w:name="_Toc56740611"/>
      <w:bookmarkStart w:id="1486" w:name="_Toc54794945"/>
      <w:bookmarkStart w:id="1487" w:name="_Toc56737664"/>
      <w:bookmarkStart w:id="1488" w:name="_Toc54810662"/>
      <w:bookmarkStart w:id="1489" w:name="_Toc55592327"/>
      <w:bookmarkStart w:id="1490" w:name="_Toc54794231"/>
      <w:bookmarkStart w:id="1491" w:name="_Toc56739105"/>
      <w:bookmarkStart w:id="1492" w:name="_Toc54796373"/>
      <w:bookmarkStart w:id="1493" w:name="_Toc55594888"/>
      <w:bookmarkStart w:id="1494" w:name="_Toc56739848"/>
      <w:bookmarkStart w:id="1495" w:name="_Toc56736943"/>
      <w:bookmarkStart w:id="1496" w:name="_Toc54795659"/>
      <w:bookmarkStart w:id="1497" w:name="_Toc55008005"/>
      <w:r>
        <w:rPr>
          <w:lang w:val="pt-BR"/>
        </w:rPr>
        <w:t>9.1. Tác động của ô nhiễm môi trường đối với sức khỏe con người</w:t>
      </w:r>
      <w:bookmarkEnd w:id="1484"/>
    </w:p>
    <w:p w14:paraId="1FE1F596" w14:textId="77777777" w:rsidR="00085789" w:rsidRDefault="00000000">
      <w:pPr>
        <w:pStyle w:val="-bac3"/>
        <w:spacing w:before="120" w:after="0" w:line="240" w:lineRule="auto"/>
        <w:rPr>
          <w:lang w:val="pt-BR"/>
        </w:rPr>
      </w:pPr>
      <w:bookmarkStart w:id="1498" w:name="_Toc214311300"/>
      <w:r>
        <w:rPr>
          <w:lang w:val="pt-BR"/>
        </w:rPr>
        <w:t>9.1.1. Tác động trực tiếp do ô nhiễm môi trường nước</w:t>
      </w:r>
      <w:bookmarkEnd w:id="1498"/>
      <w:r>
        <w:rPr>
          <w:lang w:val="pt-BR"/>
        </w:rPr>
        <w:t xml:space="preserve"> </w:t>
      </w:r>
    </w:p>
    <w:p w14:paraId="3A972E72" w14:textId="77777777" w:rsidR="00085789" w:rsidRDefault="00000000">
      <w:pPr>
        <w:spacing w:before="120" w:line="240" w:lineRule="auto"/>
        <w:ind w:firstLine="709"/>
        <w:jc w:val="both"/>
        <w:rPr>
          <w:sz w:val="26"/>
          <w:szCs w:val="26"/>
          <w:lang w:val="pt-BR"/>
        </w:rPr>
      </w:pPr>
      <w:r>
        <w:rPr>
          <w:sz w:val="26"/>
          <w:szCs w:val="26"/>
          <w:lang w:val="pt-BR"/>
        </w:rPr>
        <w:t>Ô nhiễm môi trường nước tác động trực tiếp đến sức khoẻ, là nguyên nhân gây các bệnh như tiêu chảy (do virut, vi khuẩn, vi sinh vật đơn bào), lỵ trực trùng, tả, thương hàn, viêm gan A, giun, sán, sốt xuất huyết, thủy đậu,…. Các con sông là nguồn cung cấp nước sinh hoạt chính cho đô thị và nông thôn; đặc biệt người dân ở nông thôn và người có thu nhập thấp thường sử dụng trực tiếp nước sông nên thường bị mắc các bệnh đường ruột, phụ khoa, da liễu,….</w:t>
      </w:r>
    </w:p>
    <w:p w14:paraId="54DD92AC" w14:textId="77777777" w:rsidR="00085789" w:rsidRDefault="00000000">
      <w:pPr>
        <w:spacing w:before="120" w:line="240" w:lineRule="auto"/>
        <w:ind w:firstLine="709"/>
        <w:jc w:val="both"/>
        <w:rPr>
          <w:sz w:val="26"/>
          <w:szCs w:val="26"/>
          <w:lang w:val="pt-BR"/>
        </w:rPr>
      </w:pPr>
      <w:r>
        <w:rPr>
          <w:sz w:val="26"/>
          <w:szCs w:val="26"/>
          <w:lang w:val="pt-BR"/>
        </w:rPr>
        <w:t>Ảnh hưởng của hoạt động giao thông vận tải đến nguồn nước mặt và nước ngầm là không đáng kể tại một thời điểm, đây là nguồn ô nhiễm phân tán, tuy nhiên ảnh hưởng lâu dài của hoạt động này thì khó có thể dự đoán được. Khói, bụi, dầu mỡ do các phương tiện giao thông sinh ra đa phần lắng trên mặt đất, mặt đường. Tất cả các chất sẽ chuyển về các nguồn nước mặt do tác động của mưa và từ nguồn nước mặt.</w:t>
      </w:r>
    </w:p>
    <w:p w14:paraId="5350A05B" w14:textId="77777777" w:rsidR="00085789" w:rsidRDefault="00000000">
      <w:pPr>
        <w:spacing w:before="120" w:line="240" w:lineRule="auto"/>
        <w:ind w:firstLine="709"/>
        <w:jc w:val="both"/>
        <w:rPr>
          <w:sz w:val="26"/>
          <w:szCs w:val="26"/>
          <w:lang w:val="pt-BR"/>
        </w:rPr>
      </w:pPr>
      <w:r>
        <w:rPr>
          <w:sz w:val="26"/>
          <w:szCs w:val="26"/>
          <w:lang w:val="pt-BR"/>
        </w:rPr>
        <w:t>Hoạt động khoan thăm dò địa chất, đào móng, san ủi nền đều có thể ảnh hưởng đến nước ngầm, tạo điều kiện cho việc tiếp xúc của nước mặt với nước ngầm được nhanh chóng hơn, không được lọc qua các tầng đất. Mặt khác, nó cũng đưa trực tiếp oxi không khí xâm nhập vào các tầng chứa nước làm biến đổi môi trường nước dưới đất.</w:t>
      </w:r>
    </w:p>
    <w:p w14:paraId="5724B506" w14:textId="77777777" w:rsidR="00085789" w:rsidRDefault="00000000">
      <w:pPr>
        <w:pStyle w:val="-bac3"/>
        <w:spacing w:before="120" w:after="0" w:line="240" w:lineRule="auto"/>
        <w:rPr>
          <w:lang w:val="pt-BR"/>
        </w:rPr>
      </w:pPr>
      <w:bookmarkStart w:id="1499" w:name="_Toc214311301"/>
      <w:r>
        <w:rPr>
          <w:lang w:val="pt-BR"/>
        </w:rPr>
        <w:t>9.1.2. Tác động trực tiếp do ô nhiễm môi trường không khí</w:t>
      </w:r>
      <w:bookmarkEnd w:id="1499"/>
      <w:r>
        <w:rPr>
          <w:lang w:val="pt-BR"/>
        </w:rPr>
        <w:t xml:space="preserve"> </w:t>
      </w:r>
    </w:p>
    <w:p w14:paraId="36418B96" w14:textId="77777777" w:rsidR="00085789" w:rsidRDefault="00000000">
      <w:pPr>
        <w:spacing w:before="120" w:line="240" w:lineRule="auto"/>
        <w:ind w:firstLine="709"/>
        <w:jc w:val="both"/>
        <w:rPr>
          <w:sz w:val="26"/>
          <w:szCs w:val="26"/>
          <w:lang w:val="pt-BR"/>
        </w:rPr>
      </w:pPr>
      <w:r>
        <w:rPr>
          <w:sz w:val="26"/>
          <w:szCs w:val="26"/>
          <w:lang w:val="pt-BR"/>
        </w:rPr>
        <w:t xml:space="preserve">Ô nhiễm không khí có những ảnh hưởng lớn đến sức khoẻ, đặc biệt đối với đường hô hấp. Kết quả nghiên cứu cho thấy, khi môi trường không khí bị ô nhiễm, sức khoẻ con người bị suy giảm, quá trình lão hóa trong cơ thể diễn ra nhanh; các chức năng của cơ quan hô hấp suy giảm, gây ra các bệnh hen suyễn, viêm phế quản, tim mạch,... và làm giảm tuổi thọ của con người. Các nhóm cộng đồng nhạy cảm nhất với ô nhiễm không khí là người cao tuổi, phụ nữ mang thai, trẻ em dưới 14 tuổi, người đang mang bệnh, người lao động thường xuyên phải làm việc ngoài trời,....; mức độ ảnh hưởng của từng người tuỳ thuộc vào tình trạng sức khoẻ, nồng độ, loại chất và thời gian tiếp xúc với môi trường ô nhiễm. </w:t>
      </w:r>
    </w:p>
    <w:p w14:paraId="0B94BC42" w14:textId="77777777" w:rsidR="00085789" w:rsidRDefault="00000000">
      <w:pPr>
        <w:spacing w:before="120" w:line="240" w:lineRule="auto"/>
        <w:ind w:firstLine="709"/>
        <w:jc w:val="both"/>
        <w:rPr>
          <w:sz w:val="26"/>
          <w:szCs w:val="26"/>
          <w:lang w:val="pt-BR"/>
        </w:rPr>
      </w:pPr>
      <w:r>
        <w:rPr>
          <w:sz w:val="26"/>
          <w:szCs w:val="26"/>
          <w:lang w:val="pt-BR"/>
        </w:rPr>
        <w:t xml:space="preserve">Ô nhiễm tiếng ồn gây điếc, cao huyết áp, trầm cảm và bệnh mất ngủ. Tiếng ồn còn có tác hại về tâm lý, gây khó chịu, lo lắng, bực bội, dễ cáu gắt, sợ hãi, ám ảnh, làm mất tập trung chú ý, dễ nhầm lẫn, ăn mất ngon,.... Nếu tiếp xúc với tiếng ồn cao từ 85 dB trở lên trong 6 giờ/ngày trong thời gian 3 tháng có thể dẫn đến điếc. </w:t>
      </w:r>
    </w:p>
    <w:p w14:paraId="6406DD62" w14:textId="77777777" w:rsidR="00085789" w:rsidRDefault="00000000">
      <w:pPr>
        <w:spacing w:before="120" w:line="240" w:lineRule="auto"/>
        <w:ind w:firstLine="709"/>
        <w:jc w:val="both"/>
        <w:rPr>
          <w:sz w:val="26"/>
          <w:szCs w:val="26"/>
          <w:lang w:val="pt-BR"/>
        </w:rPr>
      </w:pPr>
      <w:r>
        <w:rPr>
          <w:sz w:val="26"/>
          <w:szCs w:val="26"/>
          <w:lang w:val="pt-BR"/>
        </w:rPr>
        <w:t>Ô nhiễm không khí ngày càng được xem là một yếu tố quan trọng và làm tăng nguy cơ bệnh tim mạch ở thành thị. Dù chỉ tiếp xúc ngắn hạn với không khí ô nhiễm thì vẫn có thể xảy ra biến cố xấu đối với hệ tim mạch như đau thắt ngực, nhồi máu cơ tim và suy tim. Trong trường hợp tiếp xúc dài hạn với không khí ô nhiễm, nguy cơ tử vong vì bệnh mạch vành tim hoàn toàn có thể xảy ra.</w:t>
      </w:r>
    </w:p>
    <w:p w14:paraId="7667D549" w14:textId="7BEE7970" w:rsidR="00085789" w:rsidRDefault="00000000">
      <w:pPr>
        <w:spacing w:before="120" w:line="240" w:lineRule="auto"/>
        <w:ind w:firstLine="709"/>
        <w:jc w:val="both"/>
        <w:rPr>
          <w:lang w:val="pt-BR"/>
        </w:rPr>
      </w:pPr>
      <w:r>
        <w:rPr>
          <w:lang w:val="pt-BR"/>
        </w:rPr>
        <w:t xml:space="preserve"> </w:t>
      </w:r>
      <w:r>
        <w:rPr>
          <w:sz w:val="26"/>
          <w:szCs w:val="26"/>
          <w:lang w:val="pt-BR"/>
        </w:rPr>
        <w:t>Theo số liệu quan trắc hiện trạng môi trường không khí xung quanh trên địa bàn</w:t>
      </w:r>
      <w:r>
        <w:rPr>
          <w:sz w:val="26"/>
          <w:szCs w:val="26"/>
          <w:lang w:val="pt-BR"/>
        </w:rPr>
        <w:br/>
        <w:t>tỉnh từ năm 2021-2025 cho thấy chất lượng không khí tương đối tốt. Tuy nhiên, tại một số</w:t>
      </w:r>
      <w:r>
        <w:rPr>
          <w:noProof/>
          <w:spacing w:val="-6"/>
          <w:sz w:val="26"/>
          <w:szCs w:val="26"/>
          <w:lang w:val="nl-NL"/>
        </w:rPr>
        <w:t xml:space="preserve"> khu vực </w:t>
      </w:r>
      <w:r>
        <w:rPr>
          <w:sz w:val="26"/>
          <w:szCs w:val="26"/>
          <w:lang w:val="pt-BR"/>
        </w:rPr>
        <w:t>trước đây</w:t>
      </w:r>
      <w:r>
        <w:rPr>
          <w:noProof/>
          <w:spacing w:val="-6"/>
          <w:sz w:val="26"/>
          <w:szCs w:val="26"/>
          <w:lang w:val="nl-NL"/>
        </w:rPr>
        <w:t xml:space="preserve"> như trước cổng Vincom tại phường Hà Huy Tập, ngã 4 phường Đậu Liêu, ngã 3 Gia Lách, ngã 3 thị trấn Cẩm Xuyên và Ngã 3 Việt Lào </w:t>
      </w:r>
      <w:r>
        <w:rPr>
          <w:sz w:val="26"/>
          <w:szCs w:val="26"/>
          <w:lang w:val="pt-BR"/>
        </w:rPr>
        <w:t>tiếng ồn vượt giá trị giới hạn cho phép ảnh hưởng đến sức khỏe con người (</w:t>
      </w:r>
      <w:r>
        <w:rPr>
          <w:i/>
          <w:sz w:val="26"/>
          <w:szCs w:val="26"/>
          <w:lang w:val="pt-BR"/>
        </w:rPr>
        <w:t>Theo Mục 4.2.1 - Chương 4</w:t>
      </w:r>
      <w:r>
        <w:rPr>
          <w:sz w:val="26"/>
          <w:szCs w:val="26"/>
          <w:lang w:val="pt-BR"/>
        </w:rPr>
        <w:t xml:space="preserve">). </w:t>
      </w:r>
      <w:bookmarkStart w:id="1500" w:name="_Toc205915921"/>
    </w:p>
    <w:p w14:paraId="086E45D0" w14:textId="77777777" w:rsidR="00085789" w:rsidRDefault="00000000">
      <w:pPr>
        <w:pStyle w:val="-bac3"/>
        <w:spacing w:before="120" w:after="0" w:line="240" w:lineRule="auto"/>
        <w:rPr>
          <w:lang w:val="pt-BR"/>
        </w:rPr>
      </w:pPr>
      <w:bookmarkStart w:id="1501" w:name="_Toc214311302"/>
      <w:bookmarkEnd w:id="1500"/>
      <w:r>
        <w:rPr>
          <w:lang w:val="pt-BR"/>
        </w:rPr>
        <w:t>9.1.3. Tác động gián tiếp do ô nhiễm môi trường đất</w:t>
      </w:r>
      <w:bookmarkEnd w:id="1501"/>
    </w:p>
    <w:p w14:paraId="0978EC72" w14:textId="77777777" w:rsidR="00085789" w:rsidRDefault="00000000">
      <w:pPr>
        <w:spacing w:before="120" w:line="240" w:lineRule="auto"/>
        <w:ind w:firstLine="709"/>
        <w:jc w:val="both"/>
        <w:rPr>
          <w:sz w:val="26"/>
          <w:szCs w:val="26"/>
          <w:lang w:val="pt-BR"/>
        </w:rPr>
      </w:pPr>
      <w:r>
        <w:rPr>
          <w:sz w:val="26"/>
          <w:szCs w:val="26"/>
          <w:lang w:val="pt-BR"/>
        </w:rPr>
        <w:lastRenderedPageBreak/>
        <w:t xml:space="preserve">Các nguồn ô nhiễm do hoạt động phát triển KT-XH theo đánh giá phát thải đến năm 2025 nếu không được kiểm soát sẽ gây ô nhiễm ảnh hưởng đến môi trường đất. Ngoài ra, quá trình phát triển công nghiệp và đô thị cũng ảnh hưởng đến các tính chất vật lý và hoá học của đất. Những tác động về vật lý như xói mòn, nén chặt đất và phá huỷ cấu trúc đất do các hoạt động xây dựng, sản xuất và khai thác mỏ. Các CTR, lỏng và khí đều có tác động đến đất. Các chất thải có thể được tích luỹ trong đất trong thời gian dài gây ra nguy cơ tiềm tàng đối với môi trường. </w:t>
      </w:r>
    </w:p>
    <w:p w14:paraId="7F138782" w14:textId="77777777" w:rsidR="00085789" w:rsidRDefault="00000000">
      <w:pPr>
        <w:spacing w:before="120" w:line="240" w:lineRule="auto"/>
        <w:ind w:firstLine="709"/>
        <w:jc w:val="both"/>
        <w:rPr>
          <w:sz w:val="26"/>
          <w:szCs w:val="26"/>
          <w:lang w:val="pt-BR"/>
        </w:rPr>
      </w:pPr>
      <w:r>
        <w:rPr>
          <w:sz w:val="26"/>
          <w:szCs w:val="26"/>
          <w:lang w:val="pt-BR"/>
        </w:rPr>
        <w:t xml:space="preserve">Trong 05 năm qua (2021 - 2025) số lượng các loại thuốc BVTV đã sử dụng trong sản xuất nông nghiệp ngày càng tăng. Nhiều nơi có hiện tượng lạm dụng thuốc BVTV trong sản xuất nông nghiệp. Thực tế cho thấy nhận thức và trách nhiệm của người dân về việc </w:t>
      </w:r>
      <w:r>
        <w:rPr>
          <w:spacing w:val="-4"/>
          <w:sz w:val="26"/>
          <w:szCs w:val="26"/>
          <w:lang w:val="pt-BR"/>
        </w:rPr>
        <w:t>bảo vệ môi trường còn nhiều hạn chế, các loại vỏ bao gói, chai lọ đựng thuốc BVTV sau khi sử dụng mới được thu gom 96,5 % so với lượng phát sinh. Ngoài ra, còn khoảng 3,5 % người dân tuỳ tiện vứt bừa bãi trên đồng ruộng và các kênh hồ nên gây ảnh hưởng không nhỏ đến nguồn nước cũng như môi trường xung quanh. Việc sử dụng hóa chất BVTV tràn lan và không đúng kỹ thuật đã gây ô nhiễm môi trường đất nghiêm trọng. Hàm lượng hóa chất BVTV này tích lũy trong đất sẽ xâm nhập vào cơ thể con người và tích tụ lâu dài gây các bệnh như ung thư, tổn thương về di truyền, và các bệnh tật khác.</w:t>
      </w:r>
    </w:p>
    <w:p w14:paraId="2B428BFA" w14:textId="77777777" w:rsidR="00085789" w:rsidRDefault="00000000">
      <w:pPr>
        <w:spacing w:before="120" w:line="240" w:lineRule="auto"/>
        <w:ind w:firstLine="709"/>
        <w:jc w:val="both"/>
        <w:rPr>
          <w:sz w:val="26"/>
          <w:szCs w:val="26"/>
          <w:lang w:val="pt-BR"/>
        </w:rPr>
      </w:pPr>
      <w:r>
        <w:rPr>
          <w:sz w:val="26"/>
          <w:szCs w:val="26"/>
          <w:lang w:val="pt-BR"/>
        </w:rPr>
        <w:t>Sự tích tụ các chất độc hại, các kim loại nặng trong đất sẽ làm tăng khả năng hấp thụ các nguyên tố có hại trong cây trồng, vật nuôi và gián tiếp gây ảnh hưởng xấu đối với sức khoẻ con người.</w:t>
      </w:r>
    </w:p>
    <w:p w14:paraId="3CBECB05" w14:textId="77777777" w:rsidR="00085789" w:rsidRDefault="00000000">
      <w:pPr>
        <w:pStyle w:val="bac2"/>
        <w:spacing w:after="0" w:line="240" w:lineRule="auto"/>
        <w:rPr>
          <w:i/>
          <w:iCs/>
          <w:lang w:val="pt-BR"/>
        </w:rPr>
      </w:pPr>
      <w:bookmarkStart w:id="1502" w:name="_Toc214311303"/>
      <w:r>
        <w:rPr>
          <w:i/>
          <w:iCs/>
          <w:lang w:val="pt-BR"/>
        </w:rPr>
        <w:t>9.1.4. Tác động gián tiếp do ô nhiễm từ CTR</w:t>
      </w:r>
      <w:bookmarkEnd w:id="1502"/>
    </w:p>
    <w:p w14:paraId="7E7F64A4" w14:textId="77777777" w:rsidR="00085789" w:rsidRDefault="00000000">
      <w:pPr>
        <w:spacing w:before="60" w:line="240" w:lineRule="auto"/>
        <w:ind w:firstLine="709"/>
        <w:jc w:val="both"/>
        <w:rPr>
          <w:sz w:val="26"/>
          <w:szCs w:val="26"/>
          <w:lang w:val="pt-BR"/>
        </w:rPr>
      </w:pPr>
      <w:r>
        <w:rPr>
          <w:sz w:val="26"/>
          <w:szCs w:val="26"/>
          <w:lang w:val="pt-BR"/>
        </w:rPr>
        <w:t>Việc quản lý và xử lý CTR không hợp lý không những gây ô nhiễm môi trường mà còn ảnh hưởng rất lớn tới sức khoẻ con người, đặc biệt đối với người dân sống gần khu vực làng nghề, khu công nghiệp, khu vực xử lý chất thải,.... Trong đó kim loại nặng và chất hữu cơ khó phân hủy trong CTR có khả năng tích lũy sinh học trong nông sản, thực phẩm cũng như trong mô tế bào động vật, nguồn nước và tồn tại bền vững trong môi trường gây ra hàng loạt bệnh nguy hiểm đối với con người như vô sinh, quái thai, dị tật ở trẻ sơ sinh; tác động lên hệ miễn dịch gây ra các bệnh tim mạch, tê liệt hệ thần kinh, giảm khả năng trao đổi chất trong máu, ung thư. Hiện nay khối lượng CTRSH phát sinh tại tỉnh Hà Tĩnh tỷ lệ thu gom đạt 96,5 %, xử lý đảm bảo quy định đạt 95 % (và đạt tỷ lệ 98,4 % so với lượng CTRSH thu gom). Do đó nếu lượng chất thải không được thu gom xử lý đảm bảo đây sẽ là nguyên nhân gây bệnh cho con người.</w:t>
      </w:r>
    </w:p>
    <w:p w14:paraId="7844E202" w14:textId="77777777" w:rsidR="00085789" w:rsidRDefault="00000000">
      <w:pPr>
        <w:pStyle w:val="bac2"/>
        <w:spacing w:before="80" w:after="0" w:line="240" w:lineRule="auto"/>
        <w:rPr>
          <w:lang w:val="pt-BR"/>
        </w:rPr>
      </w:pPr>
      <w:bookmarkStart w:id="1503" w:name="_Toc214311304"/>
      <w:r>
        <w:rPr>
          <w:lang w:val="pt-BR"/>
        </w:rPr>
        <w:t>9.2. Tác động của ô nhiễm môi trường đối với các vấn đề KT-XH</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503"/>
    </w:p>
    <w:p w14:paraId="059F5F71" w14:textId="77777777" w:rsidR="00085789" w:rsidRDefault="00000000">
      <w:pPr>
        <w:pStyle w:val="-bac3"/>
        <w:spacing w:before="80" w:after="0" w:line="240" w:lineRule="auto"/>
        <w:rPr>
          <w:lang w:val="pt-BR"/>
        </w:rPr>
      </w:pPr>
      <w:bookmarkStart w:id="1504" w:name="_Toc214311305"/>
      <w:r>
        <w:rPr>
          <w:lang w:val="pt-BR"/>
        </w:rPr>
        <w:t>9.2.1. Thiệt hại kinh tế do gánh nặng bệnh tật</w:t>
      </w:r>
      <w:bookmarkEnd w:id="1504"/>
    </w:p>
    <w:p w14:paraId="4E1D1724" w14:textId="77777777" w:rsidR="00085789" w:rsidRDefault="00000000">
      <w:pPr>
        <w:spacing w:before="80" w:line="240" w:lineRule="auto"/>
        <w:ind w:firstLine="709"/>
        <w:jc w:val="both"/>
        <w:rPr>
          <w:sz w:val="26"/>
          <w:szCs w:val="26"/>
          <w:lang w:val="pt-BR"/>
        </w:rPr>
      </w:pPr>
      <w:r>
        <w:rPr>
          <w:sz w:val="26"/>
          <w:szCs w:val="26"/>
          <w:lang w:val="pt-BR"/>
        </w:rPr>
        <w:t>Thiệt hại kinh tế do ô nhiễm môi trường ảnh hưởng đến sức khoẻ bao gồm các khoản chi phí: chi phí khám và thuốc chữa bệnh, tổn thất mất ngày công lao động do nghỉ ốm, tổn thất thời gian của người nhà chăm sóc người ốm,.... Thêm vào đó, bệnh liên quan đến ô nhiễm môi trường còn ảnh hưởng đến người thân, tạo nên chi phí gián tiếp do nghỉ học, nghỉ làm khi người thân ốm. Kéo theo đó là những ảnh hưởng tâm lý bất ổn khiến khó tập trung cho công việc và học hành khiến hiệu quả năng suất không cao, thậm chí ở nhiều nghề nghiệp, sự mất tập trung sẽ gây hậu quả nghiêm trọng về kinh tế, tính mạng.</w:t>
      </w:r>
    </w:p>
    <w:p w14:paraId="4D0D968B" w14:textId="77777777" w:rsidR="00085789" w:rsidRDefault="00000000">
      <w:pPr>
        <w:pStyle w:val="-bac3"/>
        <w:spacing w:before="80" w:after="0" w:line="240" w:lineRule="auto"/>
        <w:rPr>
          <w:lang w:val="pt-BR"/>
        </w:rPr>
      </w:pPr>
      <w:bookmarkStart w:id="1505" w:name="_Toc214311306"/>
      <w:r>
        <w:rPr>
          <w:lang w:val="pt-BR"/>
        </w:rPr>
        <w:t>9.2.2. Thiệt hại kinh tế do ảnh hưởng đến hoạt động sản xuất, kinh doanh</w:t>
      </w:r>
      <w:bookmarkEnd w:id="1505"/>
      <w:r>
        <w:rPr>
          <w:lang w:val="pt-BR"/>
        </w:rPr>
        <w:t xml:space="preserve"> </w:t>
      </w:r>
    </w:p>
    <w:p w14:paraId="1D5543DD" w14:textId="77777777" w:rsidR="00085789" w:rsidRDefault="00000000">
      <w:pPr>
        <w:spacing w:before="80" w:line="240" w:lineRule="auto"/>
        <w:ind w:firstLine="709"/>
        <w:jc w:val="both"/>
        <w:rPr>
          <w:sz w:val="26"/>
          <w:szCs w:val="26"/>
          <w:lang w:val="pt-BR"/>
        </w:rPr>
      </w:pPr>
      <w:r>
        <w:rPr>
          <w:sz w:val="26"/>
          <w:szCs w:val="26"/>
          <w:lang w:val="pt-BR"/>
        </w:rPr>
        <w:t xml:space="preserve">Tại Hà Tĩnh, trong những năm gần đây xảy ra nhiều dịch bệnh như: lở mồm long móng, cúm gia cầm, HSN1, dịch tả Châu </w:t>
      </w:r>
      <w:r>
        <w:rPr>
          <w:spacing w:val="-4"/>
          <w:sz w:val="26"/>
          <w:szCs w:val="26"/>
          <w:lang w:val="pt-BR"/>
        </w:rPr>
        <w:t xml:space="preserve">phi gây thiệt hại kinh tế cho người chăn nuôi. Bụi bám vào lá cây làm giảm khả năng quang hợp của thực vật dẫn đến suy giảm năng suất, lượng bụi bám trên lá quá nhiều có khả năng lầm táp lá và ảnh hưởng đến sự phát triển của cây trồng </w:t>
      </w:r>
      <w:r>
        <w:rPr>
          <w:spacing w:val="-4"/>
          <w:sz w:val="26"/>
          <w:szCs w:val="26"/>
          <w:lang w:val="pt-BR"/>
        </w:rPr>
        <w:lastRenderedPageBreak/>
        <w:t>làm năng suất thấp, mất mùa. Khí SO</w:t>
      </w:r>
      <w:r>
        <w:rPr>
          <w:spacing w:val="-4"/>
          <w:sz w:val="26"/>
          <w:szCs w:val="26"/>
          <w:vertAlign w:val="subscript"/>
          <w:lang w:val="pt-BR"/>
        </w:rPr>
        <w:t>2</w:t>
      </w:r>
      <w:r>
        <w:rPr>
          <w:spacing w:val="-4"/>
          <w:sz w:val="26"/>
          <w:szCs w:val="26"/>
          <w:lang w:val="pt-BR"/>
        </w:rPr>
        <w:t>, NO</w:t>
      </w:r>
      <w:r>
        <w:rPr>
          <w:spacing w:val="-4"/>
          <w:sz w:val="26"/>
          <w:szCs w:val="26"/>
          <w:vertAlign w:val="subscript"/>
          <w:lang w:val="pt-BR"/>
        </w:rPr>
        <w:t>2</w:t>
      </w:r>
      <w:r>
        <w:rPr>
          <w:spacing w:val="-4"/>
          <w:sz w:val="26"/>
          <w:szCs w:val="26"/>
          <w:lang w:val="pt-BR"/>
        </w:rPr>
        <w:t xml:space="preserve"> trong không khí kết hợp với nước mưa tạo nên mưa axit, gây tác hại xấu đến sự phát triển của cây trồng và các thảm thực vật. Các lò gạch thủ công hoạt động với công nghệ lạc hậu làm phát sinh khí CO, SO</w:t>
      </w:r>
      <w:r>
        <w:rPr>
          <w:spacing w:val="-4"/>
          <w:sz w:val="26"/>
          <w:szCs w:val="26"/>
          <w:vertAlign w:val="subscript"/>
          <w:lang w:val="pt-BR"/>
        </w:rPr>
        <w:t>2</w:t>
      </w:r>
      <w:r>
        <w:rPr>
          <w:spacing w:val="-4"/>
          <w:sz w:val="26"/>
          <w:szCs w:val="26"/>
          <w:lang w:val="pt-BR"/>
        </w:rPr>
        <w:t>, HF, bụi,... gây ảnh hưởng đến cây trồng, hoa màu, đặc biệt là lúa. Để cải tạo đất bị suy thoái, ô nhiễm thì phải mất chi phí cho quá trình cải tạo đất.</w:t>
      </w:r>
    </w:p>
    <w:p w14:paraId="6B19484E" w14:textId="77777777" w:rsidR="00085789" w:rsidRDefault="00000000">
      <w:pPr>
        <w:spacing w:before="80" w:line="240" w:lineRule="auto"/>
        <w:ind w:firstLine="709"/>
        <w:jc w:val="both"/>
        <w:rPr>
          <w:sz w:val="26"/>
          <w:szCs w:val="26"/>
          <w:lang w:val="pt-BR"/>
        </w:rPr>
      </w:pPr>
      <w:r>
        <w:rPr>
          <w:sz w:val="26"/>
          <w:szCs w:val="26"/>
          <w:lang w:val="pt-BR"/>
        </w:rPr>
        <w:t>Chi phí cải tạo đất rất lớn đặc biệt là trong đất có dư lượng thuốc BVTV, kim loại nặng, hóa chất độc,.... Môi trường đất bị suy thoái, ô nhiễm sẽ mất dinh dưỡng, độ màu mỡ, cây trồng không phát triển, năng suất kém, thiệt hại về kinh tế. Môi trường đất, nước, không khí bị ô nhiễm ảnh hưởng rất lớn đến hoạt động sản xuất kinh doanh (chăn nuôi, trồng trọt, NTTS, hoạt động du lịch,...) gây thiệt hại kinh tế.</w:t>
      </w:r>
    </w:p>
    <w:p w14:paraId="43F7BC11" w14:textId="77777777" w:rsidR="00085789" w:rsidRDefault="00000000">
      <w:pPr>
        <w:spacing w:before="80" w:line="240" w:lineRule="auto"/>
        <w:jc w:val="both"/>
        <w:rPr>
          <w:b/>
          <w:i/>
          <w:sz w:val="26"/>
          <w:szCs w:val="26"/>
          <w:lang w:val="pt-BR"/>
        </w:rPr>
      </w:pPr>
      <w:r>
        <w:rPr>
          <w:b/>
          <w:i/>
          <w:sz w:val="26"/>
          <w:szCs w:val="26"/>
          <w:lang w:val="pt-BR"/>
        </w:rPr>
        <w:tab/>
        <w:t>9.2.3. Thiệt hại kinh tế do chi phí cải thiện môi trường</w:t>
      </w:r>
    </w:p>
    <w:p w14:paraId="11F6A907" w14:textId="77777777" w:rsidR="00085789" w:rsidRDefault="00000000">
      <w:pPr>
        <w:spacing w:before="80" w:line="240" w:lineRule="auto"/>
        <w:ind w:firstLine="709"/>
        <w:jc w:val="both"/>
        <w:rPr>
          <w:sz w:val="26"/>
          <w:szCs w:val="26"/>
          <w:lang w:val="pt-BR"/>
        </w:rPr>
      </w:pPr>
      <w:bookmarkStart w:id="1506" w:name="_Toc55594900"/>
      <w:bookmarkStart w:id="1507" w:name="_Toc56739860"/>
      <w:bookmarkStart w:id="1508" w:name="_Toc54794243"/>
      <w:bookmarkStart w:id="1509" w:name="_Toc56736955"/>
      <w:bookmarkStart w:id="1510" w:name="_Toc56737676"/>
      <w:bookmarkStart w:id="1511" w:name="_Toc54796385"/>
      <w:bookmarkStart w:id="1512" w:name="_Toc56739117"/>
      <w:bookmarkStart w:id="1513" w:name="_Toc56740623"/>
      <w:bookmarkStart w:id="1514" w:name="_Toc54810674"/>
      <w:bookmarkStart w:id="1515" w:name="_Toc54795671"/>
      <w:bookmarkStart w:id="1516" w:name="_Toc55592339"/>
      <w:bookmarkStart w:id="1517" w:name="_Toc54794957"/>
      <w:bookmarkStart w:id="1518" w:name="_Toc55008017"/>
      <w:r>
        <w:rPr>
          <w:sz w:val="26"/>
          <w:szCs w:val="26"/>
          <w:lang w:val="pt-BR"/>
        </w:rPr>
        <w:t>Khi môi trường có dấu hiệu bị ô nhiễm, các cấp chính quyền, doanh nghiệp, và người dân phải bỏ ra một khoản chi phí để khắc phục, cải tạo hoặc phục hồi chất lượng đất và môi trường liên quan. Những chi phí này không tạo ra giá trị sản phẩm mới mà chủ yếu nhằm khôi phục điều kiện ban đầu, vì vậy được xem là thiệt hại kinh tế gián tiếp. Các chi phí để cải thiện môi trường bao gồm:</w:t>
      </w:r>
    </w:p>
    <w:p w14:paraId="3EBF24A5" w14:textId="77777777" w:rsidR="00085789" w:rsidRDefault="00000000">
      <w:pPr>
        <w:spacing w:before="80" w:line="240" w:lineRule="auto"/>
        <w:ind w:firstLine="709"/>
        <w:jc w:val="both"/>
        <w:rPr>
          <w:rFonts w:cs="Angsana New"/>
          <w:sz w:val="26"/>
          <w:szCs w:val="26"/>
          <w:lang w:val="pt-BR" w:bidi="th-TH"/>
        </w:rPr>
      </w:pPr>
      <w:r>
        <w:rPr>
          <w:rFonts w:cs="Angsana New"/>
          <w:sz w:val="26"/>
          <w:szCs w:val="26"/>
          <w:lang w:val="pt-BR" w:bidi="th-TH"/>
        </w:rPr>
        <w:t xml:space="preserve">(1) Chi phí khảo sát - đánh giá hiện trạng để thực hiện các nội dung sau: </w:t>
      </w:r>
      <w:r>
        <w:rPr>
          <w:sz w:val="26"/>
          <w:szCs w:val="26"/>
          <w:lang w:val="pt-BR"/>
        </w:rPr>
        <w:t>Thuê đơn vị quan trắc môi trường lấy mẫu đất, nước, nông sản; thực hiện quan trắc mạng lưới toàn tỉnh hàng năm. Phân tích hóa lý (kim loại nặng, dư lượng thuốc BVTV, pH, hữu cơ, độ mặn). Lập báo cáo ĐTM, báo cáo hiện trạng môi trường hằng năm, báo cáo công tác bảo vệ môi trường, báo cáo quan trắc định kỳ,....</w:t>
      </w:r>
    </w:p>
    <w:p w14:paraId="45EDA323" w14:textId="5F929EA7" w:rsidR="00085789" w:rsidRDefault="00000000">
      <w:pPr>
        <w:spacing w:before="80" w:line="240" w:lineRule="auto"/>
        <w:ind w:firstLine="709"/>
        <w:jc w:val="both"/>
        <w:rPr>
          <w:sz w:val="26"/>
          <w:szCs w:val="26"/>
          <w:lang w:val="pt-BR"/>
        </w:rPr>
      </w:pPr>
      <w:r>
        <w:rPr>
          <w:sz w:val="26"/>
          <w:szCs w:val="26"/>
          <w:lang w:val="pt-BR"/>
        </w:rPr>
        <w:t>(2) Chi phí xử lý và cải tạo đất: Thực hiện bón vôi, bổ sung phân hữu cơ vi sinh để khử độc và cải thiện pH trong đất; Trồng cây hấp thu kim loại (cải xoong, cỏ vetiver), luân canh cây trồng ít hấp thu độc chất; biện pháp cơ giới cày sâu, lật đất. Các biện pháp này thường được thực hiện thường xuyên và chi phí phát sinh hằng năm cao.</w:t>
      </w:r>
    </w:p>
    <w:p w14:paraId="48983D59" w14:textId="77777777" w:rsidR="00085789" w:rsidRDefault="00000000">
      <w:pPr>
        <w:spacing w:before="80" w:line="240" w:lineRule="auto"/>
        <w:ind w:firstLine="709"/>
        <w:jc w:val="both"/>
        <w:rPr>
          <w:sz w:val="26"/>
          <w:szCs w:val="26"/>
          <w:lang w:val="pt-BR"/>
        </w:rPr>
      </w:pPr>
      <w:r>
        <w:rPr>
          <w:sz w:val="26"/>
          <w:szCs w:val="26"/>
          <w:lang w:val="pt-BR"/>
        </w:rPr>
        <w:t xml:space="preserve">(3) </w:t>
      </w:r>
      <w:r>
        <w:rPr>
          <w:rFonts w:cs="Angsana New"/>
          <w:sz w:val="26"/>
          <w:szCs w:val="26"/>
          <w:lang w:val="pt-BR" w:bidi="th-TH"/>
        </w:rPr>
        <w:t>Chi phí xử lý nguồn ô nhiễm gốc:</w:t>
      </w:r>
    </w:p>
    <w:p w14:paraId="13764BB0" w14:textId="77777777" w:rsidR="00085789" w:rsidRDefault="00000000">
      <w:pPr>
        <w:spacing w:before="80" w:line="240" w:lineRule="auto"/>
        <w:ind w:firstLine="709"/>
        <w:jc w:val="both"/>
        <w:rPr>
          <w:spacing w:val="-4"/>
          <w:sz w:val="26"/>
          <w:szCs w:val="26"/>
          <w:lang w:val="pt-BR"/>
        </w:rPr>
      </w:pPr>
      <w:r>
        <w:rPr>
          <w:spacing w:val="-4"/>
          <w:sz w:val="26"/>
          <w:szCs w:val="26"/>
          <w:lang w:val="pt-BR"/>
        </w:rPr>
        <w:t>- Các doanh nghiệp phải lắp đặt hệ thống xử lý chất thải của nhà máy, khu công nghiệp.</w:t>
      </w:r>
    </w:p>
    <w:p w14:paraId="3C4255EF" w14:textId="77777777" w:rsidR="00085789" w:rsidRDefault="00000000">
      <w:pPr>
        <w:spacing w:before="80" w:line="240" w:lineRule="auto"/>
        <w:ind w:firstLine="709"/>
        <w:jc w:val="both"/>
        <w:rPr>
          <w:sz w:val="26"/>
          <w:szCs w:val="26"/>
          <w:lang w:val="pt-BR"/>
        </w:rPr>
      </w:pPr>
      <w:r>
        <w:rPr>
          <w:sz w:val="26"/>
          <w:szCs w:val="26"/>
          <w:lang w:val="pt-BR"/>
        </w:rPr>
        <w:t xml:space="preserve">- Nhà nước phải bố trí kinh phí để thực hiện thu gom, xử lý tồn lưu hóa chất, thuốc BVTV. Đến nay đã có 06/11 </w:t>
      </w:r>
      <w:r>
        <w:rPr>
          <w:bCs/>
          <w:sz w:val="26"/>
          <w:szCs w:val="26"/>
          <w:lang w:val="pt-BR"/>
        </w:rPr>
        <w:t>điểm tồn lưu hóa chất bảo vệ thực vật đã được xử lý, 05 điểm còn lại chưa hoàn thành xử lý do chưa bố trí được kinh phí</w:t>
      </w:r>
      <w:r>
        <w:rPr>
          <w:sz w:val="26"/>
          <w:szCs w:val="26"/>
          <w:lang w:val="pt-BR"/>
        </w:rPr>
        <w:t>.</w:t>
      </w:r>
    </w:p>
    <w:p w14:paraId="57E7981A" w14:textId="77777777" w:rsidR="00085789" w:rsidRDefault="00000000">
      <w:pPr>
        <w:spacing w:before="80" w:line="240" w:lineRule="auto"/>
        <w:ind w:firstLine="709"/>
        <w:jc w:val="both"/>
        <w:rPr>
          <w:sz w:val="26"/>
          <w:szCs w:val="26"/>
          <w:lang w:val="pt-BR"/>
        </w:rPr>
      </w:pPr>
      <w:r>
        <w:rPr>
          <w:sz w:val="26"/>
          <w:szCs w:val="26"/>
          <w:lang w:val="pt-BR"/>
        </w:rPr>
        <w:t>- Hằng năm, nhà nước phải bố trí kinh phí để thực hiện việc thu gom, xử lý chất thải rắn cho các địa phương. Các tổ chức, doanh nghiệp phải bố trí kinh phí để thuê đơn vị có chức năng thu gom, vận chuyển CTR do cơ sở phát sinh để xử lý.</w:t>
      </w:r>
    </w:p>
    <w:p w14:paraId="6AC2F4F6" w14:textId="77777777" w:rsidR="00085789" w:rsidRDefault="00000000">
      <w:pPr>
        <w:pStyle w:val="bac2"/>
        <w:spacing w:before="80" w:after="0" w:line="240" w:lineRule="auto"/>
        <w:rPr>
          <w:lang w:val="pt-BR"/>
        </w:rPr>
      </w:pPr>
      <w:bookmarkStart w:id="1519" w:name="_Toc214311307"/>
      <w:r>
        <w:rPr>
          <w:lang w:val="pt-BR"/>
        </w:rPr>
        <w:t xml:space="preserve">9.3. Tác động của ô nhiễm môi trường đối với cảnh quan và </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r>
        <w:rPr>
          <w:lang w:val="pt-BR"/>
        </w:rPr>
        <w:t>HST</w:t>
      </w:r>
      <w:bookmarkEnd w:id="1519"/>
    </w:p>
    <w:p w14:paraId="543C6133" w14:textId="77777777" w:rsidR="00085789" w:rsidRDefault="00000000">
      <w:pPr>
        <w:pStyle w:val="-bac3"/>
        <w:spacing w:before="80" w:after="0" w:line="240" w:lineRule="auto"/>
        <w:ind w:left="4320" w:hanging="3600"/>
        <w:rPr>
          <w:lang w:val="pt-BR"/>
        </w:rPr>
      </w:pPr>
      <w:bookmarkStart w:id="1520" w:name="_Toc55008018"/>
      <w:bookmarkStart w:id="1521" w:name="_Toc56739861"/>
      <w:bookmarkStart w:id="1522" w:name="_Toc56740624"/>
      <w:bookmarkStart w:id="1523" w:name="_Toc56736956"/>
      <w:bookmarkStart w:id="1524" w:name="_Toc56739118"/>
      <w:bookmarkStart w:id="1525" w:name="_Toc55592340"/>
      <w:bookmarkStart w:id="1526" w:name="_Toc56737677"/>
      <w:bookmarkStart w:id="1527" w:name="_Toc54794244"/>
      <w:bookmarkStart w:id="1528" w:name="_Toc54795672"/>
      <w:bookmarkStart w:id="1529" w:name="_Toc55594901"/>
      <w:bookmarkStart w:id="1530" w:name="_Toc54796386"/>
      <w:bookmarkStart w:id="1531" w:name="_Toc54794958"/>
      <w:bookmarkStart w:id="1532" w:name="_Toc54810675"/>
      <w:bookmarkStart w:id="1533" w:name="_Toc214311308"/>
      <w:r>
        <w:rPr>
          <w:lang w:val="pt-BR"/>
        </w:rPr>
        <w:t xml:space="preserve">9.3.1. Tác động do ô nhiễm môi trường </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r>
        <w:rPr>
          <w:lang w:val="pt-BR"/>
        </w:rPr>
        <w:t>đến HST dưới nước</w:t>
      </w:r>
      <w:bookmarkEnd w:id="1533"/>
    </w:p>
    <w:p w14:paraId="2B69C795" w14:textId="77777777" w:rsidR="00085789" w:rsidRDefault="00000000">
      <w:pPr>
        <w:spacing w:before="80" w:line="240" w:lineRule="auto"/>
        <w:ind w:firstLine="709"/>
        <w:jc w:val="both"/>
        <w:rPr>
          <w:sz w:val="26"/>
          <w:szCs w:val="26"/>
          <w:lang w:val="pt-BR"/>
        </w:rPr>
      </w:pPr>
      <w:bookmarkStart w:id="1534" w:name="_Toc56740626"/>
      <w:bookmarkStart w:id="1535" w:name="_Toc55008020"/>
      <w:bookmarkStart w:id="1536" w:name="_Toc54794246"/>
      <w:bookmarkStart w:id="1537" w:name="_Toc56739863"/>
      <w:bookmarkStart w:id="1538" w:name="_Toc54796388"/>
      <w:bookmarkStart w:id="1539" w:name="_Toc56736958"/>
      <w:bookmarkStart w:id="1540" w:name="_Toc54810677"/>
      <w:bookmarkStart w:id="1541" w:name="_Toc56739120"/>
      <w:bookmarkStart w:id="1542" w:name="_Toc55592342"/>
      <w:bookmarkStart w:id="1543" w:name="_Toc55594903"/>
      <w:bookmarkStart w:id="1544" w:name="_Toc54794960"/>
      <w:bookmarkStart w:id="1545" w:name="_Toc56737679"/>
      <w:bookmarkStart w:id="1546" w:name="_Toc54795674"/>
      <w:r>
        <w:rPr>
          <w:sz w:val="26"/>
          <w:szCs w:val="26"/>
          <w:lang w:val="pt-BR"/>
        </w:rPr>
        <w:t xml:space="preserve">Ô nhiễm môi trường nước ảnh hưởng trực tiếp đến các động thực vật sống trong nguồn nước. Nước là môi trường sống của các loài thuỷ sản, khi nguồn nước bị ô nhiễm, chúng sẽ không thể phát triển mà hấp thụ các chất độc trong nước, thời gian lâu ngày gây biến đổi trong cơ thể nhiều loài thuỷ sinh, một số trường hợp gây đột biến gen, tạo nhiều loài mới, một số trường hợp làm cho nhiều loài thuỷ sinh chết. </w:t>
      </w:r>
    </w:p>
    <w:p w14:paraId="141A61BE" w14:textId="77777777" w:rsidR="00085789" w:rsidRDefault="00000000">
      <w:pPr>
        <w:spacing w:before="80" w:line="240" w:lineRule="auto"/>
        <w:ind w:firstLine="709"/>
        <w:jc w:val="both"/>
        <w:rPr>
          <w:sz w:val="26"/>
          <w:szCs w:val="26"/>
          <w:lang w:val="pt-BR"/>
        </w:rPr>
      </w:pPr>
      <w:r>
        <w:rPr>
          <w:sz w:val="26"/>
          <w:szCs w:val="26"/>
          <w:lang w:val="pt-BR"/>
        </w:rPr>
        <w:t>Ô nhiễm môi trường nước tạo điều kiện thuận lợi cho các loài tảo phát triển. Sự tập trung và phát triển nhanh của loài tảo tác động đến nơi ở, thức ăn của các loài thủy sinh. Khi tảo trưởng thành và nở hoa và chết làm phát sinh một lượng lớn độc tố vào môi trường nước ảnh hưởng đến loài thực vật thủy sinh có trong nước.</w:t>
      </w:r>
    </w:p>
    <w:p w14:paraId="53247BDB" w14:textId="77777777" w:rsidR="00085789" w:rsidRDefault="00000000">
      <w:pPr>
        <w:pStyle w:val="-bac3"/>
        <w:spacing w:before="80" w:after="0" w:line="240" w:lineRule="auto"/>
        <w:rPr>
          <w:lang w:val="pt-BR"/>
        </w:rPr>
      </w:pPr>
      <w:bookmarkStart w:id="1547" w:name="_Toc214311309"/>
      <w:r>
        <w:rPr>
          <w:lang w:val="pt-BR"/>
        </w:rPr>
        <w:lastRenderedPageBreak/>
        <w:t>9.3.2. Tác động do ô nhiễm môi trường đến HST trên cạn</w:t>
      </w:r>
      <w:bookmarkEnd w:id="1547"/>
      <w:r>
        <w:rPr>
          <w:lang w:val="pt-BR"/>
        </w:rPr>
        <w:t xml:space="preserve"> </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9B0657D" w14:textId="77777777" w:rsidR="00085789" w:rsidRDefault="00000000">
      <w:pPr>
        <w:spacing w:before="80" w:line="240" w:lineRule="auto"/>
        <w:ind w:firstLine="709"/>
        <w:jc w:val="both"/>
        <w:rPr>
          <w:sz w:val="26"/>
          <w:szCs w:val="26"/>
          <w:lang w:val="pt-BR"/>
        </w:rPr>
      </w:pPr>
      <w:r>
        <w:rPr>
          <w:sz w:val="26"/>
          <w:szCs w:val="26"/>
          <w:lang w:val="pt-BR"/>
        </w:rPr>
        <w:t>Môi trường không khí bị ô nhiễm ngăn cản sự quang hợp và tăng trưởng của thực vật làm lá vàng và rụng sớm. Môi trường không khí bị ô nhiễm có chứa nhiều bụi, khí thải trong đó có khí SO</w:t>
      </w:r>
      <w:r>
        <w:rPr>
          <w:sz w:val="26"/>
          <w:szCs w:val="26"/>
          <w:vertAlign w:val="subscript"/>
          <w:lang w:val="pt-BR"/>
        </w:rPr>
        <w:t>2</w:t>
      </w:r>
      <w:r>
        <w:rPr>
          <w:sz w:val="26"/>
          <w:szCs w:val="26"/>
          <w:lang w:val="pt-BR"/>
        </w:rPr>
        <w:t xml:space="preserve">, NO, khi bị ôxy hóa và kết hợp với mưa tạo nên mưa axit. Mưa axit sẽ ăn mòn lớp phủ bảo vệ sáp của lá, cây dễ bị tổn thương. Bụi bám vào lá cây làm giảm khả năng quang hợp của thực vật dẫn đến suy giảm năng suất, lượng bụi bám trên lá quá nhiều có khả năng làm táp lá và ảnh hưởng đến sự phát triển của cây trồng. </w:t>
      </w:r>
    </w:p>
    <w:p w14:paraId="3F323996" w14:textId="77777777" w:rsidR="00085789" w:rsidRDefault="00000000">
      <w:pPr>
        <w:spacing w:before="80" w:line="240" w:lineRule="auto"/>
        <w:ind w:firstLine="709"/>
        <w:jc w:val="both"/>
        <w:rPr>
          <w:sz w:val="26"/>
          <w:szCs w:val="26"/>
          <w:lang w:val="pt-BR"/>
        </w:rPr>
      </w:pPr>
      <w:r>
        <w:rPr>
          <w:sz w:val="26"/>
          <w:szCs w:val="26"/>
          <w:lang w:val="pt-BR"/>
        </w:rPr>
        <w:t xml:space="preserve">Môi trường đất bị ô nhiễm sẽ không còn là môi trường thuận lợi để sinh vật, HST trong đất sinh trưởng và phát triển tốt. Việc sử dụng phân bón gây chua đất, hàm lượng hữu cơ và lân dễ tiêu thấp, nghèo các ion kiềm như Ca+, Mg+, ... tầng đất mỏng dần, mất cấu trúc hoặc cấu trúc kém, sức thấm nước kém, đất chặt không thuận lợi cho bộ rễ của cây trồng ngắn ngày phát triển. Việc sử dụng thuốc BVTV với liều lượng và hàm lượng cao sẽ tồn dư lâu dài trong môi trường đất, nước gây chết tất cả những sinh vật có hại và có lợi trong môi trường đất. Khi các chất ô nhiễm từ nước thấm vào đất không những gây ảnh hưởng đến đất mà còn ảnh còn ảnh hưởng đến các sinh vật đang sinh sống trong đất. </w:t>
      </w:r>
    </w:p>
    <w:p w14:paraId="04D80CC8" w14:textId="77777777" w:rsidR="00085789" w:rsidRDefault="00000000">
      <w:pPr>
        <w:spacing w:before="80" w:line="240" w:lineRule="auto"/>
        <w:ind w:firstLine="709"/>
        <w:jc w:val="both"/>
        <w:rPr>
          <w:sz w:val="26"/>
          <w:szCs w:val="26"/>
          <w:lang w:val="pt-BR"/>
        </w:rPr>
      </w:pPr>
      <w:r>
        <w:rPr>
          <w:sz w:val="26"/>
          <w:szCs w:val="26"/>
          <w:lang w:val="pt-BR"/>
        </w:rPr>
        <w:t xml:space="preserve">Các chất ô nhiễm làm giảm quá trình hoạt động của một số vi sinh vật trong đất, cây cối còi cọc, khả năng chống chịu kém, không phát triển được hoặc có thể bị chết. Các ion Fe và Mn ở nồng độ cao là các chất độc hại với sinh vật trong đất. Có nhiều loại chất độc bền vững khó bị phân hủy có khả năng xâm nhập tích lũy trong cơ thể sinh vật. </w:t>
      </w:r>
    </w:p>
    <w:p w14:paraId="6F6F0D99" w14:textId="77777777" w:rsidR="00085789" w:rsidRDefault="00000000">
      <w:pPr>
        <w:spacing w:before="80" w:line="240" w:lineRule="auto"/>
        <w:ind w:firstLine="709"/>
        <w:jc w:val="both"/>
        <w:rPr>
          <w:spacing w:val="-2"/>
          <w:sz w:val="26"/>
          <w:szCs w:val="26"/>
          <w:lang w:val="pt-BR"/>
        </w:rPr>
      </w:pPr>
      <w:r>
        <w:rPr>
          <w:spacing w:val="-2"/>
          <w:sz w:val="26"/>
          <w:szCs w:val="26"/>
          <w:lang w:val="pt-BR"/>
        </w:rPr>
        <w:t>Việc lai tạo ra các giống cây trồng mới có khả năng thích nghi với điều kiện môi trường đã làm thay đổi tính ổn định của các quần xã đặc trưng của khu vực, gây mất cân bằng về chuỗi thức ăn, lưới thức ăn trong HST nông nghiệp. Các giống vật nuôi không thể thích nghi với điều kiện môi trường thay đổi dẫn đến sụt giảm năng suất, chất lượng.</w:t>
      </w:r>
    </w:p>
    <w:p w14:paraId="1269A896" w14:textId="77777777" w:rsidR="00085789" w:rsidRDefault="00000000">
      <w:pPr>
        <w:keepNext/>
        <w:spacing w:before="80" w:line="240" w:lineRule="auto"/>
        <w:jc w:val="both"/>
        <w:outlineLvl w:val="2"/>
        <w:rPr>
          <w:b/>
          <w:sz w:val="26"/>
          <w:szCs w:val="26"/>
          <w:lang w:val="pt-BR"/>
        </w:rPr>
      </w:pPr>
      <w:bookmarkStart w:id="1548" w:name="_Toc54810679"/>
      <w:bookmarkStart w:id="1549" w:name="_Toc55008022"/>
      <w:bookmarkStart w:id="1550" w:name="_Toc54794962"/>
      <w:bookmarkStart w:id="1551" w:name="_Toc56737681"/>
      <w:bookmarkStart w:id="1552" w:name="_Toc56736960"/>
      <w:bookmarkStart w:id="1553" w:name="_Toc54795676"/>
      <w:bookmarkStart w:id="1554" w:name="_Toc55594905"/>
      <w:bookmarkStart w:id="1555" w:name="_Toc56739865"/>
      <w:bookmarkStart w:id="1556" w:name="_Toc55592344"/>
      <w:bookmarkStart w:id="1557" w:name="_Toc56739122"/>
      <w:bookmarkStart w:id="1558" w:name="_Toc54796390"/>
      <w:bookmarkStart w:id="1559" w:name="_Toc56740628"/>
      <w:bookmarkStart w:id="1560" w:name="_Toc54794248"/>
      <w:r>
        <w:rPr>
          <w:b/>
          <w:bCs/>
          <w:i/>
          <w:position w:val="-6"/>
          <w:sz w:val="26"/>
          <w:szCs w:val="26"/>
          <w:lang w:val="pt-BR"/>
        </w:rPr>
        <w:tab/>
      </w:r>
      <w:bookmarkStart w:id="1561" w:name="_Toc54796393"/>
      <w:bookmarkStart w:id="1562" w:name="_Toc54810682"/>
      <w:bookmarkStart w:id="1563" w:name="_Toc54794965"/>
      <w:bookmarkStart w:id="1564" w:name="_Toc55592347"/>
      <w:bookmarkStart w:id="1565" w:name="_Toc54794251"/>
      <w:bookmarkStart w:id="1566" w:name="_Toc55594908"/>
      <w:bookmarkStart w:id="1567" w:name="_Toc56736963"/>
      <w:bookmarkStart w:id="1568" w:name="_Toc56739125"/>
      <w:bookmarkStart w:id="1569" w:name="_Toc56740631"/>
      <w:bookmarkStart w:id="1570" w:name="_Toc56739868"/>
      <w:bookmarkStart w:id="1571" w:name="_Toc54795679"/>
      <w:bookmarkStart w:id="1572" w:name="_Toc56737684"/>
      <w:bookmarkStart w:id="1573" w:name="_Toc55008025"/>
      <w:bookmarkEnd w:id="1548"/>
      <w:bookmarkEnd w:id="1549"/>
      <w:bookmarkEnd w:id="1550"/>
      <w:bookmarkEnd w:id="1551"/>
      <w:bookmarkEnd w:id="1552"/>
      <w:bookmarkEnd w:id="1553"/>
      <w:bookmarkEnd w:id="1554"/>
      <w:bookmarkEnd w:id="1555"/>
      <w:bookmarkEnd w:id="1556"/>
      <w:bookmarkEnd w:id="1557"/>
      <w:bookmarkEnd w:id="1558"/>
      <w:bookmarkEnd w:id="1559"/>
      <w:bookmarkEnd w:id="1560"/>
      <w:r>
        <w:rPr>
          <w:b/>
          <w:sz w:val="26"/>
          <w:szCs w:val="26"/>
          <w:lang w:val="pt-BR"/>
        </w:rPr>
        <w:t>9.4. Ph</w:t>
      </w:r>
      <w:r>
        <w:rPr>
          <w:rFonts w:hint="eastAsia"/>
          <w:b/>
          <w:sz w:val="26"/>
          <w:szCs w:val="26"/>
          <w:lang w:val="pt-BR"/>
        </w:rPr>
        <w:t>á</w:t>
      </w:r>
      <w:r>
        <w:rPr>
          <w:b/>
          <w:sz w:val="26"/>
          <w:szCs w:val="26"/>
          <w:lang w:val="pt-BR"/>
        </w:rPr>
        <w:t xml:space="preserve">t sinh xung </w:t>
      </w:r>
      <w:r>
        <w:rPr>
          <w:rFonts w:hint="eastAsia"/>
          <w:b/>
          <w:sz w:val="26"/>
          <w:szCs w:val="26"/>
          <w:lang w:val="pt-BR"/>
        </w:rPr>
        <w:t>đ</w:t>
      </w:r>
      <w:r>
        <w:rPr>
          <w:b/>
          <w:sz w:val="26"/>
          <w:szCs w:val="26"/>
          <w:lang w:val="pt-BR"/>
        </w:rPr>
        <w:t>ột m</w:t>
      </w:r>
      <w:r>
        <w:rPr>
          <w:rFonts w:hint="eastAsia"/>
          <w:b/>
          <w:sz w:val="26"/>
          <w:szCs w:val="26"/>
          <w:lang w:val="pt-BR"/>
        </w:rPr>
        <w:t>ô</w:t>
      </w:r>
      <w:r>
        <w:rPr>
          <w:b/>
          <w:sz w:val="26"/>
          <w:szCs w:val="26"/>
          <w:lang w:val="pt-BR"/>
        </w:rPr>
        <w:t>i tr</w:t>
      </w:r>
      <w:r>
        <w:rPr>
          <w:rFonts w:hint="eastAsia"/>
          <w:b/>
          <w:sz w:val="26"/>
          <w:szCs w:val="26"/>
          <w:lang w:val="pt-BR"/>
        </w:rPr>
        <w:t>ư</w:t>
      </w:r>
      <w:r>
        <w:rPr>
          <w:b/>
          <w:sz w:val="26"/>
          <w:szCs w:val="26"/>
          <w:lang w:val="pt-BR"/>
        </w:rPr>
        <w:t>ờng</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7A753BA9" w14:textId="77777777" w:rsidR="00085789" w:rsidRDefault="00000000">
      <w:pPr>
        <w:spacing w:before="60" w:line="240" w:lineRule="auto"/>
        <w:ind w:firstLine="709"/>
        <w:jc w:val="both"/>
        <w:rPr>
          <w:sz w:val="26"/>
          <w:szCs w:val="26"/>
          <w:lang w:val="pt-BR"/>
        </w:rPr>
      </w:pPr>
      <w:r>
        <w:rPr>
          <w:sz w:val="26"/>
          <w:szCs w:val="26"/>
          <w:lang w:val="pt-BR"/>
        </w:rPr>
        <w:t>Trong thời gian qua không có xung đột liên quan đến cơ chế quản lý, chính sách trên địa bàn tỉnh, mà xung đột môi trường xảy ra chủ yếu do sự tranh chấp, khiếu kiện giữa các cơ sở sản xuất kinh doanh, dịch vụ là bên gây ô nhiễm môi trường và các hộ dân, cộng đồng dân cư, cơ sở là bên chịu sự ảnh hưởng của cơ sở gây ô nhiễm môi trường. Tuy nhiên, các vụ khiếu kiện và xung đột môi trường không thường xuyên và tùy thuộc vào từng thời điểm, từng năm. Theo thống kê, từ năm 2021-2025, UBND tỉnh, Sở Nông nghiệp và Môi trường đã tiếp nhận 45 đơn thư kiến nghị, phản ánh của người dân về ô nhiễm môi trường đã được xử lý theo quy định.</w:t>
      </w:r>
    </w:p>
    <w:p w14:paraId="7E7EB2EF" w14:textId="77777777" w:rsidR="00085789" w:rsidRDefault="00000000">
      <w:pPr>
        <w:spacing w:line="240" w:lineRule="auto"/>
        <w:rPr>
          <w:b/>
          <w:sz w:val="26"/>
          <w:szCs w:val="26"/>
          <w:lang w:val="da-DK"/>
        </w:rPr>
      </w:pPr>
      <w:bookmarkStart w:id="1574" w:name="_Toc54795680"/>
      <w:bookmarkStart w:id="1575" w:name="_Toc55594909"/>
      <w:bookmarkStart w:id="1576" w:name="_Toc56736964"/>
      <w:bookmarkStart w:id="1577" w:name="_Toc54796394"/>
      <w:bookmarkStart w:id="1578" w:name="_Toc56739126"/>
      <w:bookmarkStart w:id="1579" w:name="_Toc55592348"/>
      <w:bookmarkStart w:id="1580" w:name="_Toc54794252"/>
      <w:bookmarkStart w:id="1581" w:name="_Toc56737685"/>
      <w:bookmarkStart w:id="1582" w:name="_Toc54794966"/>
      <w:bookmarkStart w:id="1583" w:name="_Toc56739869"/>
      <w:bookmarkStart w:id="1584" w:name="_Toc54810683"/>
      <w:bookmarkStart w:id="1585" w:name="_Toc56740632"/>
      <w:bookmarkStart w:id="1586" w:name="_Toc55008026"/>
      <w:bookmarkStart w:id="1587" w:name="_Toc260998994"/>
      <w:r>
        <w:rPr>
          <w:b/>
          <w:sz w:val="26"/>
          <w:szCs w:val="26"/>
          <w:lang w:val="da-DK"/>
        </w:rPr>
        <w:br w:type="page"/>
      </w:r>
    </w:p>
    <w:p w14:paraId="5DA3746E" w14:textId="77777777" w:rsidR="00085789" w:rsidRDefault="00000000">
      <w:pPr>
        <w:pStyle w:val="H1"/>
        <w:rPr>
          <w:lang w:val="pt-BR"/>
        </w:rPr>
      </w:pPr>
      <w:r>
        <w:rPr>
          <w:lang w:val="da-DK"/>
        </w:rPr>
        <w:lastRenderedPageBreak/>
        <w:t>Chương X</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2B698AB" w14:textId="77777777" w:rsidR="00085789" w:rsidRDefault="00000000">
      <w:pPr>
        <w:keepNext/>
        <w:spacing w:line="240" w:lineRule="auto"/>
        <w:jc w:val="center"/>
        <w:outlineLvl w:val="0"/>
        <w:rPr>
          <w:b/>
          <w:bCs/>
          <w:kern w:val="32"/>
          <w:sz w:val="26"/>
          <w:szCs w:val="26"/>
          <w:lang w:val="da-DK"/>
        </w:rPr>
      </w:pPr>
      <w:bookmarkStart w:id="1588" w:name="_Toc54795681"/>
      <w:bookmarkStart w:id="1589" w:name="_Toc56737686"/>
      <w:bookmarkStart w:id="1590" w:name="_Toc56736965"/>
      <w:bookmarkStart w:id="1591" w:name="_Toc54794967"/>
      <w:bookmarkStart w:id="1592" w:name="_Toc54794253"/>
      <w:bookmarkStart w:id="1593" w:name="_Toc55592349"/>
      <w:bookmarkStart w:id="1594" w:name="_Toc56740633"/>
      <w:bookmarkStart w:id="1595" w:name="_Toc54796395"/>
      <w:bookmarkStart w:id="1596" w:name="_Toc54810684"/>
      <w:bookmarkStart w:id="1597" w:name="_Toc56739127"/>
      <w:bookmarkStart w:id="1598" w:name="_Toc55008027"/>
      <w:bookmarkStart w:id="1599" w:name="_Toc55594910"/>
      <w:bookmarkStart w:id="1600" w:name="_Toc56739870"/>
      <w:r>
        <w:rPr>
          <w:b/>
          <w:bCs/>
          <w:kern w:val="32"/>
          <w:sz w:val="26"/>
          <w:szCs w:val="26"/>
          <w:lang w:val="da-DK"/>
        </w:rPr>
        <w:t>QUẢN LÝ MÔI TRƯỜNG</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120BC9DE" w14:textId="77777777" w:rsidR="00085789" w:rsidRDefault="00000000">
      <w:pPr>
        <w:pStyle w:val="bac2"/>
        <w:spacing w:before="120" w:after="0" w:line="240" w:lineRule="auto"/>
        <w:rPr>
          <w:lang w:val="da-DK"/>
        </w:rPr>
      </w:pPr>
      <w:bookmarkStart w:id="1601" w:name="_Toc56736967"/>
      <w:bookmarkStart w:id="1602" w:name="_Toc54796397"/>
      <w:bookmarkStart w:id="1603" w:name="_Toc55592351"/>
      <w:bookmarkStart w:id="1604" w:name="_Toc55594912"/>
      <w:bookmarkStart w:id="1605" w:name="_Toc54794969"/>
      <w:bookmarkStart w:id="1606" w:name="_Toc56739872"/>
      <w:bookmarkStart w:id="1607" w:name="_Toc54795683"/>
      <w:bookmarkStart w:id="1608" w:name="_Toc56740635"/>
      <w:bookmarkStart w:id="1609" w:name="_Toc56737688"/>
      <w:bookmarkStart w:id="1610" w:name="_Toc54794255"/>
      <w:bookmarkStart w:id="1611" w:name="_Toc55008029"/>
      <w:bookmarkStart w:id="1612" w:name="_Toc54810686"/>
      <w:bookmarkStart w:id="1613" w:name="_Toc56739129"/>
      <w:bookmarkStart w:id="1614" w:name="_Toc214311310"/>
      <w:bookmarkStart w:id="1615" w:name="_Toc260998996"/>
      <w:r>
        <w:rPr>
          <w:lang w:val="da-DK"/>
        </w:rPr>
        <w:t xml:space="preserve">10.1. Tình hình thực hiện các chỉ tiêu về môi trường trong Kế hoạch phát triển </w:t>
      </w:r>
      <w:r>
        <w:rPr>
          <w:bCs/>
          <w:szCs w:val="26"/>
          <w:lang w:val="da-DK"/>
        </w:rPr>
        <w:t xml:space="preserve">KT-XH </w:t>
      </w:r>
      <w:r>
        <w:rPr>
          <w:lang w:val="da-DK"/>
        </w:rPr>
        <w:t>tỉnh Hà Tĩnh</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694BF2C8" w14:textId="77777777" w:rsidR="00085789" w:rsidRDefault="00000000">
      <w:pPr>
        <w:keepNext/>
        <w:spacing w:before="120" w:line="240" w:lineRule="auto"/>
        <w:ind w:firstLine="720"/>
        <w:jc w:val="both"/>
        <w:outlineLvl w:val="2"/>
        <w:rPr>
          <w:bCs/>
          <w:sz w:val="26"/>
          <w:szCs w:val="26"/>
          <w:lang w:val="da-DK"/>
        </w:rPr>
      </w:pPr>
      <w:bookmarkStart w:id="1616" w:name="_Toc55594913"/>
      <w:bookmarkStart w:id="1617" w:name="_Toc54794970"/>
      <w:bookmarkStart w:id="1618" w:name="_Toc54795684"/>
      <w:bookmarkStart w:id="1619" w:name="_Toc56736968"/>
      <w:bookmarkStart w:id="1620" w:name="_Toc56740636"/>
      <w:bookmarkStart w:id="1621" w:name="_Toc55592352"/>
      <w:bookmarkStart w:id="1622" w:name="_Toc56739130"/>
      <w:bookmarkStart w:id="1623" w:name="_Toc56739873"/>
      <w:bookmarkStart w:id="1624" w:name="_Toc54794256"/>
      <w:bookmarkStart w:id="1625" w:name="_Toc54796398"/>
      <w:bookmarkStart w:id="1626" w:name="_Toc55008030"/>
      <w:bookmarkStart w:id="1627" w:name="_Toc56737689"/>
      <w:bookmarkStart w:id="1628" w:name="_Toc54810687"/>
      <w:r>
        <w:rPr>
          <w:bCs/>
          <w:sz w:val="26"/>
          <w:szCs w:val="26"/>
          <w:lang w:val="da-DK"/>
        </w:rPr>
        <w:t>Nghị quyết số 249/NQ-HĐND ngày 08/12/2020 của HĐND tỉnh về kế hoạch phát triển KT-XH giai đoạn 2021-2025, theo đó về lĩnh vực môi trường Nghị quyết đã đưa ra một số chỉ tiêu cụ thể sau: (1) Tỷ lệ dân số đô thị được sử dụng nước sạch đạt 98%; (2) tỷ lệ dân số nông thôn được sử dụng nước hợp vệ sinh đạt 100%, trong đó nước đạt tiêu chuẩn đạt trên 72%; (3) tỷ lệ che phủ rừng trên 52%; (4) tỷ lệ CTR được phân loại, thu gom, xử lý đạt tiêu chuẩn 80% trở lên.</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21ADD825" w14:textId="77777777" w:rsidR="00085789" w:rsidRDefault="00000000">
      <w:pPr>
        <w:spacing w:before="120" w:line="240" w:lineRule="auto"/>
        <w:ind w:firstLineChars="323" w:firstLine="840"/>
        <w:jc w:val="both"/>
        <w:rPr>
          <w:sz w:val="26"/>
          <w:szCs w:val="26"/>
          <w:lang w:val="da-DK"/>
        </w:rPr>
      </w:pPr>
      <w:bookmarkStart w:id="1629" w:name="_Toc54794257"/>
      <w:bookmarkStart w:id="1630" w:name="_Toc54794971"/>
      <w:bookmarkStart w:id="1631" w:name="_Toc55594914"/>
      <w:bookmarkStart w:id="1632" w:name="_Toc54796399"/>
      <w:bookmarkStart w:id="1633" w:name="_Toc56737690"/>
      <w:bookmarkStart w:id="1634" w:name="_Toc54810688"/>
      <w:bookmarkStart w:id="1635" w:name="_Toc56739131"/>
      <w:bookmarkStart w:id="1636" w:name="_Toc56739874"/>
      <w:bookmarkStart w:id="1637" w:name="_Toc54795685"/>
      <w:bookmarkStart w:id="1638" w:name="_Toc55008031"/>
      <w:bookmarkStart w:id="1639" w:name="_Toc55592353"/>
      <w:bookmarkStart w:id="1640" w:name="_Toc56736969"/>
      <w:bookmarkStart w:id="1641" w:name="_Toc56740637"/>
      <w:r>
        <w:rPr>
          <w:sz w:val="26"/>
          <w:szCs w:val="26"/>
          <w:lang w:val="da-DK"/>
        </w:rPr>
        <w:t>Kết quả thực hiện các chỉ tiêu môi trường trong Kế hoạch phát triển KT-XH giai đoạn 2021-2025 như sau:</w:t>
      </w:r>
    </w:p>
    <w:p w14:paraId="2549D617" w14:textId="77777777" w:rsidR="00085789" w:rsidRDefault="00000000">
      <w:pPr>
        <w:spacing w:before="120" w:line="240" w:lineRule="auto"/>
        <w:ind w:firstLineChars="323" w:firstLine="840"/>
        <w:jc w:val="both"/>
        <w:rPr>
          <w:bCs/>
          <w:sz w:val="26"/>
          <w:szCs w:val="26"/>
          <w:lang w:val="da-DK"/>
        </w:rPr>
      </w:pPr>
      <w:r>
        <w:rPr>
          <w:bCs/>
          <w:sz w:val="26"/>
          <w:szCs w:val="26"/>
          <w:lang w:val="da-DK"/>
        </w:rPr>
        <w:t>(1) Tỷ lệ dân số đô thị được sử dụng nước sạch đạt 98%</w:t>
      </w:r>
    </w:p>
    <w:p w14:paraId="1CA6F13F" w14:textId="510662F8" w:rsidR="00085789" w:rsidRDefault="00000000">
      <w:pPr>
        <w:spacing w:before="80" w:line="240" w:lineRule="auto"/>
        <w:ind w:firstLineChars="323" w:firstLine="820"/>
        <w:jc w:val="both"/>
        <w:rPr>
          <w:bCs/>
          <w:sz w:val="26"/>
          <w:szCs w:val="26"/>
          <w:lang w:val="da-DK"/>
        </w:rPr>
      </w:pPr>
      <w:r>
        <w:rPr>
          <w:spacing w:val="-6"/>
          <w:sz w:val="26"/>
          <w:szCs w:val="26"/>
          <w:lang w:val="da-DK"/>
        </w:rPr>
        <w:t>Tính đến năm 2025, tỷ lệ dân số đô thị sử dụng nước sạch đạt 89,0% chưa đạt kế hoạch.</w:t>
      </w:r>
    </w:p>
    <w:p w14:paraId="4B81BCE7" w14:textId="77777777" w:rsidR="00085789" w:rsidRDefault="00000000">
      <w:pPr>
        <w:spacing w:before="120" w:line="240" w:lineRule="auto"/>
        <w:ind w:firstLineChars="323" w:firstLine="840"/>
        <w:jc w:val="both"/>
        <w:rPr>
          <w:bCs/>
          <w:sz w:val="26"/>
          <w:szCs w:val="26"/>
          <w:lang w:val="da-DK"/>
        </w:rPr>
      </w:pPr>
      <w:r>
        <w:rPr>
          <w:bCs/>
          <w:sz w:val="26"/>
          <w:szCs w:val="26"/>
          <w:lang w:val="da-DK"/>
        </w:rPr>
        <w:t>(2) Tỷ lệ dân số nông thôn được sử dụng nước hợp vệ sinh đạt 100%, trong đó nước đạt tiêu chuẩn đạt trên 72%.</w:t>
      </w:r>
    </w:p>
    <w:p w14:paraId="4B38BA8A" w14:textId="7D0FA559" w:rsidR="00085789" w:rsidRDefault="00000000">
      <w:pPr>
        <w:spacing w:before="80" w:line="240" w:lineRule="auto"/>
        <w:ind w:firstLineChars="323" w:firstLine="840"/>
        <w:jc w:val="both"/>
        <w:rPr>
          <w:bCs/>
          <w:sz w:val="26"/>
          <w:szCs w:val="26"/>
          <w:lang w:val="da-DK"/>
        </w:rPr>
      </w:pPr>
      <w:r>
        <w:rPr>
          <w:sz w:val="26"/>
          <w:szCs w:val="26"/>
          <w:lang w:val="da-DK"/>
        </w:rPr>
        <w:t xml:space="preserve">Tỉnh Hà Tĩnh đã tăng cường công tác đảm bảo nước sạch, vệ sinh môi trường nông thôn, định kỳ kiểm tra chất lượng nước, đánh giá công tác quản lý, vận hành, khai </w:t>
      </w:r>
      <w:r>
        <w:rPr>
          <w:spacing w:val="-6"/>
          <w:sz w:val="26"/>
          <w:szCs w:val="26"/>
          <w:lang w:val="da-DK"/>
        </w:rPr>
        <w:t>thác tại các công trình cấp nước tập trung nông thôn nên tỷ lệ dân số nông thôn sử dụng nước hợp vệ sinh duy trì đạt 100%, đạt kế hoạch.</w:t>
      </w:r>
    </w:p>
    <w:p w14:paraId="5A592B0E" w14:textId="77777777" w:rsidR="00085789" w:rsidRDefault="00000000">
      <w:pPr>
        <w:spacing w:before="120" w:line="240" w:lineRule="auto"/>
        <w:ind w:firstLineChars="323" w:firstLine="840"/>
        <w:jc w:val="both"/>
        <w:rPr>
          <w:bCs/>
          <w:sz w:val="26"/>
          <w:szCs w:val="26"/>
          <w:lang w:val="da-DK"/>
        </w:rPr>
      </w:pPr>
      <w:r>
        <w:rPr>
          <w:bCs/>
          <w:sz w:val="26"/>
          <w:szCs w:val="26"/>
          <w:lang w:val="da-DK"/>
        </w:rPr>
        <w:t>(3) Tỷ lệ che phủ rừng trên 52%;</w:t>
      </w:r>
    </w:p>
    <w:p w14:paraId="0C3E278C" w14:textId="77777777" w:rsidR="000F5AB4" w:rsidRDefault="00000000" w:rsidP="000F5AB4">
      <w:pPr>
        <w:spacing w:before="80" w:line="240" w:lineRule="auto"/>
        <w:ind w:firstLineChars="323" w:firstLine="827"/>
        <w:jc w:val="both"/>
        <w:rPr>
          <w:bCs/>
          <w:sz w:val="26"/>
          <w:szCs w:val="26"/>
          <w:lang w:val="da-DK"/>
        </w:rPr>
      </w:pPr>
      <w:r>
        <w:rPr>
          <w:spacing w:val="-4"/>
          <w:sz w:val="26"/>
          <w:szCs w:val="26"/>
          <w:lang w:val="da-DK"/>
        </w:rPr>
        <w:t xml:space="preserve">Tỷ lệ che phủ rừng năm 2025 đạt 48,9%, năm 2024 đạt 52,33%, năm 2023 đạt 52,58%, năm 2022 đạt 52,56%, năm 2021 đạt 52,25%. </w:t>
      </w:r>
      <w:r>
        <w:rPr>
          <w:bCs/>
          <w:spacing w:val="-4"/>
          <w:sz w:val="26"/>
          <w:szCs w:val="26"/>
          <w:lang w:val="da-DK"/>
        </w:rPr>
        <w:t xml:space="preserve">Như vậy chỉ tiêu về tỷ lệ che phủ rừng từ năm 2021-2024 đạt so với kế hoạch đề ra, nhưng năm 2025 không đạt </w:t>
      </w:r>
      <w:r>
        <w:rPr>
          <w:rFonts w:eastAsia="Calibri"/>
          <w:sz w:val="26"/>
          <w:szCs w:val="26"/>
          <w:lang w:val="vi-VN"/>
        </w:rPr>
        <w:t>do diện tích rừng đủ tiêu chí thành rừng (tính tỷ lệ che phủ) bị thiệt hại do bão số 5, số 10 gây ra trên địa bàn tỉnh (có khoảng 20.000 ha rừng trồng bị thiệt hại, không đủ tiêu chí thành rừng, nên tỷ lệ che phủ sẽ giảm khoảng 3,34% so với năm 2024)</w:t>
      </w:r>
      <w:r>
        <w:rPr>
          <w:rFonts w:eastAsia="Calibri"/>
          <w:sz w:val="26"/>
          <w:szCs w:val="26"/>
        </w:rPr>
        <w:t>.</w:t>
      </w:r>
    </w:p>
    <w:p w14:paraId="02741574" w14:textId="44F5294C" w:rsidR="00085789" w:rsidRDefault="00000000" w:rsidP="000F5AB4">
      <w:pPr>
        <w:spacing w:before="80" w:line="240" w:lineRule="auto"/>
        <w:ind w:firstLineChars="323" w:firstLine="840"/>
        <w:jc w:val="both"/>
        <w:rPr>
          <w:bCs/>
          <w:sz w:val="26"/>
          <w:szCs w:val="26"/>
          <w:lang w:val="da-DK"/>
        </w:rPr>
      </w:pPr>
      <w:r>
        <w:rPr>
          <w:bCs/>
          <w:sz w:val="26"/>
          <w:szCs w:val="26"/>
          <w:lang w:val="da-DK"/>
        </w:rPr>
        <w:t>(4) Tỷ lệ CTR được phân loại, thu gom, xử lý đạt tiêu chuẩn 80% trở lên</w:t>
      </w:r>
    </w:p>
    <w:p w14:paraId="3A67B3B2" w14:textId="5C66FBD8" w:rsidR="00085789" w:rsidRDefault="005E5CEA">
      <w:pPr>
        <w:keepNext/>
        <w:spacing w:before="120" w:line="240" w:lineRule="auto"/>
        <w:ind w:firstLine="680"/>
        <w:jc w:val="both"/>
        <w:outlineLvl w:val="2"/>
        <w:rPr>
          <w:spacing w:val="-4"/>
          <w:sz w:val="26"/>
          <w:szCs w:val="26"/>
          <w:lang w:val="da-DK"/>
        </w:rPr>
      </w:pPr>
      <w:r>
        <w:rPr>
          <w:spacing w:val="-4"/>
          <w:sz w:val="26"/>
          <w:szCs w:val="26"/>
          <w:lang w:val="da-DK"/>
        </w:rPr>
        <w:tab/>
      </w:r>
      <w:r w:rsidR="00000000">
        <w:rPr>
          <w:spacing w:val="-4"/>
          <w:sz w:val="26"/>
          <w:szCs w:val="26"/>
          <w:lang w:val="da-DK"/>
        </w:rPr>
        <w:t xml:space="preserve">Theo thống kê năm 2025 tỷ lệ thu gom đạt 96,5%, xử lý đảm bảo quy định đạt 95% (và đạt tỷ lệ 98,4% so với lượng CTRSH thu gom). Như vậy chỉ tiêu về tỷ lệ </w:t>
      </w:r>
      <w:r w:rsidR="00000000">
        <w:rPr>
          <w:bCs/>
          <w:spacing w:val="-4"/>
          <w:sz w:val="26"/>
          <w:szCs w:val="26"/>
          <w:lang w:val="da-DK"/>
        </w:rPr>
        <w:t xml:space="preserve">CTR được phân loại, thu gom, xử lý đạt </w:t>
      </w:r>
      <w:r w:rsidR="00000000">
        <w:rPr>
          <w:spacing w:val="-4"/>
          <w:sz w:val="26"/>
          <w:szCs w:val="26"/>
          <w:lang w:val="da-DK"/>
        </w:rPr>
        <w:t>kế hoạch.</w:t>
      </w:r>
    </w:p>
    <w:p w14:paraId="3765821E" w14:textId="77777777" w:rsidR="00085789" w:rsidRDefault="00000000">
      <w:pPr>
        <w:pStyle w:val="bac2"/>
        <w:spacing w:before="80" w:after="0" w:line="240" w:lineRule="auto"/>
        <w:rPr>
          <w:rFonts w:asciiTheme="majorHAnsi" w:hAnsiTheme="majorHAnsi" w:cstheme="majorHAnsi"/>
          <w:lang w:val="da-DK"/>
        </w:rPr>
      </w:pPr>
      <w:bookmarkStart w:id="1642" w:name="_Toc56737695"/>
      <w:bookmarkStart w:id="1643" w:name="_Toc55008036"/>
      <w:bookmarkStart w:id="1644" w:name="_Toc56740642"/>
      <w:bookmarkStart w:id="1645" w:name="_Toc54810693"/>
      <w:bookmarkStart w:id="1646" w:name="_Toc56739879"/>
      <w:bookmarkStart w:id="1647" w:name="_Toc54796404"/>
      <w:bookmarkStart w:id="1648" w:name="_Toc54794976"/>
      <w:bookmarkStart w:id="1649" w:name="_Toc54794262"/>
      <w:bookmarkStart w:id="1650" w:name="_Toc55592358"/>
      <w:bookmarkStart w:id="1651" w:name="_Toc56739136"/>
      <w:bookmarkStart w:id="1652" w:name="_Toc54795690"/>
      <w:bookmarkStart w:id="1653" w:name="_Toc56736974"/>
      <w:bookmarkStart w:id="1654" w:name="_Toc55594919"/>
      <w:bookmarkStart w:id="1655" w:name="_Toc214311311"/>
      <w:bookmarkEnd w:id="1629"/>
      <w:bookmarkEnd w:id="1630"/>
      <w:bookmarkEnd w:id="1631"/>
      <w:bookmarkEnd w:id="1632"/>
      <w:bookmarkEnd w:id="1633"/>
      <w:bookmarkEnd w:id="1634"/>
      <w:bookmarkEnd w:id="1635"/>
      <w:bookmarkEnd w:id="1636"/>
      <w:bookmarkEnd w:id="1637"/>
      <w:bookmarkEnd w:id="1638"/>
      <w:bookmarkEnd w:id="1639"/>
      <w:bookmarkEnd w:id="1640"/>
      <w:bookmarkEnd w:id="1641"/>
      <w:r>
        <w:rPr>
          <w:rFonts w:asciiTheme="majorHAnsi" w:hAnsiTheme="majorHAnsi" w:cstheme="majorHAnsi"/>
          <w:lang w:val="da-DK"/>
        </w:rPr>
        <w:t>10.2. Hệ thống ch</w:t>
      </w:r>
      <w:r>
        <w:rPr>
          <w:rFonts w:asciiTheme="majorHAnsi" w:hAnsiTheme="majorHAnsi" w:cstheme="majorHAnsi" w:hint="eastAsia"/>
          <w:lang w:val="da-DK"/>
        </w:rPr>
        <w:t>í</w:t>
      </w:r>
      <w:r>
        <w:rPr>
          <w:rFonts w:asciiTheme="majorHAnsi" w:hAnsiTheme="majorHAnsi" w:cstheme="majorHAnsi"/>
          <w:lang w:val="da-DK"/>
        </w:rPr>
        <w:t>nh s</w:t>
      </w:r>
      <w:r>
        <w:rPr>
          <w:rFonts w:asciiTheme="majorHAnsi" w:hAnsiTheme="majorHAnsi" w:cstheme="majorHAnsi" w:hint="eastAsia"/>
          <w:lang w:val="da-DK"/>
        </w:rPr>
        <w:t>á</w:t>
      </w:r>
      <w:r>
        <w:rPr>
          <w:rFonts w:asciiTheme="majorHAnsi" w:hAnsiTheme="majorHAnsi" w:cstheme="majorHAnsi"/>
          <w:lang w:val="da-DK"/>
        </w:rPr>
        <w:t>ch v</w:t>
      </w:r>
      <w:r>
        <w:rPr>
          <w:rFonts w:asciiTheme="majorHAnsi" w:hAnsiTheme="majorHAnsi" w:cstheme="majorHAnsi" w:hint="eastAsia"/>
          <w:lang w:val="da-DK"/>
        </w:rPr>
        <w:t>à</w:t>
      </w:r>
      <w:r>
        <w:rPr>
          <w:rFonts w:asciiTheme="majorHAnsi" w:hAnsiTheme="majorHAnsi" w:cstheme="majorHAnsi"/>
          <w:lang w:val="da-DK"/>
        </w:rPr>
        <w:t xml:space="preserve"> v</w:t>
      </w:r>
      <w:r>
        <w:rPr>
          <w:rFonts w:asciiTheme="majorHAnsi" w:hAnsiTheme="majorHAnsi" w:cstheme="majorHAnsi" w:hint="eastAsia"/>
          <w:lang w:val="da-DK"/>
        </w:rPr>
        <w:t>ă</w:t>
      </w:r>
      <w:r>
        <w:rPr>
          <w:rFonts w:asciiTheme="majorHAnsi" w:hAnsiTheme="majorHAnsi" w:cstheme="majorHAnsi"/>
          <w:lang w:val="da-DK"/>
        </w:rPr>
        <w:t>n bản quy phạm ph</w:t>
      </w:r>
      <w:r>
        <w:rPr>
          <w:rFonts w:asciiTheme="majorHAnsi" w:hAnsiTheme="majorHAnsi" w:cstheme="majorHAnsi" w:hint="eastAsia"/>
          <w:lang w:val="da-DK"/>
        </w:rPr>
        <w:t>á</w:t>
      </w:r>
      <w:r>
        <w:rPr>
          <w:rFonts w:asciiTheme="majorHAnsi" w:hAnsiTheme="majorHAnsi" w:cstheme="majorHAnsi"/>
          <w:lang w:val="da-DK"/>
        </w:rPr>
        <w:t>p luật</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4C3D8A32" w14:textId="2716DF35" w:rsidR="00085789" w:rsidRDefault="00000000">
      <w:pPr>
        <w:spacing w:before="120" w:line="240" w:lineRule="auto"/>
        <w:ind w:firstLine="720"/>
        <w:jc w:val="both"/>
        <w:rPr>
          <w:sz w:val="26"/>
          <w:szCs w:val="26"/>
          <w:lang w:val="nl-NL"/>
        </w:rPr>
      </w:pPr>
      <w:r>
        <w:rPr>
          <w:sz w:val="26"/>
          <w:szCs w:val="26"/>
          <w:lang w:val="da-DK"/>
        </w:rPr>
        <w:t xml:space="preserve">Để triển khai thực hiện các quy định của pháp luật về bảo vệ môi trường trên địa bàn tỉnh, thời gian qua </w:t>
      </w:r>
      <w:r>
        <w:rPr>
          <w:spacing w:val="-6"/>
          <w:sz w:val="26"/>
          <w:szCs w:val="26"/>
          <w:lang w:val="da-DK"/>
        </w:rPr>
        <w:t xml:space="preserve">UBND tỉnh đã ban hành và trình HĐND tỉnh thông qua nhiều chính sách và văn bản quy phạm pháp luật. </w:t>
      </w:r>
      <w:r>
        <w:rPr>
          <w:sz w:val="26"/>
          <w:szCs w:val="26"/>
          <w:shd w:val="clear" w:color="auto" w:fill="FFFFFF"/>
          <w:lang w:val="nl-NL"/>
        </w:rPr>
        <w:t>Các chính sách và văn bản quy phạm pháp luật ban hành là</w:t>
      </w:r>
      <w:r>
        <w:rPr>
          <w:sz w:val="26"/>
          <w:szCs w:val="26"/>
          <w:lang w:val="nl-NL"/>
        </w:rPr>
        <w:t xml:space="preserve"> cơ sở pháp lý để các cấp, các ngành, các tổ chức, cá nhân trong tỉnh phối hợp tổ chức thực hiện để nâng cao hiệu quả công tác quản lý nhà nước về BVMT. </w:t>
      </w:r>
      <w:r>
        <w:rPr>
          <w:spacing w:val="-6"/>
          <w:sz w:val="26"/>
          <w:szCs w:val="26"/>
          <w:lang w:val="da-DK"/>
        </w:rPr>
        <w:t>Cụ thể như sau:</w:t>
      </w:r>
    </w:p>
    <w:p w14:paraId="6FEB7D13" w14:textId="337DCB3F" w:rsidR="00085789" w:rsidRDefault="00000000">
      <w:pPr>
        <w:spacing w:before="120" w:line="240" w:lineRule="auto"/>
        <w:ind w:firstLine="567"/>
        <w:jc w:val="both"/>
        <w:rPr>
          <w:rFonts w:eastAsia="Calibri"/>
          <w:sz w:val="26"/>
          <w:szCs w:val="26"/>
          <w:lang w:val="da-DK"/>
        </w:rPr>
      </w:pPr>
      <w:r>
        <w:rPr>
          <w:rFonts w:eastAsia="Calibri"/>
          <w:sz w:val="26"/>
          <w:szCs w:val="26"/>
        </w:rPr>
        <w:tab/>
      </w:r>
      <w:r>
        <w:rPr>
          <w:rFonts w:eastAsia="Calibri"/>
          <w:sz w:val="26"/>
          <w:szCs w:val="26"/>
          <w:lang w:val="vi-VN"/>
        </w:rPr>
        <w:t xml:space="preserve">UBND tỉnh đã trình HĐND tỉnh thông qua </w:t>
      </w:r>
      <w:r>
        <w:rPr>
          <w:rFonts w:eastAsia="Calibri"/>
          <w:sz w:val="26"/>
          <w:szCs w:val="26"/>
          <w:lang w:val="da-DK"/>
        </w:rPr>
        <w:t xml:space="preserve">các </w:t>
      </w:r>
      <w:r>
        <w:rPr>
          <w:rFonts w:eastAsia="Calibri"/>
          <w:sz w:val="26"/>
          <w:szCs w:val="26"/>
          <w:lang w:val="vi-VN"/>
        </w:rPr>
        <w:t>Nghị quyết</w:t>
      </w:r>
      <w:r>
        <w:rPr>
          <w:rFonts w:eastAsia="Calibri"/>
          <w:sz w:val="26"/>
          <w:szCs w:val="26"/>
          <w:lang w:val="da-DK"/>
        </w:rPr>
        <w:t>:</w:t>
      </w:r>
      <w:r>
        <w:rPr>
          <w:rFonts w:eastAsia="Calibri"/>
          <w:sz w:val="26"/>
          <w:szCs w:val="26"/>
          <w:lang w:val="vi-VN"/>
        </w:rPr>
        <w:t xml:space="preserve"> </w:t>
      </w:r>
      <w:r>
        <w:rPr>
          <w:rFonts w:eastAsia="Calibri"/>
          <w:sz w:val="26"/>
          <w:szCs w:val="26"/>
        </w:rPr>
        <w:t xml:space="preserve">số 52/2021/NQ-HĐND ngày 16/12/2021 sửa đổi, bổ sung một số điều Nghị quyết số 253/2020/NQ-HĐND ngày 08/12/2020 quy định về mức thu, miễn, giảm, thu, nộp, quản lý và sử dụng các khoán phí, lệ phí trên địa bàn tỉnh; số </w:t>
      </w:r>
      <w:r>
        <w:rPr>
          <w:rFonts w:eastAsia="Calibri"/>
          <w:sz w:val="26"/>
          <w:szCs w:val="26"/>
          <w:lang w:val="vi-VN"/>
        </w:rPr>
        <w:t>73/2022/NQ-HĐND ngày 15/7/2022</w:t>
      </w:r>
      <w:r>
        <w:rPr>
          <w:sz w:val="26"/>
          <w:szCs w:val="26"/>
          <w:lang w:val="en"/>
        </w:rPr>
        <w:t xml:space="preserve">, số 161/2025/NQ-HĐND ngày 29/10/2025 thay thế Nghị quyết </w:t>
      </w:r>
      <w:r>
        <w:rPr>
          <w:rFonts w:eastAsia="Calibri"/>
          <w:sz w:val="26"/>
          <w:szCs w:val="26"/>
        </w:rPr>
        <w:t xml:space="preserve">số </w:t>
      </w:r>
      <w:r>
        <w:rPr>
          <w:rFonts w:eastAsia="Calibri"/>
          <w:sz w:val="26"/>
          <w:szCs w:val="26"/>
          <w:lang w:val="vi-VN"/>
        </w:rPr>
        <w:t>73/2022/NQ-HĐND ngày 15/7/2022</w:t>
      </w:r>
      <w:r>
        <w:rPr>
          <w:sz w:val="26"/>
          <w:szCs w:val="26"/>
          <w:lang w:val="en"/>
        </w:rPr>
        <w:t xml:space="preserve"> về phân định các nhiệm vụ chi bảo vệ môi trường trên địa bàn tỉnh;</w:t>
      </w:r>
      <w:r>
        <w:rPr>
          <w:rFonts w:eastAsia="Calibri"/>
          <w:sz w:val="26"/>
          <w:szCs w:val="26"/>
        </w:rPr>
        <w:t xml:space="preserve"> </w:t>
      </w:r>
      <w:r>
        <w:rPr>
          <w:rFonts w:eastAsia="Calibri"/>
          <w:sz w:val="26"/>
          <w:szCs w:val="26"/>
          <w:lang w:val="vi-VN"/>
        </w:rPr>
        <w:t xml:space="preserve">số 97/2022/NQ-HĐND ngày </w:t>
      </w:r>
      <w:r>
        <w:rPr>
          <w:rFonts w:eastAsia="Calibri"/>
          <w:sz w:val="26"/>
          <w:szCs w:val="26"/>
          <w:lang w:val="vi-VN"/>
        </w:rPr>
        <w:lastRenderedPageBreak/>
        <w:t>16/12/2022</w:t>
      </w:r>
      <w:r>
        <w:rPr>
          <w:rFonts w:eastAsia="Calibri"/>
          <w:sz w:val="26"/>
          <w:szCs w:val="26"/>
        </w:rPr>
        <w:t>,</w:t>
      </w:r>
      <w:r>
        <w:rPr>
          <w:rFonts w:eastAsia="Calibri"/>
          <w:sz w:val="26"/>
          <w:szCs w:val="26"/>
          <w:lang w:val="vi-VN"/>
        </w:rPr>
        <w:t xml:space="preserve"> số 133/2024/NQ-HĐND ngày 30/9/2024</w:t>
      </w:r>
      <w:r>
        <w:rPr>
          <w:rFonts w:eastAsia="Calibri"/>
          <w:sz w:val="26"/>
          <w:szCs w:val="26"/>
          <w:lang w:val="da-DK"/>
        </w:rPr>
        <w:t xml:space="preserve"> và </w:t>
      </w:r>
      <w:r>
        <w:rPr>
          <w:sz w:val="26"/>
          <w:szCs w:val="26"/>
          <w:lang w:val="da-DK"/>
        </w:rPr>
        <w:t>số 155/2025/NQ-HĐND ngày 24/7/2025</w:t>
      </w:r>
      <w:r>
        <w:rPr>
          <w:rFonts w:eastAsia="Calibri"/>
          <w:sz w:val="26"/>
          <w:szCs w:val="26"/>
          <w:lang w:val="da-DK"/>
        </w:rPr>
        <w:t xml:space="preserve"> </w:t>
      </w:r>
      <w:r>
        <w:rPr>
          <w:rFonts w:eastAsia="Calibri"/>
          <w:sz w:val="26"/>
          <w:szCs w:val="26"/>
          <w:lang w:val="vi-VN"/>
        </w:rPr>
        <w:t xml:space="preserve">sửa đổi một số nội dung Nghị quyết số 97/2022/NQ-HĐND </w:t>
      </w:r>
      <w:r>
        <w:rPr>
          <w:rFonts w:eastAsia="Calibri"/>
          <w:sz w:val="26"/>
          <w:szCs w:val="26"/>
        </w:rPr>
        <w:t xml:space="preserve">quy định </w:t>
      </w:r>
      <w:r>
        <w:rPr>
          <w:rFonts w:eastAsia="Calibri"/>
          <w:sz w:val="26"/>
          <w:szCs w:val="26"/>
          <w:lang w:val="vi-VN"/>
        </w:rPr>
        <w:t>về một số chính sách hỗ trợ hoạt động bảo vệ môi trường giai đoạn 2023-2025</w:t>
      </w:r>
      <w:r>
        <w:rPr>
          <w:rFonts w:eastAsia="Calibri"/>
          <w:sz w:val="26"/>
          <w:szCs w:val="26"/>
          <w:lang w:val="da-DK"/>
        </w:rPr>
        <w:t xml:space="preserve">; </w:t>
      </w:r>
      <w:r>
        <w:rPr>
          <w:spacing w:val="-2"/>
          <w:sz w:val="26"/>
          <w:szCs w:val="26"/>
          <w:lang w:val="hsb-DE"/>
        </w:rPr>
        <w:t>số 154/2025/NQ-HĐND ngày 24/7/2025 quy định một số mức chi sự nghiệp tài nguyên môi trường và bảo vệ môi trường trên địa bàn tỉnh</w:t>
      </w:r>
      <w:r>
        <w:rPr>
          <w:bCs/>
          <w:sz w:val="26"/>
          <w:szCs w:val="26"/>
          <w:lang w:val="da-DK"/>
        </w:rPr>
        <w:t>.</w:t>
      </w:r>
    </w:p>
    <w:p w14:paraId="382A24BC" w14:textId="5EB1EB38" w:rsidR="00085789" w:rsidRDefault="00000000">
      <w:pPr>
        <w:spacing w:before="120" w:line="240" w:lineRule="auto"/>
        <w:ind w:firstLine="709"/>
        <w:jc w:val="both"/>
        <w:rPr>
          <w:sz w:val="26"/>
          <w:szCs w:val="26"/>
        </w:rPr>
      </w:pPr>
      <w:r>
        <w:rPr>
          <w:rFonts w:eastAsia="Calibri"/>
          <w:sz w:val="26"/>
          <w:szCs w:val="26"/>
          <w:lang w:val="vi-VN"/>
        </w:rPr>
        <w:t xml:space="preserve">UBND tỉnh đã ban hành </w:t>
      </w:r>
      <w:r>
        <w:rPr>
          <w:rFonts w:eastAsia="Calibri"/>
          <w:sz w:val="26"/>
          <w:szCs w:val="26"/>
        </w:rPr>
        <w:t xml:space="preserve">các </w:t>
      </w:r>
      <w:r>
        <w:rPr>
          <w:rFonts w:eastAsia="Calibri"/>
          <w:sz w:val="26"/>
          <w:szCs w:val="26"/>
          <w:lang w:val="vi-VN"/>
        </w:rPr>
        <w:t>Quyết định</w:t>
      </w:r>
      <w:r>
        <w:rPr>
          <w:rFonts w:eastAsia="Calibri"/>
          <w:sz w:val="26"/>
          <w:szCs w:val="26"/>
        </w:rPr>
        <w:t>:</w:t>
      </w:r>
      <w:r>
        <w:rPr>
          <w:rFonts w:eastAsia="Calibri"/>
          <w:sz w:val="26"/>
          <w:szCs w:val="26"/>
          <w:lang w:val="vi-VN"/>
        </w:rPr>
        <w:t xml:space="preserve"> </w:t>
      </w:r>
      <w:r>
        <w:rPr>
          <w:rFonts w:eastAsia="Calibri"/>
          <w:sz w:val="26"/>
          <w:szCs w:val="26"/>
        </w:rPr>
        <w:t xml:space="preserve">số 36/2022/QĐ-UBND ngày 09/12/2022 ban hành bộ tiêu chí xã nông thôn mới và bộ tiêu chí xã nông thôn mới nâng cao trên địa bàn tỉnh; số 37/2022/QĐ-UBND ngày 09/12/2022 ban hành bộ tiêu chí huyện nông thôn mới; số 38/2022/QĐ-UBND ngày 09/12/2022 quy định về xã nông thôn mới kiểu mẫu; </w:t>
      </w:r>
      <w:r>
        <w:rPr>
          <w:rFonts w:eastAsia="Calibri"/>
          <w:sz w:val="26"/>
          <w:szCs w:val="26"/>
          <w:lang w:val="vi-VN"/>
        </w:rPr>
        <w:t xml:space="preserve">số 15/2023/QĐ-UBND ngày 01/3/2023 </w:t>
      </w:r>
      <w:r>
        <w:rPr>
          <w:rFonts w:eastAsia="Calibri"/>
          <w:sz w:val="26"/>
          <w:szCs w:val="26"/>
        </w:rPr>
        <w:t>q</w:t>
      </w:r>
      <w:r>
        <w:rPr>
          <w:rFonts w:eastAsia="Calibri"/>
          <w:sz w:val="26"/>
          <w:szCs w:val="26"/>
          <w:lang w:val="vi-VN"/>
        </w:rPr>
        <w:t xml:space="preserve">uy định quản lý chất thải rắn sinh hoạt trên địa bàn tỉnh Hà Tĩnh; </w:t>
      </w:r>
      <w:r>
        <w:rPr>
          <w:rFonts w:eastAsia="SimSun"/>
          <w:sz w:val="26"/>
          <w:szCs w:val="26"/>
          <w:lang w:val="da-DK" w:eastAsia="zh-CN" w:bidi="ar"/>
        </w:rPr>
        <w:t>số 34/2023/QĐ-UBND ngày 31/7/2023 ban hành quy định về thu gom, vận chuyển và xử lý chất thải y tế nguy hại trên địa bàn tỉnh</w:t>
      </w:r>
      <w:r>
        <w:rPr>
          <w:sz w:val="26"/>
          <w:szCs w:val="26"/>
        </w:rPr>
        <w:t xml:space="preserve">; số 07/2024/QĐ-UBND ngày 10/4/2024 quy định về tuyến đường và thời gian vận chuyển chất thải rắn công nghiệp thông thường, chất thải nguy hại trên địa bàn tỉnh; số 22/2025/QĐ-UBND ngày 14/3/2025 quy định quản lý chất thải rắn xây dựng, bùn thải từ bể phốt; số 67/2025/QĐ-UBND ngày 16/10/2025 </w:t>
      </w:r>
      <w:r>
        <w:rPr>
          <w:rFonts w:eastAsia="SimSun"/>
          <w:sz w:val="26"/>
          <w:szCs w:val="26"/>
          <w:lang w:val="da-DK" w:eastAsia="zh-CN" w:bidi="ar"/>
        </w:rPr>
        <w:t>sửa đổi, bổ sung Quyết định số 34/2023/QĐ-UBND ngày 31/7/2023 và số 22/2025/QĐ-UBND ngày 14/3/2025.</w:t>
      </w:r>
    </w:p>
    <w:p w14:paraId="43D00A40" w14:textId="77777777" w:rsidR="00085789" w:rsidRDefault="00000000">
      <w:pPr>
        <w:spacing w:before="120" w:line="240" w:lineRule="auto"/>
        <w:ind w:firstLine="709"/>
        <w:jc w:val="both"/>
        <w:rPr>
          <w:rFonts w:eastAsia="Calibri"/>
          <w:sz w:val="26"/>
          <w:szCs w:val="26"/>
        </w:rPr>
      </w:pPr>
      <w:r>
        <w:rPr>
          <w:rFonts w:eastAsia="Calibri"/>
          <w:sz w:val="26"/>
          <w:szCs w:val="26"/>
        </w:rPr>
        <w:t xml:space="preserve">Hiện nay, </w:t>
      </w:r>
      <w:r>
        <w:rPr>
          <w:rFonts w:eastAsia="Calibri"/>
          <w:sz w:val="26"/>
          <w:szCs w:val="26"/>
          <w:lang w:val="vi-VN"/>
        </w:rPr>
        <w:t>UBND tỉnh đang chỉ đạo Sở Nông nghiệp và môi trường tham mưu: Quyết định thay thế Quyết định số 15/2023/QĐ-UBND ngày 01/3/2025 quy định về quản lý chất thải rắn sinh hoạt trên địa bàn tỉnh (dự thảo hiện nay đã trình UBND tỉnh); chỉ đạo Sở Tài chính tham mưu Nghị quyết sửa đổi, bổ sung một số điều của nghị quyết phí, lệ phí</w:t>
      </w:r>
      <w:r>
        <w:rPr>
          <w:rFonts w:eastAsia="Calibri"/>
          <w:sz w:val="26"/>
          <w:szCs w:val="26"/>
        </w:rPr>
        <w:t>, trong đó có phí trong lĩnh vực môi trường</w:t>
      </w:r>
      <w:r>
        <w:rPr>
          <w:rFonts w:eastAsia="Calibri"/>
          <w:sz w:val="26"/>
          <w:szCs w:val="26"/>
          <w:lang w:val="vi-VN"/>
        </w:rPr>
        <w:t xml:space="preserve"> (dự thảo đang lấy ý kiến góp ý của các sở, ngành, địa phương, đơn vị liên quan).</w:t>
      </w:r>
    </w:p>
    <w:p w14:paraId="1F261DCE" w14:textId="77777777" w:rsidR="00085789" w:rsidRDefault="00000000">
      <w:pPr>
        <w:pStyle w:val="bac2"/>
        <w:spacing w:before="80" w:after="0" w:line="240" w:lineRule="auto"/>
        <w:rPr>
          <w:lang w:val="da-DK"/>
        </w:rPr>
      </w:pPr>
      <w:bookmarkStart w:id="1656" w:name="_Toc54794263"/>
      <w:bookmarkStart w:id="1657" w:name="_Toc55592359"/>
      <w:bookmarkStart w:id="1658" w:name="_Toc54795691"/>
      <w:bookmarkStart w:id="1659" w:name="_Toc56737696"/>
      <w:bookmarkStart w:id="1660" w:name="_Toc55594920"/>
      <w:bookmarkStart w:id="1661" w:name="_Toc54810694"/>
      <w:bookmarkStart w:id="1662" w:name="_Toc55008037"/>
      <w:bookmarkStart w:id="1663" w:name="_Toc54796405"/>
      <w:bookmarkStart w:id="1664" w:name="_Toc54794977"/>
      <w:bookmarkStart w:id="1665" w:name="_Toc56739880"/>
      <w:bookmarkStart w:id="1666" w:name="_Toc56740643"/>
      <w:bookmarkStart w:id="1667" w:name="_Toc56736975"/>
      <w:bookmarkStart w:id="1668" w:name="_Toc56739137"/>
      <w:bookmarkStart w:id="1669" w:name="_Toc214311312"/>
      <w:r>
        <w:rPr>
          <w:lang w:val="da-DK"/>
        </w:rPr>
        <w:t>10.3. Hệ thống quản lý môi trường</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4523889" w14:textId="77777777" w:rsidR="00085789" w:rsidRDefault="00000000">
      <w:pPr>
        <w:keepNext/>
        <w:spacing w:before="80" w:line="240" w:lineRule="auto"/>
        <w:ind w:firstLine="720"/>
        <w:jc w:val="both"/>
        <w:outlineLvl w:val="2"/>
        <w:rPr>
          <w:b/>
          <w:bCs/>
          <w:sz w:val="26"/>
          <w:szCs w:val="26"/>
          <w:lang w:val="da-DK"/>
        </w:rPr>
      </w:pPr>
      <w:bookmarkStart w:id="1670" w:name="_Toc54795692"/>
      <w:bookmarkStart w:id="1671" w:name="_Toc54794264"/>
      <w:bookmarkStart w:id="1672" w:name="_Toc55008038"/>
      <w:bookmarkStart w:id="1673" w:name="_Toc56736976"/>
      <w:bookmarkStart w:id="1674" w:name="_Toc54794978"/>
      <w:bookmarkStart w:id="1675" w:name="_Toc54796406"/>
      <w:bookmarkStart w:id="1676" w:name="_Toc55592360"/>
      <w:bookmarkStart w:id="1677" w:name="_Toc55594921"/>
      <w:bookmarkStart w:id="1678" w:name="_Toc54810695"/>
      <w:bookmarkStart w:id="1679" w:name="_Toc56740644"/>
      <w:bookmarkStart w:id="1680" w:name="_Toc56739138"/>
      <w:bookmarkStart w:id="1681" w:name="_Toc56737697"/>
      <w:bookmarkStart w:id="1682" w:name="_Toc56739881"/>
      <w:r>
        <w:rPr>
          <w:bCs/>
          <w:sz w:val="26"/>
          <w:szCs w:val="26"/>
          <w:lang w:val="da-DK"/>
        </w:rPr>
        <w:t>Trong giai đoạn 2021 - 2025, hệ thống tổ chức quản lý môi trường trên địa bàn tỉnh Hà Tĩnh có sự thay đổi:</w:t>
      </w:r>
      <w:bookmarkEnd w:id="1615"/>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14FAB4C" w14:textId="77777777" w:rsidR="00085789" w:rsidRDefault="00000000">
      <w:pPr>
        <w:spacing w:before="80" w:line="240" w:lineRule="auto"/>
        <w:ind w:firstLine="720"/>
        <w:jc w:val="both"/>
        <w:rPr>
          <w:sz w:val="26"/>
          <w:szCs w:val="26"/>
          <w:lang w:val="da-DK"/>
        </w:rPr>
      </w:pPr>
      <w:r>
        <w:rPr>
          <w:sz w:val="26"/>
          <w:szCs w:val="26"/>
          <w:lang w:val="da-DK"/>
        </w:rPr>
        <w:t>Từ ngày 01/7/2020 đến ngày 30/6/2025, cơ cấu tổ chức bộ phận chuyên môn về bảo vệ môi trường từ cấp tỉnh, cấp huyện đến cấp xã như sau:</w:t>
      </w:r>
    </w:p>
    <w:p w14:paraId="586B600B" w14:textId="77777777" w:rsidR="00085789" w:rsidRDefault="00085789">
      <w:pPr>
        <w:spacing w:before="80" w:line="240" w:lineRule="auto"/>
        <w:ind w:firstLine="720"/>
        <w:jc w:val="both"/>
        <w:rPr>
          <w:sz w:val="12"/>
          <w:szCs w:val="12"/>
          <w:lang w:val="da-DK"/>
        </w:rPr>
      </w:pPr>
    </w:p>
    <w:p w14:paraId="2A50733E" w14:textId="77777777" w:rsidR="00085789" w:rsidRDefault="00000000">
      <w:pPr>
        <w:spacing w:before="40" w:after="40" w:line="264" w:lineRule="auto"/>
        <w:ind w:firstLine="720"/>
        <w:jc w:val="both"/>
        <w:rPr>
          <w:sz w:val="26"/>
          <w:szCs w:val="26"/>
          <w:lang w:val="da-DK"/>
        </w:rPr>
      </w:pPr>
      <w:r>
        <w:rPr>
          <w:noProof/>
          <w:sz w:val="26"/>
          <w:szCs w:val="26"/>
        </w:rPr>
        <mc:AlternateContent>
          <mc:Choice Requires="wpg">
            <w:drawing>
              <wp:anchor distT="0" distB="0" distL="114300" distR="114300" simplePos="0" relativeHeight="251898368" behindDoc="0" locked="0" layoutInCell="1" allowOverlap="1" wp14:anchorId="7FB29CB2" wp14:editId="02325533">
                <wp:simplePos x="0" y="0"/>
                <wp:positionH relativeFrom="column">
                  <wp:posOffset>-94615</wp:posOffset>
                </wp:positionH>
                <wp:positionV relativeFrom="paragraph">
                  <wp:posOffset>19050</wp:posOffset>
                </wp:positionV>
                <wp:extent cx="6272530" cy="2733675"/>
                <wp:effectExtent l="13970" t="12065" r="9525" b="6985"/>
                <wp:wrapNone/>
                <wp:docPr id="626240537" name="Group 626240537"/>
                <wp:cNvGraphicFramePr/>
                <a:graphic xmlns:a="http://schemas.openxmlformats.org/drawingml/2006/main">
                  <a:graphicData uri="http://schemas.microsoft.com/office/word/2010/wordprocessingGroup">
                    <wpg:wgp>
                      <wpg:cNvGrpSpPr/>
                      <wpg:grpSpPr>
                        <a:xfrm>
                          <a:off x="0" y="0"/>
                          <a:ext cx="6272530" cy="2733675"/>
                          <a:chOff x="1552" y="1389"/>
                          <a:chExt cx="9878" cy="4305"/>
                        </a:xfrm>
                      </wpg:grpSpPr>
                      <wps:wsp>
                        <wps:cNvPr id="1576935891" name="Line 3"/>
                        <wps:cNvCnPr>
                          <a:cxnSpLocks noChangeShapeType="1"/>
                        </wps:cNvCnPr>
                        <wps:spPr bwMode="auto">
                          <a:xfrm>
                            <a:off x="6853" y="4239"/>
                            <a:ext cx="2188" cy="0"/>
                          </a:xfrm>
                          <a:prstGeom prst="line">
                            <a:avLst/>
                          </a:prstGeom>
                          <a:noFill/>
                          <a:ln w="9525">
                            <a:solidFill>
                              <a:srgbClr val="000000"/>
                            </a:solidFill>
                            <a:round/>
                          </a:ln>
                        </wps:spPr>
                        <wps:bodyPr/>
                      </wps:wsp>
                      <wpg:grpSp>
                        <wpg:cNvPr id="1548380771" name="Group 4"/>
                        <wpg:cNvGrpSpPr/>
                        <wpg:grpSpPr>
                          <a:xfrm>
                            <a:off x="1552" y="1389"/>
                            <a:ext cx="9878" cy="4305"/>
                            <a:chOff x="1552" y="1389"/>
                            <a:chExt cx="9878" cy="4305"/>
                          </a:xfrm>
                        </wpg:grpSpPr>
                        <wps:wsp>
                          <wps:cNvPr id="1966916188" name="Line 5"/>
                          <wps:cNvCnPr>
                            <a:cxnSpLocks noChangeShapeType="1"/>
                          </wps:cNvCnPr>
                          <wps:spPr bwMode="auto">
                            <a:xfrm>
                              <a:off x="7675" y="5127"/>
                              <a:ext cx="754" cy="0"/>
                            </a:xfrm>
                            <a:prstGeom prst="line">
                              <a:avLst/>
                            </a:prstGeom>
                            <a:noFill/>
                            <a:ln w="9525">
                              <a:solidFill>
                                <a:srgbClr val="000000"/>
                              </a:solidFill>
                              <a:prstDash val="dash"/>
                              <a:round/>
                              <a:tailEnd type="triangle" w="med" len="med"/>
                            </a:ln>
                          </wps:spPr>
                          <wps:bodyPr/>
                        </wps:wsp>
                        <wps:wsp>
                          <wps:cNvPr id="3286414" name="Text Box 6"/>
                          <wps:cNvSpPr txBox="1">
                            <a:spLocks noChangeArrowheads="1"/>
                          </wps:cNvSpPr>
                          <wps:spPr bwMode="auto">
                            <a:xfrm>
                              <a:off x="9975" y="4674"/>
                              <a:ext cx="1365" cy="907"/>
                            </a:xfrm>
                            <a:prstGeom prst="rect">
                              <a:avLst/>
                            </a:prstGeom>
                            <a:solidFill>
                              <a:srgbClr val="FFFFFF"/>
                            </a:solidFill>
                            <a:ln w="9525">
                              <a:solidFill>
                                <a:srgbClr val="000000"/>
                              </a:solidFill>
                              <a:miter lim="800000"/>
                            </a:ln>
                          </wps:spPr>
                          <wps:txbx>
                            <w:txbxContent>
                              <w:p w14:paraId="5F0FF6A4" w14:textId="77777777" w:rsidR="00085789" w:rsidRDefault="00000000">
                                <w:pPr>
                                  <w:jc w:val="center"/>
                                  <w:rPr>
                                    <w:sz w:val="24"/>
                                    <w:szCs w:val="24"/>
                                  </w:rPr>
                                </w:pPr>
                                <w:r>
                                  <w:rPr>
                                    <w:sz w:val="24"/>
                                    <w:szCs w:val="24"/>
                                  </w:rPr>
                                  <w:t>Phòng TN&amp;MT</w:t>
                                </w:r>
                              </w:p>
                            </w:txbxContent>
                          </wps:txbx>
                          <wps:bodyPr rot="0" vert="horz" wrap="square" lIns="91440" tIns="45720" rIns="91440" bIns="45720" anchor="t" anchorCtr="0" upright="1">
                            <a:noAutofit/>
                          </wps:bodyPr>
                        </wps:wsp>
                        <wps:wsp>
                          <wps:cNvPr id="1849898206" name="Text Box 7"/>
                          <wps:cNvSpPr txBox="1">
                            <a:spLocks noChangeArrowheads="1"/>
                          </wps:cNvSpPr>
                          <wps:spPr bwMode="auto">
                            <a:xfrm>
                              <a:off x="9795" y="3115"/>
                              <a:ext cx="1635" cy="779"/>
                            </a:xfrm>
                            <a:prstGeom prst="rect">
                              <a:avLst/>
                            </a:prstGeom>
                            <a:solidFill>
                              <a:srgbClr val="FFFFFF"/>
                            </a:solidFill>
                            <a:ln w="9525">
                              <a:solidFill>
                                <a:srgbClr val="000000"/>
                              </a:solidFill>
                              <a:miter lim="800000"/>
                            </a:ln>
                          </wps:spPr>
                          <wps:txbx>
                            <w:txbxContent>
                              <w:p w14:paraId="7D00CE6B" w14:textId="77777777" w:rsidR="00085789" w:rsidRDefault="00000000">
                                <w:pPr>
                                  <w:jc w:val="center"/>
                                  <w:rPr>
                                    <w:sz w:val="24"/>
                                    <w:szCs w:val="24"/>
                                  </w:rPr>
                                </w:pPr>
                                <w:r>
                                  <w:rPr>
                                    <w:sz w:val="24"/>
                                    <w:szCs w:val="24"/>
                                  </w:rPr>
                                  <w:t>BQL Khu kinh tế tỉnh</w:t>
                                </w:r>
                              </w:p>
                            </w:txbxContent>
                          </wps:txbx>
                          <wps:bodyPr rot="0" vert="horz" wrap="square" lIns="91440" tIns="45720" rIns="91440" bIns="45720" anchor="t" anchorCtr="0" upright="1">
                            <a:noAutofit/>
                          </wps:bodyPr>
                        </wps:wsp>
                        <wps:wsp>
                          <wps:cNvPr id="895443835" name="Rectangle 8"/>
                          <wps:cNvSpPr>
                            <a:spLocks noChangeArrowheads="1"/>
                          </wps:cNvSpPr>
                          <wps:spPr bwMode="auto">
                            <a:xfrm>
                              <a:off x="5006" y="1389"/>
                              <a:ext cx="1578" cy="751"/>
                            </a:xfrm>
                            <a:prstGeom prst="rect">
                              <a:avLst/>
                            </a:prstGeom>
                            <a:solidFill>
                              <a:srgbClr val="FFFFFF"/>
                            </a:solidFill>
                            <a:ln w="9525">
                              <a:solidFill>
                                <a:srgbClr val="000000"/>
                              </a:solidFill>
                              <a:miter lim="800000"/>
                            </a:ln>
                          </wps:spPr>
                          <wps:txbx>
                            <w:txbxContent>
                              <w:p w14:paraId="3239D522" w14:textId="77777777" w:rsidR="00085789" w:rsidRDefault="00000000">
                                <w:pPr>
                                  <w:jc w:val="center"/>
                                  <w:rPr>
                                    <w:sz w:val="24"/>
                                    <w:szCs w:val="24"/>
                                  </w:rPr>
                                </w:pPr>
                                <w:r>
                                  <w:rPr>
                                    <w:sz w:val="24"/>
                                    <w:szCs w:val="24"/>
                                  </w:rPr>
                                  <w:t>UBND tỉnh Hà Tĩnh</w:t>
                                </w:r>
                              </w:p>
                            </w:txbxContent>
                          </wps:txbx>
                          <wps:bodyPr rot="0" vert="horz" wrap="square" lIns="91440" tIns="45720" rIns="91440" bIns="45720" anchor="t" anchorCtr="0" upright="1">
                            <a:noAutofit/>
                          </wps:bodyPr>
                        </wps:wsp>
                        <wps:wsp>
                          <wps:cNvPr id="866460756" name="Rectangle 9"/>
                          <wps:cNvSpPr>
                            <a:spLocks noChangeArrowheads="1"/>
                          </wps:cNvSpPr>
                          <wps:spPr bwMode="auto">
                            <a:xfrm>
                              <a:off x="2824" y="3240"/>
                              <a:ext cx="1776" cy="751"/>
                            </a:xfrm>
                            <a:prstGeom prst="rect">
                              <a:avLst/>
                            </a:prstGeom>
                            <a:solidFill>
                              <a:srgbClr val="FFFFFF"/>
                            </a:solidFill>
                            <a:ln w="9525">
                              <a:solidFill>
                                <a:srgbClr val="000000"/>
                              </a:solidFill>
                              <a:miter lim="800000"/>
                            </a:ln>
                          </wps:spPr>
                          <wps:txbx>
                            <w:txbxContent>
                              <w:p w14:paraId="24515174" w14:textId="77777777" w:rsidR="00085789" w:rsidRDefault="00000000">
                                <w:pPr>
                                  <w:jc w:val="center"/>
                                  <w:rPr>
                                    <w:sz w:val="24"/>
                                    <w:szCs w:val="24"/>
                                  </w:rPr>
                                </w:pPr>
                                <w:r>
                                  <w:rPr>
                                    <w:sz w:val="24"/>
                                    <w:szCs w:val="24"/>
                                  </w:rPr>
                                  <w:t>Sở TN&amp;MT  Hà Tĩnh</w:t>
                                </w:r>
                              </w:p>
                            </w:txbxContent>
                          </wps:txbx>
                          <wps:bodyPr rot="0" vert="horz" wrap="square" lIns="91440" tIns="45720" rIns="91440" bIns="45720" anchor="t" anchorCtr="0" upright="1">
                            <a:noAutofit/>
                          </wps:bodyPr>
                        </wps:wsp>
                        <wps:wsp>
                          <wps:cNvPr id="216991695" name="Rectangle 10"/>
                          <wps:cNvSpPr>
                            <a:spLocks noChangeArrowheads="1"/>
                          </wps:cNvSpPr>
                          <wps:spPr bwMode="auto">
                            <a:xfrm>
                              <a:off x="7029" y="3142"/>
                              <a:ext cx="1884" cy="752"/>
                            </a:xfrm>
                            <a:prstGeom prst="rect">
                              <a:avLst/>
                            </a:prstGeom>
                            <a:solidFill>
                              <a:srgbClr val="FFFFFF"/>
                            </a:solidFill>
                            <a:ln w="9525">
                              <a:solidFill>
                                <a:srgbClr val="000000"/>
                              </a:solidFill>
                              <a:miter lim="800000"/>
                            </a:ln>
                          </wps:spPr>
                          <wps:txbx>
                            <w:txbxContent>
                              <w:p w14:paraId="6A091FB8" w14:textId="77777777" w:rsidR="00085789" w:rsidRDefault="00000000">
                                <w:pPr>
                                  <w:jc w:val="center"/>
                                  <w:rPr>
                                    <w:sz w:val="24"/>
                                    <w:szCs w:val="24"/>
                                  </w:rPr>
                                </w:pPr>
                                <w:r>
                                  <w:rPr>
                                    <w:sz w:val="24"/>
                                    <w:szCs w:val="24"/>
                                  </w:rPr>
                                  <w:t>UBND</w:t>
                                </w:r>
                              </w:p>
                              <w:p w14:paraId="7B12D37F" w14:textId="77777777" w:rsidR="00085789" w:rsidRDefault="00000000">
                                <w:pPr>
                                  <w:jc w:val="center"/>
                                  <w:rPr>
                                    <w:sz w:val="24"/>
                                    <w:szCs w:val="24"/>
                                  </w:rPr>
                                </w:pPr>
                                <w:r>
                                  <w:rPr>
                                    <w:sz w:val="24"/>
                                    <w:szCs w:val="24"/>
                                  </w:rPr>
                                  <w:t>cấp huyện</w:t>
                                </w:r>
                              </w:p>
                            </w:txbxContent>
                          </wps:txbx>
                          <wps:bodyPr rot="0" vert="horz" wrap="square" lIns="91440" tIns="45720" rIns="91440" bIns="45720" anchor="t" anchorCtr="0" upright="1">
                            <a:noAutofit/>
                          </wps:bodyPr>
                        </wps:wsp>
                        <wps:wsp>
                          <wps:cNvPr id="722528937" name="Rectangle 11"/>
                          <wps:cNvSpPr>
                            <a:spLocks noChangeArrowheads="1"/>
                          </wps:cNvSpPr>
                          <wps:spPr bwMode="auto">
                            <a:xfrm>
                              <a:off x="1552" y="4755"/>
                              <a:ext cx="2023" cy="939"/>
                            </a:xfrm>
                            <a:prstGeom prst="rect">
                              <a:avLst/>
                            </a:prstGeom>
                            <a:solidFill>
                              <a:srgbClr val="FFFFFF"/>
                            </a:solidFill>
                            <a:ln w="9525">
                              <a:solidFill>
                                <a:srgbClr val="000000"/>
                              </a:solidFill>
                              <a:miter lim="800000"/>
                            </a:ln>
                          </wps:spPr>
                          <wps:txbx>
                            <w:txbxContent>
                              <w:p w14:paraId="293F6804" w14:textId="77777777" w:rsidR="00085789" w:rsidRDefault="00000000">
                                <w:pPr>
                                  <w:jc w:val="center"/>
                                  <w:rPr>
                                    <w:sz w:val="24"/>
                                    <w:szCs w:val="24"/>
                                  </w:rPr>
                                </w:pPr>
                                <w:r>
                                  <w:rPr>
                                    <w:sz w:val="24"/>
                                    <w:szCs w:val="24"/>
                                  </w:rPr>
                                  <w:t>Trung tâm QT&amp;KTMT</w:t>
                                </w:r>
                              </w:p>
                            </w:txbxContent>
                          </wps:txbx>
                          <wps:bodyPr rot="0" vert="horz" wrap="square" lIns="91440" tIns="45720" rIns="91440" bIns="45720" anchor="t" anchorCtr="0" upright="1">
                            <a:noAutofit/>
                          </wps:bodyPr>
                        </wps:wsp>
                        <wps:wsp>
                          <wps:cNvPr id="1791180721" name="Rectangle 12"/>
                          <wps:cNvSpPr>
                            <a:spLocks noChangeArrowheads="1"/>
                          </wps:cNvSpPr>
                          <wps:spPr bwMode="auto">
                            <a:xfrm>
                              <a:off x="4052" y="4755"/>
                              <a:ext cx="1704" cy="939"/>
                            </a:xfrm>
                            <a:prstGeom prst="rect">
                              <a:avLst/>
                            </a:prstGeom>
                            <a:solidFill>
                              <a:srgbClr val="FFFFFF"/>
                            </a:solidFill>
                            <a:ln w="9525">
                              <a:solidFill>
                                <a:srgbClr val="000000"/>
                              </a:solidFill>
                              <a:miter lim="800000"/>
                            </a:ln>
                          </wps:spPr>
                          <wps:txbx>
                            <w:txbxContent>
                              <w:p w14:paraId="34F747F3" w14:textId="77777777" w:rsidR="00085789" w:rsidRDefault="00000000">
                                <w:pPr>
                                  <w:jc w:val="center"/>
                                  <w:rPr>
                                    <w:sz w:val="24"/>
                                    <w:szCs w:val="24"/>
                                  </w:rPr>
                                </w:pPr>
                                <w:r>
                                  <w:rPr>
                                    <w:sz w:val="24"/>
                                    <w:szCs w:val="24"/>
                                  </w:rPr>
                                  <w:t>Phòng Môi trường</w:t>
                                </w:r>
                              </w:p>
                            </w:txbxContent>
                          </wps:txbx>
                          <wps:bodyPr rot="0" vert="horz" wrap="square" lIns="91440" tIns="45720" rIns="91440" bIns="45720" anchor="t" anchorCtr="0" upright="1">
                            <a:noAutofit/>
                          </wps:bodyPr>
                        </wps:wsp>
                        <wps:wsp>
                          <wps:cNvPr id="325672567" name="Rectangle 13"/>
                          <wps:cNvSpPr>
                            <a:spLocks noChangeArrowheads="1"/>
                          </wps:cNvSpPr>
                          <wps:spPr bwMode="auto">
                            <a:xfrm>
                              <a:off x="6258" y="4719"/>
                              <a:ext cx="1450" cy="937"/>
                            </a:xfrm>
                            <a:prstGeom prst="rect">
                              <a:avLst/>
                            </a:prstGeom>
                            <a:solidFill>
                              <a:srgbClr val="FFFFFF"/>
                            </a:solidFill>
                            <a:ln w="9525">
                              <a:solidFill>
                                <a:srgbClr val="000000"/>
                              </a:solidFill>
                              <a:miter lim="800000"/>
                            </a:ln>
                          </wps:spPr>
                          <wps:txbx>
                            <w:txbxContent>
                              <w:p w14:paraId="6A0E35AA" w14:textId="77777777" w:rsidR="00085789" w:rsidRDefault="00000000">
                                <w:pPr>
                                  <w:jc w:val="center"/>
                                  <w:rPr>
                                    <w:sz w:val="24"/>
                                    <w:szCs w:val="24"/>
                                  </w:rPr>
                                </w:pPr>
                                <w:r>
                                  <w:rPr>
                                    <w:sz w:val="24"/>
                                    <w:szCs w:val="24"/>
                                  </w:rPr>
                                  <w:t xml:space="preserve">Phòng TN&amp;MT </w:t>
                                </w:r>
                              </w:p>
                            </w:txbxContent>
                          </wps:txbx>
                          <wps:bodyPr rot="0" vert="horz" wrap="square" lIns="91440" tIns="45720" rIns="91440" bIns="45720" anchor="t" anchorCtr="0" upright="1">
                            <a:noAutofit/>
                          </wps:bodyPr>
                        </wps:wsp>
                        <wps:wsp>
                          <wps:cNvPr id="712134141" name="Line 14"/>
                          <wps:cNvCnPr>
                            <a:cxnSpLocks noChangeShapeType="1"/>
                          </wps:cNvCnPr>
                          <wps:spPr bwMode="auto">
                            <a:xfrm>
                              <a:off x="5948" y="2169"/>
                              <a:ext cx="0" cy="564"/>
                            </a:xfrm>
                            <a:prstGeom prst="line">
                              <a:avLst/>
                            </a:prstGeom>
                            <a:noFill/>
                            <a:ln w="9525">
                              <a:solidFill>
                                <a:srgbClr val="000000"/>
                              </a:solidFill>
                              <a:round/>
                              <a:tailEnd type="triangle" w="med" len="med"/>
                            </a:ln>
                          </wps:spPr>
                          <wps:bodyPr/>
                        </wps:wsp>
                        <wps:wsp>
                          <wps:cNvPr id="695395117" name="Line 15"/>
                          <wps:cNvCnPr>
                            <a:cxnSpLocks noChangeShapeType="1"/>
                          </wps:cNvCnPr>
                          <wps:spPr bwMode="auto">
                            <a:xfrm>
                              <a:off x="3710" y="2741"/>
                              <a:ext cx="4252" cy="0"/>
                            </a:xfrm>
                            <a:prstGeom prst="line">
                              <a:avLst/>
                            </a:prstGeom>
                            <a:noFill/>
                            <a:ln w="9525">
                              <a:solidFill>
                                <a:srgbClr val="000000"/>
                              </a:solidFill>
                              <a:round/>
                            </a:ln>
                          </wps:spPr>
                          <wps:bodyPr/>
                        </wps:wsp>
                        <wps:wsp>
                          <wps:cNvPr id="1766028097" name="Line 16"/>
                          <wps:cNvCnPr>
                            <a:cxnSpLocks noChangeShapeType="1"/>
                          </wps:cNvCnPr>
                          <wps:spPr bwMode="auto">
                            <a:xfrm>
                              <a:off x="3692" y="2732"/>
                              <a:ext cx="0" cy="488"/>
                            </a:xfrm>
                            <a:prstGeom prst="line">
                              <a:avLst/>
                            </a:prstGeom>
                            <a:noFill/>
                            <a:ln w="9525">
                              <a:solidFill>
                                <a:srgbClr val="000000"/>
                              </a:solidFill>
                              <a:round/>
                              <a:tailEnd type="triangle" w="med" len="med"/>
                            </a:ln>
                          </wps:spPr>
                          <wps:bodyPr/>
                        </wps:wsp>
                        <wps:wsp>
                          <wps:cNvPr id="1391911163" name="Line 17"/>
                          <wps:cNvCnPr>
                            <a:cxnSpLocks noChangeShapeType="1"/>
                          </wps:cNvCnPr>
                          <wps:spPr bwMode="auto">
                            <a:xfrm>
                              <a:off x="7965" y="2766"/>
                              <a:ext cx="0" cy="376"/>
                            </a:xfrm>
                            <a:prstGeom prst="line">
                              <a:avLst/>
                            </a:prstGeom>
                            <a:noFill/>
                            <a:ln w="9525">
                              <a:solidFill>
                                <a:srgbClr val="000000"/>
                              </a:solidFill>
                              <a:round/>
                              <a:tailEnd type="triangle" w="med" len="med"/>
                            </a:ln>
                          </wps:spPr>
                          <wps:bodyPr/>
                        </wps:wsp>
                        <wps:wsp>
                          <wps:cNvPr id="940021327" name="Line 18"/>
                          <wps:cNvCnPr>
                            <a:cxnSpLocks noChangeShapeType="1"/>
                          </wps:cNvCnPr>
                          <wps:spPr bwMode="auto">
                            <a:xfrm>
                              <a:off x="3692" y="3989"/>
                              <a:ext cx="0" cy="376"/>
                            </a:xfrm>
                            <a:prstGeom prst="line">
                              <a:avLst/>
                            </a:prstGeom>
                            <a:noFill/>
                            <a:ln w="9525">
                              <a:solidFill>
                                <a:srgbClr val="000000"/>
                              </a:solidFill>
                              <a:round/>
                              <a:tailEnd type="triangle" w="med" len="med"/>
                            </a:ln>
                          </wps:spPr>
                          <wps:bodyPr/>
                        </wps:wsp>
                        <wps:wsp>
                          <wps:cNvPr id="652925291" name="Line 19"/>
                          <wps:cNvCnPr>
                            <a:cxnSpLocks noChangeShapeType="1"/>
                          </wps:cNvCnPr>
                          <wps:spPr bwMode="auto">
                            <a:xfrm>
                              <a:off x="2433" y="4379"/>
                              <a:ext cx="2565" cy="0"/>
                            </a:xfrm>
                            <a:prstGeom prst="line">
                              <a:avLst/>
                            </a:prstGeom>
                            <a:noFill/>
                            <a:ln w="9525">
                              <a:solidFill>
                                <a:srgbClr val="000000"/>
                              </a:solidFill>
                              <a:round/>
                            </a:ln>
                          </wps:spPr>
                          <wps:bodyPr/>
                        </wps:wsp>
                        <wps:wsp>
                          <wps:cNvPr id="735830155" name="Line 20"/>
                          <wps:cNvCnPr>
                            <a:cxnSpLocks noChangeShapeType="1"/>
                          </wps:cNvCnPr>
                          <wps:spPr bwMode="auto">
                            <a:xfrm>
                              <a:off x="2431" y="4379"/>
                              <a:ext cx="0" cy="376"/>
                            </a:xfrm>
                            <a:prstGeom prst="line">
                              <a:avLst/>
                            </a:prstGeom>
                            <a:noFill/>
                            <a:ln w="9525">
                              <a:solidFill>
                                <a:srgbClr val="000000"/>
                              </a:solidFill>
                              <a:round/>
                              <a:tailEnd type="triangle" w="med" len="med"/>
                            </a:ln>
                          </wps:spPr>
                          <wps:bodyPr/>
                        </wps:wsp>
                        <wps:wsp>
                          <wps:cNvPr id="289305532" name="Line 21"/>
                          <wps:cNvCnPr>
                            <a:cxnSpLocks noChangeShapeType="1"/>
                          </wps:cNvCnPr>
                          <wps:spPr bwMode="auto">
                            <a:xfrm>
                              <a:off x="4998" y="4379"/>
                              <a:ext cx="0" cy="376"/>
                            </a:xfrm>
                            <a:prstGeom prst="line">
                              <a:avLst/>
                            </a:prstGeom>
                            <a:noFill/>
                            <a:ln w="9525">
                              <a:solidFill>
                                <a:srgbClr val="000000"/>
                              </a:solidFill>
                              <a:round/>
                              <a:tailEnd type="triangle" w="med" len="med"/>
                            </a:ln>
                          </wps:spPr>
                          <wps:bodyPr/>
                        </wps:wsp>
                        <wps:wsp>
                          <wps:cNvPr id="2001384378" name="Line 22"/>
                          <wps:cNvCnPr>
                            <a:cxnSpLocks noChangeShapeType="1"/>
                          </wps:cNvCnPr>
                          <wps:spPr bwMode="auto">
                            <a:xfrm>
                              <a:off x="6845" y="4254"/>
                              <a:ext cx="0" cy="457"/>
                            </a:xfrm>
                            <a:prstGeom prst="line">
                              <a:avLst/>
                            </a:prstGeom>
                            <a:noFill/>
                            <a:ln w="9525">
                              <a:solidFill>
                                <a:srgbClr val="000000"/>
                              </a:solidFill>
                              <a:round/>
                              <a:tailEnd type="triangle" w="med" len="med"/>
                            </a:ln>
                          </wps:spPr>
                          <wps:bodyPr/>
                        </wps:wsp>
                        <wps:wsp>
                          <wps:cNvPr id="2007033744" name="Freeform 23"/>
                          <wps:cNvSpPr/>
                          <wps:spPr bwMode="auto">
                            <a:xfrm>
                              <a:off x="4618" y="3628"/>
                              <a:ext cx="2087" cy="1077"/>
                            </a:xfrm>
                            <a:custGeom>
                              <a:avLst/>
                              <a:gdLst>
                                <a:gd name="T0" fmla="*/ 0 w 2087"/>
                                <a:gd name="T1" fmla="*/ 0 h 1077"/>
                                <a:gd name="T2" fmla="*/ 2087 w 2087"/>
                                <a:gd name="T3" fmla="*/ 1077 h 1077"/>
                                <a:gd name="T4" fmla="*/ 0 60000 65536"/>
                                <a:gd name="T5" fmla="*/ 0 60000 65536"/>
                              </a:gdLst>
                              <a:ahLst/>
                              <a:cxnLst>
                                <a:cxn ang="T4">
                                  <a:pos x="T0" y="T1"/>
                                </a:cxn>
                                <a:cxn ang="T5">
                                  <a:pos x="T2" y="T3"/>
                                </a:cxn>
                              </a:cxnLst>
                              <a:rect l="0" t="0" r="r" b="b"/>
                              <a:pathLst>
                                <a:path w="2087" h="1077">
                                  <a:moveTo>
                                    <a:pt x="0" y="0"/>
                                  </a:moveTo>
                                  <a:lnTo>
                                    <a:pt x="2087" y="1077"/>
                                  </a:lnTo>
                                </a:path>
                              </a:pathLst>
                            </a:custGeom>
                            <a:noFill/>
                            <a:ln w="9525">
                              <a:solidFill>
                                <a:srgbClr val="000000"/>
                              </a:solidFill>
                              <a:prstDash val="dashDot"/>
                              <a:round/>
                              <a:tailEnd type="triangle" w="med" len="med"/>
                            </a:ln>
                          </wps:spPr>
                          <wps:bodyPr rot="0" vert="horz" wrap="square" lIns="91440" tIns="45720" rIns="91440" bIns="45720" anchor="t" anchorCtr="0" upright="1">
                            <a:noAutofit/>
                          </wps:bodyPr>
                        </wps:wsp>
                        <wps:wsp>
                          <wps:cNvPr id="81541817" name="Line 24"/>
                          <wps:cNvCnPr>
                            <a:cxnSpLocks noChangeShapeType="1"/>
                          </wps:cNvCnPr>
                          <wps:spPr bwMode="auto">
                            <a:xfrm>
                              <a:off x="5802" y="5104"/>
                              <a:ext cx="478" cy="0"/>
                            </a:xfrm>
                            <a:prstGeom prst="line">
                              <a:avLst/>
                            </a:prstGeom>
                            <a:noFill/>
                            <a:ln w="9525">
                              <a:solidFill>
                                <a:srgbClr val="000000"/>
                              </a:solidFill>
                              <a:prstDash val="dashDot"/>
                              <a:round/>
                              <a:tailEnd type="triangle" w="med" len="med"/>
                            </a:ln>
                          </wps:spPr>
                          <wps:bodyPr/>
                        </wps:wsp>
                        <wps:wsp>
                          <wps:cNvPr id="175343546" name="AutoShape 25"/>
                          <wps:cNvCnPr>
                            <a:cxnSpLocks noChangeShapeType="1"/>
                          </wps:cNvCnPr>
                          <wps:spPr bwMode="auto">
                            <a:xfrm>
                              <a:off x="6584" y="1735"/>
                              <a:ext cx="3889" cy="0"/>
                            </a:xfrm>
                            <a:prstGeom prst="straightConnector1">
                              <a:avLst/>
                            </a:prstGeom>
                            <a:noFill/>
                            <a:ln w="9525">
                              <a:solidFill>
                                <a:srgbClr val="000000"/>
                              </a:solidFill>
                              <a:round/>
                              <a:tailEnd type="triangle" w="med" len="med"/>
                            </a:ln>
                          </wps:spPr>
                          <wps:bodyPr/>
                        </wps:wsp>
                        <wps:wsp>
                          <wps:cNvPr id="1851880776" name="AutoShape 26"/>
                          <wps:cNvCnPr>
                            <a:cxnSpLocks noChangeShapeType="1"/>
                          </wps:cNvCnPr>
                          <wps:spPr bwMode="auto">
                            <a:xfrm>
                              <a:off x="10470" y="1735"/>
                              <a:ext cx="0" cy="1380"/>
                            </a:xfrm>
                            <a:prstGeom prst="straightConnector1">
                              <a:avLst/>
                            </a:prstGeom>
                            <a:noFill/>
                            <a:ln w="9525">
                              <a:solidFill>
                                <a:srgbClr val="000000"/>
                              </a:solidFill>
                              <a:round/>
                              <a:tailEnd type="triangle" w="med" len="med"/>
                            </a:ln>
                          </wps:spPr>
                          <wps:bodyPr/>
                        </wps:wsp>
                        <wps:wsp>
                          <wps:cNvPr id="361268371" name="Line 27"/>
                          <wps:cNvCnPr>
                            <a:cxnSpLocks noChangeShapeType="1"/>
                          </wps:cNvCnPr>
                          <wps:spPr bwMode="auto">
                            <a:xfrm>
                              <a:off x="9049" y="4224"/>
                              <a:ext cx="0" cy="457"/>
                            </a:xfrm>
                            <a:prstGeom prst="line">
                              <a:avLst/>
                            </a:prstGeom>
                            <a:noFill/>
                            <a:ln w="9525">
                              <a:solidFill>
                                <a:srgbClr val="000000"/>
                              </a:solidFill>
                              <a:round/>
                              <a:tailEnd type="triangle" w="med" len="med"/>
                            </a:ln>
                          </wps:spPr>
                          <wps:bodyPr/>
                        </wps:wsp>
                        <wps:wsp>
                          <wps:cNvPr id="1455027043" name="Rectangle 28"/>
                          <wps:cNvSpPr>
                            <a:spLocks noChangeArrowheads="1"/>
                          </wps:cNvSpPr>
                          <wps:spPr bwMode="auto">
                            <a:xfrm>
                              <a:off x="8372" y="4689"/>
                              <a:ext cx="1408" cy="937"/>
                            </a:xfrm>
                            <a:prstGeom prst="rect">
                              <a:avLst/>
                            </a:prstGeom>
                            <a:solidFill>
                              <a:srgbClr val="FFFFFF"/>
                            </a:solidFill>
                            <a:ln w="9525">
                              <a:solidFill>
                                <a:srgbClr val="000000"/>
                              </a:solidFill>
                              <a:miter lim="800000"/>
                            </a:ln>
                          </wps:spPr>
                          <wps:txbx>
                            <w:txbxContent>
                              <w:p w14:paraId="7A8B7B05" w14:textId="77777777" w:rsidR="00085789" w:rsidRDefault="00000000">
                                <w:pPr>
                                  <w:jc w:val="center"/>
                                  <w:rPr>
                                    <w:sz w:val="24"/>
                                    <w:szCs w:val="24"/>
                                  </w:rPr>
                                </w:pPr>
                                <w:r>
                                  <w:rPr>
                                    <w:sz w:val="24"/>
                                    <w:szCs w:val="24"/>
                                  </w:rPr>
                                  <w:t>UBND</w:t>
                                </w:r>
                              </w:p>
                              <w:p w14:paraId="53FB778F" w14:textId="77777777" w:rsidR="00085789" w:rsidRDefault="00000000">
                                <w:pPr>
                                  <w:jc w:val="center"/>
                                  <w:rPr>
                                    <w:sz w:val="24"/>
                                    <w:szCs w:val="24"/>
                                  </w:rPr>
                                </w:pPr>
                                <w:r>
                                  <w:rPr>
                                    <w:sz w:val="24"/>
                                    <w:szCs w:val="24"/>
                                  </w:rPr>
                                  <w:t>cấp xã</w:t>
                                </w:r>
                              </w:p>
                            </w:txbxContent>
                          </wps:txbx>
                          <wps:bodyPr rot="0" vert="horz" wrap="square" lIns="91440" tIns="45720" rIns="91440" bIns="45720" anchor="t" anchorCtr="0" upright="1">
                            <a:noAutofit/>
                          </wps:bodyPr>
                        </wps:wsp>
                        <wps:wsp>
                          <wps:cNvPr id="2016372048" name="Line 29"/>
                          <wps:cNvCnPr>
                            <a:cxnSpLocks noChangeShapeType="1"/>
                          </wps:cNvCnPr>
                          <wps:spPr bwMode="auto">
                            <a:xfrm>
                              <a:off x="7970" y="3894"/>
                              <a:ext cx="0" cy="376"/>
                            </a:xfrm>
                            <a:prstGeom prst="line">
                              <a:avLst/>
                            </a:prstGeom>
                            <a:noFill/>
                            <a:ln w="9525">
                              <a:solidFill>
                                <a:srgbClr val="000000"/>
                              </a:solidFill>
                              <a:round/>
                              <a:tailEnd type="triangle" w="med" len="med"/>
                            </a:ln>
                          </wps:spPr>
                          <wps:bodyPr/>
                        </wps:wsp>
                        <wps:wsp>
                          <wps:cNvPr id="1855093391" name="AutoShape 30"/>
                          <wps:cNvCnPr>
                            <a:cxnSpLocks noChangeShapeType="1"/>
                          </wps:cNvCnPr>
                          <wps:spPr bwMode="auto">
                            <a:xfrm>
                              <a:off x="10560" y="3894"/>
                              <a:ext cx="0" cy="780"/>
                            </a:xfrm>
                            <a:prstGeom prst="straightConnector1">
                              <a:avLst/>
                            </a:prstGeom>
                            <a:noFill/>
                            <a:ln w="9525">
                              <a:solidFill>
                                <a:srgbClr val="000000"/>
                              </a:solidFill>
                              <a:round/>
                              <a:tailEnd type="triangle" w="med" len="med"/>
                            </a:ln>
                          </wps:spPr>
                          <wps:bodyPr/>
                        </wps:wsp>
                      </wpg:grpSp>
                    </wpg:wgp>
                  </a:graphicData>
                </a:graphic>
              </wp:anchor>
            </w:drawing>
          </mc:Choice>
          <mc:Fallback>
            <w:pict>
              <v:group w14:anchorId="4F6AAA89" id="Group 626240537" o:spid="_x0000_s1036" style="position:absolute;left:0;text-align:left;margin-left:-7.45pt;margin-top:1.5pt;width:493.9pt;height:215.25pt;z-index:251898368" coordorigin="1552,1389" coordsize="9878,4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">
                <v:line id="Line 3" o:spid="_x0000_s1037" style="position:absolute;visibility:visible;mso-wrap-style:square" from="6853,4239" to="9041,4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"/>
                <v:group id="Group 4" o:spid="_x0000_s1038" style="position:absolute;left:1552;top:1389;width:9878;height:4305" coordorigin="1552,1389" coordsize="9878,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">
                  <v:line id="Line 5" o:spid="_x0000_s1039" style="position:absolute;visibility:visible;mso-wrap-style:square" from="7675,5127" to="8429,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">
                    <v:stroke dashstyle="dash" endarrow="block"/>
                  </v:line>
                  <v:shape id="Text Box 6" o:spid="_x0000_s1040" type="#_x0000_t202" style="position:absolute;left:9975;top:4674;width:1365;height: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">
                    <v:textbox>
                      <w:txbxContent>
                        <w:p w14:paraId="6AEF421A" w14:textId="77777777" w:rsidR="000E0CEF" w:rsidRDefault="000E0CEF">
                          <w:pPr>
                            <w:jc w:val="center"/>
                            <w:rPr>
                              <w:sz w:val="24"/>
                              <w:szCs w:val="24"/>
                            </w:rPr>
                          </w:pPr>
                          <w:r>
                            <w:rPr>
                              <w:sz w:val="24"/>
                              <w:szCs w:val="24"/>
                            </w:rPr>
                            <w:t>Phòng TN&amp;MT</w:t>
                          </w:r>
                        </w:p>
                      </w:txbxContent>
                    </v:textbox>
                  </v:shape>
                  <v:shape id="Text Box 7" o:spid="_x0000_s1041" type="#_x0000_t202" style="position:absolute;left:9795;top:3115;width:1635;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">
                    <v:textbox>
                      <w:txbxContent>
                        <w:p w14:paraId="45AB855D" w14:textId="77777777" w:rsidR="000E0CEF" w:rsidRDefault="000E0CEF">
                          <w:pPr>
                            <w:jc w:val="center"/>
                            <w:rPr>
                              <w:sz w:val="24"/>
                              <w:szCs w:val="24"/>
                            </w:rPr>
                          </w:pPr>
                          <w:r>
                            <w:rPr>
                              <w:sz w:val="24"/>
                              <w:szCs w:val="24"/>
                            </w:rPr>
                            <w:t>BQL Khu kinh tế tỉnh</w:t>
                          </w:r>
                        </w:p>
                      </w:txbxContent>
                    </v:textbox>
                  </v:shape>
                  <v:rect id="Rectangle 8" o:spid="_x0000_s1042" style="position:absolute;left:5006;top:1389;width:1578;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">
                    <v:textbox>
                      <w:txbxContent>
                        <w:p w14:paraId="7FFF21DC" w14:textId="77777777" w:rsidR="000E0CEF" w:rsidRDefault="000E0CEF">
                          <w:pPr>
                            <w:jc w:val="center"/>
                            <w:rPr>
                              <w:sz w:val="24"/>
                              <w:szCs w:val="24"/>
                            </w:rPr>
                          </w:pPr>
                          <w:r>
                            <w:rPr>
                              <w:sz w:val="24"/>
                              <w:szCs w:val="24"/>
                            </w:rPr>
                            <w:t>UBND tỉnh Hà Tĩnh</w:t>
                          </w:r>
                        </w:p>
                      </w:txbxContent>
                    </v:textbox>
                  </v:rect>
                  <v:rect id="Rectangle 9" o:spid="_x0000_s1043" style="position:absolute;left:2824;top:3240;width:1776;height: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">
                    <v:textbox>
                      <w:txbxContent>
                        <w:p w14:paraId="46066C99" w14:textId="77777777" w:rsidR="000E0CEF" w:rsidRDefault="000E0CEF">
                          <w:pPr>
                            <w:jc w:val="center"/>
                            <w:rPr>
                              <w:sz w:val="24"/>
                              <w:szCs w:val="24"/>
                            </w:rPr>
                          </w:pPr>
                          <w:r>
                            <w:rPr>
                              <w:sz w:val="24"/>
                              <w:szCs w:val="24"/>
                            </w:rPr>
                            <w:t>Sở TN&amp;MT  Hà Tĩnh</w:t>
                          </w:r>
                        </w:p>
                      </w:txbxContent>
                    </v:textbox>
                  </v:rect>
                  <v:rect id="Rectangle 10" o:spid="_x0000_s1044" style="position:absolute;left:7029;top:3142;width:1884;height:7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">
                    <v:textbox>
                      <w:txbxContent>
                        <w:p w14:paraId="135BD8AF" w14:textId="77777777" w:rsidR="000E0CEF" w:rsidRDefault="000E0CEF">
                          <w:pPr>
                            <w:jc w:val="center"/>
                            <w:rPr>
                              <w:sz w:val="24"/>
                              <w:szCs w:val="24"/>
                            </w:rPr>
                          </w:pPr>
                          <w:r>
                            <w:rPr>
                              <w:sz w:val="24"/>
                              <w:szCs w:val="24"/>
                            </w:rPr>
                            <w:t>UBND</w:t>
                          </w:r>
                        </w:p>
                        <w:p w14:paraId="45947D54" w14:textId="77777777" w:rsidR="000E0CEF" w:rsidRDefault="000E0CEF">
                          <w:pPr>
                            <w:jc w:val="center"/>
                            <w:rPr>
                              <w:sz w:val="24"/>
                              <w:szCs w:val="24"/>
                            </w:rPr>
                          </w:pPr>
                          <w:r>
                            <w:rPr>
                              <w:sz w:val="24"/>
                              <w:szCs w:val="24"/>
                            </w:rPr>
                            <w:t>cấp huyện</w:t>
                          </w:r>
                        </w:p>
                      </w:txbxContent>
                    </v:textbox>
                  </v:rect>
                  <v:rect id="Rectangle 11" o:spid="_x0000_s1045" style="position:absolute;left:1552;top:4755;width:2023;height: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">
                    <v:textbox>
                      <w:txbxContent>
                        <w:p w14:paraId="3CC381A8" w14:textId="77777777" w:rsidR="000E0CEF" w:rsidRDefault="000E0CEF">
                          <w:pPr>
                            <w:jc w:val="center"/>
                            <w:rPr>
                              <w:sz w:val="24"/>
                              <w:szCs w:val="24"/>
                            </w:rPr>
                          </w:pPr>
                          <w:r>
                            <w:rPr>
                              <w:sz w:val="24"/>
                              <w:szCs w:val="24"/>
                            </w:rPr>
                            <w:t>Trung tâm QT&amp;KTMT</w:t>
                          </w:r>
                        </w:p>
                      </w:txbxContent>
                    </v:textbox>
                  </v:rect>
                  <v:rect id="Rectangle 12" o:spid="_x0000_s1046" style="position:absolute;left:4052;top:4755;width:1704;height: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">
                    <v:textbox>
                      <w:txbxContent>
                        <w:p w14:paraId="66D67CBC" w14:textId="77777777" w:rsidR="000E0CEF" w:rsidRDefault="000E0CEF">
                          <w:pPr>
                            <w:jc w:val="center"/>
                            <w:rPr>
                              <w:sz w:val="24"/>
                              <w:szCs w:val="24"/>
                            </w:rPr>
                          </w:pPr>
                          <w:r>
                            <w:rPr>
                              <w:sz w:val="24"/>
                              <w:szCs w:val="24"/>
                            </w:rPr>
                            <w:t>Phòng Môi trường</w:t>
                          </w:r>
                        </w:p>
                      </w:txbxContent>
                    </v:textbox>
                  </v:rect>
                  <v:rect id="Rectangle 13" o:spid="_x0000_s1047" style="position:absolute;left:6258;top:4719;width:1450;height: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">
                    <v:textbox>
                      <w:txbxContent>
                        <w:p w14:paraId="2EBBF8C3" w14:textId="77777777" w:rsidR="000E0CEF" w:rsidRDefault="000E0CEF">
                          <w:pPr>
                            <w:jc w:val="center"/>
                            <w:rPr>
                              <w:sz w:val="24"/>
                              <w:szCs w:val="24"/>
                            </w:rPr>
                          </w:pPr>
                          <w:r>
                            <w:rPr>
                              <w:sz w:val="24"/>
                              <w:szCs w:val="24"/>
                            </w:rPr>
                            <w:t xml:space="preserve">Phòng TN&amp;MT </w:t>
                          </w:r>
                        </w:p>
                      </w:txbxContent>
                    </v:textbox>
                  </v:rect>
                  <v:line id="Line 14" o:spid="_x0000_s1048" style="position:absolute;visibility:visible;mso-wrap-style:square" from="5948,2169" to="5948,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">
                    <v:stroke endarrow="block"/>
                  </v:line>
                  <v:line id="Line 15" o:spid="_x0000_s1049" style="position:absolute;visibility:visible;mso-wrap-style:square" from="3710,2741" to="7962,2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"/>
                  <v:line id="Line 16" o:spid="_x0000_s1050" style="position:absolute;visibility:visible;mso-wrap-style:square" from="3692,2732" to="3692,3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">
                    <v:stroke endarrow="block"/>
                  </v:line>
                  <v:line id="Line 17" o:spid="_x0000_s1051" style="position:absolute;visibility:visible;mso-wrap-style:square" from="7965,2766" to="7965,3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">
                    <v:stroke endarrow="block"/>
                  </v:line>
                  <v:line id="Line 18" o:spid="_x0000_s1052" style="position:absolute;visibility:visible;mso-wrap-style:square" from="3692,3989" to="3692,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">
                    <v:stroke endarrow="block"/>
                  </v:line>
                  <v:line id="Line 19" o:spid="_x0000_s1053" style="position:absolute;visibility:visible;mso-wrap-style:square" from="2433,4379" to="4998,4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"/>
                  <v:line id="Line 20" o:spid="_x0000_s1054" style="position:absolute;visibility:visible;mso-wrap-style:square" from="2431,4379" to="243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">
                    <v:stroke endarrow="block"/>
                  </v:line>
                  <v:line id="Line 21" o:spid="_x0000_s1055" style="position:absolute;visibility:visible;mso-wrap-style:square" from="4998,4379" to="4998,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">
                    <v:stroke endarrow="block"/>
                  </v:line>
                  <v:line id="Line 22" o:spid="_x0000_s1056" style="position:absolute;visibility:visible;mso-wrap-style:square" from="6845,4254" to="6845,4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">
                    <v:stroke endarrow="block"/>
                  </v:line>
                  <v:shape id="Freeform 23" o:spid="_x0000_s1057" style="position:absolute;left:4618;top:3628;width:2087;height:1077;visibility:visible;mso-wrap-style:square;v-text-anchor:top" coordsize="2087,1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" path="m,l2087,1077e" filled="f">
                    <v:stroke dashstyle="dashDot" endarrow="block"/>
                    <v:path arrowok="t" o:connecttype="custom" o:connectlocs="0,0;2087,1077" o:connectangles="0,0"/>
                  </v:shape>
                  <v:line id="Line 24" o:spid="_x0000_s1058" style="position:absolute;visibility:visible;mso-wrap-style:square" from="5802,5104" to="6280,5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">
                    <v:stroke dashstyle="dashDot" endarrow="block"/>
                  </v:line>
                  <v:shapetype id="_x0000_t32" coordsize="21600,21600" o:spt="32" o:oned="t" path="m,l21600,21600e" filled="f">
                    <v:path arrowok="t" fillok="f" o:connecttype="none"/>
                    <o:lock v:ext="edit" shapetype="t"/>
                  </v:shapetype>
                  <v:shape id="AutoShape 25" o:spid="_x0000_s1059" type="#_x0000_t32" style="position:absolute;left:6584;top:1735;width:38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">
                    <v:stroke endarrow="block"/>
                  </v:shape>
                  <v:shape id="AutoShape 26" o:spid="_x0000_s1060" type="#_x0000_t32" style="position:absolute;left:10470;top:1735;width:0;height:13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">
                    <v:stroke endarrow="block"/>
                  </v:shape>
                  <v:line id="Line 27" o:spid="_x0000_s1061" style="position:absolute;visibility:visible;mso-wrap-style:square" from="9049,4224" to="9049,4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">
                    <v:stroke endarrow="block"/>
                  </v:line>
                  <v:rect id="Rectangle 28" o:spid="_x0000_s1062" style="position:absolute;left:8372;top:4689;width:1408;height: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">
                    <v:textbox>
                      <w:txbxContent>
                        <w:p w14:paraId="381F6301" w14:textId="77777777" w:rsidR="000E0CEF" w:rsidRDefault="000E0CEF">
                          <w:pPr>
                            <w:jc w:val="center"/>
                            <w:rPr>
                              <w:sz w:val="24"/>
                              <w:szCs w:val="24"/>
                            </w:rPr>
                          </w:pPr>
                          <w:r>
                            <w:rPr>
                              <w:sz w:val="24"/>
                              <w:szCs w:val="24"/>
                            </w:rPr>
                            <w:t>UBND</w:t>
                          </w:r>
                        </w:p>
                        <w:p w14:paraId="2725EE36" w14:textId="77777777" w:rsidR="000E0CEF" w:rsidRDefault="000E0CEF">
                          <w:pPr>
                            <w:jc w:val="center"/>
                            <w:rPr>
                              <w:sz w:val="24"/>
                              <w:szCs w:val="24"/>
                            </w:rPr>
                          </w:pPr>
                          <w:r>
                            <w:rPr>
                              <w:sz w:val="24"/>
                              <w:szCs w:val="24"/>
                            </w:rPr>
                            <w:t>cấp xã</w:t>
                          </w:r>
                        </w:p>
                      </w:txbxContent>
                    </v:textbox>
                  </v:rect>
                  <v:line id="Line 29" o:spid="_x0000_s1063" style="position:absolute;visibility:visible;mso-wrap-style:square" from="7970,3894" to="7970,4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">
                    <v:stroke endarrow="block"/>
                  </v:line>
                  <v:shape id="AutoShape 30" o:spid="_x0000_s1064" type="#_x0000_t32" style="position:absolute;left:10560;top:3894;width:0;height:7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">
                    <v:stroke endarrow="block"/>
                  </v:shape>
                </v:group>
              </v:group>
            </w:pict>
          </mc:Fallback>
        </mc:AlternateContent>
      </w:r>
    </w:p>
    <w:p w14:paraId="6B61E4EB" w14:textId="77777777" w:rsidR="00085789" w:rsidRDefault="00085789">
      <w:pPr>
        <w:spacing w:before="40" w:after="40" w:line="264" w:lineRule="auto"/>
        <w:ind w:firstLine="720"/>
        <w:jc w:val="both"/>
        <w:rPr>
          <w:sz w:val="26"/>
          <w:szCs w:val="26"/>
          <w:lang w:val="da-DK"/>
        </w:rPr>
      </w:pPr>
    </w:p>
    <w:p w14:paraId="2597EB95" w14:textId="77777777" w:rsidR="00085789" w:rsidRDefault="00085789">
      <w:pPr>
        <w:spacing w:before="40" w:after="40" w:line="264" w:lineRule="auto"/>
        <w:ind w:firstLine="720"/>
        <w:jc w:val="both"/>
        <w:rPr>
          <w:sz w:val="26"/>
          <w:szCs w:val="26"/>
          <w:lang w:val="da-DK"/>
        </w:rPr>
      </w:pPr>
    </w:p>
    <w:p w14:paraId="50356F4C" w14:textId="77777777" w:rsidR="00085789" w:rsidRDefault="00085789">
      <w:pPr>
        <w:spacing w:before="40" w:after="40" w:line="264" w:lineRule="auto"/>
        <w:ind w:firstLine="720"/>
        <w:jc w:val="both"/>
        <w:rPr>
          <w:sz w:val="26"/>
          <w:szCs w:val="26"/>
          <w:lang w:val="da-DK"/>
        </w:rPr>
      </w:pPr>
    </w:p>
    <w:p w14:paraId="2CFB8AFB" w14:textId="77777777" w:rsidR="00085789" w:rsidRDefault="00085789">
      <w:pPr>
        <w:spacing w:before="40" w:after="40" w:line="264" w:lineRule="auto"/>
        <w:ind w:firstLine="720"/>
        <w:jc w:val="both"/>
        <w:rPr>
          <w:sz w:val="26"/>
          <w:szCs w:val="26"/>
          <w:lang w:val="da-DK"/>
        </w:rPr>
      </w:pPr>
    </w:p>
    <w:p w14:paraId="490F86E4" w14:textId="77777777" w:rsidR="00085789" w:rsidRDefault="00085789">
      <w:pPr>
        <w:spacing w:before="40" w:after="40" w:line="264" w:lineRule="auto"/>
        <w:ind w:firstLine="720"/>
        <w:jc w:val="both"/>
        <w:rPr>
          <w:sz w:val="26"/>
          <w:szCs w:val="26"/>
          <w:lang w:val="da-DK"/>
        </w:rPr>
      </w:pPr>
    </w:p>
    <w:p w14:paraId="73B6AC25" w14:textId="77777777" w:rsidR="00085789" w:rsidRDefault="00085789">
      <w:pPr>
        <w:spacing w:before="40" w:after="40" w:line="264" w:lineRule="auto"/>
        <w:ind w:firstLine="720"/>
        <w:jc w:val="both"/>
        <w:rPr>
          <w:sz w:val="26"/>
          <w:szCs w:val="26"/>
          <w:lang w:val="da-DK"/>
        </w:rPr>
      </w:pPr>
    </w:p>
    <w:p w14:paraId="41F7070B" w14:textId="77777777" w:rsidR="00085789" w:rsidRDefault="00085789">
      <w:pPr>
        <w:spacing w:before="40" w:after="40" w:line="264" w:lineRule="auto"/>
        <w:ind w:firstLine="720"/>
        <w:jc w:val="both"/>
        <w:rPr>
          <w:sz w:val="26"/>
          <w:szCs w:val="26"/>
          <w:lang w:val="da-DK"/>
        </w:rPr>
      </w:pPr>
    </w:p>
    <w:p w14:paraId="3CD617B9" w14:textId="77777777" w:rsidR="00085789" w:rsidRDefault="00085789">
      <w:pPr>
        <w:spacing w:before="40" w:after="40" w:line="264" w:lineRule="auto"/>
        <w:ind w:firstLine="720"/>
        <w:jc w:val="both"/>
        <w:rPr>
          <w:sz w:val="26"/>
          <w:szCs w:val="26"/>
          <w:lang w:val="da-DK"/>
        </w:rPr>
      </w:pPr>
    </w:p>
    <w:p w14:paraId="7C58EF2B" w14:textId="77777777" w:rsidR="00085789" w:rsidRDefault="00085789">
      <w:pPr>
        <w:spacing w:before="40" w:after="40" w:line="264" w:lineRule="auto"/>
        <w:ind w:firstLine="720"/>
        <w:jc w:val="both"/>
        <w:rPr>
          <w:sz w:val="26"/>
          <w:szCs w:val="26"/>
          <w:lang w:val="da-DK"/>
        </w:rPr>
      </w:pPr>
    </w:p>
    <w:p w14:paraId="7ADC3217" w14:textId="77777777" w:rsidR="00085789" w:rsidRDefault="00085789">
      <w:pPr>
        <w:spacing w:before="40" w:after="40" w:line="264" w:lineRule="auto"/>
        <w:ind w:firstLine="720"/>
        <w:jc w:val="both"/>
        <w:rPr>
          <w:sz w:val="26"/>
          <w:szCs w:val="26"/>
          <w:lang w:val="da-DK"/>
        </w:rPr>
      </w:pPr>
    </w:p>
    <w:p w14:paraId="6C7A84BA" w14:textId="77777777" w:rsidR="00085789" w:rsidRDefault="00085789">
      <w:pPr>
        <w:pStyle w:val="-bac4"/>
        <w:rPr>
          <w:lang w:val="nl-NL"/>
        </w:rPr>
      </w:pPr>
      <w:bookmarkStart w:id="1683" w:name="_Toc56739882"/>
      <w:bookmarkStart w:id="1684" w:name="_Toc55594922"/>
      <w:bookmarkStart w:id="1685" w:name="_Toc55008039"/>
      <w:bookmarkStart w:id="1686" w:name="_Toc56736977"/>
      <w:bookmarkStart w:id="1687" w:name="_Toc56740645"/>
      <w:bookmarkStart w:id="1688" w:name="_Toc56737698"/>
      <w:bookmarkStart w:id="1689" w:name="_Toc54810696"/>
      <w:bookmarkStart w:id="1690" w:name="_Toc55592361"/>
      <w:bookmarkStart w:id="1691" w:name="_Toc54796407"/>
      <w:bookmarkStart w:id="1692" w:name="_Toc56739139"/>
      <w:bookmarkStart w:id="1693" w:name="_Toc54794979"/>
      <w:bookmarkStart w:id="1694" w:name="_Toc54794265"/>
      <w:bookmarkStart w:id="1695" w:name="_Toc54795693"/>
      <w:bookmarkStart w:id="1696" w:name="_Toc422474582"/>
      <w:bookmarkStart w:id="1697" w:name="_Toc205915937"/>
    </w:p>
    <w:p w14:paraId="3342D4D3" w14:textId="77777777" w:rsidR="00085789" w:rsidRDefault="00000000">
      <w:pPr>
        <w:pStyle w:val="-bac4"/>
        <w:spacing w:before="0" w:after="0" w:line="240" w:lineRule="auto"/>
        <w:rPr>
          <w:lang w:val="nl-NL"/>
        </w:rPr>
      </w:pPr>
      <w:bookmarkStart w:id="1698" w:name="_Toc213597630"/>
      <w:bookmarkStart w:id="1699" w:name="_Toc213600890"/>
      <w:r>
        <w:rPr>
          <w:lang w:val="nl-NL"/>
        </w:rPr>
        <w:t>Hình 1</w:t>
      </w:r>
      <w:r>
        <w:rPr>
          <w:lang w:val="da-DK"/>
        </w:rPr>
        <w:t>0</w:t>
      </w:r>
      <w:r>
        <w:rPr>
          <w:lang w:val="nl-NL"/>
        </w:rPr>
        <w:t>.1. Sơ đồ cơ cấu tổ chức bộ phận chuyên môn về bảo vệ môi trường</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r>
        <w:rPr>
          <w:lang w:val="nl-NL"/>
        </w:rPr>
        <w:t xml:space="preserve"> từ ngày </w:t>
      </w:r>
      <w:r>
        <w:rPr>
          <w:szCs w:val="26"/>
          <w:lang w:val="da-DK"/>
        </w:rPr>
        <w:t>01/7/2020 đến ngày 30/6/2025</w:t>
      </w:r>
      <w:bookmarkEnd w:id="1698"/>
      <w:bookmarkEnd w:id="1699"/>
    </w:p>
    <w:p w14:paraId="25EB62DE" w14:textId="77777777" w:rsidR="00085789" w:rsidRDefault="00000000">
      <w:pPr>
        <w:spacing w:line="240" w:lineRule="auto"/>
        <w:ind w:firstLine="720"/>
        <w:jc w:val="both"/>
        <w:rPr>
          <w:sz w:val="26"/>
          <w:szCs w:val="26"/>
          <w:lang w:val="da-DK"/>
        </w:rPr>
      </w:pPr>
      <w:r>
        <w:rPr>
          <w:sz w:val="26"/>
          <w:szCs w:val="26"/>
          <w:lang w:val="nl-NL"/>
        </w:rPr>
        <w:lastRenderedPageBreak/>
        <w:t>T</w:t>
      </w:r>
      <w:r>
        <w:rPr>
          <w:sz w:val="26"/>
          <w:szCs w:val="26"/>
          <w:lang w:val="da-DK"/>
        </w:rPr>
        <w:t>ừ ngày 01/7/202</w:t>
      </w:r>
      <w:r>
        <w:rPr>
          <w:sz w:val="26"/>
          <w:szCs w:val="26"/>
          <w:lang w:val="nl-NL"/>
        </w:rPr>
        <w:t>5 đến nay</w:t>
      </w:r>
      <w:r>
        <w:rPr>
          <w:sz w:val="26"/>
          <w:szCs w:val="26"/>
          <w:lang w:val="da-DK"/>
        </w:rPr>
        <w:t xml:space="preserve">, </w:t>
      </w:r>
      <w:r>
        <w:rPr>
          <w:sz w:val="26"/>
          <w:szCs w:val="26"/>
          <w:lang w:val="nl-NL"/>
        </w:rPr>
        <w:t xml:space="preserve">thực hiện chính quyền 2 cấp, </w:t>
      </w:r>
      <w:r>
        <w:rPr>
          <w:sz w:val="26"/>
          <w:szCs w:val="26"/>
          <w:lang w:val="da-DK"/>
        </w:rPr>
        <w:t>cơ cấu tổ chức bộ phận chuyên môn về bảo vệ môi trường từ cấp tỉnh đến cấp xã như</w:t>
      </w:r>
      <w:r>
        <w:rPr>
          <w:sz w:val="26"/>
          <w:szCs w:val="26"/>
          <w:lang w:val="nl-NL"/>
        </w:rPr>
        <w:t xml:space="preserve"> </w:t>
      </w:r>
      <w:r>
        <w:rPr>
          <w:sz w:val="26"/>
          <w:szCs w:val="26"/>
          <w:lang w:val="da-DK"/>
        </w:rPr>
        <w:t>sau:</w:t>
      </w:r>
    </w:p>
    <w:p w14:paraId="523CABAD" w14:textId="77777777" w:rsidR="00085789" w:rsidRDefault="00000000">
      <w:pPr>
        <w:spacing w:before="40" w:after="40" w:line="264" w:lineRule="auto"/>
        <w:ind w:firstLine="720"/>
        <w:jc w:val="both"/>
        <w:rPr>
          <w:sz w:val="26"/>
          <w:szCs w:val="26"/>
          <w:lang w:val="da-DK"/>
        </w:rPr>
      </w:pPr>
      <w:r>
        <w:rPr>
          <w:noProof/>
          <w:sz w:val="26"/>
          <w:szCs w:val="26"/>
        </w:rPr>
        <mc:AlternateContent>
          <mc:Choice Requires="wps">
            <w:drawing>
              <wp:anchor distT="0" distB="0" distL="114300" distR="114300" simplePos="0" relativeHeight="251902464" behindDoc="0" locked="0" layoutInCell="1" allowOverlap="1" wp14:anchorId="5FFB34CE" wp14:editId="4325B448">
                <wp:simplePos x="0" y="0"/>
                <wp:positionH relativeFrom="column">
                  <wp:posOffset>2154840</wp:posOffset>
                </wp:positionH>
                <wp:positionV relativeFrom="paragraph">
                  <wp:posOffset>30480</wp:posOffset>
                </wp:positionV>
                <wp:extent cx="967740" cy="441960"/>
                <wp:effectExtent l="0" t="0" r="22860" b="15240"/>
                <wp:wrapNone/>
                <wp:docPr id="14" name="Text Box 14"/>
                <wp:cNvGraphicFramePr/>
                <a:graphic xmlns:a="http://schemas.openxmlformats.org/drawingml/2006/main">
                  <a:graphicData uri="http://schemas.microsoft.com/office/word/2010/wordprocessingShape">
                    <wps:wsp>
                      <wps:cNvSpPr txBox="1"/>
                      <wps:spPr>
                        <a:xfrm>
                          <a:off x="0" y="0"/>
                          <a:ext cx="967740" cy="441960"/>
                        </a:xfrm>
                        <a:prstGeom prst="rect">
                          <a:avLst/>
                        </a:prstGeom>
                        <a:solidFill>
                          <a:sysClr val="window" lastClr="FFFFFF"/>
                        </a:solidFill>
                        <a:ln w="6350">
                          <a:solidFill>
                            <a:prstClr val="black"/>
                          </a:solidFill>
                        </a:ln>
                      </wps:spPr>
                      <wps:txbx>
                        <w:txbxContent>
                          <w:p w14:paraId="704E7034" w14:textId="77777777" w:rsidR="00085789" w:rsidRDefault="00000000">
                            <w:pPr>
                              <w:jc w:val="center"/>
                              <w:rPr>
                                <w:sz w:val="24"/>
                                <w:szCs w:val="24"/>
                              </w:rPr>
                            </w:pPr>
                            <w:r>
                              <w:rPr>
                                <w:sz w:val="24"/>
                                <w:szCs w:val="24"/>
                              </w:rPr>
                              <w:t>UBND tỉnh Hà Tĩnh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50FBC" id="Text Box 14" o:spid="_x0000_s1065" type="#_x0000_t202" style="position:absolute;left:0;text-align:left;margin-left:169.65pt;margin-top:2.4pt;width:76.2pt;height:34.8pt;z-index:25190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" fillcolor="window" strokeweight=".5pt">
                <v:textbox>
                  <w:txbxContent>
                    <w:p w14:paraId="5CEF65D2" w14:textId="77777777" w:rsidR="000E0CEF" w:rsidRDefault="000E0CEF">
                      <w:pPr>
                        <w:jc w:val="center"/>
                        <w:rPr>
                          <w:sz w:val="24"/>
                          <w:szCs w:val="24"/>
                        </w:rPr>
                      </w:pPr>
                      <w:r>
                        <w:rPr>
                          <w:sz w:val="24"/>
                          <w:szCs w:val="24"/>
                        </w:rPr>
                        <w:t>UBND tỉnh Hà Tĩnh</w:t>
                      </w:r>
                    </w:p>
                  </w:txbxContent>
                </v:textbox>
              </v:shape>
            </w:pict>
          </mc:Fallback>
        </mc:AlternateContent>
      </w:r>
    </w:p>
    <w:p w14:paraId="7C92DB31" w14:textId="77777777" w:rsidR="00085789" w:rsidRDefault="00085789">
      <w:pPr>
        <w:spacing w:before="40" w:after="40" w:line="264" w:lineRule="auto"/>
        <w:ind w:firstLine="680"/>
        <w:jc w:val="both"/>
        <w:rPr>
          <w:b/>
          <w:i/>
          <w:sz w:val="26"/>
          <w:szCs w:val="26"/>
          <w:u w:val="single"/>
          <w:lang w:val="da-DK"/>
        </w:rPr>
      </w:pPr>
    </w:p>
    <w:p w14:paraId="28EFF4B7" w14:textId="77777777" w:rsidR="00085789" w:rsidRDefault="00000000">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03488" behindDoc="0" locked="0" layoutInCell="1" allowOverlap="1" wp14:anchorId="1881F8CA" wp14:editId="4D320D90">
                <wp:simplePos x="0" y="0"/>
                <wp:positionH relativeFrom="column">
                  <wp:posOffset>2623185</wp:posOffset>
                </wp:positionH>
                <wp:positionV relativeFrom="paragraph">
                  <wp:posOffset>34290</wp:posOffset>
                </wp:positionV>
                <wp:extent cx="0" cy="457200"/>
                <wp:effectExtent l="76200" t="0" r="57150" b="57150"/>
                <wp:wrapNone/>
                <wp:docPr id="15" name="Straight Arrow Connector 15"/>
                <wp:cNvGraphicFramePr/>
                <a:graphic xmlns:a="http://schemas.openxmlformats.org/drawingml/2006/main">
                  <a:graphicData uri="http://schemas.microsoft.com/office/word/2010/wordprocessingShape">
                    <wps:wsp>
                      <wps:cNvCnPr/>
                      <wps:spPr>
                        <a:xfrm>
                          <a:off x="0" y="0"/>
                          <a:ext cx="0" cy="457200"/>
                        </a:xfrm>
                        <a:prstGeom prst="straightConnector1">
                          <a:avLst/>
                        </a:prstGeom>
                        <a:noFill/>
                        <a:ln w="12700"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E034B32" id="Straight Arrow Connector 15" o:spid="_x0000_s1026" type="#_x0000_t32" style="position:absolute;margin-left:206.55pt;margin-top:2.7pt;width:0;height:36pt;z-index:25190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" strokecolor="windowText" strokeweight="1pt">
                <v:stroke endarrow="block" joinstyle="miter"/>
              </v:shape>
            </w:pict>
          </mc:Fallback>
        </mc:AlternateContent>
      </w:r>
    </w:p>
    <w:p w14:paraId="188BEB85" w14:textId="77777777" w:rsidR="00085789" w:rsidRDefault="00085789">
      <w:pPr>
        <w:spacing w:before="40" w:after="40" w:line="264" w:lineRule="auto"/>
        <w:ind w:firstLine="680"/>
        <w:jc w:val="both"/>
        <w:rPr>
          <w:b/>
          <w:i/>
          <w:sz w:val="26"/>
          <w:szCs w:val="26"/>
          <w:u w:val="single"/>
          <w:lang w:val="da-DK"/>
        </w:rPr>
      </w:pPr>
    </w:p>
    <w:p w14:paraId="4AD71B64" w14:textId="77777777" w:rsidR="00085789" w:rsidRDefault="00000000">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04512" behindDoc="0" locked="0" layoutInCell="1" allowOverlap="1" wp14:anchorId="143F1F49" wp14:editId="54A0026B">
                <wp:simplePos x="0" y="0"/>
                <wp:positionH relativeFrom="column">
                  <wp:posOffset>1800225</wp:posOffset>
                </wp:positionH>
                <wp:positionV relativeFrom="paragraph">
                  <wp:posOffset>46355</wp:posOffset>
                </wp:positionV>
                <wp:extent cx="3368040" cy="7620"/>
                <wp:effectExtent l="0" t="0" r="22860" b="30480"/>
                <wp:wrapNone/>
                <wp:docPr id="16" name="Straight Connector 16"/>
                <wp:cNvGraphicFramePr/>
                <a:graphic xmlns:a="http://schemas.openxmlformats.org/drawingml/2006/main">
                  <a:graphicData uri="http://schemas.microsoft.com/office/word/2010/wordprocessingShape">
                    <wps:wsp>
                      <wps:cNvCnPr/>
                      <wps:spPr>
                        <a:xfrm flipV="1">
                          <a:off x="0" y="0"/>
                          <a:ext cx="3368040" cy="7620"/>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3259F181" id="Straight Connector 16" o:spid="_x0000_s1026" style="position:absolute;flip:y;z-index:251904512;visibility:visible;mso-wrap-style:square;mso-wrap-distance-left:9pt;mso-wrap-distance-top:0;mso-wrap-distance-right:9pt;mso-wrap-distance-bottom:0;mso-position-horizontal:absolute;mso-position-horizontal-relative:text;mso-position-vertical:absolute;mso-position-vertical-relative:text" from="141.75pt,3.65pt" to="406.95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" strokecolor="windowText" strokeweight="1pt">
                <v:stroke joinstyle="miter"/>
              </v:line>
            </w:pict>
          </mc:Fallback>
        </mc:AlternateContent>
      </w:r>
      <w:r>
        <w:rPr>
          <w:b/>
          <w:i/>
          <w:noProof/>
          <w:sz w:val="26"/>
          <w:szCs w:val="26"/>
          <w:u w:val="single"/>
        </w:rPr>
        <mc:AlternateContent>
          <mc:Choice Requires="wps">
            <w:drawing>
              <wp:anchor distT="0" distB="0" distL="114300" distR="114300" simplePos="0" relativeHeight="252015104" behindDoc="0" locked="0" layoutInCell="1" allowOverlap="1" wp14:anchorId="1989A6FA" wp14:editId="50D79212">
                <wp:simplePos x="0" y="0"/>
                <wp:positionH relativeFrom="column">
                  <wp:posOffset>5176687</wp:posOffset>
                </wp:positionH>
                <wp:positionV relativeFrom="paragraph">
                  <wp:posOffset>64135</wp:posOffset>
                </wp:positionV>
                <wp:extent cx="0" cy="448574"/>
                <wp:effectExtent l="76200" t="0" r="57150" b="66040"/>
                <wp:wrapNone/>
                <wp:docPr id="2135071929" name="Straight Arrow Connector 86"/>
                <wp:cNvGraphicFramePr/>
                <a:graphic xmlns:a="http://schemas.openxmlformats.org/drawingml/2006/main">
                  <a:graphicData uri="http://schemas.microsoft.com/office/word/2010/wordprocessingShape">
                    <wps:wsp>
                      <wps:cNvCnPr/>
                      <wps:spPr>
                        <a:xfrm>
                          <a:off x="0" y="0"/>
                          <a:ext cx="0" cy="448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5220C00" id="Straight Arrow Connector 86" o:spid="_x0000_s1026" type="#_x0000_t32" style="position:absolute;margin-left:407.6pt;margin-top:5.05pt;width:0;height:35.3pt;z-index:25201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13056" behindDoc="0" locked="0" layoutInCell="1" allowOverlap="1" wp14:anchorId="790BA0CA" wp14:editId="4E2466EF">
                <wp:simplePos x="0" y="0"/>
                <wp:positionH relativeFrom="column">
                  <wp:posOffset>3686282</wp:posOffset>
                </wp:positionH>
                <wp:positionV relativeFrom="paragraph">
                  <wp:posOffset>64135</wp:posOffset>
                </wp:positionV>
                <wp:extent cx="0" cy="448574"/>
                <wp:effectExtent l="76200" t="0" r="57150" b="66040"/>
                <wp:wrapNone/>
                <wp:docPr id="1939523557" name="Straight Arrow Connector 86"/>
                <wp:cNvGraphicFramePr/>
                <a:graphic xmlns:a="http://schemas.openxmlformats.org/drawingml/2006/main">
                  <a:graphicData uri="http://schemas.microsoft.com/office/word/2010/wordprocessingShape">
                    <wps:wsp>
                      <wps:cNvCnPr/>
                      <wps:spPr>
                        <a:xfrm>
                          <a:off x="0" y="0"/>
                          <a:ext cx="0" cy="448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CB1F3BE" id="Straight Arrow Connector 86" o:spid="_x0000_s1026" type="#_x0000_t32" style="position:absolute;margin-left:290.25pt;margin-top:5.05pt;width:0;height:35.3pt;z-index:25201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11008" behindDoc="0" locked="0" layoutInCell="1" allowOverlap="1" wp14:anchorId="658DBAE9" wp14:editId="09485F8E">
                <wp:simplePos x="0" y="0"/>
                <wp:positionH relativeFrom="column">
                  <wp:posOffset>1808264</wp:posOffset>
                </wp:positionH>
                <wp:positionV relativeFrom="paragraph">
                  <wp:posOffset>55688</wp:posOffset>
                </wp:positionV>
                <wp:extent cx="0" cy="448574"/>
                <wp:effectExtent l="76200" t="0" r="57150" b="66040"/>
                <wp:wrapNone/>
                <wp:docPr id="920400557" name="Straight Arrow Connector 86"/>
                <wp:cNvGraphicFramePr/>
                <a:graphic xmlns:a="http://schemas.openxmlformats.org/drawingml/2006/main">
                  <a:graphicData uri="http://schemas.microsoft.com/office/word/2010/wordprocessingShape">
                    <wps:wsp>
                      <wps:cNvCnPr/>
                      <wps:spPr>
                        <a:xfrm>
                          <a:off x="0" y="0"/>
                          <a:ext cx="0" cy="44857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1464F5" id="Straight Arrow Connector 86" o:spid="_x0000_s1026" type="#_x0000_t32" style="position:absolute;margin-left:142.4pt;margin-top:4.4pt;width:0;height:35.3pt;z-index:2520110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" strokecolor="black [3040]">
                <v:stroke endarrow="block"/>
              </v:shape>
            </w:pict>
          </mc:Fallback>
        </mc:AlternateContent>
      </w:r>
    </w:p>
    <w:p w14:paraId="3942AF82" w14:textId="77777777" w:rsidR="00085789" w:rsidRDefault="00085789">
      <w:pPr>
        <w:spacing w:before="40" w:after="40" w:line="264" w:lineRule="auto"/>
        <w:ind w:firstLine="680"/>
        <w:jc w:val="both"/>
        <w:rPr>
          <w:b/>
          <w:i/>
          <w:sz w:val="26"/>
          <w:szCs w:val="26"/>
          <w:u w:val="single"/>
          <w:lang w:val="da-DK"/>
        </w:rPr>
      </w:pPr>
    </w:p>
    <w:p w14:paraId="4E53E272" w14:textId="77777777" w:rsidR="00085789" w:rsidRDefault="00000000">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10656" behindDoc="0" locked="0" layoutInCell="1" allowOverlap="1" wp14:anchorId="38867512" wp14:editId="19460D02">
                <wp:simplePos x="0" y="0"/>
                <wp:positionH relativeFrom="margin">
                  <wp:posOffset>4655820</wp:posOffset>
                </wp:positionH>
                <wp:positionV relativeFrom="paragraph">
                  <wp:posOffset>73025</wp:posOffset>
                </wp:positionV>
                <wp:extent cx="1094105" cy="563880"/>
                <wp:effectExtent l="0" t="0" r="10795" b="26670"/>
                <wp:wrapNone/>
                <wp:docPr id="61" name="Text Box 61"/>
                <wp:cNvGraphicFramePr/>
                <a:graphic xmlns:a="http://schemas.openxmlformats.org/drawingml/2006/main">
                  <a:graphicData uri="http://schemas.microsoft.com/office/word/2010/wordprocessingShape">
                    <wps:wsp>
                      <wps:cNvSpPr txBox="1"/>
                      <wps:spPr>
                        <a:xfrm>
                          <a:off x="0" y="0"/>
                          <a:ext cx="1094105" cy="563880"/>
                        </a:xfrm>
                        <a:prstGeom prst="rect">
                          <a:avLst/>
                        </a:prstGeom>
                        <a:solidFill>
                          <a:sysClr val="window" lastClr="FFFFFF"/>
                        </a:solidFill>
                        <a:ln w="6350">
                          <a:solidFill>
                            <a:prstClr val="black"/>
                          </a:solidFill>
                        </a:ln>
                      </wps:spPr>
                      <wps:txbx>
                        <w:txbxContent>
                          <w:p w14:paraId="2C512D20" w14:textId="77777777" w:rsidR="00085789" w:rsidRDefault="00000000">
                            <w:pPr>
                              <w:jc w:val="center"/>
                              <w:rPr>
                                <w:sz w:val="24"/>
                                <w:szCs w:val="24"/>
                              </w:rPr>
                            </w:pPr>
                            <w:r>
                              <w:rPr>
                                <w:sz w:val="24"/>
                                <w:szCs w:val="24"/>
                              </w:rPr>
                              <w:t>UBND xã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129A601" id="Text Box 61" o:spid="_x0000_s1066" type="#_x0000_t202" style="position:absolute;left:0;text-align:left;margin-left:366.6pt;margin-top:5.75pt;width:86.15pt;height:44.4pt;z-index:25191065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" fillcolor="window" strokeweight=".5pt">
                <v:textbox>
                  <w:txbxContent>
                    <w:p w14:paraId="21E6F7BF" w14:textId="77777777" w:rsidR="000E0CEF" w:rsidRDefault="000E0CEF">
                      <w:pPr>
                        <w:jc w:val="center"/>
                        <w:rPr>
                          <w:sz w:val="24"/>
                          <w:szCs w:val="24"/>
                        </w:rPr>
                      </w:pPr>
                      <w:r>
                        <w:rPr>
                          <w:sz w:val="24"/>
                          <w:szCs w:val="24"/>
                        </w:rPr>
                        <w:t>UBND xã</w:t>
                      </w:r>
                    </w:p>
                  </w:txbxContent>
                </v:textbox>
                <w10:wrap anchorx="margin"/>
              </v:shape>
            </w:pict>
          </mc:Fallback>
        </mc:AlternateContent>
      </w:r>
      <w:r>
        <w:rPr>
          <w:b/>
          <w:i/>
          <w:noProof/>
          <w:sz w:val="26"/>
          <w:szCs w:val="26"/>
          <w:u w:val="single"/>
        </w:rPr>
        <mc:AlternateContent>
          <mc:Choice Requires="wps">
            <w:drawing>
              <wp:anchor distT="0" distB="0" distL="114300" distR="114300" simplePos="0" relativeHeight="251908608" behindDoc="0" locked="0" layoutInCell="1" allowOverlap="1" wp14:anchorId="2F6DB48F" wp14:editId="1EB49995">
                <wp:simplePos x="0" y="0"/>
                <wp:positionH relativeFrom="column">
                  <wp:posOffset>3126105</wp:posOffset>
                </wp:positionH>
                <wp:positionV relativeFrom="paragraph">
                  <wp:posOffset>40640</wp:posOffset>
                </wp:positionV>
                <wp:extent cx="1094105" cy="563880"/>
                <wp:effectExtent l="0" t="0" r="10795" b="26670"/>
                <wp:wrapNone/>
                <wp:docPr id="20" name="Text Box 20"/>
                <wp:cNvGraphicFramePr/>
                <a:graphic xmlns:a="http://schemas.openxmlformats.org/drawingml/2006/main">
                  <a:graphicData uri="http://schemas.microsoft.com/office/word/2010/wordprocessingShape">
                    <wps:wsp>
                      <wps:cNvSpPr txBox="1"/>
                      <wps:spPr>
                        <a:xfrm>
                          <a:off x="0" y="0"/>
                          <a:ext cx="1094105" cy="563880"/>
                        </a:xfrm>
                        <a:prstGeom prst="rect">
                          <a:avLst/>
                        </a:prstGeom>
                        <a:solidFill>
                          <a:sysClr val="window" lastClr="FFFFFF"/>
                        </a:solidFill>
                        <a:ln w="6350">
                          <a:solidFill>
                            <a:prstClr val="black"/>
                          </a:solidFill>
                        </a:ln>
                      </wps:spPr>
                      <wps:txbx>
                        <w:txbxContent>
                          <w:p w14:paraId="59182E23" w14:textId="77777777" w:rsidR="00085789" w:rsidRDefault="00000000">
                            <w:pPr>
                              <w:jc w:val="center"/>
                              <w:rPr>
                                <w:sz w:val="24"/>
                                <w:szCs w:val="24"/>
                              </w:rPr>
                            </w:pPr>
                            <w:r>
                              <w:rPr>
                                <w:sz w:val="24"/>
                                <w:szCs w:val="24"/>
                              </w:rPr>
                              <w:t>BQL khu kinh tế tỉnh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705725" id="Text Box 20" o:spid="_x0000_s1067" type="#_x0000_t202" style="position:absolute;left:0;text-align:left;margin-left:246.15pt;margin-top:3.2pt;width:86.15pt;height:44.4pt;z-index:2519086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" fillcolor="window" strokeweight=".5pt">
                <v:textbox>
                  <w:txbxContent>
                    <w:p w14:paraId="06F8A9FF" w14:textId="77777777" w:rsidR="000E0CEF" w:rsidRDefault="000E0CEF">
                      <w:pPr>
                        <w:jc w:val="center"/>
                        <w:rPr>
                          <w:sz w:val="24"/>
                          <w:szCs w:val="24"/>
                        </w:rPr>
                      </w:pPr>
                      <w:r>
                        <w:rPr>
                          <w:sz w:val="24"/>
                          <w:szCs w:val="24"/>
                        </w:rPr>
                        <w:t>BQL khu kinh tế tỉnh</w:t>
                      </w:r>
                    </w:p>
                  </w:txbxContent>
                </v:textbox>
              </v:shape>
            </w:pict>
          </mc:Fallback>
        </mc:AlternateContent>
      </w:r>
      <w:r>
        <w:rPr>
          <w:b/>
          <w:i/>
          <w:noProof/>
          <w:sz w:val="26"/>
          <w:szCs w:val="26"/>
          <w:u w:val="single"/>
        </w:rPr>
        <mc:AlternateContent>
          <mc:Choice Requires="wps">
            <w:drawing>
              <wp:anchor distT="0" distB="0" distL="114300" distR="114300" simplePos="0" relativeHeight="251907584" behindDoc="0" locked="0" layoutInCell="1" allowOverlap="1" wp14:anchorId="1174B57C" wp14:editId="45630D0B">
                <wp:simplePos x="0" y="0"/>
                <wp:positionH relativeFrom="column">
                  <wp:posOffset>1266825</wp:posOffset>
                </wp:positionH>
                <wp:positionV relativeFrom="paragraph">
                  <wp:posOffset>40640</wp:posOffset>
                </wp:positionV>
                <wp:extent cx="1094105" cy="563880"/>
                <wp:effectExtent l="0" t="0" r="10795" b="26670"/>
                <wp:wrapNone/>
                <wp:docPr id="19" name="Text Box 19"/>
                <wp:cNvGraphicFramePr/>
                <a:graphic xmlns:a="http://schemas.openxmlformats.org/drawingml/2006/main">
                  <a:graphicData uri="http://schemas.microsoft.com/office/word/2010/wordprocessingShape">
                    <wps:wsp>
                      <wps:cNvSpPr txBox="1"/>
                      <wps:spPr>
                        <a:xfrm>
                          <a:off x="0" y="0"/>
                          <a:ext cx="1094105" cy="563880"/>
                        </a:xfrm>
                        <a:prstGeom prst="rect">
                          <a:avLst/>
                        </a:prstGeom>
                        <a:solidFill>
                          <a:sysClr val="window" lastClr="FFFFFF"/>
                        </a:solidFill>
                        <a:ln w="6350">
                          <a:solidFill>
                            <a:prstClr val="black"/>
                          </a:solidFill>
                        </a:ln>
                      </wps:spPr>
                      <wps:txbx>
                        <w:txbxContent>
                          <w:p w14:paraId="43A3A7D0" w14:textId="77777777" w:rsidR="00085789" w:rsidRDefault="00000000">
                            <w:pPr>
                              <w:jc w:val="center"/>
                              <w:rPr>
                                <w:sz w:val="24"/>
                                <w:szCs w:val="24"/>
                              </w:rPr>
                            </w:pPr>
                            <w:r>
                              <w:rPr>
                                <w:sz w:val="24"/>
                                <w:szCs w:val="24"/>
                              </w:rPr>
                              <w:t>Sở NN&amp;MT Hà Tĩnh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06FCD9B" id="Text Box 19" o:spid="_x0000_s1068" type="#_x0000_t202" style="position:absolute;left:0;text-align:left;margin-left:99.75pt;margin-top:3.2pt;width:86.15pt;height:44.4pt;z-index:25190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" fillcolor="window" strokeweight=".5pt">
                <v:textbox>
                  <w:txbxContent>
                    <w:p w14:paraId="2F6DA74C" w14:textId="77777777" w:rsidR="000E0CEF" w:rsidRDefault="000E0CEF">
                      <w:pPr>
                        <w:jc w:val="center"/>
                        <w:rPr>
                          <w:sz w:val="24"/>
                          <w:szCs w:val="24"/>
                        </w:rPr>
                      </w:pPr>
                      <w:r>
                        <w:rPr>
                          <w:sz w:val="24"/>
                          <w:szCs w:val="24"/>
                        </w:rPr>
                        <w:t>Sở NN&amp;MT Hà Tĩnh</w:t>
                      </w:r>
                    </w:p>
                  </w:txbxContent>
                </v:textbox>
              </v:shape>
            </w:pict>
          </mc:Fallback>
        </mc:AlternateContent>
      </w:r>
    </w:p>
    <w:p w14:paraId="03230F8D" w14:textId="77777777" w:rsidR="00085789" w:rsidRDefault="00085789">
      <w:pPr>
        <w:spacing w:before="40" w:after="40" w:line="264" w:lineRule="auto"/>
        <w:ind w:firstLine="680"/>
        <w:jc w:val="both"/>
        <w:rPr>
          <w:b/>
          <w:i/>
          <w:sz w:val="26"/>
          <w:szCs w:val="26"/>
          <w:u w:val="single"/>
          <w:lang w:val="da-DK"/>
        </w:rPr>
      </w:pPr>
    </w:p>
    <w:p w14:paraId="7318496B" w14:textId="77777777" w:rsidR="00085789" w:rsidRDefault="00000000">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2009984" behindDoc="0" locked="0" layoutInCell="1" allowOverlap="1" wp14:anchorId="03F84547" wp14:editId="668665F2">
                <wp:simplePos x="0" y="0"/>
                <wp:positionH relativeFrom="column">
                  <wp:posOffset>5167678</wp:posOffset>
                </wp:positionH>
                <wp:positionV relativeFrom="paragraph">
                  <wp:posOffset>165388</wp:posOffset>
                </wp:positionV>
                <wp:extent cx="0" cy="566180"/>
                <wp:effectExtent l="76200" t="0" r="57150" b="62865"/>
                <wp:wrapNone/>
                <wp:docPr id="1380059748" name="Straight Arrow Connector 85"/>
                <wp:cNvGraphicFramePr/>
                <a:graphic xmlns:a="http://schemas.openxmlformats.org/drawingml/2006/main">
                  <a:graphicData uri="http://schemas.microsoft.com/office/word/2010/wordprocessingShape">
                    <wps:wsp>
                      <wps:cNvCnPr/>
                      <wps:spPr>
                        <a:xfrm>
                          <a:off x="0" y="0"/>
                          <a:ext cx="0" cy="5661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E33BBB9" id="Straight Arrow Connector 85" o:spid="_x0000_s1026" type="#_x0000_t32" style="position:absolute;margin-left:406.9pt;margin-top:13pt;width:0;height:44.6pt;z-index:25200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08960" behindDoc="0" locked="0" layoutInCell="1" allowOverlap="1" wp14:anchorId="4D01D4BF" wp14:editId="5A4B8970">
                <wp:simplePos x="0" y="0"/>
                <wp:positionH relativeFrom="column">
                  <wp:posOffset>3662944</wp:posOffset>
                </wp:positionH>
                <wp:positionV relativeFrom="paragraph">
                  <wp:posOffset>139508</wp:posOffset>
                </wp:positionV>
                <wp:extent cx="0" cy="704203"/>
                <wp:effectExtent l="76200" t="0" r="57150" b="58420"/>
                <wp:wrapNone/>
                <wp:docPr id="151593531" name="Straight Arrow Connector 84"/>
                <wp:cNvGraphicFramePr/>
                <a:graphic xmlns:a="http://schemas.openxmlformats.org/drawingml/2006/main">
                  <a:graphicData uri="http://schemas.microsoft.com/office/word/2010/wordprocessingShape">
                    <wps:wsp>
                      <wps:cNvCnPr/>
                      <wps:spPr>
                        <a:xfrm>
                          <a:off x="0" y="0"/>
                          <a:ext cx="0" cy="7042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8026A49" id="Straight Arrow Connector 84" o:spid="_x0000_s1026" type="#_x0000_t32" style="position:absolute;margin-left:288.4pt;margin-top:11pt;width:0;height:55.45pt;z-index:25200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03840" behindDoc="0" locked="0" layoutInCell="1" allowOverlap="1" wp14:anchorId="1EE476AA" wp14:editId="3DA91D97">
                <wp:simplePos x="0" y="0"/>
                <wp:positionH relativeFrom="column">
                  <wp:posOffset>1799638</wp:posOffset>
                </wp:positionH>
                <wp:positionV relativeFrom="paragraph">
                  <wp:posOffset>139508</wp:posOffset>
                </wp:positionV>
                <wp:extent cx="0" cy="350520"/>
                <wp:effectExtent l="76200" t="0" r="76200" b="49530"/>
                <wp:wrapNone/>
                <wp:docPr id="188035998" name="Straight Arrow Connector 83"/>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FCAB85C" id="Straight Arrow Connector 83" o:spid="_x0000_s1026" type="#_x0000_t32" style="position:absolute;margin-left:141.7pt;margin-top:11pt;width:0;height:27.6pt;z-index:25200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" strokecolor="black [3040]">
                <v:stroke endarrow="block"/>
              </v:shape>
            </w:pict>
          </mc:Fallback>
        </mc:AlternateContent>
      </w:r>
    </w:p>
    <w:p w14:paraId="05C58CBB" w14:textId="77777777" w:rsidR="00085789" w:rsidRDefault="00085789">
      <w:pPr>
        <w:spacing w:before="40" w:after="40" w:line="264" w:lineRule="auto"/>
        <w:ind w:firstLine="680"/>
        <w:jc w:val="both"/>
        <w:rPr>
          <w:b/>
          <w:i/>
          <w:sz w:val="26"/>
          <w:szCs w:val="26"/>
          <w:u w:val="single"/>
          <w:lang w:val="da-DK"/>
        </w:rPr>
      </w:pPr>
    </w:p>
    <w:p w14:paraId="06B499E9" w14:textId="77777777" w:rsidR="00085789" w:rsidRDefault="00000000">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2005888" behindDoc="0" locked="0" layoutInCell="1" allowOverlap="1" wp14:anchorId="1BE10EC9" wp14:editId="24010233">
                <wp:simplePos x="0" y="0"/>
                <wp:positionH relativeFrom="column">
                  <wp:posOffset>2477135</wp:posOffset>
                </wp:positionH>
                <wp:positionV relativeFrom="paragraph">
                  <wp:posOffset>17516</wp:posOffset>
                </wp:positionV>
                <wp:extent cx="0" cy="350520"/>
                <wp:effectExtent l="76200" t="0" r="76200" b="49530"/>
                <wp:wrapNone/>
                <wp:docPr id="1849198960" name="Straight Arrow Connector 83"/>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5A75206" id="Straight Arrow Connector 83" o:spid="_x0000_s1026" type="#_x0000_t32" style="position:absolute;margin-left:195.05pt;margin-top:1.4pt;width:0;height:27.6pt;z-index:25200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2007936" behindDoc="0" locked="0" layoutInCell="1" allowOverlap="1" wp14:anchorId="55BE1573" wp14:editId="7849BC15">
                <wp:simplePos x="0" y="0"/>
                <wp:positionH relativeFrom="column">
                  <wp:posOffset>1193393</wp:posOffset>
                </wp:positionH>
                <wp:positionV relativeFrom="paragraph">
                  <wp:posOffset>26515</wp:posOffset>
                </wp:positionV>
                <wp:extent cx="0" cy="350520"/>
                <wp:effectExtent l="76200" t="0" r="76200" b="49530"/>
                <wp:wrapNone/>
                <wp:docPr id="92098639" name="Straight Arrow Connector 83"/>
                <wp:cNvGraphicFramePr/>
                <a:graphic xmlns:a="http://schemas.openxmlformats.org/drawingml/2006/main">
                  <a:graphicData uri="http://schemas.microsoft.com/office/word/2010/wordprocessingShape">
                    <wps:wsp>
                      <wps:cNvCnPr/>
                      <wps:spPr>
                        <a:xfrm>
                          <a:off x="0" y="0"/>
                          <a:ext cx="0" cy="35052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5872829" id="Straight Arrow Connector 83" o:spid="_x0000_s1026" type="#_x0000_t32" style="position:absolute;margin-left:93.95pt;margin-top:2.1pt;width:0;height:27.6pt;z-index:25200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" strokecolor="black [3040]">
                <v:stroke endarrow="block"/>
              </v:shape>
            </w:pict>
          </mc:Fallback>
        </mc:AlternateContent>
      </w:r>
      <w:r>
        <w:rPr>
          <w:b/>
          <w:i/>
          <w:noProof/>
          <w:sz w:val="26"/>
          <w:szCs w:val="26"/>
          <w:u w:val="single"/>
        </w:rPr>
        <mc:AlternateContent>
          <mc:Choice Requires="wps">
            <w:drawing>
              <wp:anchor distT="0" distB="0" distL="114300" distR="114300" simplePos="0" relativeHeight="251912704" behindDoc="0" locked="0" layoutInCell="1" allowOverlap="1" wp14:anchorId="3FC173A1" wp14:editId="7B7DC705">
                <wp:simplePos x="0" y="0"/>
                <wp:positionH relativeFrom="column">
                  <wp:posOffset>1205865</wp:posOffset>
                </wp:positionH>
                <wp:positionV relativeFrom="paragraph">
                  <wp:posOffset>27305</wp:posOffset>
                </wp:positionV>
                <wp:extent cx="1257300" cy="0"/>
                <wp:effectExtent l="0" t="0" r="19050" b="19050"/>
                <wp:wrapNone/>
                <wp:docPr id="63" name="Straight Connector 63"/>
                <wp:cNvGraphicFramePr/>
                <a:graphic xmlns:a="http://schemas.openxmlformats.org/drawingml/2006/main">
                  <a:graphicData uri="http://schemas.microsoft.com/office/word/2010/wordprocessingShape">
                    <wps:wsp>
                      <wps:cNvCnPr/>
                      <wps:spPr>
                        <a:xfrm>
                          <a:off x="0" y="0"/>
                          <a:ext cx="12573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42CAB049" id="Straight Connector 63" o:spid="_x0000_s1026" style="position:absolute;z-index:251912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95pt,2.15pt" to="193.95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" strokecolor="windowText" strokeweight="1pt">
                <v:stroke joinstyle="miter"/>
              </v:line>
            </w:pict>
          </mc:Fallback>
        </mc:AlternateContent>
      </w:r>
    </w:p>
    <w:p w14:paraId="5981270E" w14:textId="77777777" w:rsidR="00085789" w:rsidRDefault="00000000">
      <w:pPr>
        <w:spacing w:before="40" w:after="40" w:line="264" w:lineRule="auto"/>
        <w:ind w:firstLine="680"/>
        <w:jc w:val="both"/>
        <w:rPr>
          <w:b/>
          <w:i/>
          <w:sz w:val="26"/>
          <w:szCs w:val="26"/>
          <w:u w:val="single"/>
          <w:lang w:val="da-DK"/>
        </w:rPr>
      </w:pPr>
      <w:r>
        <w:rPr>
          <w:b/>
          <w:i/>
          <w:noProof/>
          <w:sz w:val="26"/>
          <w:szCs w:val="26"/>
          <w:u w:val="single"/>
        </w:rPr>
        <mc:AlternateContent>
          <mc:Choice Requires="wps">
            <w:drawing>
              <wp:anchor distT="0" distB="0" distL="114300" distR="114300" simplePos="0" relativeHeight="251916800" behindDoc="0" locked="0" layoutInCell="1" allowOverlap="1" wp14:anchorId="2348FB5C" wp14:editId="41DFCBAB">
                <wp:simplePos x="0" y="0"/>
                <wp:positionH relativeFrom="column">
                  <wp:posOffset>2014855</wp:posOffset>
                </wp:positionH>
                <wp:positionV relativeFrom="paragraph">
                  <wp:posOffset>156474</wp:posOffset>
                </wp:positionV>
                <wp:extent cx="1005840" cy="448574"/>
                <wp:effectExtent l="0" t="0" r="22860" b="27940"/>
                <wp:wrapNone/>
                <wp:docPr id="1861" name="Text Box 1861"/>
                <wp:cNvGraphicFramePr/>
                <a:graphic xmlns:a="http://schemas.openxmlformats.org/drawingml/2006/main">
                  <a:graphicData uri="http://schemas.microsoft.com/office/word/2010/wordprocessingShape">
                    <wps:wsp>
                      <wps:cNvSpPr txBox="1"/>
                      <wps:spPr>
                        <a:xfrm>
                          <a:off x="0" y="0"/>
                          <a:ext cx="1005840" cy="448574"/>
                        </a:xfrm>
                        <a:prstGeom prst="rect">
                          <a:avLst/>
                        </a:prstGeom>
                        <a:solidFill>
                          <a:sysClr val="window" lastClr="FFFFFF"/>
                        </a:solidFill>
                        <a:ln w="6350">
                          <a:solidFill>
                            <a:prstClr val="black"/>
                          </a:solidFill>
                        </a:ln>
                      </wps:spPr>
                      <wps:txbx>
                        <w:txbxContent>
                          <w:p w14:paraId="0AEBC239" w14:textId="77777777" w:rsidR="00085789" w:rsidRDefault="00000000">
                            <w:pPr>
                              <w:jc w:val="center"/>
                              <w:rPr>
                                <w:sz w:val="24"/>
                                <w:szCs w:val="24"/>
                              </w:rPr>
                            </w:pPr>
                            <w:r>
                              <w:rPr>
                                <w:sz w:val="24"/>
                                <w:szCs w:val="24"/>
                              </w:rPr>
                              <w:t>Phòng Môi trường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7CCA0" id="Text Box 1861" o:spid="_x0000_s1069" type="#_x0000_t202" style="position:absolute;left:0;text-align:left;margin-left:158.65pt;margin-top:12.3pt;width:79.2pt;height:35.3pt;z-index:25191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" fillcolor="window" strokeweight=".5pt">
                <v:textbox>
                  <w:txbxContent>
                    <w:p w14:paraId="52B9FF5A" w14:textId="77777777" w:rsidR="000E0CEF" w:rsidRDefault="000E0CEF">
                      <w:pPr>
                        <w:jc w:val="center"/>
                        <w:rPr>
                          <w:sz w:val="24"/>
                          <w:szCs w:val="24"/>
                        </w:rPr>
                      </w:pPr>
                      <w:r>
                        <w:rPr>
                          <w:sz w:val="24"/>
                          <w:szCs w:val="24"/>
                        </w:rPr>
                        <w:t>Phòng Môi trường</w:t>
                      </w:r>
                    </w:p>
                  </w:txbxContent>
                </v:textbox>
              </v:shape>
            </w:pict>
          </mc:Fallback>
        </mc:AlternateContent>
      </w:r>
      <w:r>
        <w:rPr>
          <w:b/>
          <w:i/>
          <w:noProof/>
          <w:sz w:val="26"/>
          <w:szCs w:val="26"/>
          <w:u w:val="single"/>
        </w:rPr>
        <mc:AlternateContent>
          <mc:Choice Requires="wps">
            <w:drawing>
              <wp:anchor distT="0" distB="0" distL="114300" distR="114300" simplePos="0" relativeHeight="251915776" behindDoc="0" locked="0" layoutInCell="1" allowOverlap="1" wp14:anchorId="41953165" wp14:editId="1394B41B">
                <wp:simplePos x="0" y="0"/>
                <wp:positionH relativeFrom="column">
                  <wp:posOffset>579332</wp:posOffset>
                </wp:positionH>
                <wp:positionV relativeFrom="paragraph">
                  <wp:posOffset>140123</wp:posOffset>
                </wp:positionV>
                <wp:extent cx="1240366" cy="474134"/>
                <wp:effectExtent l="0" t="0" r="17145" b="21590"/>
                <wp:wrapNone/>
                <wp:docPr id="1859" name="Text Box 1859"/>
                <wp:cNvGraphicFramePr/>
                <a:graphic xmlns:a="http://schemas.openxmlformats.org/drawingml/2006/main">
                  <a:graphicData uri="http://schemas.microsoft.com/office/word/2010/wordprocessingShape">
                    <wps:wsp>
                      <wps:cNvSpPr txBox="1"/>
                      <wps:spPr>
                        <a:xfrm>
                          <a:off x="0" y="0"/>
                          <a:ext cx="1240366" cy="474134"/>
                        </a:xfrm>
                        <a:prstGeom prst="rect">
                          <a:avLst/>
                        </a:prstGeom>
                        <a:solidFill>
                          <a:sysClr val="window" lastClr="FFFFFF"/>
                        </a:solidFill>
                        <a:ln w="6350">
                          <a:solidFill>
                            <a:prstClr val="black"/>
                          </a:solidFill>
                        </a:ln>
                      </wps:spPr>
                      <wps:txbx>
                        <w:txbxContent>
                          <w:p w14:paraId="763E0CCC" w14:textId="77777777" w:rsidR="00085789" w:rsidRDefault="00000000">
                            <w:pPr>
                              <w:jc w:val="center"/>
                              <w:rPr>
                                <w:sz w:val="24"/>
                                <w:szCs w:val="24"/>
                              </w:rPr>
                            </w:pPr>
                            <w:r>
                              <w:rPr>
                                <w:sz w:val="24"/>
                                <w:szCs w:val="24"/>
                              </w:rPr>
                              <w:t>Trung tâm QT TN&amp;MT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D4B5D9" id="Text Box 1859" o:spid="_x0000_s1070" type="#_x0000_t202" style="position:absolute;left:0;text-align:left;margin-left:45.6pt;margin-top:11.05pt;width:97.65pt;height:37.35pt;z-index:25191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" fillcolor="window" strokeweight=".5pt">
                <v:textbox>
                  <w:txbxContent>
                    <w:p w14:paraId="61921C26" w14:textId="77777777" w:rsidR="000E0CEF" w:rsidRDefault="000E0CEF">
                      <w:pPr>
                        <w:jc w:val="center"/>
                        <w:rPr>
                          <w:sz w:val="24"/>
                          <w:szCs w:val="24"/>
                        </w:rPr>
                      </w:pPr>
                      <w:r>
                        <w:rPr>
                          <w:sz w:val="24"/>
                          <w:szCs w:val="24"/>
                        </w:rPr>
                        <w:t>Trung tâm QT TN&amp;MT</w:t>
                      </w:r>
                    </w:p>
                  </w:txbxContent>
                </v:textbox>
              </v:shape>
            </w:pict>
          </mc:Fallback>
        </mc:AlternateContent>
      </w:r>
      <w:r>
        <w:rPr>
          <w:b/>
          <w:i/>
          <w:noProof/>
          <w:sz w:val="26"/>
          <w:szCs w:val="26"/>
          <w:u w:val="single"/>
        </w:rPr>
        <mc:AlternateContent>
          <mc:Choice Requires="wps">
            <w:drawing>
              <wp:anchor distT="0" distB="0" distL="114300" distR="114300" simplePos="0" relativeHeight="251920896" behindDoc="0" locked="0" layoutInCell="1" allowOverlap="1" wp14:anchorId="4ACE1D11" wp14:editId="603DE3EC">
                <wp:simplePos x="0" y="0"/>
                <wp:positionH relativeFrom="margin">
                  <wp:posOffset>4524798</wp:posOffset>
                </wp:positionH>
                <wp:positionV relativeFrom="paragraph">
                  <wp:posOffset>38523</wp:posOffset>
                </wp:positionV>
                <wp:extent cx="1201844" cy="474134"/>
                <wp:effectExtent l="0" t="0" r="17780" b="21590"/>
                <wp:wrapNone/>
                <wp:docPr id="1865" name="Text Box 1865"/>
                <wp:cNvGraphicFramePr/>
                <a:graphic xmlns:a="http://schemas.openxmlformats.org/drawingml/2006/main">
                  <a:graphicData uri="http://schemas.microsoft.com/office/word/2010/wordprocessingShape">
                    <wps:wsp>
                      <wps:cNvSpPr txBox="1"/>
                      <wps:spPr>
                        <a:xfrm>
                          <a:off x="0" y="0"/>
                          <a:ext cx="1201844" cy="474134"/>
                        </a:xfrm>
                        <a:prstGeom prst="rect">
                          <a:avLst/>
                        </a:prstGeom>
                        <a:solidFill>
                          <a:sysClr val="window" lastClr="FFFFFF"/>
                        </a:solidFill>
                        <a:ln w="6350">
                          <a:solidFill>
                            <a:prstClr val="black"/>
                          </a:solidFill>
                        </a:ln>
                      </wps:spPr>
                      <wps:txbx>
                        <w:txbxContent>
                          <w:p w14:paraId="0AFE46E2" w14:textId="77777777" w:rsidR="00085789" w:rsidRDefault="00000000">
                            <w:pPr>
                              <w:rPr>
                                <w:sz w:val="24"/>
                                <w:szCs w:val="24"/>
                              </w:rPr>
                            </w:pPr>
                            <w:r>
                              <w:rPr>
                                <w:sz w:val="24"/>
                                <w:szCs w:val="24"/>
                              </w:rPr>
                              <w:t>Phòng Kinh tế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E44E69" id="Text Box 1865" o:spid="_x0000_s1071" type="#_x0000_t202" style="position:absolute;left:0;text-align:left;margin-left:356.3pt;margin-top:3.05pt;width:94.65pt;height:37.35pt;z-index:251920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" fillcolor="window" strokeweight=".5pt">
                <v:textbox>
                  <w:txbxContent>
                    <w:p w14:paraId="120FEDC9" w14:textId="77777777" w:rsidR="000E0CEF" w:rsidRDefault="000E0CEF">
                      <w:pPr>
                        <w:rPr>
                          <w:sz w:val="24"/>
                          <w:szCs w:val="24"/>
                        </w:rPr>
                      </w:pPr>
                      <w:r>
                        <w:rPr>
                          <w:sz w:val="24"/>
                          <w:szCs w:val="24"/>
                        </w:rPr>
                        <w:t>Phòng Kinh tế</w:t>
                      </w:r>
                    </w:p>
                  </w:txbxContent>
                </v:textbox>
                <w10:wrap anchorx="margin"/>
              </v:shape>
            </w:pict>
          </mc:Fallback>
        </mc:AlternateContent>
      </w:r>
      <w:r>
        <w:rPr>
          <w:b/>
          <w:i/>
          <w:noProof/>
          <w:sz w:val="26"/>
          <w:szCs w:val="26"/>
          <w:u w:val="single"/>
        </w:rPr>
        <mc:AlternateContent>
          <mc:Choice Requires="wps">
            <w:drawing>
              <wp:anchor distT="0" distB="0" distL="114300" distR="114300" simplePos="0" relativeHeight="251918848" behindDoc="0" locked="0" layoutInCell="1" allowOverlap="1" wp14:anchorId="415DD144" wp14:editId="4731F332">
                <wp:simplePos x="0" y="0"/>
                <wp:positionH relativeFrom="column">
                  <wp:posOffset>3170132</wp:posOffset>
                </wp:positionH>
                <wp:positionV relativeFrom="paragraph">
                  <wp:posOffset>140122</wp:posOffset>
                </wp:positionV>
                <wp:extent cx="1005840" cy="507577"/>
                <wp:effectExtent l="0" t="0" r="22860" b="26035"/>
                <wp:wrapNone/>
                <wp:docPr id="1863" name="Text Box 1863"/>
                <wp:cNvGraphicFramePr/>
                <a:graphic xmlns:a="http://schemas.openxmlformats.org/drawingml/2006/main">
                  <a:graphicData uri="http://schemas.microsoft.com/office/word/2010/wordprocessingShape">
                    <wps:wsp>
                      <wps:cNvSpPr txBox="1"/>
                      <wps:spPr>
                        <a:xfrm>
                          <a:off x="0" y="0"/>
                          <a:ext cx="1005840" cy="507577"/>
                        </a:xfrm>
                        <a:prstGeom prst="rect">
                          <a:avLst/>
                        </a:prstGeom>
                        <a:solidFill>
                          <a:sysClr val="window" lastClr="FFFFFF"/>
                        </a:solidFill>
                        <a:ln w="6350">
                          <a:solidFill>
                            <a:prstClr val="black"/>
                          </a:solidFill>
                        </a:ln>
                      </wps:spPr>
                      <wps:txbx>
                        <w:txbxContent>
                          <w:p w14:paraId="7942C9CE" w14:textId="77777777" w:rsidR="00085789" w:rsidRDefault="00000000">
                            <w:pPr>
                              <w:jc w:val="center"/>
                              <w:rPr>
                                <w:sz w:val="24"/>
                                <w:szCs w:val="24"/>
                              </w:rPr>
                            </w:pPr>
                            <w:r>
                              <w:rPr>
                                <w:sz w:val="24"/>
                                <w:szCs w:val="24"/>
                              </w:rPr>
                              <w:t>Phòng TN&amp;MT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09C3E" id="Text Box 1863" o:spid="_x0000_s1072" type="#_x0000_t202" style="position:absolute;left:0;text-align:left;margin-left:249.6pt;margin-top:11.05pt;width:79.2pt;height:39.95pt;z-index:25191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" fillcolor="window" strokeweight=".5pt">
                <v:textbox>
                  <w:txbxContent>
                    <w:p w14:paraId="1A6AE0C2" w14:textId="77777777" w:rsidR="000E0CEF" w:rsidRDefault="000E0CEF">
                      <w:pPr>
                        <w:jc w:val="center"/>
                        <w:rPr>
                          <w:sz w:val="24"/>
                          <w:szCs w:val="24"/>
                        </w:rPr>
                      </w:pPr>
                      <w:r>
                        <w:rPr>
                          <w:sz w:val="24"/>
                          <w:szCs w:val="24"/>
                        </w:rPr>
                        <w:t>Phòng TN&amp;MT</w:t>
                      </w:r>
                    </w:p>
                  </w:txbxContent>
                </v:textbox>
              </v:shape>
            </w:pict>
          </mc:Fallback>
        </mc:AlternateContent>
      </w:r>
    </w:p>
    <w:p w14:paraId="4AC432C1" w14:textId="77777777" w:rsidR="00085789" w:rsidRDefault="00085789">
      <w:pPr>
        <w:spacing w:before="40" w:after="40" w:line="264" w:lineRule="auto"/>
        <w:ind w:firstLine="680"/>
        <w:jc w:val="both"/>
        <w:rPr>
          <w:b/>
          <w:i/>
          <w:sz w:val="26"/>
          <w:szCs w:val="26"/>
          <w:u w:val="single"/>
          <w:lang w:val="da-DK"/>
        </w:rPr>
      </w:pPr>
    </w:p>
    <w:p w14:paraId="63DBFAD1" w14:textId="77777777" w:rsidR="00085789" w:rsidRDefault="00085789">
      <w:pPr>
        <w:spacing w:before="40" w:after="40" w:line="264" w:lineRule="auto"/>
        <w:ind w:firstLine="680"/>
        <w:jc w:val="both"/>
        <w:rPr>
          <w:sz w:val="26"/>
          <w:szCs w:val="26"/>
          <w:lang w:val="nl-NL"/>
        </w:rPr>
      </w:pPr>
    </w:p>
    <w:p w14:paraId="09320290" w14:textId="77777777" w:rsidR="00085789" w:rsidRDefault="00000000">
      <w:pPr>
        <w:pStyle w:val="-bac4"/>
        <w:spacing w:before="0" w:after="0" w:line="240" w:lineRule="auto"/>
        <w:rPr>
          <w:u w:val="single"/>
          <w:lang w:val="da-DK"/>
        </w:rPr>
      </w:pPr>
      <w:bookmarkStart w:id="1700" w:name="_Toc205915938"/>
      <w:bookmarkStart w:id="1701" w:name="_Toc213597631"/>
      <w:bookmarkStart w:id="1702" w:name="_Toc213600891"/>
      <w:r>
        <w:rPr>
          <w:lang w:val="nl-NL"/>
        </w:rPr>
        <w:t>Hình 1</w:t>
      </w:r>
      <w:r>
        <w:rPr>
          <w:lang w:val="da-DK"/>
        </w:rPr>
        <w:t>0</w:t>
      </w:r>
      <w:r>
        <w:rPr>
          <w:lang w:val="nl-NL"/>
        </w:rPr>
        <w:t>.2. Sơ đồ cơ cấu tổ chức bộ phận chuyên môn về bảo vệ môi trường</w:t>
      </w:r>
      <w:bookmarkEnd w:id="1700"/>
      <w:r>
        <w:rPr>
          <w:lang w:val="nl-NL"/>
        </w:rPr>
        <w:t xml:space="preserve"> từ ngày 01/7/2025</w:t>
      </w:r>
      <w:bookmarkEnd w:id="1701"/>
      <w:bookmarkEnd w:id="1702"/>
    </w:p>
    <w:p w14:paraId="5E991199" w14:textId="77777777" w:rsidR="00085789" w:rsidRDefault="00085789">
      <w:pPr>
        <w:spacing w:line="100" w:lineRule="exact"/>
        <w:ind w:firstLine="680"/>
        <w:jc w:val="both"/>
        <w:rPr>
          <w:b/>
          <w:i/>
          <w:sz w:val="22"/>
          <w:szCs w:val="22"/>
          <w:u w:val="single"/>
          <w:lang w:val="da-DK"/>
        </w:rPr>
      </w:pPr>
    </w:p>
    <w:p w14:paraId="3144F8C5" w14:textId="77777777" w:rsidR="00085789" w:rsidRDefault="00000000">
      <w:pPr>
        <w:spacing w:before="120" w:line="240" w:lineRule="auto"/>
        <w:ind w:firstLine="680"/>
        <w:jc w:val="both"/>
        <w:rPr>
          <w:bCs/>
          <w:i/>
          <w:sz w:val="26"/>
          <w:szCs w:val="26"/>
          <w:lang w:val="da-DK"/>
        </w:rPr>
      </w:pPr>
      <w:r>
        <w:rPr>
          <w:bCs/>
          <w:i/>
          <w:sz w:val="26"/>
          <w:szCs w:val="26"/>
          <w:lang w:val="da-DK"/>
        </w:rPr>
        <w:t>Phân công trách nhiệm quản lý nhà nước về bảo vệ môi trường trên địa bàn tỉnh:</w:t>
      </w:r>
    </w:p>
    <w:p w14:paraId="3E085D68" w14:textId="77777777" w:rsidR="00085789" w:rsidRDefault="00000000">
      <w:pPr>
        <w:spacing w:before="120" w:line="240" w:lineRule="auto"/>
        <w:ind w:firstLine="680"/>
        <w:jc w:val="both"/>
        <w:rPr>
          <w:sz w:val="26"/>
          <w:szCs w:val="26"/>
          <w:lang w:val="da-DK"/>
        </w:rPr>
      </w:pPr>
      <w:r>
        <w:rPr>
          <w:sz w:val="26"/>
          <w:szCs w:val="26"/>
          <w:lang w:val="da-DK"/>
        </w:rPr>
        <w:t>Sở Nông nghiệp và Môi trường là cơ quan chuyên môn thuộc UBND tỉnh, tham mưu, giúp UBND tỉnh thực hiện chức năng quản lý nhà nước các lĩnh vực của ngành trong đó có lĩnh vực môi trường. Phòng Môi trường là một phòng chuyên môn thuộc Sở Nông nghiệp và Môi trường có nhiệm vụ tham mưu giúp Giám đốc Sở Nông nghiệp và Môi trường trong công tác quản lý nhà nước về bảo vệ môi trường trên địa bàn toàn tỉnh.</w:t>
      </w:r>
    </w:p>
    <w:p w14:paraId="61F42F54" w14:textId="77777777" w:rsidR="00085789" w:rsidRDefault="00000000">
      <w:pPr>
        <w:spacing w:before="120" w:line="240" w:lineRule="auto"/>
        <w:ind w:firstLine="680"/>
        <w:jc w:val="both"/>
        <w:rPr>
          <w:sz w:val="26"/>
          <w:szCs w:val="26"/>
          <w:lang w:val="da-DK"/>
        </w:rPr>
      </w:pPr>
      <w:r>
        <w:rPr>
          <w:sz w:val="26"/>
          <w:szCs w:val="26"/>
          <w:lang w:val="da-DK"/>
        </w:rPr>
        <w:t xml:space="preserve">Trung tâm Quan trắc tài nguyên và môi trường là đơn vị sự nghiệp công trực thuộc Sở Nông nghiệp và Môi trường </w:t>
      </w:r>
      <w:r>
        <w:rPr>
          <w:bCs/>
          <w:sz w:val="26"/>
          <w:szCs w:val="26"/>
          <w:lang w:val="da-DK"/>
        </w:rPr>
        <w:t>có chức năng giúp Giám đốc Sở tổ chức, thực hiện nhiệm vụ</w:t>
      </w:r>
      <w:r>
        <w:rPr>
          <w:b/>
          <w:sz w:val="26"/>
          <w:szCs w:val="26"/>
          <w:lang w:val="da-DK"/>
        </w:rPr>
        <w:t xml:space="preserve"> </w:t>
      </w:r>
      <w:r>
        <w:rPr>
          <w:sz w:val="26"/>
          <w:szCs w:val="26"/>
          <w:lang w:val="da-DK"/>
        </w:rPr>
        <w:t>quan trắc môi trường, tài nguyên nước, ĐDSH; đánh giá chất lượng</w:t>
      </w:r>
      <w:r>
        <w:rPr>
          <w:b/>
          <w:sz w:val="26"/>
          <w:szCs w:val="26"/>
          <w:lang w:val="da-DK"/>
        </w:rPr>
        <w:t xml:space="preserve"> </w:t>
      </w:r>
      <w:r>
        <w:rPr>
          <w:sz w:val="26"/>
          <w:szCs w:val="26"/>
          <w:lang w:val="da-DK"/>
        </w:rPr>
        <w:t>môi trường; giám sát, vận hành hệ thống quan trắc tự động, liên tục; vận hành hệ</w:t>
      </w:r>
      <w:r>
        <w:rPr>
          <w:b/>
          <w:sz w:val="26"/>
          <w:szCs w:val="26"/>
          <w:lang w:val="da-DK"/>
        </w:rPr>
        <w:t xml:space="preserve"> </w:t>
      </w:r>
      <w:r>
        <w:rPr>
          <w:sz w:val="26"/>
          <w:szCs w:val="26"/>
          <w:lang w:val="da-DK"/>
        </w:rPr>
        <w:t>thống thông tin môi trường, cơ sở dữ liệu môi trường, xây dựng các báo cáo về</w:t>
      </w:r>
      <w:r>
        <w:rPr>
          <w:b/>
          <w:sz w:val="26"/>
          <w:szCs w:val="26"/>
          <w:lang w:val="da-DK"/>
        </w:rPr>
        <w:t xml:space="preserve"> </w:t>
      </w:r>
      <w:r>
        <w:rPr>
          <w:sz w:val="26"/>
          <w:szCs w:val="26"/>
          <w:lang w:val="da-DK"/>
        </w:rPr>
        <w:t>chất lượng môi trường; thực hiện các dịch vụ công trong các lĩnh vực về môi</w:t>
      </w:r>
      <w:r>
        <w:rPr>
          <w:b/>
          <w:sz w:val="26"/>
          <w:szCs w:val="26"/>
          <w:lang w:val="da-DK"/>
        </w:rPr>
        <w:t xml:space="preserve"> </w:t>
      </w:r>
      <w:r>
        <w:rPr>
          <w:sz w:val="26"/>
          <w:szCs w:val="26"/>
          <w:lang w:val="da-DK"/>
        </w:rPr>
        <w:t>trường, tài nguyên nước, biển và hải đảo, khoáng sản, khí</w:t>
      </w:r>
      <w:r>
        <w:rPr>
          <w:b/>
          <w:sz w:val="26"/>
          <w:szCs w:val="26"/>
          <w:lang w:val="da-DK"/>
        </w:rPr>
        <w:t xml:space="preserve"> </w:t>
      </w:r>
      <w:r>
        <w:rPr>
          <w:sz w:val="26"/>
          <w:szCs w:val="26"/>
          <w:lang w:val="da-DK"/>
        </w:rPr>
        <w:t>tượng thủy văn và BĐKH theo quy định của pháp luật</w:t>
      </w:r>
      <w:r>
        <w:rPr>
          <w:bCs/>
          <w:sz w:val="26"/>
          <w:szCs w:val="26"/>
          <w:lang w:val="da-DK"/>
        </w:rPr>
        <w:t>; tư vấn lập hồ sơ môi trường, hồ sơ tài nguyên nước, khai thác khoáng sản, quan trắc môi trường lao động và đánh giá diễn biến chất lượng các thành phần môi trường trên địa bàn tỉnh.</w:t>
      </w:r>
    </w:p>
    <w:p w14:paraId="6FC88D78" w14:textId="77777777" w:rsidR="00085789" w:rsidRDefault="00000000">
      <w:pPr>
        <w:spacing w:before="120" w:line="240" w:lineRule="auto"/>
        <w:ind w:firstLine="680"/>
        <w:jc w:val="both"/>
        <w:rPr>
          <w:sz w:val="26"/>
          <w:szCs w:val="26"/>
          <w:lang w:val="da-DK"/>
        </w:rPr>
      </w:pPr>
      <w:bookmarkStart w:id="1703" w:name="_Toc260998997"/>
      <w:r>
        <w:rPr>
          <w:sz w:val="26"/>
          <w:szCs w:val="26"/>
          <w:lang w:val="da-DK"/>
        </w:rPr>
        <w:t xml:space="preserve">Ban quản lý Khu kinh tế tỉnh là cơ quan trực thuộc UBND tỉnh Hà Tĩnh, thực hiện chức năng quản lý nhà nước trực tiếp đối với các Khu kinh tế, khu công nghiệp trên địa bàn tỉnh. Phòng Tài nguyên và Môi trường thuộc Ban quản lý Khu kinh tế tỉnh là phòng chuyên môn tham mưu giúp BQL Khu kinh tế tỉnh thực hiện chức năng quản lý nhà nước về tài nguyên và môi trường. </w:t>
      </w:r>
    </w:p>
    <w:p w14:paraId="7BE81A45" w14:textId="77777777" w:rsidR="00085789" w:rsidRDefault="00000000">
      <w:pPr>
        <w:spacing w:before="120" w:line="240" w:lineRule="auto"/>
        <w:ind w:firstLine="709"/>
        <w:jc w:val="both"/>
        <w:rPr>
          <w:sz w:val="26"/>
          <w:szCs w:val="26"/>
          <w:lang w:val="da-DK"/>
        </w:rPr>
      </w:pPr>
      <w:r>
        <w:rPr>
          <w:sz w:val="26"/>
          <w:szCs w:val="26"/>
          <w:lang w:val="da-DK"/>
        </w:rPr>
        <w:t>Phòng Kinh tế (đối với xã) hoặc Phòng Kinh tế, Hạ tầng và Đô thị (đối với phường) tham mưu, giúp UBND cấp xã thực hiện chức năng quản lý nhà nước về lĩnh vực Nông nghiệp và Môi trường.</w:t>
      </w:r>
    </w:p>
    <w:p w14:paraId="1244B5A4" w14:textId="77777777" w:rsidR="00085789" w:rsidRDefault="00000000">
      <w:pPr>
        <w:spacing w:before="120" w:line="240" w:lineRule="auto"/>
        <w:jc w:val="both"/>
        <w:textAlignment w:val="baseline"/>
        <w:rPr>
          <w:sz w:val="26"/>
          <w:szCs w:val="26"/>
          <w:lang w:val="da-DK"/>
        </w:rPr>
      </w:pPr>
      <w:r>
        <w:rPr>
          <w:sz w:val="26"/>
          <w:szCs w:val="26"/>
          <w:lang w:val="da-DK"/>
        </w:rPr>
        <w:lastRenderedPageBreak/>
        <w:tab/>
        <w:t>Ngoài ra, phòng Cảnh sát kinh tế là lực lượng chuyên trách thuộc Công an tỉnh thực hiện chức năng phòng ngừa, phát hiện, ngăn chặn, đấu tranh chống tội phạm và vi phạm hành chính về môi trường; chủ động, phối hợp phòng ngừa, đấu tranh chống tội phạm, vi phạm pháp luật về tài nguyên và an toàn thực phẩm có liên quan đến môi trường</w:t>
      </w:r>
    </w:p>
    <w:p w14:paraId="70F90FB2" w14:textId="77777777" w:rsidR="00085789" w:rsidRDefault="00000000">
      <w:pPr>
        <w:spacing w:before="120" w:line="240" w:lineRule="auto"/>
        <w:jc w:val="both"/>
        <w:textAlignment w:val="baseline"/>
        <w:rPr>
          <w:sz w:val="26"/>
          <w:szCs w:val="26"/>
          <w:lang w:val="da-DK"/>
        </w:rPr>
      </w:pPr>
      <w:r>
        <w:rPr>
          <w:sz w:val="26"/>
          <w:szCs w:val="26"/>
          <w:lang w:val="da-DK"/>
        </w:rPr>
        <w:tab/>
        <w:t>Hệ thống quản lý nhà nước về bảo vệ môi trường trên địa bàn tỉnh đã được sắp xếp ổn định từ bộ máy, con người, cơ sở vật chất cơ bản từng bước đáp ứng được yêu cầu và nhiệm vụ đặt ra.</w:t>
      </w:r>
    </w:p>
    <w:p w14:paraId="1DDC0592" w14:textId="77777777" w:rsidR="00085789" w:rsidRDefault="00000000">
      <w:pPr>
        <w:pStyle w:val="bac2"/>
        <w:spacing w:after="0" w:line="240" w:lineRule="auto"/>
        <w:rPr>
          <w:lang w:val="da-DK"/>
        </w:rPr>
      </w:pPr>
      <w:bookmarkStart w:id="1704" w:name="_Toc54794266"/>
      <w:bookmarkStart w:id="1705" w:name="_Toc56736978"/>
      <w:bookmarkStart w:id="1706" w:name="_Toc56737699"/>
      <w:bookmarkStart w:id="1707" w:name="_Toc56739140"/>
      <w:bookmarkStart w:id="1708" w:name="_Toc54794980"/>
      <w:bookmarkStart w:id="1709" w:name="_Toc54796408"/>
      <w:bookmarkStart w:id="1710" w:name="_Toc55594923"/>
      <w:bookmarkStart w:id="1711" w:name="_Toc56740646"/>
      <w:bookmarkStart w:id="1712" w:name="_Toc55008040"/>
      <w:bookmarkStart w:id="1713" w:name="_Toc56739883"/>
      <w:bookmarkStart w:id="1714" w:name="_Toc54810697"/>
      <w:bookmarkStart w:id="1715" w:name="_Toc54795694"/>
      <w:bookmarkStart w:id="1716" w:name="_Toc55592362"/>
      <w:bookmarkStart w:id="1717" w:name="_Toc214311313"/>
      <w:bookmarkEnd w:id="1703"/>
      <w:r>
        <w:rPr>
          <w:lang w:val="da-DK"/>
        </w:rPr>
        <w:t>10.4. Vấn đề tài chính, đầu tư cho công tác bảo vệ môi trường</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CCE66B7" w14:textId="6A99A619" w:rsidR="00085789" w:rsidRDefault="00000000">
      <w:pPr>
        <w:spacing w:before="60" w:line="240" w:lineRule="auto"/>
        <w:ind w:firstLine="709"/>
        <w:jc w:val="both"/>
        <w:rPr>
          <w:sz w:val="26"/>
          <w:szCs w:val="26"/>
          <w:lang w:val="da-DK"/>
        </w:rPr>
      </w:pPr>
      <w:r>
        <w:rPr>
          <w:sz w:val="26"/>
          <w:szCs w:val="26"/>
          <w:lang w:val="da-DK"/>
        </w:rPr>
        <w:t>Giai đoạn 2021-2025, ngân sách tỉnh đã bố trí kinh phí chi cho công tác bảo vệ môi trường là: 1.083.622 triệu đồng</w:t>
      </w:r>
      <w:r>
        <w:rPr>
          <w:sz w:val="26"/>
          <w:szCs w:val="26"/>
          <w:lang w:val="sq-AL"/>
        </w:rPr>
        <w:t xml:space="preserve">. </w:t>
      </w:r>
      <w:r>
        <w:rPr>
          <w:sz w:val="26"/>
          <w:szCs w:val="26"/>
          <w:lang w:val="da-DK"/>
        </w:rPr>
        <w:t xml:space="preserve">Kinh phí sự nghiệp môi trường tập trung chủ yếu vào các nội dung như: chi thường xuyên sự nghiệp môi trường; chính sách thực hiện sự nghiệp môi trường; quan trắc mạng lưới môi trường tỉnh; hỗ trợ trang thiết bị, phương tiện thu gom rác thải sinh hoạt, vệ sinh môi trường ở khu dân cư,.... </w:t>
      </w:r>
      <w:bookmarkStart w:id="1718" w:name="_Toc55008041"/>
      <w:bookmarkStart w:id="1719" w:name="_Toc54794267"/>
      <w:bookmarkStart w:id="1720" w:name="_Toc56737700"/>
      <w:bookmarkStart w:id="1721" w:name="_Toc54795695"/>
      <w:bookmarkStart w:id="1722" w:name="_Toc55594924"/>
      <w:bookmarkStart w:id="1723" w:name="_Toc54794981"/>
      <w:bookmarkStart w:id="1724" w:name="_Toc55592363"/>
      <w:bookmarkStart w:id="1725" w:name="_Toc56740647"/>
      <w:bookmarkStart w:id="1726" w:name="_Toc54810698"/>
      <w:bookmarkStart w:id="1727" w:name="_Toc56739884"/>
      <w:bookmarkStart w:id="1728" w:name="_Toc56736979"/>
      <w:bookmarkStart w:id="1729" w:name="_Toc56739141"/>
      <w:bookmarkStart w:id="1730" w:name="_Toc54796409"/>
    </w:p>
    <w:p w14:paraId="3547488F" w14:textId="77777777" w:rsidR="00085789" w:rsidRDefault="00000000">
      <w:pPr>
        <w:pStyle w:val="bac2"/>
        <w:spacing w:after="0" w:line="240" w:lineRule="auto"/>
        <w:rPr>
          <w:lang w:val="da-DK"/>
        </w:rPr>
      </w:pPr>
      <w:bookmarkStart w:id="1731" w:name="_Toc214311314"/>
      <w:r>
        <w:rPr>
          <w:lang w:val="da-DK"/>
        </w:rPr>
        <w:t>10.5. Về triển khai các công cụ trong quản lý môi trường</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AB753C5" w14:textId="77777777" w:rsidR="00085789" w:rsidRDefault="00000000">
      <w:pPr>
        <w:pStyle w:val="bac2"/>
        <w:spacing w:after="0" w:line="240" w:lineRule="auto"/>
        <w:rPr>
          <w:lang w:val="da-DK"/>
        </w:rPr>
      </w:pPr>
      <w:bookmarkStart w:id="1732" w:name="_Toc54796410"/>
      <w:bookmarkStart w:id="1733" w:name="_Toc55008042"/>
      <w:bookmarkStart w:id="1734" w:name="_Toc56740648"/>
      <w:bookmarkStart w:id="1735" w:name="_Toc54795696"/>
      <w:bookmarkStart w:id="1736" w:name="_Toc56736980"/>
      <w:bookmarkStart w:id="1737" w:name="_Toc55592364"/>
      <w:bookmarkStart w:id="1738" w:name="_Toc56739142"/>
      <w:bookmarkStart w:id="1739" w:name="_Toc54794982"/>
      <w:bookmarkStart w:id="1740" w:name="_Toc54794268"/>
      <w:bookmarkStart w:id="1741" w:name="_Toc56737701"/>
      <w:bookmarkStart w:id="1742" w:name="_Toc55594925"/>
      <w:bookmarkStart w:id="1743" w:name="_Toc54810699"/>
      <w:bookmarkStart w:id="1744" w:name="_Toc56739885"/>
      <w:bookmarkStart w:id="1745" w:name="_Toc214311315"/>
      <w:bookmarkStart w:id="1746" w:name="_Toc260998998"/>
      <w:r>
        <w:rPr>
          <w:lang w:val="da-DK"/>
        </w:rPr>
        <w:t>10.5.1. Thực hiện đánh giá tác động môi trường chiến lược (ĐMC), đánh giá tác động môi trường (ĐTM)</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36155A6C" w14:textId="77777777" w:rsidR="00085789" w:rsidRDefault="00000000">
      <w:pPr>
        <w:spacing w:before="60" w:line="240" w:lineRule="auto"/>
        <w:ind w:right="23" w:firstLine="720"/>
        <w:jc w:val="both"/>
        <w:rPr>
          <w:sz w:val="26"/>
          <w:szCs w:val="26"/>
          <w:lang w:val="da-DK"/>
        </w:rPr>
      </w:pPr>
      <w:r>
        <w:rPr>
          <w:sz w:val="26"/>
          <w:szCs w:val="26"/>
          <w:lang w:val="da-DK"/>
        </w:rPr>
        <w:t>Trong giai đoạn từ năm 2021 đến tháng 10/2025, Sở Nông nghiệp và Môi trường đã tổ chức thẩm định và phê duyệt cho 491 ĐTM, 262 GPMT và 173 hồ sơ thu phí bảo vệ môi trường đối với nước thải, khí thải. Cụ thể như sau:</w:t>
      </w:r>
    </w:p>
    <w:p w14:paraId="6C3AC15D" w14:textId="77777777" w:rsidR="00085789" w:rsidRDefault="00000000">
      <w:pPr>
        <w:pStyle w:val="-bac4"/>
        <w:spacing w:before="120" w:after="0" w:line="240" w:lineRule="auto"/>
        <w:rPr>
          <w:lang w:val="da-DK"/>
        </w:rPr>
      </w:pPr>
      <w:bookmarkStart w:id="1747" w:name="_Toc54796411"/>
      <w:bookmarkStart w:id="1748" w:name="_Toc54795697"/>
      <w:bookmarkStart w:id="1749" w:name="_Toc55592365"/>
      <w:bookmarkStart w:id="1750" w:name="_Toc54794269"/>
      <w:bookmarkStart w:id="1751" w:name="_Toc56739143"/>
      <w:bookmarkStart w:id="1752" w:name="_Toc56737702"/>
      <w:bookmarkStart w:id="1753" w:name="_Toc56740649"/>
      <w:bookmarkStart w:id="1754" w:name="_Toc56739886"/>
      <w:bookmarkStart w:id="1755" w:name="_Toc56736981"/>
      <w:bookmarkStart w:id="1756" w:name="_Toc205915942"/>
      <w:bookmarkStart w:id="1757" w:name="_Toc213597635"/>
      <w:bookmarkStart w:id="1758" w:name="_Toc213600892"/>
      <w:r>
        <w:rPr>
          <w:lang w:val="da-DK"/>
        </w:rPr>
        <w:t>Bảng 10.1. Tổng hợp kết quả thẩm định các hồ sơ thuộc lĩnh vực bảo vệ môi trường giai đoạn 2021 - 202</w:t>
      </w:r>
      <w:bookmarkEnd w:id="1747"/>
      <w:bookmarkEnd w:id="1748"/>
      <w:bookmarkEnd w:id="1749"/>
      <w:bookmarkEnd w:id="1750"/>
      <w:bookmarkEnd w:id="1751"/>
      <w:bookmarkEnd w:id="1752"/>
      <w:bookmarkEnd w:id="1753"/>
      <w:bookmarkEnd w:id="1754"/>
      <w:bookmarkEnd w:id="1755"/>
      <w:r>
        <w:rPr>
          <w:lang w:val="da-DK"/>
        </w:rPr>
        <w:t>5</w:t>
      </w:r>
      <w:bookmarkEnd w:id="1756"/>
      <w:bookmarkEnd w:id="1757"/>
      <w:bookmarkEnd w:id="1758"/>
    </w:p>
    <w:p w14:paraId="25190EB6" w14:textId="77777777" w:rsidR="00085789" w:rsidRDefault="00085789">
      <w:pPr>
        <w:pStyle w:val="-bac4"/>
        <w:spacing w:before="120" w:after="0" w:line="240" w:lineRule="auto"/>
        <w:rPr>
          <w:sz w:val="10"/>
          <w:szCs w:val="8"/>
          <w:lang w:val="da-DK"/>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67"/>
        <w:gridCol w:w="2830"/>
        <w:gridCol w:w="850"/>
        <w:gridCol w:w="851"/>
        <w:gridCol w:w="709"/>
        <w:gridCol w:w="860"/>
        <w:gridCol w:w="1124"/>
        <w:gridCol w:w="1276"/>
      </w:tblGrid>
      <w:tr w:rsidR="00085789" w14:paraId="7E8E51A5" w14:textId="77777777">
        <w:trPr>
          <w:trHeight w:val="647"/>
          <w:jc w:val="center"/>
        </w:trPr>
        <w:tc>
          <w:tcPr>
            <w:tcW w:w="567" w:type="dxa"/>
            <w:vAlign w:val="center"/>
          </w:tcPr>
          <w:p w14:paraId="4D5634C2" w14:textId="77777777" w:rsidR="00085789" w:rsidRDefault="00000000">
            <w:pPr>
              <w:spacing w:line="240" w:lineRule="auto"/>
              <w:jc w:val="center"/>
              <w:rPr>
                <w:b/>
                <w:sz w:val="26"/>
                <w:szCs w:val="26"/>
              </w:rPr>
            </w:pPr>
            <w:r>
              <w:rPr>
                <w:b/>
                <w:sz w:val="26"/>
                <w:szCs w:val="26"/>
              </w:rPr>
              <w:t>STT</w:t>
            </w:r>
          </w:p>
        </w:tc>
        <w:tc>
          <w:tcPr>
            <w:tcW w:w="2830" w:type="dxa"/>
            <w:vAlign w:val="center"/>
          </w:tcPr>
          <w:p w14:paraId="7F32CBBE" w14:textId="77777777" w:rsidR="00085789" w:rsidRDefault="00000000">
            <w:pPr>
              <w:spacing w:line="240" w:lineRule="auto"/>
              <w:jc w:val="center"/>
              <w:rPr>
                <w:b/>
                <w:sz w:val="26"/>
                <w:szCs w:val="26"/>
              </w:rPr>
            </w:pPr>
            <w:r>
              <w:rPr>
                <w:b/>
                <w:sz w:val="26"/>
                <w:szCs w:val="26"/>
              </w:rPr>
              <w:t>Loại hình</w:t>
            </w:r>
          </w:p>
        </w:tc>
        <w:tc>
          <w:tcPr>
            <w:tcW w:w="850" w:type="dxa"/>
            <w:vAlign w:val="center"/>
          </w:tcPr>
          <w:p w14:paraId="5ABF2CFC" w14:textId="77777777" w:rsidR="00085789" w:rsidRDefault="00000000">
            <w:pPr>
              <w:spacing w:line="240" w:lineRule="auto"/>
              <w:ind w:left="4"/>
              <w:jc w:val="center"/>
              <w:rPr>
                <w:b/>
                <w:sz w:val="26"/>
                <w:szCs w:val="26"/>
              </w:rPr>
            </w:pPr>
            <w:r>
              <w:rPr>
                <w:b/>
                <w:sz w:val="26"/>
                <w:szCs w:val="26"/>
              </w:rPr>
              <w:t>2021</w:t>
            </w:r>
          </w:p>
        </w:tc>
        <w:tc>
          <w:tcPr>
            <w:tcW w:w="851" w:type="dxa"/>
            <w:vAlign w:val="center"/>
          </w:tcPr>
          <w:p w14:paraId="732DAE37" w14:textId="77777777" w:rsidR="00085789" w:rsidRDefault="00000000">
            <w:pPr>
              <w:spacing w:line="240" w:lineRule="auto"/>
              <w:ind w:left="4"/>
              <w:jc w:val="center"/>
              <w:rPr>
                <w:b/>
                <w:sz w:val="26"/>
                <w:szCs w:val="26"/>
              </w:rPr>
            </w:pPr>
            <w:r>
              <w:rPr>
                <w:b/>
                <w:sz w:val="26"/>
                <w:szCs w:val="26"/>
              </w:rPr>
              <w:t>2022</w:t>
            </w:r>
          </w:p>
        </w:tc>
        <w:tc>
          <w:tcPr>
            <w:tcW w:w="709" w:type="dxa"/>
            <w:vAlign w:val="center"/>
          </w:tcPr>
          <w:p w14:paraId="3A8158AF" w14:textId="77777777" w:rsidR="00085789" w:rsidRDefault="00000000">
            <w:pPr>
              <w:spacing w:line="240" w:lineRule="auto"/>
              <w:ind w:left="4"/>
              <w:jc w:val="center"/>
              <w:rPr>
                <w:b/>
                <w:sz w:val="26"/>
                <w:szCs w:val="26"/>
              </w:rPr>
            </w:pPr>
            <w:r>
              <w:rPr>
                <w:b/>
                <w:sz w:val="26"/>
                <w:szCs w:val="26"/>
              </w:rPr>
              <w:t>2023</w:t>
            </w:r>
          </w:p>
        </w:tc>
        <w:tc>
          <w:tcPr>
            <w:tcW w:w="860" w:type="dxa"/>
            <w:vAlign w:val="center"/>
          </w:tcPr>
          <w:p w14:paraId="0F341036" w14:textId="77777777" w:rsidR="00085789" w:rsidRDefault="00000000">
            <w:pPr>
              <w:spacing w:line="240" w:lineRule="auto"/>
              <w:ind w:left="4"/>
              <w:jc w:val="center"/>
              <w:rPr>
                <w:b/>
                <w:sz w:val="26"/>
                <w:szCs w:val="26"/>
              </w:rPr>
            </w:pPr>
            <w:r>
              <w:rPr>
                <w:b/>
                <w:sz w:val="26"/>
                <w:szCs w:val="26"/>
              </w:rPr>
              <w:t>2024</w:t>
            </w:r>
          </w:p>
        </w:tc>
        <w:tc>
          <w:tcPr>
            <w:tcW w:w="1124" w:type="dxa"/>
            <w:vAlign w:val="center"/>
          </w:tcPr>
          <w:p w14:paraId="5B5EAAE7" w14:textId="77777777" w:rsidR="00085789" w:rsidRDefault="00000000">
            <w:pPr>
              <w:spacing w:line="240" w:lineRule="auto"/>
              <w:ind w:left="4"/>
              <w:jc w:val="center"/>
              <w:rPr>
                <w:b/>
                <w:sz w:val="26"/>
                <w:szCs w:val="26"/>
              </w:rPr>
            </w:pPr>
            <w:r>
              <w:rPr>
                <w:b/>
                <w:sz w:val="26"/>
                <w:szCs w:val="26"/>
              </w:rPr>
              <w:t>Tháng 10/2025</w:t>
            </w:r>
          </w:p>
        </w:tc>
        <w:tc>
          <w:tcPr>
            <w:tcW w:w="1276" w:type="dxa"/>
            <w:vAlign w:val="center"/>
          </w:tcPr>
          <w:p w14:paraId="59CF3E1A" w14:textId="77777777" w:rsidR="00085789" w:rsidRDefault="00000000">
            <w:pPr>
              <w:spacing w:line="240" w:lineRule="auto"/>
              <w:ind w:left="4"/>
              <w:jc w:val="center"/>
              <w:rPr>
                <w:b/>
                <w:sz w:val="26"/>
                <w:szCs w:val="26"/>
              </w:rPr>
            </w:pPr>
            <w:r>
              <w:rPr>
                <w:b/>
                <w:sz w:val="26"/>
                <w:szCs w:val="26"/>
              </w:rPr>
              <w:t>Tổng</w:t>
            </w:r>
          </w:p>
        </w:tc>
      </w:tr>
      <w:tr w:rsidR="00085789" w14:paraId="1D239581" w14:textId="77777777">
        <w:trPr>
          <w:trHeight w:val="339"/>
          <w:jc w:val="center"/>
        </w:trPr>
        <w:tc>
          <w:tcPr>
            <w:tcW w:w="567" w:type="dxa"/>
            <w:vAlign w:val="center"/>
          </w:tcPr>
          <w:p w14:paraId="34DF1DDB" w14:textId="77777777" w:rsidR="00085789" w:rsidRDefault="00000000">
            <w:pPr>
              <w:spacing w:line="240" w:lineRule="auto"/>
              <w:jc w:val="center"/>
              <w:rPr>
                <w:w w:val="91"/>
                <w:sz w:val="26"/>
                <w:szCs w:val="26"/>
              </w:rPr>
            </w:pPr>
            <w:r>
              <w:rPr>
                <w:w w:val="91"/>
                <w:sz w:val="26"/>
                <w:szCs w:val="26"/>
              </w:rPr>
              <w:t>1</w:t>
            </w:r>
          </w:p>
        </w:tc>
        <w:tc>
          <w:tcPr>
            <w:tcW w:w="2830" w:type="dxa"/>
            <w:vAlign w:val="center"/>
          </w:tcPr>
          <w:p w14:paraId="6E891839" w14:textId="77777777" w:rsidR="00085789" w:rsidRDefault="00000000">
            <w:pPr>
              <w:spacing w:line="240" w:lineRule="auto"/>
              <w:ind w:left="100"/>
              <w:jc w:val="center"/>
              <w:rPr>
                <w:sz w:val="26"/>
                <w:szCs w:val="26"/>
              </w:rPr>
            </w:pPr>
            <w:r>
              <w:rPr>
                <w:sz w:val="26"/>
                <w:szCs w:val="26"/>
              </w:rPr>
              <w:t>Báo cáo đánh giá tác động môi trường</w:t>
            </w:r>
          </w:p>
        </w:tc>
        <w:tc>
          <w:tcPr>
            <w:tcW w:w="850" w:type="dxa"/>
            <w:vAlign w:val="center"/>
          </w:tcPr>
          <w:p w14:paraId="1C732F5B" w14:textId="77777777" w:rsidR="00085789" w:rsidRDefault="00000000">
            <w:pPr>
              <w:spacing w:line="240" w:lineRule="auto"/>
              <w:jc w:val="center"/>
              <w:rPr>
                <w:w w:val="91"/>
                <w:sz w:val="26"/>
                <w:szCs w:val="26"/>
              </w:rPr>
            </w:pPr>
            <w:r>
              <w:rPr>
                <w:w w:val="91"/>
                <w:sz w:val="26"/>
                <w:szCs w:val="26"/>
              </w:rPr>
              <w:t>71</w:t>
            </w:r>
          </w:p>
        </w:tc>
        <w:tc>
          <w:tcPr>
            <w:tcW w:w="851" w:type="dxa"/>
            <w:vAlign w:val="center"/>
          </w:tcPr>
          <w:p w14:paraId="09EC7839" w14:textId="77777777" w:rsidR="00085789" w:rsidRDefault="00000000">
            <w:pPr>
              <w:spacing w:line="240" w:lineRule="auto"/>
              <w:jc w:val="center"/>
              <w:rPr>
                <w:w w:val="91"/>
                <w:sz w:val="26"/>
                <w:szCs w:val="26"/>
              </w:rPr>
            </w:pPr>
            <w:r>
              <w:rPr>
                <w:w w:val="91"/>
                <w:sz w:val="26"/>
                <w:szCs w:val="26"/>
              </w:rPr>
              <w:t>74</w:t>
            </w:r>
          </w:p>
        </w:tc>
        <w:tc>
          <w:tcPr>
            <w:tcW w:w="709" w:type="dxa"/>
            <w:vAlign w:val="center"/>
          </w:tcPr>
          <w:p w14:paraId="4FCCE518" w14:textId="77777777" w:rsidR="00085789" w:rsidRDefault="00000000">
            <w:pPr>
              <w:spacing w:line="240" w:lineRule="auto"/>
              <w:jc w:val="center"/>
              <w:rPr>
                <w:w w:val="91"/>
                <w:sz w:val="26"/>
                <w:szCs w:val="26"/>
              </w:rPr>
            </w:pPr>
            <w:r>
              <w:rPr>
                <w:w w:val="91"/>
                <w:sz w:val="26"/>
                <w:szCs w:val="26"/>
              </w:rPr>
              <w:t>190</w:t>
            </w:r>
          </w:p>
        </w:tc>
        <w:tc>
          <w:tcPr>
            <w:tcW w:w="860" w:type="dxa"/>
            <w:vAlign w:val="center"/>
          </w:tcPr>
          <w:p w14:paraId="027DA104" w14:textId="77777777" w:rsidR="00085789" w:rsidRDefault="00000000">
            <w:pPr>
              <w:spacing w:line="240" w:lineRule="auto"/>
              <w:jc w:val="center"/>
              <w:rPr>
                <w:w w:val="91"/>
                <w:sz w:val="26"/>
                <w:szCs w:val="26"/>
              </w:rPr>
            </w:pPr>
            <w:r>
              <w:rPr>
                <w:w w:val="91"/>
                <w:sz w:val="26"/>
                <w:szCs w:val="26"/>
              </w:rPr>
              <w:t>139</w:t>
            </w:r>
          </w:p>
        </w:tc>
        <w:tc>
          <w:tcPr>
            <w:tcW w:w="1124" w:type="dxa"/>
            <w:vAlign w:val="center"/>
          </w:tcPr>
          <w:p w14:paraId="2896BB05" w14:textId="77777777" w:rsidR="00085789" w:rsidRDefault="00000000">
            <w:pPr>
              <w:spacing w:line="240" w:lineRule="auto"/>
              <w:jc w:val="center"/>
              <w:rPr>
                <w:w w:val="91"/>
                <w:sz w:val="26"/>
                <w:szCs w:val="26"/>
              </w:rPr>
            </w:pPr>
            <w:r>
              <w:rPr>
                <w:w w:val="91"/>
                <w:sz w:val="26"/>
                <w:szCs w:val="26"/>
              </w:rPr>
              <w:t>17</w:t>
            </w:r>
          </w:p>
        </w:tc>
        <w:tc>
          <w:tcPr>
            <w:tcW w:w="1276" w:type="dxa"/>
            <w:vAlign w:val="center"/>
          </w:tcPr>
          <w:p w14:paraId="39917ADF" w14:textId="77777777" w:rsidR="00085789" w:rsidRDefault="00000000">
            <w:pPr>
              <w:spacing w:line="240" w:lineRule="auto"/>
              <w:jc w:val="center"/>
              <w:rPr>
                <w:w w:val="91"/>
                <w:sz w:val="26"/>
                <w:szCs w:val="26"/>
              </w:rPr>
            </w:pPr>
            <w:r>
              <w:rPr>
                <w:w w:val="91"/>
                <w:sz w:val="26"/>
                <w:szCs w:val="26"/>
              </w:rPr>
              <w:t>491</w:t>
            </w:r>
          </w:p>
        </w:tc>
      </w:tr>
      <w:tr w:rsidR="00085789" w14:paraId="2BDB1CEC" w14:textId="77777777">
        <w:trPr>
          <w:trHeight w:val="715"/>
          <w:jc w:val="center"/>
        </w:trPr>
        <w:tc>
          <w:tcPr>
            <w:tcW w:w="567" w:type="dxa"/>
            <w:vAlign w:val="center"/>
          </w:tcPr>
          <w:p w14:paraId="792B3D31" w14:textId="77777777" w:rsidR="00085789" w:rsidRDefault="00000000">
            <w:pPr>
              <w:spacing w:line="240" w:lineRule="auto"/>
              <w:jc w:val="center"/>
              <w:rPr>
                <w:w w:val="91"/>
                <w:sz w:val="26"/>
                <w:szCs w:val="26"/>
              </w:rPr>
            </w:pPr>
            <w:r>
              <w:rPr>
                <w:w w:val="91"/>
                <w:sz w:val="26"/>
                <w:szCs w:val="26"/>
              </w:rPr>
              <w:t>2</w:t>
            </w:r>
          </w:p>
        </w:tc>
        <w:tc>
          <w:tcPr>
            <w:tcW w:w="2830" w:type="dxa"/>
            <w:vAlign w:val="center"/>
          </w:tcPr>
          <w:p w14:paraId="0AD77E02" w14:textId="77777777" w:rsidR="00085789" w:rsidRDefault="00000000">
            <w:pPr>
              <w:spacing w:line="240" w:lineRule="auto"/>
              <w:ind w:left="100"/>
              <w:jc w:val="center"/>
              <w:rPr>
                <w:sz w:val="26"/>
                <w:szCs w:val="26"/>
              </w:rPr>
            </w:pPr>
            <w:r>
              <w:rPr>
                <w:sz w:val="26"/>
                <w:szCs w:val="26"/>
              </w:rPr>
              <w:t>Hồ sơ thu phí BVMT đối với nước thải, khí thải</w:t>
            </w:r>
          </w:p>
        </w:tc>
        <w:tc>
          <w:tcPr>
            <w:tcW w:w="850" w:type="dxa"/>
            <w:vAlign w:val="center"/>
          </w:tcPr>
          <w:p w14:paraId="0809DA49" w14:textId="77777777" w:rsidR="00085789" w:rsidRDefault="00000000">
            <w:pPr>
              <w:spacing w:line="240" w:lineRule="auto"/>
              <w:jc w:val="center"/>
              <w:rPr>
                <w:w w:val="91"/>
                <w:sz w:val="26"/>
                <w:szCs w:val="26"/>
              </w:rPr>
            </w:pPr>
            <w:r>
              <w:rPr>
                <w:w w:val="91"/>
                <w:sz w:val="26"/>
                <w:szCs w:val="26"/>
              </w:rPr>
              <w:t>34</w:t>
            </w:r>
          </w:p>
        </w:tc>
        <w:tc>
          <w:tcPr>
            <w:tcW w:w="851" w:type="dxa"/>
            <w:vAlign w:val="center"/>
          </w:tcPr>
          <w:p w14:paraId="7D07E7E6" w14:textId="77777777" w:rsidR="00085789" w:rsidRDefault="00000000">
            <w:pPr>
              <w:spacing w:line="240" w:lineRule="auto"/>
              <w:jc w:val="center"/>
              <w:rPr>
                <w:w w:val="91"/>
                <w:sz w:val="26"/>
                <w:szCs w:val="26"/>
              </w:rPr>
            </w:pPr>
            <w:r>
              <w:rPr>
                <w:w w:val="91"/>
                <w:sz w:val="26"/>
                <w:szCs w:val="26"/>
              </w:rPr>
              <w:t>32</w:t>
            </w:r>
          </w:p>
        </w:tc>
        <w:tc>
          <w:tcPr>
            <w:tcW w:w="709" w:type="dxa"/>
            <w:vAlign w:val="center"/>
          </w:tcPr>
          <w:p w14:paraId="33586A67" w14:textId="77777777" w:rsidR="00085789" w:rsidRDefault="00000000">
            <w:pPr>
              <w:spacing w:line="240" w:lineRule="auto"/>
              <w:jc w:val="center"/>
              <w:rPr>
                <w:w w:val="91"/>
                <w:sz w:val="26"/>
                <w:szCs w:val="26"/>
              </w:rPr>
            </w:pPr>
            <w:r>
              <w:rPr>
                <w:w w:val="91"/>
                <w:sz w:val="26"/>
                <w:szCs w:val="26"/>
              </w:rPr>
              <w:t>20</w:t>
            </w:r>
          </w:p>
        </w:tc>
        <w:tc>
          <w:tcPr>
            <w:tcW w:w="860" w:type="dxa"/>
            <w:vAlign w:val="center"/>
          </w:tcPr>
          <w:p w14:paraId="61F6B108" w14:textId="77777777" w:rsidR="00085789" w:rsidRDefault="00000000">
            <w:pPr>
              <w:spacing w:line="240" w:lineRule="auto"/>
              <w:jc w:val="center"/>
              <w:rPr>
                <w:w w:val="91"/>
                <w:sz w:val="26"/>
                <w:szCs w:val="26"/>
              </w:rPr>
            </w:pPr>
            <w:r>
              <w:rPr>
                <w:w w:val="91"/>
                <w:sz w:val="26"/>
                <w:szCs w:val="26"/>
              </w:rPr>
              <w:t>32</w:t>
            </w:r>
          </w:p>
        </w:tc>
        <w:tc>
          <w:tcPr>
            <w:tcW w:w="1124" w:type="dxa"/>
            <w:vAlign w:val="center"/>
          </w:tcPr>
          <w:p w14:paraId="4FF261E9" w14:textId="77777777" w:rsidR="00085789" w:rsidRDefault="00000000">
            <w:pPr>
              <w:spacing w:line="240" w:lineRule="auto"/>
              <w:jc w:val="center"/>
              <w:rPr>
                <w:w w:val="91"/>
                <w:sz w:val="26"/>
                <w:szCs w:val="26"/>
              </w:rPr>
            </w:pPr>
            <w:r>
              <w:rPr>
                <w:w w:val="91"/>
                <w:sz w:val="26"/>
                <w:szCs w:val="26"/>
              </w:rPr>
              <w:t>55</w:t>
            </w:r>
          </w:p>
        </w:tc>
        <w:tc>
          <w:tcPr>
            <w:tcW w:w="1276" w:type="dxa"/>
            <w:vAlign w:val="center"/>
          </w:tcPr>
          <w:p w14:paraId="20A317F7" w14:textId="77777777" w:rsidR="00085789" w:rsidRDefault="00000000">
            <w:pPr>
              <w:spacing w:line="240" w:lineRule="auto"/>
              <w:jc w:val="center"/>
              <w:rPr>
                <w:w w:val="91"/>
                <w:sz w:val="26"/>
                <w:szCs w:val="26"/>
              </w:rPr>
            </w:pPr>
            <w:r>
              <w:rPr>
                <w:w w:val="91"/>
                <w:sz w:val="26"/>
                <w:szCs w:val="26"/>
              </w:rPr>
              <w:t>173</w:t>
            </w:r>
          </w:p>
        </w:tc>
      </w:tr>
      <w:tr w:rsidR="00085789" w14:paraId="6FB3E889" w14:textId="77777777">
        <w:trPr>
          <w:trHeight w:val="539"/>
          <w:jc w:val="center"/>
        </w:trPr>
        <w:tc>
          <w:tcPr>
            <w:tcW w:w="567" w:type="dxa"/>
            <w:vAlign w:val="center"/>
          </w:tcPr>
          <w:p w14:paraId="0FF15A6F" w14:textId="77777777" w:rsidR="00085789" w:rsidRDefault="00000000">
            <w:pPr>
              <w:spacing w:line="240" w:lineRule="auto"/>
              <w:jc w:val="center"/>
              <w:rPr>
                <w:w w:val="91"/>
                <w:sz w:val="26"/>
                <w:szCs w:val="26"/>
              </w:rPr>
            </w:pPr>
            <w:r>
              <w:rPr>
                <w:w w:val="91"/>
                <w:sz w:val="26"/>
                <w:szCs w:val="26"/>
              </w:rPr>
              <w:t>3</w:t>
            </w:r>
          </w:p>
        </w:tc>
        <w:tc>
          <w:tcPr>
            <w:tcW w:w="2830" w:type="dxa"/>
            <w:vAlign w:val="center"/>
          </w:tcPr>
          <w:p w14:paraId="39271FDA" w14:textId="77777777" w:rsidR="00085789" w:rsidRDefault="00000000">
            <w:pPr>
              <w:spacing w:line="240" w:lineRule="auto"/>
              <w:ind w:left="100"/>
              <w:jc w:val="center"/>
              <w:rPr>
                <w:sz w:val="26"/>
                <w:szCs w:val="26"/>
              </w:rPr>
            </w:pPr>
            <w:r>
              <w:rPr>
                <w:sz w:val="26"/>
                <w:szCs w:val="26"/>
              </w:rPr>
              <w:t>Giấy phép môi trường</w:t>
            </w:r>
          </w:p>
        </w:tc>
        <w:tc>
          <w:tcPr>
            <w:tcW w:w="850" w:type="dxa"/>
            <w:vAlign w:val="center"/>
          </w:tcPr>
          <w:p w14:paraId="2CFDCBA2" w14:textId="77777777" w:rsidR="00085789" w:rsidRDefault="00000000">
            <w:pPr>
              <w:spacing w:line="240" w:lineRule="auto"/>
              <w:jc w:val="center"/>
              <w:rPr>
                <w:w w:val="99"/>
                <w:sz w:val="26"/>
                <w:szCs w:val="26"/>
              </w:rPr>
            </w:pPr>
            <w:r>
              <w:rPr>
                <w:w w:val="99"/>
                <w:sz w:val="26"/>
                <w:szCs w:val="26"/>
              </w:rPr>
              <w:t>0</w:t>
            </w:r>
          </w:p>
        </w:tc>
        <w:tc>
          <w:tcPr>
            <w:tcW w:w="851" w:type="dxa"/>
            <w:vAlign w:val="center"/>
          </w:tcPr>
          <w:p w14:paraId="1F79CCBC" w14:textId="77777777" w:rsidR="00085789" w:rsidRDefault="00000000">
            <w:pPr>
              <w:spacing w:line="240" w:lineRule="auto"/>
              <w:jc w:val="center"/>
              <w:rPr>
                <w:w w:val="99"/>
                <w:sz w:val="26"/>
                <w:szCs w:val="26"/>
              </w:rPr>
            </w:pPr>
            <w:r>
              <w:rPr>
                <w:w w:val="99"/>
                <w:sz w:val="26"/>
                <w:szCs w:val="26"/>
              </w:rPr>
              <w:t>58</w:t>
            </w:r>
          </w:p>
        </w:tc>
        <w:tc>
          <w:tcPr>
            <w:tcW w:w="709" w:type="dxa"/>
            <w:vAlign w:val="center"/>
          </w:tcPr>
          <w:p w14:paraId="1EB01BB2" w14:textId="77777777" w:rsidR="00085789" w:rsidRDefault="00000000">
            <w:pPr>
              <w:spacing w:line="240" w:lineRule="auto"/>
              <w:jc w:val="center"/>
              <w:rPr>
                <w:w w:val="99"/>
                <w:sz w:val="26"/>
                <w:szCs w:val="26"/>
              </w:rPr>
            </w:pPr>
            <w:r>
              <w:rPr>
                <w:w w:val="99"/>
                <w:sz w:val="26"/>
                <w:szCs w:val="26"/>
              </w:rPr>
              <w:t>55</w:t>
            </w:r>
          </w:p>
        </w:tc>
        <w:tc>
          <w:tcPr>
            <w:tcW w:w="860" w:type="dxa"/>
            <w:vAlign w:val="center"/>
          </w:tcPr>
          <w:p w14:paraId="65233582" w14:textId="77777777" w:rsidR="00085789" w:rsidRDefault="00000000">
            <w:pPr>
              <w:spacing w:line="240" w:lineRule="auto"/>
              <w:jc w:val="center"/>
              <w:rPr>
                <w:w w:val="99"/>
                <w:sz w:val="26"/>
                <w:szCs w:val="26"/>
              </w:rPr>
            </w:pPr>
            <w:r>
              <w:rPr>
                <w:w w:val="99"/>
                <w:sz w:val="26"/>
                <w:szCs w:val="26"/>
              </w:rPr>
              <w:t>92</w:t>
            </w:r>
          </w:p>
        </w:tc>
        <w:tc>
          <w:tcPr>
            <w:tcW w:w="1124" w:type="dxa"/>
            <w:vAlign w:val="center"/>
          </w:tcPr>
          <w:p w14:paraId="12C89EC3" w14:textId="77777777" w:rsidR="00085789" w:rsidRDefault="00000000">
            <w:pPr>
              <w:spacing w:line="240" w:lineRule="auto"/>
              <w:jc w:val="center"/>
              <w:rPr>
                <w:w w:val="99"/>
                <w:sz w:val="26"/>
                <w:szCs w:val="26"/>
              </w:rPr>
            </w:pPr>
            <w:r>
              <w:rPr>
                <w:w w:val="99"/>
                <w:sz w:val="26"/>
                <w:szCs w:val="26"/>
              </w:rPr>
              <w:t>57</w:t>
            </w:r>
          </w:p>
        </w:tc>
        <w:tc>
          <w:tcPr>
            <w:tcW w:w="1276" w:type="dxa"/>
            <w:vAlign w:val="center"/>
          </w:tcPr>
          <w:p w14:paraId="357F4CD9" w14:textId="77777777" w:rsidR="00085789" w:rsidRDefault="00000000">
            <w:pPr>
              <w:spacing w:line="240" w:lineRule="auto"/>
              <w:jc w:val="center"/>
              <w:rPr>
                <w:w w:val="99"/>
                <w:sz w:val="26"/>
                <w:szCs w:val="26"/>
              </w:rPr>
            </w:pPr>
            <w:r>
              <w:rPr>
                <w:w w:val="99"/>
                <w:sz w:val="26"/>
                <w:szCs w:val="26"/>
              </w:rPr>
              <w:t>262</w:t>
            </w:r>
          </w:p>
        </w:tc>
      </w:tr>
    </w:tbl>
    <w:p w14:paraId="63ECC974" w14:textId="77777777" w:rsidR="00085789" w:rsidRDefault="00000000">
      <w:pPr>
        <w:pStyle w:val="bac2"/>
        <w:spacing w:before="120" w:after="0" w:line="240" w:lineRule="auto"/>
        <w:rPr>
          <w:spacing w:val="-12"/>
        </w:rPr>
      </w:pPr>
      <w:bookmarkStart w:id="1759" w:name="_Toc54794984"/>
      <w:bookmarkStart w:id="1760" w:name="_Toc55592366"/>
      <w:bookmarkStart w:id="1761" w:name="_Toc56736982"/>
      <w:bookmarkStart w:id="1762" w:name="_Toc56739887"/>
      <w:bookmarkStart w:id="1763" w:name="_Toc54796412"/>
      <w:bookmarkStart w:id="1764" w:name="_Toc56737703"/>
      <w:bookmarkStart w:id="1765" w:name="_Toc55594927"/>
      <w:bookmarkStart w:id="1766" w:name="_Toc54794270"/>
      <w:bookmarkStart w:id="1767" w:name="_Toc56740650"/>
      <w:bookmarkStart w:id="1768" w:name="_Toc56739144"/>
      <w:bookmarkStart w:id="1769" w:name="_Toc54810701"/>
      <w:bookmarkStart w:id="1770" w:name="_Toc55008044"/>
      <w:bookmarkStart w:id="1771" w:name="_Toc54795698"/>
      <w:bookmarkStart w:id="1772" w:name="_Toc214311316"/>
      <w:r>
        <w:rPr>
          <w:spacing w:val="-12"/>
        </w:rPr>
        <w:t>10.5.2. Thanh tra, kiểm tra v</w:t>
      </w:r>
      <w:r>
        <w:rPr>
          <w:rFonts w:hint="eastAsia"/>
          <w:spacing w:val="-12"/>
        </w:rPr>
        <w:t>à</w:t>
      </w:r>
      <w:r>
        <w:rPr>
          <w:spacing w:val="-12"/>
        </w:rPr>
        <w:t xml:space="preserve"> xử l</w:t>
      </w:r>
      <w:r>
        <w:rPr>
          <w:rFonts w:hint="eastAsia"/>
          <w:spacing w:val="-12"/>
        </w:rPr>
        <w:t>ý</w:t>
      </w:r>
      <w:r>
        <w:rPr>
          <w:spacing w:val="-12"/>
        </w:rPr>
        <w:t xml:space="preserve"> c</w:t>
      </w:r>
      <w:r>
        <w:rPr>
          <w:rFonts w:hint="eastAsia"/>
          <w:spacing w:val="-12"/>
        </w:rPr>
        <w:t>á</w:t>
      </w:r>
      <w:r>
        <w:rPr>
          <w:spacing w:val="-12"/>
        </w:rPr>
        <w:t>c vụ việc vi phạm ph</w:t>
      </w:r>
      <w:r>
        <w:rPr>
          <w:rFonts w:hint="eastAsia"/>
          <w:spacing w:val="-12"/>
        </w:rPr>
        <w:t>á</w:t>
      </w:r>
      <w:r>
        <w:rPr>
          <w:spacing w:val="-12"/>
        </w:rPr>
        <w:t>p luật về bảo vệ m</w:t>
      </w:r>
      <w:r>
        <w:rPr>
          <w:rFonts w:hint="eastAsia"/>
          <w:spacing w:val="-12"/>
        </w:rPr>
        <w:t>ô</w:t>
      </w:r>
      <w:r>
        <w:rPr>
          <w:spacing w:val="-12"/>
        </w:rPr>
        <w:t>i tr</w:t>
      </w:r>
      <w:r>
        <w:rPr>
          <w:rFonts w:hint="eastAsia"/>
          <w:spacing w:val="-12"/>
        </w:rPr>
        <w:t>ư</w:t>
      </w:r>
      <w:r>
        <w:rPr>
          <w:spacing w:val="-12"/>
        </w:rPr>
        <w:t>ờng</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DF94062" w14:textId="77777777" w:rsidR="00085789" w:rsidRDefault="00000000">
      <w:pPr>
        <w:spacing w:before="120" w:line="240" w:lineRule="auto"/>
        <w:jc w:val="both"/>
        <w:rPr>
          <w:sz w:val="26"/>
          <w:szCs w:val="26"/>
        </w:rPr>
      </w:pPr>
      <w:bookmarkStart w:id="1773" w:name="_Toc54810702"/>
      <w:bookmarkStart w:id="1774" w:name="_Toc56739145"/>
      <w:bookmarkStart w:id="1775" w:name="_Toc55592367"/>
      <w:bookmarkStart w:id="1776" w:name="_Toc56737704"/>
      <w:bookmarkStart w:id="1777" w:name="_Toc54795699"/>
      <w:bookmarkStart w:id="1778" w:name="_Toc54794985"/>
      <w:bookmarkStart w:id="1779" w:name="_Toc55008045"/>
      <w:bookmarkStart w:id="1780" w:name="_Toc54796413"/>
      <w:bookmarkStart w:id="1781" w:name="_Toc56739888"/>
      <w:bookmarkStart w:id="1782" w:name="_Toc54794271"/>
      <w:bookmarkStart w:id="1783" w:name="_Toc55594928"/>
      <w:bookmarkStart w:id="1784" w:name="_Toc56736983"/>
      <w:bookmarkStart w:id="1785" w:name="_Toc56740651"/>
      <w:r>
        <w:rPr>
          <w:sz w:val="26"/>
          <w:szCs w:val="26"/>
        </w:rPr>
        <w:tab/>
        <w:t xml:space="preserve">Trong giai đoạn từ 2021 - 2025, Sở Nông nghiệp và Môi trường đã chủ trì phối hợp với các Sở, Ban, ngành có liên quan và địa phương kiểm tra định kỳ công tác BVMT theo Kế hoạch kiểm tra đã được Chủ tịch UBND tỉnh phê duyệt đối với 92 cơ sở; thực hiện kiểm tra đột xuất </w:t>
      </w:r>
      <w:r>
        <w:rPr>
          <w:bCs/>
          <w:spacing w:val="-2"/>
          <w:sz w:val="26"/>
          <w:szCs w:val="26"/>
          <w:lang w:val="hsb-DE"/>
        </w:rPr>
        <w:t>02 cuộc đối với 09 cơ sở</w:t>
      </w:r>
      <w:r>
        <w:rPr>
          <w:sz w:val="26"/>
          <w:szCs w:val="26"/>
        </w:rPr>
        <w:t xml:space="preserve">. Kết quả cho thấy các cơ sở đã cơ bản chấp hành các quy định của pháp luật về BVMT: lập báo cáo ĐTM/Đề án BVMT/Kế hoạch BVMT/Giấy phép môi trường; xây dựng hệ thống xử lý nước thải/khí thải; ký hợp đồng với đơn vị có chức năng vận chuyển và xử lý CTCNTT/CTNH,…. Tuy nhiên, vẫn còn một số đơn vị vi phạm quy định về BVMT như: Thực hiện chưa đúng một trong các nội dung trong báo cáo ĐTM/đề án BVMT/Kế hoạch BVMT đã được phê duyệt; thải chất thải vượt quy chuẩn môi trường theo quy định,…. Qua kiểm tra, đã phát hiện, lập biên bản vi phạm hành chính về lĩnh vực bảo vệ môi trường của các cơ sở và chuyển hồ sơ đến cấp có thẩm quyền xử phạt đối với 48 cơ sở với tổng số tiền 6,03 tỷ đồng.  Ngoài ra, trong quá trình thực hiện nhiệm vụ phòng, chống tội phạm về môi trường, Phòng Cảnh sát kinh tế đã phát hiện và xử phạt vi phạm hành chính về lĩnh vực bảo vệ môi trường đối với một số tổ chức, </w:t>
      </w:r>
      <w:r>
        <w:rPr>
          <w:sz w:val="26"/>
          <w:szCs w:val="26"/>
        </w:rPr>
        <w:lastRenderedPageBreak/>
        <w:t>cá nhân trên địa bàn; Ban quản lý Khu kinh tế tỉnh kiểm tra, tham mưu xử lý vi phạm của các cơ sở trong khu công nghiệp; Các địa phương kiểm tra định kỳ, đột xuất đối với các cơ sở trên địa bàn quản lý.</w:t>
      </w:r>
    </w:p>
    <w:p w14:paraId="2E27AFE4" w14:textId="77777777" w:rsidR="00085789" w:rsidRDefault="00000000">
      <w:pPr>
        <w:pStyle w:val="bac2"/>
        <w:spacing w:before="120" w:after="0" w:line="240" w:lineRule="auto"/>
      </w:pPr>
      <w:bookmarkStart w:id="1786" w:name="_Toc55008046"/>
      <w:bookmarkStart w:id="1787" w:name="_Toc56739889"/>
      <w:bookmarkStart w:id="1788" w:name="_Toc54794272"/>
      <w:bookmarkStart w:id="1789" w:name="_Toc55592368"/>
      <w:bookmarkStart w:id="1790" w:name="_Toc56739146"/>
      <w:bookmarkStart w:id="1791" w:name="_Toc56740652"/>
      <w:bookmarkStart w:id="1792" w:name="_Toc56736984"/>
      <w:bookmarkStart w:id="1793" w:name="_Toc54794986"/>
      <w:bookmarkStart w:id="1794" w:name="_Toc55594929"/>
      <w:bookmarkStart w:id="1795" w:name="_Toc56737705"/>
      <w:bookmarkStart w:id="1796" w:name="_Toc54796414"/>
      <w:bookmarkStart w:id="1797" w:name="_Toc54810703"/>
      <w:bookmarkStart w:id="1798" w:name="_Toc54795700"/>
      <w:bookmarkStart w:id="1799" w:name="_Toc214311317"/>
      <w:bookmarkEnd w:id="1773"/>
      <w:bookmarkEnd w:id="1774"/>
      <w:bookmarkEnd w:id="1775"/>
      <w:bookmarkEnd w:id="1776"/>
      <w:bookmarkEnd w:id="1777"/>
      <w:bookmarkEnd w:id="1778"/>
      <w:bookmarkEnd w:id="1779"/>
      <w:bookmarkEnd w:id="1780"/>
      <w:bookmarkEnd w:id="1781"/>
      <w:bookmarkEnd w:id="1782"/>
      <w:bookmarkEnd w:id="1783"/>
      <w:bookmarkEnd w:id="1784"/>
      <w:bookmarkEnd w:id="1785"/>
      <w:r>
        <w:t>10.5.3.</w:t>
      </w:r>
      <w:bookmarkEnd w:id="1746"/>
      <w:r>
        <w:t xml:space="preserve"> </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r>
        <w:t>Quan trắc và thông tin môi trường</w:t>
      </w:r>
      <w:bookmarkEnd w:id="1799"/>
      <w:r>
        <w:t xml:space="preserve"> </w:t>
      </w:r>
    </w:p>
    <w:p w14:paraId="439391D3" w14:textId="77777777" w:rsidR="00085789" w:rsidRDefault="00000000">
      <w:pPr>
        <w:spacing w:before="120" w:line="240" w:lineRule="auto"/>
        <w:ind w:firstLine="709"/>
        <w:jc w:val="both"/>
        <w:rPr>
          <w:sz w:val="26"/>
          <w:szCs w:val="26"/>
        </w:rPr>
      </w:pPr>
      <w:r>
        <w:rPr>
          <w:sz w:val="26"/>
          <w:szCs w:val="26"/>
        </w:rPr>
        <w:t>* Về Quan trắc môi trường:</w:t>
      </w:r>
    </w:p>
    <w:p w14:paraId="0F4E16E2" w14:textId="77777777" w:rsidR="00085789" w:rsidRDefault="00000000">
      <w:pPr>
        <w:spacing w:before="120" w:line="240" w:lineRule="auto"/>
        <w:ind w:firstLine="709"/>
        <w:jc w:val="both"/>
        <w:rPr>
          <w:sz w:val="26"/>
          <w:szCs w:val="26"/>
        </w:rPr>
      </w:pPr>
      <w:r>
        <w:rPr>
          <w:sz w:val="26"/>
          <w:szCs w:val="26"/>
        </w:rPr>
        <w:t xml:space="preserve">Hằng năm, UBND tỉnh đã chỉ đạo Sở Nông nghiệp và Môi trường tiến hành quan trắc môi trường mạng lưới toàn tỉnh </w:t>
      </w:r>
      <w:r>
        <w:rPr>
          <w:sz w:val="26"/>
          <w:szCs w:val="26"/>
          <w:lang w:val="pt-BR"/>
        </w:rPr>
        <w:t xml:space="preserve">theo </w:t>
      </w:r>
      <w:r>
        <w:rPr>
          <w:sz w:val="26"/>
          <w:szCs w:val="26"/>
        </w:rPr>
        <w:t xml:space="preserve">Quyết định số </w:t>
      </w:r>
      <w:r>
        <w:rPr>
          <w:bCs/>
          <w:iCs/>
          <w:sz w:val="26"/>
          <w:szCs w:val="26"/>
        </w:rPr>
        <w:t>3736/QĐ-UBND ngày 17/11/2021</w:t>
      </w:r>
      <w:r>
        <w:rPr>
          <w:sz w:val="26"/>
          <w:szCs w:val="26"/>
        </w:rPr>
        <w:t>. Kết quả quan trắc môi trường đã cung cấp diễn biến các thành phần môi trường phục vụ công tác quản lý về môi trường trên địa bàn tỉnh.</w:t>
      </w:r>
    </w:p>
    <w:p w14:paraId="41D09DAA" w14:textId="77777777" w:rsidR="00085789" w:rsidRDefault="00000000">
      <w:pPr>
        <w:keepNext/>
        <w:spacing w:before="120" w:line="240" w:lineRule="auto"/>
        <w:ind w:firstLine="720"/>
        <w:jc w:val="both"/>
        <w:outlineLvl w:val="3"/>
        <w:rPr>
          <w:i/>
          <w:sz w:val="26"/>
          <w:szCs w:val="26"/>
        </w:rPr>
      </w:pPr>
      <w:r>
        <w:rPr>
          <w:i/>
          <w:sz w:val="26"/>
          <w:szCs w:val="26"/>
        </w:rPr>
        <w:t>* Về quan trắc tự động, liên tục</w:t>
      </w:r>
    </w:p>
    <w:p w14:paraId="7B3D5A1F" w14:textId="2385F65C" w:rsidR="00085789" w:rsidRDefault="00000000">
      <w:pPr>
        <w:keepNext/>
        <w:spacing w:before="120" w:line="240" w:lineRule="auto"/>
        <w:ind w:firstLine="709"/>
        <w:jc w:val="both"/>
        <w:outlineLvl w:val="2"/>
        <w:rPr>
          <w:sz w:val="26"/>
          <w:szCs w:val="26"/>
        </w:rPr>
      </w:pPr>
      <w:bookmarkStart w:id="1800" w:name="_Toc54795213"/>
      <w:bookmarkStart w:id="1801" w:name="_Toc55595156"/>
      <w:bookmarkStart w:id="1802" w:name="_Toc55008273"/>
      <w:bookmarkStart w:id="1803" w:name="_Toc54794499"/>
      <w:bookmarkStart w:id="1804" w:name="_Toc56737211"/>
      <w:bookmarkStart w:id="1805" w:name="_Toc54796641"/>
      <w:bookmarkStart w:id="1806" w:name="_Toc56737932"/>
      <w:bookmarkStart w:id="1807" w:name="_Toc55592595"/>
      <w:bookmarkStart w:id="1808" w:name="_Toc56740116"/>
      <w:bookmarkStart w:id="1809" w:name="_Toc54810930"/>
      <w:bookmarkStart w:id="1810" w:name="_Toc54795927"/>
      <w:bookmarkStart w:id="1811" w:name="_Toc56740879"/>
      <w:bookmarkStart w:id="1812" w:name="_Toc56739373"/>
      <w:r>
        <w:rPr>
          <w:bCs/>
          <w:spacing w:val="12"/>
          <w:sz w:val="26"/>
          <w:szCs w:val="26"/>
        </w:rPr>
        <w:t xml:space="preserve">Đến </w:t>
      </w:r>
      <w:r>
        <w:rPr>
          <w:sz w:val="26"/>
          <w:szCs w:val="26"/>
        </w:rPr>
        <w:t>nay đã có 11 đơn vị đã hoàn thành lắp đặt hệ thống quan trắc tự động, liên tục với 48 trạm, trong đó có: 44/48 trạm đã truyền dữ liệu quan trắc về Sở Nông nghiệp và Môi trường và có văn bản xác nhận việc hoàn thành lắp đặt hệ thống quan trắc tự động; 04/48 trạm đang hoàn thiện hồ sơ xác nhận việc hoàn thành lắp đặt hệ thống quan trắc tự động, liên tục.</w:t>
      </w:r>
    </w:p>
    <w:p w14:paraId="7BB74F85" w14:textId="38304DA6" w:rsidR="00085789" w:rsidRDefault="00000000">
      <w:pPr>
        <w:spacing w:before="120" w:line="240" w:lineRule="auto"/>
        <w:ind w:firstLine="709"/>
        <w:jc w:val="both"/>
        <w:rPr>
          <w:sz w:val="26"/>
          <w:szCs w:val="26"/>
          <w:lang w:val="hsb-DE"/>
        </w:rPr>
      </w:pPr>
      <w:r>
        <w:rPr>
          <w:sz w:val="26"/>
          <w:szCs w:val="26"/>
        </w:rPr>
        <w:t>Ngoài ra, thực hiện Quyết định số 1307/QĐ-TTg ngày 03/9/2017 của Thủ tướng Chính phủ về việc phê duyệt chủ trương đầu tư xây dựng hệ thống quan trắc và cảnh báo môi trường biển 04 tỉnh miền Trung, theo đó hợp phần 1 do tỉnh Hà Tĩnh làm chủ đầu tư xây dựng 01 trạm quan trắc tự động môi trường nước biển và 01 trạm quan trắc môi trường không khí xung quanh đặt tại khu kinh tế Vũng Áng (cạnh bờ rào FHS), hiện nay đã xây dựng hoàn thành và truyền dữ liệu về Sở Nông nghiệp và Môi trường.</w:t>
      </w:r>
    </w:p>
    <w:p w14:paraId="42728FB0" w14:textId="77777777" w:rsidR="00085789" w:rsidRDefault="00000000">
      <w:pPr>
        <w:keepNext/>
        <w:spacing w:before="80" w:line="240" w:lineRule="auto"/>
        <w:ind w:firstLine="709"/>
        <w:jc w:val="both"/>
        <w:outlineLvl w:val="2"/>
        <w:rPr>
          <w:b/>
          <w:bCs/>
          <w:sz w:val="26"/>
          <w:szCs w:val="26"/>
          <w:lang w:val="hsb-DE"/>
        </w:rPr>
      </w:pPr>
      <w:r>
        <w:rPr>
          <w:b/>
          <w:bCs/>
          <w:sz w:val="26"/>
          <w:szCs w:val="26"/>
          <w:lang w:val="hsb-DE"/>
        </w:rPr>
        <w:t>10.5.4. Áp dụng các công cụ kinh tế trong quản lý môi trường</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3FFF1BD8" w14:textId="497C1762" w:rsidR="00085789" w:rsidRDefault="00000000">
      <w:pPr>
        <w:spacing w:before="80" w:line="240" w:lineRule="auto"/>
        <w:ind w:firstLine="709"/>
        <w:jc w:val="both"/>
        <w:rPr>
          <w:sz w:val="26"/>
          <w:szCs w:val="26"/>
          <w:lang w:val="hsb-DE"/>
        </w:rPr>
      </w:pPr>
      <w:bookmarkStart w:id="1813" w:name="_Toc56737933"/>
      <w:bookmarkStart w:id="1814" w:name="_Toc55595157"/>
      <w:bookmarkStart w:id="1815" w:name="_Toc54794500"/>
      <w:bookmarkStart w:id="1816" w:name="_Toc54795928"/>
      <w:bookmarkStart w:id="1817" w:name="_Toc54795214"/>
      <w:bookmarkStart w:id="1818" w:name="_Toc56737212"/>
      <w:bookmarkStart w:id="1819" w:name="_Toc56740117"/>
      <w:bookmarkStart w:id="1820" w:name="_Toc55008274"/>
      <w:bookmarkStart w:id="1821" w:name="_Toc55592596"/>
      <w:bookmarkStart w:id="1822" w:name="_Toc56739374"/>
      <w:bookmarkStart w:id="1823" w:name="_Toc56740880"/>
      <w:bookmarkStart w:id="1824" w:name="_Toc54810931"/>
      <w:bookmarkStart w:id="1825" w:name="_Toc54796642"/>
      <w:r>
        <w:rPr>
          <w:sz w:val="26"/>
          <w:szCs w:val="26"/>
          <w:lang w:val="hsb-DE"/>
        </w:rPr>
        <w:t>Các công cụ kinh tế quản lý môi trường chủ yếu là phí bảo vệ môi trường, giai đoạn từ năm 2021-10/2025 tổng số phí môi trường đã thu 504,178 tỷ đồng, cụ thể như sau:</w:t>
      </w:r>
    </w:p>
    <w:p w14:paraId="38DBFD31" w14:textId="3899E437" w:rsidR="00085789" w:rsidRDefault="00000000">
      <w:pPr>
        <w:spacing w:before="80" w:line="240" w:lineRule="auto"/>
        <w:ind w:firstLine="709"/>
        <w:jc w:val="both"/>
        <w:rPr>
          <w:color w:val="000000"/>
          <w:sz w:val="26"/>
          <w:szCs w:val="26"/>
          <w:lang w:val="pt-BR"/>
        </w:rPr>
      </w:pPr>
      <w:r>
        <w:rPr>
          <w:sz w:val="26"/>
          <w:szCs w:val="26"/>
          <w:lang w:val="hsb-DE"/>
        </w:rPr>
        <w:t xml:space="preserve">- Phí nước thải công nghiệp: </w:t>
      </w:r>
      <w:r>
        <w:rPr>
          <w:color w:val="000000"/>
          <w:sz w:val="26"/>
          <w:szCs w:val="26"/>
          <w:lang w:val="pt-BR"/>
        </w:rPr>
        <w:t>103,5 tỷ đồng.</w:t>
      </w:r>
    </w:p>
    <w:p w14:paraId="6A8D24D4" w14:textId="02D4F51D" w:rsidR="00085789" w:rsidRDefault="00000000">
      <w:pPr>
        <w:spacing w:before="80" w:line="240" w:lineRule="auto"/>
        <w:ind w:firstLine="709"/>
        <w:jc w:val="both"/>
        <w:rPr>
          <w:color w:val="000000"/>
          <w:sz w:val="26"/>
          <w:szCs w:val="26"/>
          <w:lang w:val="pt-BR"/>
        </w:rPr>
      </w:pPr>
      <w:r>
        <w:rPr>
          <w:color w:val="000000"/>
          <w:sz w:val="26"/>
          <w:szCs w:val="26"/>
          <w:lang w:val="pt-BR"/>
        </w:rPr>
        <w:t>- Phí nước thải sinh hoạt: 59,4 tỷ đồng.</w:t>
      </w:r>
    </w:p>
    <w:p w14:paraId="43CAC5A9" w14:textId="3ECC18ED" w:rsidR="00085789" w:rsidRDefault="00000000">
      <w:pPr>
        <w:spacing w:before="80" w:line="240" w:lineRule="auto"/>
        <w:ind w:firstLine="709"/>
        <w:jc w:val="both"/>
        <w:rPr>
          <w:sz w:val="26"/>
          <w:szCs w:val="26"/>
          <w:lang w:val="hsb-DE"/>
        </w:rPr>
      </w:pPr>
      <w:r>
        <w:rPr>
          <w:color w:val="000000"/>
          <w:sz w:val="26"/>
          <w:szCs w:val="26"/>
          <w:lang w:val="pt-BR"/>
        </w:rPr>
        <w:t xml:space="preserve">- Phí khí thải: </w:t>
      </w:r>
      <w:r>
        <w:rPr>
          <w:sz w:val="26"/>
          <w:szCs w:val="26"/>
          <w:lang w:val="hsb-DE"/>
        </w:rPr>
        <w:t xml:space="preserve">28,1 triệu đồng. </w:t>
      </w:r>
    </w:p>
    <w:p w14:paraId="550DCCC5" w14:textId="36E50934" w:rsidR="00085789" w:rsidRDefault="00000000">
      <w:pPr>
        <w:spacing w:before="80" w:line="240" w:lineRule="auto"/>
        <w:ind w:firstLine="709"/>
        <w:jc w:val="both"/>
        <w:rPr>
          <w:sz w:val="26"/>
          <w:szCs w:val="26"/>
          <w:lang w:val="hsb-DE"/>
        </w:rPr>
      </w:pPr>
      <w:r>
        <w:rPr>
          <w:sz w:val="26"/>
          <w:szCs w:val="26"/>
          <w:lang w:val="hsb-DE"/>
        </w:rPr>
        <w:t xml:space="preserve">- Phí BVMT đối với khai thác khoáng sản: </w:t>
      </w:r>
      <w:r>
        <w:rPr>
          <w:color w:val="000000"/>
          <w:sz w:val="26"/>
          <w:szCs w:val="26"/>
          <w:lang w:val="pt-BR"/>
        </w:rPr>
        <w:t>341,25 tỷ đồng.</w:t>
      </w:r>
    </w:p>
    <w:p w14:paraId="0D757C62" w14:textId="77777777" w:rsidR="00085789" w:rsidRDefault="00000000">
      <w:pPr>
        <w:pStyle w:val="bac2"/>
        <w:spacing w:before="120" w:after="0" w:line="240" w:lineRule="auto"/>
        <w:rPr>
          <w:lang w:val="hsb-DE"/>
        </w:rPr>
      </w:pPr>
      <w:bookmarkStart w:id="1826" w:name="_Toc214311318"/>
      <w:r>
        <w:rPr>
          <w:lang w:val="hsb-DE"/>
        </w:rPr>
        <w:t xml:space="preserve">10.6. Hoạt </w:t>
      </w:r>
      <w:r>
        <w:rPr>
          <w:rFonts w:hint="eastAsia"/>
          <w:lang w:val="hsb-DE"/>
        </w:rPr>
        <w:t>đ</w:t>
      </w:r>
      <w:r>
        <w:rPr>
          <w:lang w:val="hsb-DE"/>
        </w:rPr>
        <w:t>ộng nghi</w:t>
      </w:r>
      <w:r>
        <w:rPr>
          <w:rFonts w:hint="eastAsia"/>
          <w:lang w:val="hsb-DE"/>
        </w:rPr>
        <w:t>ê</w:t>
      </w:r>
      <w:r>
        <w:rPr>
          <w:lang w:val="hsb-DE"/>
        </w:rPr>
        <w:t>n cứu khoa học c</w:t>
      </w:r>
      <w:r>
        <w:rPr>
          <w:rFonts w:hint="eastAsia"/>
          <w:lang w:val="hsb-DE"/>
        </w:rPr>
        <w:t>ô</w:t>
      </w:r>
      <w:r>
        <w:rPr>
          <w:lang w:val="hsb-DE"/>
        </w:rPr>
        <w:t>ng nghệ v</w:t>
      </w:r>
      <w:r>
        <w:rPr>
          <w:rFonts w:hint="eastAsia"/>
          <w:lang w:val="hsb-DE"/>
        </w:rPr>
        <w:t>à</w:t>
      </w:r>
      <w:r>
        <w:rPr>
          <w:lang w:val="hsb-DE"/>
        </w:rPr>
        <w:t xml:space="preserve"> vấn </w:t>
      </w:r>
      <w:r>
        <w:rPr>
          <w:rFonts w:hint="eastAsia"/>
          <w:lang w:val="hsb-DE"/>
        </w:rPr>
        <w:t>đ</w:t>
      </w:r>
      <w:r>
        <w:rPr>
          <w:lang w:val="hsb-DE"/>
        </w:rPr>
        <w:t xml:space="preserve">ề </w:t>
      </w:r>
      <w:r>
        <w:rPr>
          <w:rFonts w:hint="eastAsia"/>
          <w:lang w:val="hsb-DE"/>
        </w:rPr>
        <w:t>á</w:t>
      </w:r>
      <w:r>
        <w:rPr>
          <w:lang w:val="hsb-DE"/>
        </w:rPr>
        <w:t>p dụng c</w:t>
      </w:r>
      <w:r>
        <w:rPr>
          <w:rFonts w:hint="eastAsia"/>
          <w:lang w:val="hsb-DE"/>
        </w:rPr>
        <w:t>á</w:t>
      </w:r>
      <w:r>
        <w:rPr>
          <w:lang w:val="hsb-DE"/>
        </w:rPr>
        <w:t>c c</w:t>
      </w:r>
      <w:r>
        <w:rPr>
          <w:rFonts w:hint="eastAsia"/>
          <w:lang w:val="hsb-DE"/>
        </w:rPr>
        <w:t>ô</w:t>
      </w:r>
      <w:r>
        <w:rPr>
          <w:lang w:val="hsb-DE"/>
        </w:rPr>
        <w:t>ng nghệ mới trong bảo vệ m</w:t>
      </w:r>
      <w:r>
        <w:rPr>
          <w:rFonts w:hint="eastAsia"/>
          <w:lang w:val="hsb-DE"/>
        </w:rPr>
        <w:t>ô</w:t>
      </w:r>
      <w:r>
        <w:rPr>
          <w:lang w:val="hsb-DE"/>
        </w:rPr>
        <w:t>i tr</w:t>
      </w:r>
      <w:r>
        <w:rPr>
          <w:rFonts w:hint="eastAsia"/>
          <w:lang w:val="hsb-DE"/>
        </w:rPr>
        <w:t>ư</w:t>
      </w:r>
      <w:r>
        <w:rPr>
          <w:lang w:val="hsb-DE"/>
        </w:rPr>
        <w:t>ờng</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6F3174C5" w14:textId="77777777" w:rsidR="00085789" w:rsidRDefault="00000000">
      <w:pPr>
        <w:spacing w:before="120" w:line="240" w:lineRule="auto"/>
        <w:ind w:firstLine="709"/>
        <w:jc w:val="both"/>
        <w:rPr>
          <w:sz w:val="26"/>
          <w:szCs w:val="26"/>
          <w:lang w:val="pt-BR"/>
        </w:rPr>
      </w:pPr>
      <w:bookmarkStart w:id="1827" w:name="_Toc54794501"/>
      <w:bookmarkStart w:id="1828" w:name="_Toc54795929"/>
      <w:bookmarkStart w:id="1829" w:name="_Toc56737213"/>
      <w:bookmarkStart w:id="1830" w:name="_Toc55592597"/>
      <w:bookmarkStart w:id="1831" w:name="_Toc56737934"/>
      <w:bookmarkStart w:id="1832" w:name="_Toc54810932"/>
      <w:bookmarkStart w:id="1833" w:name="_Toc56740118"/>
      <w:bookmarkStart w:id="1834" w:name="_Toc54795215"/>
      <w:bookmarkStart w:id="1835" w:name="_Toc54796643"/>
      <w:bookmarkStart w:id="1836" w:name="_Toc56740881"/>
      <w:bookmarkStart w:id="1837" w:name="_Toc56739375"/>
      <w:bookmarkStart w:id="1838" w:name="_Toc55595158"/>
      <w:bookmarkStart w:id="1839" w:name="_Toc55008275"/>
      <w:r>
        <w:rPr>
          <w:sz w:val="26"/>
          <w:szCs w:val="26"/>
          <w:lang w:val="hsb-DE"/>
        </w:rPr>
        <w:t>Trong giai đoạn từ năm 2021 - 2025, tỉnh đã triển khai 10 đề tài, dự án khoa học công nghệ, tập trung vào nghiên cứu, đánh giá các thành phần môi trường, công nghệ xử lý, quan trắc môi trường,...; thực hiện chuyển giao các công nghệ:</w:t>
      </w:r>
      <w:r>
        <w:rPr>
          <w:sz w:val="26"/>
          <w:szCs w:val="26"/>
        </w:rPr>
        <w:t xml:space="preserve"> chế phẩm sinh học xử lý chất thải nông nghiệp/chăn nuôi, mô hình xử lý rác thải, ứng dụng công nghệ sinh học sản xuất phân hữu cơ vi sinh,…</w:t>
      </w:r>
      <w:r>
        <w:rPr>
          <w:sz w:val="26"/>
          <w:szCs w:val="26"/>
          <w:lang w:val="hsb-DE"/>
        </w:rPr>
        <w:t xml:space="preserve">; áp dụng sản xuất sạch hơn. Kết quả các đề tài, dự án đã </w:t>
      </w:r>
      <w:r>
        <w:rPr>
          <w:sz w:val="26"/>
          <w:szCs w:val="26"/>
        </w:rPr>
        <w:t xml:space="preserve">cung cấp các thông tin, cơ sở khoa học quan trọng cho công tác quản lý nhà nước về bảo vệ môi trường; </w:t>
      </w:r>
      <w:r>
        <w:rPr>
          <w:rFonts w:eastAsia="Calibri"/>
          <w:kern w:val="2"/>
          <w:sz w:val="26"/>
          <w:szCs w:val="26"/>
          <w:lang w:val="pt-BR"/>
          <w14:ligatures w14:val="standardContextual"/>
        </w:rPr>
        <w:t xml:space="preserve">nhiều mô hình chuyển giao công nghệ xử lý rác thải sinh hoạt, chăn nuôi và sản xuất sạch hơn được áp dụng, giúp giảm chi phí sản xuất, bảo vệ môi trường. </w:t>
      </w:r>
    </w:p>
    <w:p w14:paraId="57599A1C" w14:textId="77777777" w:rsidR="00085789" w:rsidRDefault="00000000">
      <w:pPr>
        <w:pStyle w:val="bac2"/>
        <w:spacing w:before="120" w:after="0" w:line="240" w:lineRule="auto"/>
        <w:rPr>
          <w:lang w:val="pt-BR"/>
        </w:rPr>
      </w:pPr>
      <w:bookmarkStart w:id="1840" w:name="_Toc214311319"/>
      <w:r>
        <w:rPr>
          <w:lang w:val="pt-BR"/>
        </w:rPr>
        <w:t xml:space="preserve">10.7. Nâng cao nhận thức cộng đồng và vấn đề xã hội hóa công tác </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r>
        <w:rPr>
          <w:lang w:val="pt-BR"/>
        </w:rPr>
        <w:t>BVMT</w:t>
      </w:r>
      <w:bookmarkEnd w:id="1840"/>
    </w:p>
    <w:p w14:paraId="2379F76B" w14:textId="77777777" w:rsidR="00085789" w:rsidRDefault="00000000">
      <w:pPr>
        <w:spacing w:before="80" w:line="240" w:lineRule="auto"/>
        <w:ind w:firstLine="709"/>
        <w:jc w:val="both"/>
        <w:rPr>
          <w:sz w:val="26"/>
          <w:szCs w:val="26"/>
          <w:lang w:val="pt-BR"/>
        </w:rPr>
      </w:pPr>
      <w:bookmarkStart w:id="1841" w:name="_Toc56739376"/>
      <w:bookmarkStart w:id="1842" w:name="_Toc56740882"/>
      <w:bookmarkStart w:id="1843" w:name="_Toc54810933"/>
      <w:bookmarkStart w:id="1844" w:name="_Toc55595159"/>
      <w:bookmarkStart w:id="1845" w:name="_Toc54794502"/>
      <w:bookmarkStart w:id="1846" w:name="_Toc54795216"/>
      <w:bookmarkStart w:id="1847" w:name="_Toc54796644"/>
      <w:bookmarkStart w:id="1848" w:name="_Toc55008276"/>
      <w:bookmarkStart w:id="1849" w:name="_Toc55592598"/>
      <w:bookmarkStart w:id="1850" w:name="_Toc56740119"/>
      <w:bookmarkStart w:id="1851" w:name="_Toc56737214"/>
      <w:bookmarkStart w:id="1852" w:name="_Toc54795930"/>
      <w:bookmarkStart w:id="1853" w:name="_Toc56737935"/>
      <w:r>
        <w:rPr>
          <w:sz w:val="26"/>
          <w:szCs w:val="26"/>
          <w:lang w:val="pt-BR"/>
        </w:rPr>
        <w:t xml:space="preserve">UBND tỉnh đã chỉ đạo Sở Nông nghiệp và Môi trường chủ trì, phối hợp các tổ chức đoàn thể, địa phương tổ chức các hoạt động hưởng ứng Ngày Môi trường thế giới, Ngày Đại dương thế giới, Tuần lễ Biển và Hải đảo Việt Nam; Chiến dịch làm cho thế giới sạch hơn; phát động ra quân vệ sinh môi trường dịp Tết Nguyên Đán; phối hợp với các tổ chức </w:t>
      </w:r>
      <w:r>
        <w:rPr>
          <w:sz w:val="26"/>
          <w:szCs w:val="26"/>
          <w:lang w:val="pt-BR"/>
        </w:rPr>
        <w:lastRenderedPageBreak/>
        <w:t>đoàn thể, Văn phòng Điều phối NTM tỉnh thực hiện tuyên truyền pháp luật về bảo vệ môi trường, phân loại CTRSH trên địa bàn; phối hợp với Đài phát thanh và truyền hình Hà Tĩnh (trước đây), Báo Hà Tĩnh thực hiện các chuyên đề truyền thông về bảo vệ môi tường, tuyên truyền ngày Môi trường thế giới, tháng hành động về môi trường.</w:t>
      </w:r>
    </w:p>
    <w:p w14:paraId="19159625" w14:textId="77777777" w:rsidR="00085789" w:rsidRDefault="00000000">
      <w:pPr>
        <w:spacing w:before="80" w:line="240" w:lineRule="auto"/>
        <w:ind w:firstLine="709"/>
        <w:jc w:val="both"/>
        <w:rPr>
          <w:sz w:val="26"/>
          <w:szCs w:val="26"/>
          <w:lang w:val="pt-BR"/>
        </w:rPr>
      </w:pPr>
      <w:r>
        <w:rPr>
          <w:sz w:val="26"/>
          <w:szCs w:val="26"/>
          <w:lang w:val="pt-BR"/>
        </w:rPr>
        <w:t>Thông qua hoạt động tuyên truyền, nhận thức về bảo vệ môi trường của người dân, cơ sở sản xuất kinh doanh, dịch vụ đã từng bước được nâng cao. Nhận thức, trách nhiệm về công tác BVMT của các cấp uỷ Đảng, chính quyền, các ban ngành, đoàn thể đã được nâng lên rõ rệt. Nhiều phong trào BVTM ở các địa phương, các đoàn thể đã được thực hiện qua đó góp phần đẩy mạnh công tác xã hội hóa trong BVTM trên địa bàn tỉnh.</w:t>
      </w:r>
    </w:p>
    <w:p w14:paraId="6C2DCDD9" w14:textId="77777777" w:rsidR="00085789" w:rsidRDefault="00000000">
      <w:pPr>
        <w:spacing w:before="80" w:line="240" w:lineRule="auto"/>
        <w:ind w:firstLine="709"/>
        <w:jc w:val="both"/>
        <w:rPr>
          <w:b/>
          <w:iCs/>
          <w:sz w:val="26"/>
          <w:szCs w:val="26"/>
          <w:lang w:val="pt-BR"/>
        </w:rPr>
      </w:pPr>
      <w:r>
        <w:rPr>
          <w:sz w:val="26"/>
          <w:szCs w:val="26"/>
          <w:lang w:val="pt-BR"/>
        </w:rPr>
        <w:t>Xã hội hóa là một trong những biện pháp tích cực, góp phần thực hiện có hiệu quả BVMT, thời gian qua tỉnh luôn đẩy mạnh xã hội hóa công tác bảo vệ môi trường nhằm phát huy tối đa mọi nguồn lực trong xã hội tham gia bảo vệ môi trường về xử lý rác thải và nước thải. Trong đó có hỗ trợ về đất đai, giải phóng mặt bằng; hỗ trợ vốn, ưu đãi tín dụng; miễn giảm thuế, phí cho các doanh nghiệp khi đầu tư xây dựng các công trình BVMT; trợ giá, hỗ trợ tiêu thụ sản phẩm từ hoạt động BVMT,....</w:t>
      </w:r>
      <w:r>
        <w:rPr>
          <w:b/>
          <w:iCs/>
          <w:sz w:val="26"/>
          <w:szCs w:val="26"/>
          <w:lang w:val="pt-BR"/>
        </w:rPr>
        <w:t xml:space="preserve"> </w:t>
      </w:r>
    </w:p>
    <w:p w14:paraId="343EF7D1" w14:textId="77777777" w:rsidR="00085789" w:rsidRDefault="00000000">
      <w:pPr>
        <w:pStyle w:val="bac2"/>
        <w:spacing w:before="120" w:after="0" w:line="240" w:lineRule="auto"/>
        <w:rPr>
          <w:lang w:val="pt-BR"/>
        </w:rPr>
      </w:pPr>
      <w:bookmarkStart w:id="1854" w:name="_Toc214311320"/>
      <w:r>
        <w:rPr>
          <w:lang w:val="pt-BR"/>
        </w:rPr>
        <w:t>10.8. Hợp tác quốc tế về bảo vệ môi trường</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6EB5DBAC" w14:textId="77777777" w:rsidR="00085789" w:rsidRDefault="00000000">
      <w:pPr>
        <w:spacing w:before="120" w:line="240" w:lineRule="auto"/>
        <w:ind w:firstLine="709"/>
        <w:jc w:val="both"/>
        <w:rPr>
          <w:sz w:val="26"/>
          <w:szCs w:val="26"/>
          <w:lang w:val="pt-BR"/>
        </w:rPr>
      </w:pPr>
      <w:r>
        <w:rPr>
          <w:sz w:val="26"/>
          <w:szCs w:val="26"/>
          <w:lang w:val="pt-BR"/>
        </w:rPr>
        <w:t xml:space="preserve">Thực hiện chủ trương chung của Đảng, Nhà nước về chủ động hội nhập quốc tế toàn diện, trong thời gian qua trên địa bàn tỉnh Hà Tĩnh đã có những chương trình hợp tác quốc </w:t>
      </w:r>
      <w:r>
        <w:rPr>
          <w:spacing w:val="-4"/>
          <w:sz w:val="26"/>
          <w:szCs w:val="26"/>
          <w:lang w:val="pt-BR"/>
        </w:rPr>
        <w:t>tế lĩnh vực môi trường nhằm tăng cường năng lực quản lý nhà nước về môi trường, góp phần quan trọng vào sự nghiệp bảo vệ môi trường và phát triển KT-XH của tỉnh.</w:t>
      </w:r>
    </w:p>
    <w:p w14:paraId="51B95204" w14:textId="77777777" w:rsidR="00085789" w:rsidRDefault="00000000">
      <w:pPr>
        <w:spacing w:before="120" w:line="240" w:lineRule="auto"/>
        <w:ind w:firstLine="709"/>
        <w:jc w:val="both"/>
        <w:rPr>
          <w:sz w:val="26"/>
          <w:szCs w:val="26"/>
          <w:lang w:val="pt-BR"/>
        </w:rPr>
      </w:pPr>
      <w:r>
        <w:rPr>
          <w:sz w:val="26"/>
          <w:szCs w:val="26"/>
          <w:lang w:val="pt-BR"/>
        </w:rPr>
        <w:t>Qua đó, tỉnh Hà Tĩnh đã tranh thủ sự hỗ trợ của quốc tế để thực hiện các chương trình, dự án về BVMT, góp phần đáng kể trong việc huy động nguồn vốn, tăng cường năng lực khoa học - công nghệ cho BVMT, tiếp thu kinh nghiệm của các nước đóng góp cho công tác quản lý môi trường tại Hà Tĩnh. Tiêu biểu là dự án cải thiện đô thị miền Trung do AFD tài trợ tổ chức triển khai trên địa bàn xã Hương Khê và xã Thạch Hà và dự án Giảm thiểu rác thải nhựa đại dương Việt Nam tại thành phố Hà Tĩnh do Tổ chức Quốc tế về Bảo tồn thiên nhiên (WWF) tài trợ.</w:t>
      </w:r>
    </w:p>
    <w:p w14:paraId="4D8C3918" w14:textId="77777777" w:rsidR="00085789" w:rsidRDefault="00000000">
      <w:pPr>
        <w:spacing w:before="120" w:line="240" w:lineRule="auto"/>
        <w:ind w:firstLine="709"/>
        <w:jc w:val="both"/>
        <w:rPr>
          <w:sz w:val="26"/>
          <w:szCs w:val="26"/>
          <w:lang w:val="pt-BR"/>
        </w:rPr>
      </w:pPr>
      <w:r>
        <w:rPr>
          <w:sz w:val="26"/>
          <w:szCs w:val="26"/>
          <w:lang w:val="pt-BR"/>
        </w:rPr>
        <w:t>Công tác bảo vệ môi trường được quan tâm chỉ đạo, Tỉnh ủy, HĐND, UBND tỉnh đều thống nhất quan điểm chỉ đạo xuyên suốt “không đánh đổi môi trường lấy lợi ích kinh tế”. Nhận thức, ý thức bảo vệ môi trường của cộng đồng, người dân, doanh nghiệp ngày càng được nâng lên. Quá trình thẩm định chủ trương đầu tư các dự án luôn được xem xét phương án bảo vệ môi trường trong Dự án. Mạng lưới các hợp tác xã, tổ đội vệ sinh môi trường được phát triển, mở rộng góp phần đáng kể trong công tác thu gom, vận chuyển, xử lý CTRSH. Bộ máy quản lý nhà nước trên lĩnh vực bảo vệ môi trường từng bước được hoàn thiện. Các dự án lớn đặc biệt là dự án Formosa được giám sát chặt chẽ, các cơ sở có quy mô xả thải lớn đã hoàn thành việc kết nối hệ thống quan trắc tự động, liên tục và truyền số liệu trực tiếp về Sở Nông nghiệp và Môi trường để theo dõi, giám sát. Qua đó, đã góp phần hạn chế mức độ gia tăng ô nhiễm, suy thoái môi trường trên địa bàn, giữ cân bằng sinh thái, bảo đảm chất lượng môi trường sống và sức khỏe của người dân, cộng đồng.</w:t>
      </w:r>
    </w:p>
    <w:p w14:paraId="17773F2A" w14:textId="77777777" w:rsidR="00085789" w:rsidRDefault="00085789">
      <w:pPr>
        <w:pStyle w:val="-bac1"/>
        <w:spacing w:before="120" w:after="0" w:line="240" w:lineRule="auto"/>
        <w:rPr>
          <w:lang w:val="pt-BR"/>
        </w:rPr>
      </w:pPr>
      <w:bookmarkStart w:id="1855" w:name="_Toc213597647"/>
      <w:bookmarkEnd w:id="1467"/>
      <w:bookmarkEnd w:id="1468"/>
      <w:bookmarkEnd w:id="1469"/>
    </w:p>
    <w:p w14:paraId="54BEE1E2" w14:textId="77777777" w:rsidR="00085789" w:rsidRDefault="00085789">
      <w:pPr>
        <w:pStyle w:val="-bac1"/>
        <w:spacing w:before="120" w:after="0" w:line="240" w:lineRule="auto"/>
        <w:rPr>
          <w:lang w:val="pt-BR"/>
        </w:rPr>
      </w:pPr>
    </w:p>
    <w:p w14:paraId="5FBEEBEB" w14:textId="63978CAC" w:rsidR="00085789" w:rsidRDefault="001A08FA">
      <w:pPr>
        <w:pStyle w:val="-bac1"/>
        <w:spacing w:before="0" w:after="0" w:line="240" w:lineRule="auto"/>
        <w:rPr>
          <w:lang w:val="pt-BR"/>
        </w:rPr>
      </w:pPr>
      <w:bookmarkStart w:id="1856" w:name="_Toc214311321"/>
      <w:r>
        <w:rPr>
          <w:lang w:val="pt-BR"/>
        </w:rPr>
        <w:br w:type="column"/>
      </w:r>
      <w:r>
        <w:rPr>
          <w:lang w:val="pt-BR"/>
        </w:rPr>
        <w:lastRenderedPageBreak/>
        <w:t>CHƯƠNG XI</w:t>
      </w:r>
      <w:bookmarkEnd w:id="419"/>
      <w:bookmarkEnd w:id="420"/>
      <w:bookmarkEnd w:id="421"/>
      <w:bookmarkEnd w:id="1855"/>
      <w:bookmarkEnd w:id="1856"/>
    </w:p>
    <w:p w14:paraId="3A6D85DE" w14:textId="77777777" w:rsidR="00085789" w:rsidRDefault="00000000">
      <w:pPr>
        <w:pStyle w:val="H1"/>
        <w:spacing w:before="0" w:after="0" w:line="240" w:lineRule="auto"/>
        <w:rPr>
          <w:lang w:val="pt-BR"/>
        </w:rPr>
      </w:pPr>
      <w:bookmarkStart w:id="1857" w:name="_Toc138977439"/>
      <w:bookmarkStart w:id="1858" w:name="_Toc142915471"/>
      <w:bookmarkStart w:id="1859" w:name="_Toc142919613"/>
      <w:r>
        <w:rPr>
          <w:lang w:val="pt-BR"/>
        </w:rPr>
        <w:t>THÁCH THỨC TRONG BẢO VỆ MÔI TRƯỜNG, PHƯƠNG HƯỚNG VÀ GIẢI PHÁP BẢO VỆ MÔI TRƯỜNG</w:t>
      </w:r>
      <w:bookmarkEnd w:id="422"/>
      <w:bookmarkEnd w:id="423"/>
      <w:bookmarkEnd w:id="424"/>
      <w:bookmarkEnd w:id="425"/>
      <w:bookmarkEnd w:id="1857"/>
      <w:bookmarkEnd w:id="1858"/>
      <w:bookmarkEnd w:id="1859"/>
      <w:r>
        <w:rPr>
          <w:lang w:val="pt-BR"/>
        </w:rPr>
        <w:t xml:space="preserve"> TRONG GIAI ĐOẠN 2026-2030 </w:t>
      </w:r>
    </w:p>
    <w:p w14:paraId="16B56AEB" w14:textId="77777777" w:rsidR="00085789" w:rsidRDefault="00085789">
      <w:pPr>
        <w:pStyle w:val="H1"/>
        <w:spacing w:before="120" w:after="0" w:line="240" w:lineRule="auto"/>
        <w:rPr>
          <w:sz w:val="8"/>
          <w:szCs w:val="8"/>
          <w:lang w:val="pt-BR"/>
        </w:rPr>
      </w:pPr>
    </w:p>
    <w:p w14:paraId="48D387F8" w14:textId="77777777" w:rsidR="00085789" w:rsidRDefault="00000000">
      <w:pPr>
        <w:autoSpaceDE w:val="0"/>
        <w:autoSpaceDN w:val="0"/>
        <w:adjustRightInd w:val="0"/>
        <w:spacing w:before="120" w:line="240" w:lineRule="auto"/>
        <w:ind w:firstLine="709"/>
        <w:jc w:val="both"/>
        <w:rPr>
          <w:rFonts w:eastAsia="Calibri"/>
          <w:sz w:val="26"/>
          <w:szCs w:val="26"/>
          <w:lang w:val="pt-BR"/>
        </w:rPr>
      </w:pPr>
      <w:bookmarkStart w:id="1860" w:name="_Toc107203440"/>
      <w:bookmarkStart w:id="1861" w:name="_Toc107559792"/>
      <w:bookmarkStart w:id="1862" w:name="_Toc90027087"/>
      <w:r>
        <w:rPr>
          <w:rFonts w:eastAsia="Calibri"/>
          <w:sz w:val="26"/>
          <w:szCs w:val="26"/>
          <w:lang w:val="pt-BR"/>
        </w:rPr>
        <w:t xml:space="preserve">Từ hiện trạng môi trường và những tồn tại trong công tác quản lý, bảo vệ môi trường thời gian 2021-2025 sẽ dự báo các thách thức lớn giai đoạn 2026-2030. Trên cơ sở đó, đề ra phương hướng và nhóm giải pháp cụ thể, khả thi nhằm khắc phục tồn tại, nâng cao hiệu quả bảo vệ tài nguyên, chất lượng môi trường và đảm bảo phát triển bền vững trên địa bàn tỉnh Hà Tĩnh.  </w:t>
      </w:r>
    </w:p>
    <w:p w14:paraId="761423AF" w14:textId="77777777" w:rsidR="00085789" w:rsidRDefault="00000000">
      <w:pPr>
        <w:pStyle w:val="bac2"/>
        <w:spacing w:before="120" w:after="0" w:line="240" w:lineRule="auto"/>
        <w:rPr>
          <w:lang w:val="pt-BR"/>
        </w:rPr>
      </w:pPr>
      <w:bookmarkStart w:id="1863" w:name="_Toc116908061"/>
      <w:bookmarkStart w:id="1864" w:name="_Toc138977440"/>
      <w:bookmarkStart w:id="1865" w:name="_Toc142915472"/>
      <w:bookmarkStart w:id="1866" w:name="_Toc142919614"/>
      <w:bookmarkStart w:id="1867" w:name="_Toc181861485"/>
      <w:bookmarkStart w:id="1868" w:name="_Toc181861968"/>
      <w:bookmarkStart w:id="1869" w:name="_Toc193957730"/>
      <w:bookmarkStart w:id="1870" w:name="_Toc214311322"/>
      <w:r>
        <w:rPr>
          <w:lang w:val="pt-BR"/>
        </w:rPr>
        <w:t xml:space="preserve">11.1. </w:t>
      </w:r>
      <w:bookmarkEnd w:id="1860"/>
      <w:bookmarkEnd w:id="1861"/>
      <w:bookmarkEnd w:id="1862"/>
      <w:bookmarkEnd w:id="1863"/>
      <w:bookmarkEnd w:id="1864"/>
      <w:bookmarkEnd w:id="1865"/>
      <w:bookmarkEnd w:id="1866"/>
      <w:bookmarkEnd w:id="1867"/>
      <w:bookmarkEnd w:id="1868"/>
      <w:bookmarkEnd w:id="1869"/>
      <w:r>
        <w:rPr>
          <w:lang w:val="pt-BR"/>
        </w:rPr>
        <w:t>Các thách thức về môi trường</w:t>
      </w:r>
      <w:bookmarkEnd w:id="1870"/>
    </w:p>
    <w:p w14:paraId="7DA9F4AB" w14:textId="77777777" w:rsidR="00085789" w:rsidRDefault="00000000">
      <w:pPr>
        <w:pStyle w:val="-bac3"/>
        <w:spacing w:before="120" w:after="0" w:line="240" w:lineRule="auto"/>
        <w:rPr>
          <w:lang w:val="pt-BR"/>
        </w:rPr>
      </w:pPr>
      <w:bookmarkStart w:id="1871" w:name="_Toc90027088"/>
      <w:bookmarkStart w:id="1872" w:name="_Toc107203441"/>
      <w:bookmarkStart w:id="1873" w:name="_Toc107559793"/>
      <w:bookmarkStart w:id="1874" w:name="_Toc116908062"/>
      <w:bookmarkStart w:id="1875" w:name="_Toc138943438"/>
      <w:bookmarkStart w:id="1876" w:name="_Toc138977441"/>
      <w:bookmarkStart w:id="1877" w:name="_Toc142915473"/>
      <w:bookmarkStart w:id="1878" w:name="_Toc142919615"/>
      <w:bookmarkStart w:id="1879" w:name="_Toc181861486"/>
      <w:bookmarkStart w:id="1880" w:name="_Toc181861969"/>
      <w:bookmarkStart w:id="1881" w:name="_Toc193957731"/>
      <w:bookmarkStart w:id="1882" w:name="_Toc214311323"/>
      <w:r>
        <w:rPr>
          <w:lang w:val="pt-BR"/>
        </w:rPr>
        <w:t xml:space="preserve">11.1.1. Các thách thức </w:t>
      </w:r>
      <w:bookmarkEnd w:id="1871"/>
      <w:bookmarkEnd w:id="1872"/>
      <w:bookmarkEnd w:id="1873"/>
      <w:bookmarkEnd w:id="1874"/>
      <w:r>
        <w:rPr>
          <w:lang w:val="pt-BR"/>
        </w:rPr>
        <w:t>hiện tại</w:t>
      </w:r>
      <w:bookmarkEnd w:id="1875"/>
      <w:bookmarkEnd w:id="1876"/>
      <w:bookmarkEnd w:id="1877"/>
      <w:bookmarkEnd w:id="1878"/>
      <w:bookmarkEnd w:id="1879"/>
      <w:bookmarkEnd w:id="1880"/>
      <w:bookmarkEnd w:id="1881"/>
      <w:bookmarkEnd w:id="1882"/>
    </w:p>
    <w:p w14:paraId="7C1C4D50" w14:textId="77777777" w:rsidR="00085789" w:rsidRDefault="00000000">
      <w:pPr>
        <w:spacing w:before="120" w:line="240" w:lineRule="auto"/>
        <w:ind w:right="40" w:firstLine="567"/>
        <w:jc w:val="both"/>
        <w:rPr>
          <w:rFonts w:asciiTheme="majorHAnsi" w:hAnsiTheme="majorHAnsi" w:cstheme="majorHAnsi"/>
          <w:i/>
          <w:sz w:val="26"/>
          <w:szCs w:val="26"/>
          <w:lang w:val="pt-BR"/>
        </w:rPr>
      </w:pPr>
      <w:r>
        <w:rPr>
          <w:rFonts w:asciiTheme="majorHAnsi" w:hAnsiTheme="majorHAnsi" w:cstheme="majorHAnsi"/>
          <w:i/>
          <w:sz w:val="26"/>
          <w:szCs w:val="26"/>
          <w:lang w:val="pt-BR"/>
        </w:rPr>
        <w:t>* Về năng lực của bộ máy quản lý môi trường</w:t>
      </w:r>
    </w:p>
    <w:p w14:paraId="64CEE661" w14:textId="77777777" w:rsidR="00085789" w:rsidRDefault="00000000">
      <w:pPr>
        <w:spacing w:before="120" w:line="240" w:lineRule="auto"/>
        <w:ind w:right="40" w:firstLine="709"/>
        <w:jc w:val="both"/>
        <w:rPr>
          <w:rFonts w:asciiTheme="majorHAnsi" w:hAnsiTheme="majorHAnsi" w:cstheme="majorHAnsi"/>
          <w:sz w:val="26"/>
          <w:szCs w:val="26"/>
          <w:lang w:val="pt-BR"/>
        </w:rPr>
      </w:pPr>
      <w:r>
        <w:rPr>
          <w:rFonts w:asciiTheme="majorHAnsi" w:hAnsiTheme="majorHAnsi" w:cstheme="majorHAnsi"/>
          <w:sz w:val="26"/>
          <w:szCs w:val="26"/>
          <w:lang w:val="pt-BR"/>
        </w:rPr>
        <w:t xml:space="preserve">Đội ngũ cán bộ quản lý môi trường từ cấp tỉnh đến cấp xã còn thiếu, đặc biệt là ở cấp xã, hầu hết cán bộ môi trường đều là công chức địa chính hoặc nông nghiệp kiêm nhiệm, chưa được bố trí đúng chuyên môn, nghiệp vụ; nhiều xã công tác quản lý môi trường còn bỏ trống, dẫn đến khó khăn trong thực thi nhiệm vụ quản lý môi trường nên chưa đáp ứng yêu cầu quản lý nhà nước về bảo vệ môi trường trong giai đoạn hiện nay. </w:t>
      </w:r>
    </w:p>
    <w:p w14:paraId="06934B52" w14:textId="77777777" w:rsidR="00085789" w:rsidRDefault="00000000">
      <w:pPr>
        <w:pStyle w:val="HD3"/>
        <w:spacing w:before="80" w:after="0" w:line="240" w:lineRule="auto"/>
        <w:ind w:firstLine="709"/>
        <w:rPr>
          <w:rFonts w:asciiTheme="majorHAnsi" w:hAnsiTheme="majorHAnsi" w:cstheme="majorHAnsi"/>
          <w:b w:val="0"/>
          <w:bCs/>
          <w:color w:val="auto"/>
          <w:sz w:val="26"/>
          <w:lang w:val="pt-BR"/>
        </w:rPr>
      </w:pPr>
      <w:r>
        <w:rPr>
          <w:rFonts w:asciiTheme="majorHAnsi" w:hAnsiTheme="majorHAnsi" w:cstheme="majorHAnsi"/>
          <w:b w:val="0"/>
          <w:bCs/>
          <w:color w:val="auto"/>
          <w:sz w:val="26"/>
          <w:lang w:val="pt-BR"/>
        </w:rPr>
        <w:t>* Về trang thiết bị, phương tiện phục vụ công tác quản lý:</w:t>
      </w:r>
    </w:p>
    <w:p w14:paraId="5BBD29FB" w14:textId="445DE340" w:rsidR="00085789" w:rsidRDefault="00000000">
      <w:pPr>
        <w:pStyle w:val="HD3"/>
        <w:spacing w:before="80" w:after="0" w:line="240" w:lineRule="auto"/>
        <w:ind w:firstLine="709"/>
        <w:rPr>
          <w:rFonts w:asciiTheme="majorHAnsi" w:hAnsiTheme="majorHAnsi" w:cstheme="majorHAnsi"/>
          <w:b w:val="0"/>
          <w:bCs/>
          <w:color w:val="auto"/>
          <w:sz w:val="26"/>
          <w:lang w:val="pt-BR"/>
        </w:rPr>
      </w:pPr>
      <w:r>
        <w:rPr>
          <w:rFonts w:asciiTheme="majorHAnsi" w:hAnsiTheme="majorHAnsi" w:cstheme="majorHAnsi"/>
          <w:b w:val="0"/>
          <w:bCs/>
          <w:i w:val="0"/>
          <w:iCs/>
          <w:color w:val="auto"/>
          <w:spacing w:val="0"/>
          <w:sz w:val="26"/>
          <w:lang w:val="pt-BR"/>
        </w:rPr>
        <w:t>- Chưa được đầu tư đầy đủ hệ thống quan trắc, máy móc đo kiểm nhanh, điều này khiến công tác kiểm tra, giám sát, phát hiện và xử lý vi phạm về lĩnh vực bảo vệ môi trường gặp nhiều khó khăn</w:t>
      </w:r>
      <w:r>
        <w:rPr>
          <w:rFonts w:asciiTheme="majorHAnsi" w:hAnsiTheme="majorHAnsi" w:cstheme="majorHAnsi"/>
          <w:b w:val="0"/>
          <w:bCs/>
          <w:i w:val="0"/>
          <w:iCs/>
          <w:color w:val="auto"/>
          <w:sz w:val="26"/>
          <w:lang w:val="pt-BR"/>
        </w:rPr>
        <w:t>, làm giảm hiệu quả công tác quản lý nhà nước</w:t>
      </w:r>
      <w:r>
        <w:rPr>
          <w:rFonts w:asciiTheme="majorHAnsi" w:hAnsiTheme="majorHAnsi" w:cstheme="majorHAnsi"/>
          <w:b w:val="0"/>
          <w:bCs/>
          <w:color w:val="auto"/>
          <w:sz w:val="26"/>
          <w:lang w:val="pt-BR"/>
        </w:rPr>
        <w:t xml:space="preserve">. </w:t>
      </w:r>
    </w:p>
    <w:p w14:paraId="03006DEF" w14:textId="60E3F127" w:rsidR="00085789" w:rsidRDefault="00000000">
      <w:pPr>
        <w:pStyle w:val="HD3"/>
        <w:spacing w:before="80" w:after="0" w:line="240" w:lineRule="auto"/>
        <w:ind w:firstLine="709"/>
        <w:rPr>
          <w:rFonts w:asciiTheme="majorHAnsi" w:hAnsiTheme="majorHAnsi" w:cstheme="majorHAnsi"/>
          <w:b w:val="0"/>
          <w:bCs/>
          <w:i w:val="0"/>
          <w:iCs/>
          <w:color w:val="auto"/>
          <w:sz w:val="26"/>
          <w:lang w:val="pt-BR"/>
        </w:rPr>
      </w:pPr>
      <w:r>
        <w:rPr>
          <w:rFonts w:asciiTheme="majorHAnsi" w:hAnsiTheme="majorHAnsi" w:cstheme="majorHAnsi"/>
          <w:b w:val="0"/>
          <w:bCs/>
          <w:i w:val="0"/>
          <w:iCs/>
          <w:color w:val="auto"/>
          <w:sz w:val="26"/>
          <w:lang w:val="pt-BR"/>
        </w:rPr>
        <w:t>- Phương tiện thu gom, vận chuyển chất thải còn thiếu và không đồng bộ làm ảnh hưởng đến hiệu quả thu gom, vận chuyển và xử lý chất thải trên địa bàn tỉnh.</w:t>
      </w:r>
    </w:p>
    <w:p w14:paraId="428624F1" w14:textId="77777777" w:rsidR="00085789" w:rsidRDefault="00000000">
      <w:pPr>
        <w:spacing w:before="8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xml:space="preserve">- Hệ thống cơ sở dữ liệu về môi trường còn yếu, chưa xây dựng được cơ sở dữ liệu môi trường đồng bộ, hiện đại, đáp ứng yêu cầu chuyển đổi số. </w:t>
      </w:r>
    </w:p>
    <w:p w14:paraId="2F441775" w14:textId="77777777" w:rsidR="00085789" w:rsidRDefault="00000000">
      <w:pPr>
        <w:spacing w:before="8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Việc đánh giá nhanh cũng như theo dõi diễn biến chất lượng môi trường liên tục theo thời gian, không gian chưa đáp ứng được theo yêu cầu phát triển KT-XH của tỉnh.</w:t>
      </w:r>
    </w:p>
    <w:p w14:paraId="6244AF2E" w14:textId="77777777" w:rsidR="00085789" w:rsidRDefault="00000000">
      <w:pPr>
        <w:pStyle w:val="a21"/>
        <w:spacing w:before="80" w:after="0" w:line="240" w:lineRule="auto"/>
        <w:ind w:firstLine="567"/>
        <w:jc w:val="both"/>
        <w:rPr>
          <w:rFonts w:asciiTheme="majorHAnsi" w:hAnsiTheme="majorHAnsi" w:cstheme="majorHAnsi"/>
          <w:b/>
          <w:bCs w:val="0"/>
          <w:i w:val="0"/>
          <w:color w:val="auto"/>
          <w:sz w:val="26"/>
          <w:szCs w:val="26"/>
          <w:lang w:val="pt-BR" w:eastAsia="vi-VN"/>
        </w:rPr>
      </w:pPr>
      <w:bookmarkStart w:id="1883" w:name="_Toc54794507"/>
      <w:bookmarkStart w:id="1884" w:name="_Toc54795221"/>
      <w:bookmarkStart w:id="1885" w:name="_Toc54795935"/>
      <w:bookmarkStart w:id="1886" w:name="_Toc54796649"/>
      <w:bookmarkStart w:id="1887" w:name="_Toc54810938"/>
      <w:bookmarkStart w:id="1888" w:name="_Toc55008281"/>
      <w:bookmarkStart w:id="1889" w:name="_Toc55592603"/>
      <w:bookmarkStart w:id="1890" w:name="_Toc55595164"/>
      <w:bookmarkStart w:id="1891" w:name="_Toc56737219"/>
      <w:bookmarkStart w:id="1892" w:name="_Toc56737940"/>
      <w:bookmarkStart w:id="1893" w:name="_Toc56739381"/>
      <w:bookmarkStart w:id="1894" w:name="_Toc56740124"/>
      <w:bookmarkStart w:id="1895" w:name="_Toc56740887"/>
      <w:r>
        <w:rPr>
          <w:rFonts w:asciiTheme="majorHAnsi" w:hAnsiTheme="majorHAnsi" w:cstheme="majorHAnsi"/>
          <w:bCs w:val="0"/>
          <w:color w:val="auto"/>
          <w:sz w:val="26"/>
          <w:szCs w:val="26"/>
          <w:lang w:val="pt-BR" w:eastAsia="vi-VN"/>
        </w:rPr>
        <w:t>*</w:t>
      </w:r>
      <w:r>
        <w:rPr>
          <w:rFonts w:asciiTheme="majorHAnsi" w:hAnsiTheme="majorHAnsi" w:cstheme="majorHAnsi"/>
          <w:bCs w:val="0"/>
          <w:color w:val="auto"/>
          <w:sz w:val="26"/>
          <w:szCs w:val="26"/>
          <w:lang w:val="vi-VN" w:eastAsia="vi-VN"/>
        </w:rPr>
        <w:t xml:space="preserve"> Về mặt thể chế, chính sách</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r>
        <w:rPr>
          <w:rFonts w:asciiTheme="majorHAnsi" w:hAnsiTheme="majorHAnsi" w:cstheme="majorHAnsi"/>
          <w:bCs w:val="0"/>
          <w:color w:val="auto"/>
          <w:sz w:val="26"/>
          <w:szCs w:val="26"/>
          <w:lang w:val="pt-BR" w:eastAsia="vi-VN"/>
        </w:rPr>
        <w:t>:</w:t>
      </w:r>
    </w:p>
    <w:p w14:paraId="504301A2" w14:textId="6D42ECF6" w:rsidR="00085789" w:rsidRPr="00AA3A70" w:rsidRDefault="00000000">
      <w:pPr>
        <w:spacing w:before="120" w:line="240" w:lineRule="auto"/>
        <w:ind w:firstLine="567"/>
        <w:jc w:val="both"/>
        <w:rPr>
          <w:rFonts w:asciiTheme="majorHAnsi" w:hAnsiTheme="majorHAnsi" w:cstheme="majorHAnsi"/>
          <w:sz w:val="26"/>
          <w:szCs w:val="26"/>
        </w:rPr>
      </w:pPr>
      <w:r>
        <w:rPr>
          <w:rFonts w:asciiTheme="majorHAnsi" w:hAnsiTheme="majorHAnsi" w:cstheme="majorHAnsi"/>
          <w:sz w:val="26"/>
          <w:szCs w:val="26"/>
          <w:lang w:val="vi-VN"/>
        </w:rPr>
        <w:t>Hệ thống văn bản quy phạm pháp luật về bảo vệ môi trường, pháp luật có liên quan và văn bản dưới luật còn có bất cập, chậm ban hành, chưa đồng bộ,... dẫn đến khó khăn trong tổ chức thực hiện.</w:t>
      </w:r>
      <w:r>
        <w:rPr>
          <w:rFonts w:asciiTheme="majorHAnsi" w:hAnsiTheme="majorHAnsi" w:cstheme="majorHAnsi"/>
          <w:sz w:val="26"/>
          <w:szCs w:val="26"/>
        </w:rPr>
        <w:t xml:space="preserve"> Một số quy định của Luật BVMT và các Văn bản dưới Luật vướng mắc trong thực tiễn nhưng chậm sửa đổi (như quy định về hạ tầng BVMT trong KCN, CCN).</w:t>
      </w:r>
    </w:p>
    <w:p w14:paraId="35A27800" w14:textId="77777777" w:rsidR="00085789" w:rsidRDefault="00000000">
      <w:pPr>
        <w:pStyle w:val="a21"/>
        <w:numPr>
          <w:ilvl w:val="0"/>
          <w:numId w:val="21"/>
        </w:numPr>
        <w:tabs>
          <w:tab w:val="clear" w:pos="360"/>
          <w:tab w:val="num" w:pos="0"/>
        </w:tabs>
        <w:spacing w:after="0" w:line="240" w:lineRule="auto"/>
        <w:ind w:firstLine="567"/>
        <w:jc w:val="both"/>
        <w:rPr>
          <w:rFonts w:asciiTheme="majorHAnsi" w:hAnsiTheme="majorHAnsi" w:cstheme="majorHAnsi"/>
          <w:b/>
          <w:bCs w:val="0"/>
          <w:i w:val="0"/>
          <w:color w:val="auto"/>
          <w:sz w:val="26"/>
          <w:szCs w:val="26"/>
          <w:lang w:val="vi-VN" w:eastAsia="vi-VN"/>
        </w:rPr>
      </w:pPr>
      <w:bookmarkStart w:id="1896" w:name="_Toc421891087"/>
      <w:bookmarkStart w:id="1897" w:name="_Toc423076035"/>
      <w:bookmarkStart w:id="1898" w:name="_Toc423076307"/>
      <w:bookmarkStart w:id="1899" w:name="_Toc54794508"/>
      <w:bookmarkStart w:id="1900" w:name="_Toc54795222"/>
      <w:bookmarkStart w:id="1901" w:name="_Toc54795936"/>
      <w:bookmarkStart w:id="1902" w:name="_Toc54796650"/>
      <w:bookmarkStart w:id="1903" w:name="_Toc54810939"/>
      <w:bookmarkStart w:id="1904" w:name="_Toc55008282"/>
      <w:bookmarkStart w:id="1905" w:name="_Toc55592604"/>
      <w:bookmarkStart w:id="1906" w:name="_Toc55595165"/>
      <w:bookmarkStart w:id="1907" w:name="_Toc56737220"/>
      <w:bookmarkStart w:id="1908" w:name="_Toc56737941"/>
      <w:bookmarkStart w:id="1909" w:name="_Toc56739382"/>
      <w:bookmarkStart w:id="1910" w:name="_Toc56740125"/>
      <w:bookmarkStart w:id="1911" w:name="_Toc56740888"/>
      <w:r>
        <w:rPr>
          <w:rFonts w:asciiTheme="majorHAnsi" w:hAnsiTheme="majorHAnsi" w:cstheme="majorHAnsi"/>
          <w:bCs w:val="0"/>
          <w:color w:val="auto"/>
          <w:sz w:val="26"/>
          <w:szCs w:val="26"/>
          <w:lang w:val="vi-VN" w:eastAsia="vi-VN"/>
        </w:rPr>
        <w:t>* Về mặt tài chính, đầu tư cho công tác bảo vệ môi trường</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34E258AA" w14:textId="77777777" w:rsidR="00085789" w:rsidRDefault="00000000">
      <w:pPr>
        <w:spacing w:before="120" w:line="240" w:lineRule="auto"/>
        <w:ind w:firstLine="709"/>
        <w:jc w:val="both"/>
        <w:rPr>
          <w:spacing w:val="-4"/>
          <w:sz w:val="26"/>
          <w:szCs w:val="26"/>
          <w:lang w:val="pt-BR"/>
        </w:rPr>
      </w:pPr>
      <w:r>
        <w:rPr>
          <w:spacing w:val="-4"/>
          <w:sz w:val="26"/>
          <w:szCs w:val="26"/>
          <w:lang w:val="pt-BR"/>
        </w:rPr>
        <w:t xml:space="preserve"> Việc đầu tư hạ tầng bảo vệ môi trường cho các KCN, CCN, làng nghề, đô thị, khu dân cư nông thôn tập trung,… bảo tồn HST và ĐDSH, ứng phó với BĐKH chưa đảm bảo. Quỹ bảo vệ môi trường chưa được ngân sách nhà nước cấp vốn điều lệ nên chưa thực hiện nhiệm vụ cho vay ưu đãi, hỗ trợ lãi suất, tài trợ theo điều lệ và quy định; quản lý, sử dụng nguồn tiền ký quỹ cải tạo phục hồi môi trường trong khai thác khoáng sản còn chưa hiệu quả.</w:t>
      </w:r>
    </w:p>
    <w:p w14:paraId="6A70423B" w14:textId="77777777" w:rsidR="00085789" w:rsidRDefault="00000000">
      <w:pPr>
        <w:spacing w:before="120" w:line="240" w:lineRule="auto"/>
        <w:ind w:firstLine="709"/>
        <w:jc w:val="both"/>
        <w:rPr>
          <w:rFonts w:asciiTheme="majorHAnsi" w:hAnsiTheme="majorHAnsi" w:cstheme="majorHAnsi"/>
          <w:bCs/>
          <w:i/>
          <w:iCs/>
          <w:sz w:val="26"/>
          <w:szCs w:val="26"/>
          <w:lang w:val="pt-BR"/>
        </w:rPr>
      </w:pPr>
      <w:r>
        <w:rPr>
          <w:rFonts w:asciiTheme="majorHAnsi" w:hAnsiTheme="majorHAnsi" w:cstheme="majorHAnsi"/>
          <w:bCs/>
          <w:i/>
          <w:iCs/>
          <w:sz w:val="26"/>
          <w:szCs w:val="26"/>
          <w:lang w:val="pt-BR"/>
        </w:rPr>
        <w:t>* Về công tác kiểm soát ô nhiễm và xử lý các nguồn gây ô nhiễm</w:t>
      </w:r>
    </w:p>
    <w:p w14:paraId="6FA9AE6B" w14:textId="77777777" w:rsidR="00085789" w:rsidRDefault="00000000">
      <w:pPr>
        <w:spacing w:before="12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xml:space="preserve">- Công tác kiểm soát ô nhiễm môi trường đối với các nguồn thải như: nước thải khu vực đô thị, các khu dân cư tập trung, chất thải nguy hại từ các cơ sở sản xuất, dịch vụ quy </w:t>
      </w:r>
      <w:r>
        <w:rPr>
          <w:rFonts w:asciiTheme="majorHAnsi" w:hAnsiTheme="majorHAnsi" w:cstheme="majorHAnsi"/>
          <w:bCs/>
          <w:sz w:val="26"/>
          <w:szCs w:val="26"/>
          <w:lang w:val="pt-BR"/>
        </w:rPr>
        <w:lastRenderedPageBreak/>
        <w:t xml:space="preserve">mô nhỏ và từ các hộ gia đình, khí thải từ các phương tiện giao thông,... đang có nhiều khó khăn, bất cập, chưa hiệu quả. </w:t>
      </w:r>
    </w:p>
    <w:p w14:paraId="5B9528AB" w14:textId="77777777" w:rsidR="00085789" w:rsidRDefault="00000000">
      <w:pPr>
        <w:spacing w:before="12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Nhiều khu công nghiệp, cụm công nghiệp, làng nghề chưa đảm bảo yêu cầu về hạ tầng kỹ thuật bảo vệ môi trường (chưa đầu tư xây dựng hạ tầng hoặc đã xây dựng nhưng chưa đầy đủ, đồng bộ, chưa tách riêng hệ thống thoát nước mưa với hệ thống thu gom, xử lý nước thải; chưa có hệ thống xử lý nước thải tập trung; chưa hoàn thành việc lắp đặt hệ thống quan trắc tự động, liên tục và công trình phòng ngừa, ứng phó sự cố môi trường,...) dẫn đến vướng mắc trong thu hút các dự án đầu tư.</w:t>
      </w:r>
    </w:p>
    <w:p w14:paraId="0446143F" w14:textId="2520B277" w:rsidR="00085789" w:rsidRDefault="00000000">
      <w:pPr>
        <w:spacing w:before="120" w:line="240" w:lineRule="auto"/>
        <w:ind w:firstLine="709"/>
        <w:jc w:val="both"/>
        <w:rPr>
          <w:rFonts w:asciiTheme="majorHAnsi" w:hAnsiTheme="majorHAnsi" w:cstheme="majorHAnsi"/>
          <w:bCs/>
          <w:spacing w:val="-4"/>
          <w:sz w:val="26"/>
          <w:szCs w:val="26"/>
          <w:lang w:val="pt-BR"/>
        </w:rPr>
      </w:pPr>
      <w:r>
        <w:rPr>
          <w:rFonts w:asciiTheme="majorHAnsi" w:hAnsiTheme="majorHAnsi" w:cstheme="majorHAnsi"/>
          <w:bCs/>
          <w:spacing w:val="-4"/>
          <w:sz w:val="26"/>
          <w:szCs w:val="26"/>
          <w:lang w:val="pt-BR"/>
        </w:rPr>
        <w:t>- Hầu hết các đô thị chưa có hệ thống xử lý nước thải tập trung, hệ thống thoát nước mưa còn chung với nước thải sinh hoạt. Nước thải từ các khu dân cư nông thôn chủ yếu được thu gom về các vị trí theo quy hoạch nông thôn mới, chưa được xử lý.</w:t>
      </w:r>
    </w:p>
    <w:p w14:paraId="0F836C7D" w14:textId="77777777" w:rsidR="00085789" w:rsidRDefault="00000000">
      <w:pPr>
        <w:spacing w:before="120" w:line="240" w:lineRule="auto"/>
        <w:ind w:firstLine="709"/>
        <w:jc w:val="both"/>
        <w:rPr>
          <w:rFonts w:asciiTheme="majorHAnsi" w:hAnsiTheme="majorHAnsi" w:cstheme="majorHAnsi"/>
          <w:bCs/>
          <w:i/>
          <w:iCs/>
          <w:sz w:val="26"/>
          <w:szCs w:val="26"/>
          <w:lang w:val="pt-BR"/>
        </w:rPr>
      </w:pPr>
      <w:r>
        <w:rPr>
          <w:rFonts w:asciiTheme="majorHAnsi" w:hAnsiTheme="majorHAnsi" w:cstheme="majorHAnsi"/>
          <w:bCs/>
          <w:sz w:val="26"/>
          <w:szCs w:val="26"/>
          <w:lang w:val="pt-BR"/>
        </w:rPr>
        <w:t>- Ô nhiễm môi trường trong chăn nuôi nhất là các trang trại nuôi lợn tập trung tiềm ẩn nhiều nơi; việc kiểm soát, xử lý môi trường trong chăn nuôi quy mô nông hộ đang khó khăn, chưa hiệu quả, gây ảnh hưởng đến môi trường và sinh hoạt của dân cư xung quanh. Tình trạng ô nhiễm môi trường nước trong NTTS vẫn đang diễn ra ở khu vực ven biển.</w:t>
      </w:r>
    </w:p>
    <w:p w14:paraId="3FE5A258" w14:textId="77777777" w:rsidR="00085789" w:rsidRDefault="00000000">
      <w:pPr>
        <w:pStyle w:val="a21"/>
        <w:numPr>
          <w:ilvl w:val="0"/>
          <w:numId w:val="21"/>
        </w:numPr>
        <w:tabs>
          <w:tab w:val="clear" w:pos="360"/>
          <w:tab w:val="num" w:pos="0"/>
        </w:tabs>
        <w:spacing w:after="0" w:line="240" w:lineRule="auto"/>
        <w:jc w:val="both"/>
        <w:rPr>
          <w:rFonts w:asciiTheme="majorHAnsi" w:hAnsiTheme="majorHAnsi" w:cstheme="majorHAnsi"/>
          <w:b/>
          <w:bCs w:val="0"/>
          <w:i w:val="0"/>
          <w:iCs/>
          <w:color w:val="auto"/>
          <w:sz w:val="26"/>
          <w:szCs w:val="26"/>
          <w:lang w:val="vi-VN" w:eastAsia="vi-VN"/>
        </w:rPr>
      </w:pPr>
      <w:r>
        <w:rPr>
          <w:rFonts w:asciiTheme="majorHAnsi" w:hAnsiTheme="majorHAnsi" w:cstheme="majorHAnsi"/>
          <w:i w:val="0"/>
          <w:iCs/>
          <w:sz w:val="26"/>
          <w:szCs w:val="26"/>
          <w:lang w:val="pt-BR"/>
        </w:rPr>
        <w:t xml:space="preserve">- Tình trạng lạm dụng các loại phân bón, thuốc BVTV trong hoạt động nông nghiệp (phát sinh vỏ bao gói, dư lượng thuốc gây ô nhiễm môi trường đất, nước mặt) và vấn đề ô nhiễm do chất độc hóa học tồn lưu tại một số điểm trong tỉnh chưa được xử lý. </w:t>
      </w:r>
      <w:bookmarkStart w:id="1912" w:name="_Toc421891089"/>
      <w:bookmarkStart w:id="1913" w:name="_Toc423076037"/>
      <w:bookmarkStart w:id="1914" w:name="_Toc423076309"/>
      <w:bookmarkStart w:id="1915" w:name="_Toc54794509"/>
      <w:bookmarkStart w:id="1916" w:name="_Toc54795223"/>
      <w:bookmarkStart w:id="1917" w:name="_Toc54795937"/>
      <w:bookmarkStart w:id="1918" w:name="_Toc54796651"/>
      <w:bookmarkStart w:id="1919" w:name="_Toc54810940"/>
      <w:bookmarkStart w:id="1920" w:name="_Toc55008283"/>
      <w:bookmarkStart w:id="1921" w:name="_Toc55592605"/>
      <w:bookmarkStart w:id="1922" w:name="_Toc55595166"/>
      <w:bookmarkStart w:id="1923" w:name="_Toc56737221"/>
      <w:bookmarkStart w:id="1924" w:name="_Toc56737942"/>
      <w:bookmarkStart w:id="1925" w:name="_Toc56739383"/>
      <w:bookmarkStart w:id="1926" w:name="_Toc56740126"/>
      <w:bookmarkStart w:id="1927" w:name="_Toc56740889"/>
    </w:p>
    <w:p w14:paraId="6791E6E1" w14:textId="77777777" w:rsidR="00085789" w:rsidRDefault="00000000">
      <w:pPr>
        <w:pStyle w:val="a21"/>
        <w:numPr>
          <w:ilvl w:val="0"/>
          <w:numId w:val="21"/>
        </w:numPr>
        <w:tabs>
          <w:tab w:val="clear" w:pos="360"/>
          <w:tab w:val="num" w:pos="0"/>
        </w:tabs>
        <w:spacing w:after="0" w:line="240" w:lineRule="auto"/>
        <w:jc w:val="both"/>
        <w:rPr>
          <w:rFonts w:asciiTheme="majorHAnsi" w:hAnsiTheme="majorHAnsi" w:cstheme="majorHAnsi"/>
          <w:b/>
          <w:bCs w:val="0"/>
          <w:color w:val="auto"/>
          <w:sz w:val="26"/>
          <w:szCs w:val="26"/>
          <w:lang w:val="vi-VN" w:eastAsia="vi-VN"/>
        </w:rPr>
      </w:pPr>
      <w:r>
        <w:rPr>
          <w:rFonts w:asciiTheme="majorHAnsi" w:hAnsiTheme="majorHAnsi" w:cstheme="majorHAnsi"/>
          <w:bCs w:val="0"/>
          <w:color w:val="auto"/>
          <w:sz w:val="26"/>
          <w:szCs w:val="26"/>
          <w:lang w:val="vi-VN" w:eastAsia="vi-VN"/>
        </w:rPr>
        <w:t>* Về nguồn lực, sự tham gia của cộng đồng</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p>
    <w:p w14:paraId="63532891" w14:textId="77777777" w:rsidR="00085789" w:rsidRDefault="00000000">
      <w:pPr>
        <w:pStyle w:val="a21"/>
        <w:numPr>
          <w:ilvl w:val="0"/>
          <w:numId w:val="21"/>
        </w:numPr>
        <w:tabs>
          <w:tab w:val="clear" w:pos="360"/>
          <w:tab w:val="num" w:pos="0"/>
        </w:tabs>
        <w:spacing w:after="0" w:line="240" w:lineRule="auto"/>
        <w:jc w:val="both"/>
        <w:rPr>
          <w:rFonts w:asciiTheme="majorHAnsi" w:hAnsiTheme="majorHAnsi" w:cstheme="majorHAnsi"/>
          <w:b/>
          <w:bCs w:val="0"/>
          <w:i w:val="0"/>
          <w:iCs/>
          <w:color w:val="auto"/>
          <w:sz w:val="26"/>
          <w:szCs w:val="26"/>
          <w:lang w:val="vi-VN" w:eastAsia="vi-VN"/>
        </w:rPr>
      </w:pPr>
      <w:r>
        <w:rPr>
          <w:rFonts w:asciiTheme="majorHAnsi" w:hAnsiTheme="majorHAnsi" w:cstheme="majorHAnsi"/>
          <w:i w:val="0"/>
          <w:iCs/>
          <w:sz w:val="26"/>
          <w:szCs w:val="26"/>
          <w:lang w:val="pt-BR"/>
        </w:rPr>
        <w:t>-</w:t>
      </w:r>
      <w:r>
        <w:rPr>
          <w:rFonts w:asciiTheme="majorHAnsi" w:hAnsiTheme="majorHAnsi" w:cstheme="majorHAnsi"/>
          <w:i w:val="0"/>
          <w:iCs/>
          <w:sz w:val="26"/>
          <w:szCs w:val="26"/>
          <w:lang w:val="vi-VN"/>
        </w:rPr>
        <w:t xml:space="preserve"> </w:t>
      </w:r>
      <w:r>
        <w:rPr>
          <w:rFonts w:asciiTheme="majorHAnsi" w:hAnsiTheme="majorHAnsi" w:cstheme="majorHAnsi"/>
          <w:i w:val="0"/>
          <w:iCs/>
          <w:sz w:val="26"/>
          <w:szCs w:val="26"/>
          <w:lang w:val="pt-BR"/>
        </w:rPr>
        <w:t>Ý thức chấp hành pháp luật về bảo vệ môi trường của một số người dân, doanh nghiệp, đơn vị còn hạn chế; nhiều doanh nghiệp, cơ sở sản xuất chưa ưu tiên đầu tư công trình bảo vệ môi trường hoặc có đầu tư công trình bảo vệ môi trường nhưng vận hành không hiệu quả; vẫn còn một số đơn vị chưa thực hiện đầy đủ chế độ báo cáo công tác bảo vệ môi trường định kỳ, chưa thực hiện lập hồ sơ môi trường theo quy định của Luật Bảo vệ môi trường năm 2020,....</w:t>
      </w:r>
    </w:p>
    <w:p w14:paraId="084832EC" w14:textId="77777777" w:rsidR="00085789" w:rsidRDefault="00000000">
      <w:pPr>
        <w:pStyle w:val="ListParagraph"/>
        <w:numPr>
          <w:ilvl w:val="0"/>
          <w:numId w:val="21"/>
        </w:numPr>
        <w:autoSpaceDE w:val="0"/>
        <w:autoSpaceDN w:val="0"/>
        <w:adjustRightInd w:val="0"/>
        <w:spacing w:before="120" w:after="0" w:line="240" w:lineRule="auto"/>
        <w:ind w:left="0" w:firstLine="567"/>
        <w:jc w:val="both"/>
        <w:rPr>
          <w:rFonts w:asciiTheme="majorHAnsi" w:eastAsia="Calibri" w:hAnsiTheme="majorHAnsi" w:cstheme="majorHAnsi"/>
          <w:spacing w:val="-2"/>
          <w:sz w:val="26"/>
          <w:szCs w:val="26"/>
          <w:lang w:val="pt-BR"/>
        </w:rPr>
      </w:pPr>
      <w:r>
        <w:rPr>
          <w:rFonts w:asciiTheme="majorHAnsi" w:eastAsia="Calibri" w:hAnsiTheme="majorHAnsi" w:cstheme="majorHAnsi"/>
          <w:spacing w:val="-2"/>
          <w:sz w:val="26"/>
          <w:szCs w:val="26"/>
          <w:lang w:val="pt-BR"/>
        </w:rPr>
        <w:t>- Hầu hết cơ sở sản xuất, kinh doanh, dịch vụ chưa có cán bộ, nhân viên chuyên trách trong hoạt động quản lý BVMT, hoặc có nhưng kiêm nhiệm nhiều chức năng trong khi chuyên môn chưa đáp ứng được yêu cầu, nên chưa nắm rõ được quy định của Luật BVMT, Luật Tài nguyên nước và các văn bản hướng dẫn. Vì vậy, lúng túng trong việc thực hiện các thủ tục môi trường, báo cáo tình hình hoạt động bảo vệ môi trường và kiểm soát nguồn thải của sơ sở theo quy định.</w:t>
      </w:r>
    </w:p>
    <w:p w14:paraId="54D63EF5" w14:textId="77777777" w:rsidR="00085789" w:rsidRDefault="00000000">
      <w:pPr>
        <w:pStyle w:val="-bac3"/>
        <w:spacing w:before="120" w:after="0" w:line="240" w:lineRule="auto"/>
      </w:pPr>
      <w:bookmarkStart w:id="1928" w:name="_Toc90027089"/>
      <w:bookmarkStart w:id="1929" w:name="_Toc107203442"/>
      <w:bookmarkStart w:id="1930" w:name="_Toc107559794"/>
      <w:bookmarkStart w:id="1931" w:name="_Toc116908063"/>
      <w:bookmarkStart w:id="1932" w:name="_Toc138943439"/>
      <w:bookmarkStart w:id="1933" w:name="_Toc138977442"/>
      <w:bookmarkStart w:id="1934" w:name="_Toc142915474"/>
      <w:bookmarkStart w:id="1935" w:name="_Toc142919616"/>
      <w:bookmarkStart w:id="1936" w:name="_Toc181861487"/>
      <w:bookmarkStart w:id="1937" w:name="_Toc181861970"/>
      <w:bookmarkStart w:id="1938" w:name="_Toc193957732"/>
      <w:bookmarkStart w:id="1939" w:name="_Toc214311324"/>
      <w:r>
        <w:t xml:space="preserve">11.1.2. Các thách thức trong </w:t>
      </w:r>
      <w:bookmarkEnd w:id="1928"/>
      <w:bookmarkEnd w:id="1929"/>
      <w:bookmarkEnd w:id="1930"/>
      <w:bookmarkEnd w:id="1931"/>
      <w:r>
        <w:t>thời gian tới</w:t>
      </w:r>
      <w:bookmarkEnd w:id="1932"/>
      <w:bookmarkEnd w:id="1933"/>
      <w:bookmarkEnd w:id="1934"/>
      <w:bookmarkEnd w:id="1935"/>
      <w:bookmarkEnd w:id="1936"/>
      <w:bookmarkEnd w:id="1937"/>
      <w:bookmarkEnd w:id="1938"/>
      <w:bookmarkEnd w:id="1939"/>
    </w:p>
    <w:p w14:paraId="3A3A11D3" w14:textId="1914526F" w:rsidR="00085789" w:rsidRDefault="00000000">
      <w:pPr>
        <w:pStyle w:val="HD3"/>
        <w:spacing w:before="120" w:after="0" w:line="240" w:lineRule="auto"/>
        <w:ind w:firstLine="709"/>
        <w:rPr>
          <w:b w:val="0"/>
          <w:bCs/>
          <w:i w:val="0"/>
          <w:iCs/>
          <w:color w:val="auto"/>
          <w:spacing w:val="0"/>
          <w:sz w:val="26"/>
        </w:rPr>
      </w:pPr>
      <w:r>
        <w:rPr>
          <w:b w:val="0"/>
          <w:bCs/>
          <w:i w:val="0"/>
          <w:iCs/>
          <w:color w:val="auto"/>
          <w:spacing w:val="0"/>
          <w:sz w:val="26"/>
        </w:rPr>
        <w:t xml:space="preserve">- Áp lực từ tăng trưởng kinh tế, thu hút các dự án lớn dẫn đến gia tăng phát thải (khí thải, nước thải, CTR) và nguy cơ ô nhiễm nếu không kiểm soát chặt chẽ sẽ làm suy giảm chất lượng môi trường đất, nước, không khí; ảnh hưởng tiêu cực đến sức khỏe cộng đồng và mục tiêu phát triển bền vững của tỉnh trong những năm tới. </w:t>
      </w:r>
    </w:p>
    <w:p w14:paraId="60CA96CE" w14:textId="77777777" w:rsidR="00085789" w:rsidRDefault="00000000">
      <w:pPr>
        <w:pStyle w:val="HD3"/>
        <w:spacing w:before="120" w:after="0" w:line="240" w:lineRule="auto"/>
        <w:ind w:firstLine="709"/>
        <w:rPr>
          <w:b w:val="0"/>
          <w:bCs/>
          <w:i w:val="0"/>
          <w:iCs/>
          <w:color w:val="auto"/>
          <w:spacing w:val="0"/>
          <w:sz w:val="26"/>
        </w:rPr>
      </w:pPr>
      <w:r>
        <w:rPr>
          <w:b w:val="0"/>
          <w:bCs/>
          <w:i w:val="0"/>
          <w:iCs/>
          <w:color w:val="auto"/>
          <w:spacing w:val="0"/>
          <w:sz w:val="26"/>
        </w:rPr>
        <w:t>- BĐKH đang diễn biến ngày càng phức tạp, nhanh hơn dự báo, tác động tiêu cực tới môi trường sinh thái và sự phát triển bền vững. BĐKH đã tác động đến môi trường nhiều năm qua và ngày càng rõ nét hơn, thể hiện qua các hiện tượng thiên tai bất thường, thời tiết cực đoan, hạn hán, bão, lũ, lụt gây ảnh hưởng nặng nề đối với phát triển KT-XH và môi trường. Trong tương lai, BĐKH cũng sẽ khiến cho tình trạng ô nhiễm môi trường diễn ra phức tạp hơn và xảy ra trên nhiều lĩnh vực.</w:t>
      </w:r>
    </w:p>
    <w:p w14:paraId="57083DCB" w14:textId="77777777" w:rsidR="00085789" w:rsidRDefault="00000000">
      <w:pPr>
        <w:pStyle w:val="HD3"/>
        <w:spacing w:before="120" w:after="0" w:line="240" w:lineRule="auto"/>
        <w:ind w:firstLine="709"/>
        <w:rPr>
          <w:b w:val="0"/>
          <w:bCs/>
          <w:i w:val="0"/>
          <w:iCs/>
          <w:color w:val="auto"/>
          <w:sz w:val="26"/>
        </w:rPr>
      </w:pPr>
      <w:r>
        <w:rPr>
          <w:b w:val="0"/>
          <w:bCs/>
          <w:i w:val="0"/>
          <w:iCs/>
          <w:color w:val="auto"/>
          <w:spacing w:val="0"/>
          <w:sz w:val="26"/>
        </w:rPr>
        <w:t xml:space="preserve">- Trong 5 năm tới, áp lực xử lý nước thải tại Hà Tĩnh dự báo tiếp tục gia tăng do tốc độ đô thị hóa, mở rộng các khu dân cư, làng nghề và phát triển nông thôn. Lượng nước thải </w:t>
      </w:r>
      <w:r>
        <w:rPr>
          <w:b w:val="0"/>
          <w:bCs/>
          <w:i w:val="0"/>
          <w:iCs/>
          <w:color w:val="auto"/>
          <w:spacing w:val="0"/>
          <w:sz w:val="26"/>
        </w:rPr>
        <w:lastRenderedPageBreak/>
        <w:t>sinh hoạt và sản xuất sẽ tăng nhanh. Điều này đặt ra nguy cơ quá tải cho hạ tầng xử lý hiện có, phát sinh ô nhiễm liên vùng, ảnh hưởng đến mục tiêu phát triển bền vững</w:t>
      </w:r>
      <w:r>
        <w:rPr>
          <w:b w:val="0"/>
          <w:bCs/>
          <w:i w:val="0"/>
          <w:iCs/>
          <w:color w:val="auto"/>
          <w:sz w:val="26"/>
        </w:rPr>
        <w:t>.</w:t>
      </w:r>
    </w:p>
    <w:p w14:paraId="7237703B" w14:textId="77777777" w:rsidR="00085789" w:rsidRDefault="00000000">
      <w:pPr>
        <w:pStyle w:val="HD3"/>
        <w:spacing w:before="120" w:after="0" w:line="240" w:lineRule="auto"/>
        <w:ind w:firstLine="709"/>
        <w:rPr>
          <w:b w:val="0"/>
          <w:bCs/>
          <w:i w:val="0"/>
          <w:iCs/>
          <w:color w:val="auto"/>
          <w:spacing w:val="0"/>
          <w:sz w:val="26"/>
        </w:rPr>
      </w:pPr>
      <w:r>
        <w:rPr>
          <w:b w:val="0"/>
          <w:bCs/>
          <w:i w:val="0"/>
          <w:iCs/>
          <w:color w:val="auto"/>
          <w:spacing w:val="0"/>
          <w:sz w:val="26"/>
        </w:rPr>
        <w:t>- Việc vận hành mô hình chính quyền địa phương 02 cấp vẫn cần thời gian để hoàn thiện, xác định rõ vai trò trách nhiệm, đồng thời nâng cao năng lực chuyên môn của các đơn vị nhằm bảo đảm hiệu quả quản lý, giám sát và xử lý kịp thời các vấn đề môi trường phát sinh.</w:t>
      </w:r>
    </w:p>
    <w:p w14:paraId="53D97F51" w14:textId="77777777" w:rsidR="00085789" w:rsidRDefault="00000000">
      <w:pPr>
        <w:pStyle w:val="HD3"/>
        <w:spacing w:before="120" w:after="0" w:line="240" w:lineRule="auto"/>
        <w:ind w:firstLine="709"/>
        <w:rPr>
          <w:b w:val="0"/>
          <w:bCs/>
          <w:i w:val="0"/>
          <w:iCs/>
          <w:color w:val="auto"/>
          <w:spacing w:val="0"/>
          <w:sz w:val="26"/>
        </w:rPr>
      </w:pPr>
      <w:r>
        <w:rPr>
          <w:b w:val="0"/>
          <w:bCs/>
          <w:i w:val="0"/>
          <w:iCs/>
          <w:color w:val="auto"/>
          <w:spacing w:val="0"/>
          <w:sz w:val="26"/>
        </w:rPr>
        <w:t>- Chuyển đổi số, đồng bộ dữ liệu và minh bạch thông tin môi trường vẫn còn nhiều bất cập. Hệ thống hạ tầng công nghệ thông tin chưa đồng bộ, dữ liệu môi trường được thu thập rời rạc giữa các ngành và các cấp, thiếu cơ chế liên thông và chia sẻ kịp thời. Việc công khai, minh bạch thông tin môi trường cho cộng đồng còn hạn chế, chủ yếu dưới dạng báo cáo định kỳ, chưa đáp ứng nhu cầu tiếp cận nhanh và trực tuyến. Những hạn chế này làm giảm tốc độ ra quyết định quản lý, cản trở khả năng cảnh báo sớm trước các nguy cơ ô nhiễm, và khiến việc theo dõi, đánh giá liên tục chất lượng môi trường chưa đạt hiệu quả mong muốn.</w:t>
      </w:r>
    </w:p>
    <w:p w14:paraId="59F6383E" w14:textId="77777777" w:rsidR="00085789" w:rsidRDefault="00000000">
      <w:pPr>
        <w:pStyle w:val="bac2"/>
        <w:spacing w:before="120" w:after="0" w:line="240" w:lineRule="auto"/>
        <w:rPr>
          <w:smallCaps/>
        </w:rPr>
      </w:pPr>
      <w:bookmarkStart w:id="1940" w:name="_Toc90027090"/>
      <w:bookmarkStart w:id="1941" w:name="_Toc107203443"/>
      <w:bookmarkStart w:id="1942" w:name="_Toc107559795"/>
      <w:bookmarkStart w:id="1943" w:name="_Toc116908064"/>
      <w:bookmarkStart w:id="1944" w:name="_Toc138977443"/>
      <w:bookmarkStart w:id="1945" w:name="_Toc142915475"/>
      <w:bookmarkStart w:id="1946" w:name="_Toc142919617"/>
      <w:bookmarkStart w:id="1947" w:name="_Toc181861488"/>
      <w:bookmarkStart w:id="1948" w:name="_Toc181861971"/>
      <w:bookmarkStart w:id="1949" w:name="_Toc193957733"/>
      <w:bookmarkStart w:id="1950" w:name="_Toc214311325"/>
      <w:r>
        <w:t xml:space="preserve">11.2. </w:t>
      </w:r>
      <w:bookmarkEnd w:id="1940"/>
      <w:bookmarkEnd w:id="1941"/>
      <w:bookmarkEnd w:id="1942"/>
      <w:bookmarkEnd w:id="1943"/>
      <w:bookmarkEnd w:id="1944"/>
      <w:bookmarkEnd w:id="1945"/>
      <w:bookmarkEnd w:id="1946"/>
      <w:bookmarkEnd w:id="1947"/>
      <w:bookmarkEnd w:id="1948"/>
      <w:bookmarkEnd w:id="1949"/>
      <w:r>
        <w:t>Phương hướng và giải pháp bảo vệ môi trường giai đoạn 2026-2030</w:t>
      </w:r>
      <w:bookmarkEnd w:id="1950"/>
    </w:p>
    <w:p w14:paraId="55D878FD" w14:textId="77777777" w:rsidR="00085789" w:rsidRDefault="00000000">
      <w:pPr>
        <w:pStyle w:val="-bac3"/>
        <w:spacing w:before="120" w:after="0" w:line="240" w:lineRule="auto"/>
        <w:rPr>
          <w:rFonts w:eastAsia="Calibri"/>
        </w:rPr>
      </w:pPr>
      <w:bookmarkStart w:id="1951" w:name="_Toc90027091"/>
      <w:bookmarkStart w:id="1952" w:name="_Toc107203444"/>
      <w:bookmarkStart w:id="1953" w:name="_Toc107559796"/>
      <w:bookmarkStart w:id="1954" w:name="_Toc116908065"/>
      <w:bookmarkStart w:id="1955" w:name="_Toc138943440"/>
      <w:bookmarkStart w:id="1956" w:name="_Toc138977444"/>
      <w:bookmarkStart w:id="1957" w:name="_Toc142915478"/>
      <w:bookmarkStart w:id="1958" w:name="_Toc142919619"/>
      <w:bookmarkStart w:id="1959" w:name="_Toc181861489"/>
      <w:bookmarkStart w:id="1960" w:name="_Toc181861972"/>
      <w:bookmarkStart w:id="1961" w:name="_Toc193957734"/>
      <w:bookmarkStart w:id="1962" w:name="_Toc214311326"/>
      <w:bookmarkStart w:id="1963" w:name="_Toc142915476"/>
      <w:bookmarkStart w:id="1964" w:name="_Toc142919618"/>
      <w:r>
        <w:t xml:space="preserve">11.2.1. </w:t>
      </w:r>
      <w:bookmarkEnd w:id="1951"/>
      <w:bookmarkEnd w:id="1952"/>
      <w:bookmarkEnd w:id="1953"/>
      <w:bookmarkEnd w:id="1954"/>
      <w:bookmarkEnd w:id="1955"/>
      <w:bookmarkEnd w:id="1956"/>
      <w:bookmarkEnd w:id="1957"/>
      <w:bookmarkEnd w:id="1958"/>
      <w:bookmarkEnd w:id="1959"/>
      <w:bookmarkEnd w:id="1960"/>
      <w:bookmarkEnd w:id="1961"/>
      <w:r>
        <w:t>Xây dựng và thực hiện các đề án, chương trình bảo vệ môi trường tương ứng để khắc phục các vấn đề bức xúc về môi trường</w:t>
      </w:r>
      <w:bookmarkEnd w:id="1962"/>
      <w:r>
        <w:rPr>
          <w:rFonts w:eastAsia="Calibri"/>
        </w:rPr>
        <w:t xml:space="preserve"> </w:t>
      </w:r>
    </w:p>
    <w:p w14:paraId="6CA67346" w14:textId="77777777" w:rsidR="00085789" w:rsidRDefault="00000000">
      <w:pPr>
        <w:pStyle w:val="HD3"/>
        <w:spacing w:before="120" w:after="0" w:line="240" w:lineRule="auto"/>
        <w:ind w:firstLine="567"/>
        <w:rPr>
          <w:rFonts w:asciiTheme="majorHAnsi" w:eastAsia="Calibri" w:hAnsiTheme="majorHAnsi" w:cstheme="majorHAnsi"/>
          <w:b w:val="0"/>
          <w:bCs/>
          <w:i w:val="0"/>
          <w:color w:val="auto"/>
          <w:spacing w:val="0"/>
          <w:sz w:val="26"/>
        </w:rPr>
      </w:pPr>
      <w:r>
        <w:rPr>
          <w:rFonts w:asciiTheme="majorHAnsi" w:eastAsia="Calibri" w:hAnsiTheme="majorHAnsi" w:cstheme="majorHAnsi"/>
          <w:b w:val="0"/>
          <w:bCs/>
          <w:i w:val="0"/>
          <w:color w:val="auto"/>
          <w:spacing w:val="0"/>
          <w:sz w:val="26"/>
        </w:rPr>
        <w:t xml:space="preserve">-  Triển khai thực hiện kế hoạch ứng phó sự cố chất thải của tỉnh Hà Tĩnh giai đoạn 2025-2030 </w:t>
      </w:r>
      <w:r>
        <w:rPr>
          <w:rFonts w:asciiTheme="majorHAnsi" w:hAnsiTheme="majorHAnsi"/>
          <w:b w:val="0"/>
          <w:bCs/>
          <w:i w:val="0"/>
          <w:color w:val="auto"/>
          <w:spacing w:val="0"/>
          <w:sz w:val="26"/>
          <w:lang w:val="pt-BR"/>
        </w:rPr>
        <w:t xml:space="preserve">nhằm thực hiện tốt công tác phòng ngừa, hạn chế, giảm thiểu sự cố chất thải xảy ra trên địa bàn tỉnh. </w:t>
      </w:r>
    </w:p>
    <w:p w14:paraId="48A13DD0" w14:textId="77777777" w:rsidR="00085789" w:rsidRDefault="00000000">
      <w:pPr>
        <w:pStyle w:val="HD3"/>
        <w:spacing w:before="120" w:after="0" w:line="240" w:lineRule="auto"/>
        <w:ind w:firstLine="567"/>
        <w:rPr>
          <w:rFonts w:asciiTheme="majorHAnsi" w:eastAsia="Calibri" w:hAnsiTheme="majorHAnsi" w:cstheme="majorHAnsi"/>
          <w:b w:val="0"/>
          <w:bCs/>
          <w:i w:val="0"/>
          <w:color w:val="auto"/>
          <w:spacing w:val="0"/>
          <w:sz w:val="26"/>
        </w:rPr>
      </w:pPr>
      <w:r>
        <w:rPr>
          <w:rFonts w:asciiTheme="majorHAnsi" w:eastAsia="Calibri" w:hAnsiTheme="majorHAnsi" w:cstheme="majorHAnsi"/>
          <w:b w:val="0"/>
          <w:bCs/>
          <w:i w:val="0"/>
          <w:color w:val="auto"/>
          <w:spacing w:val="0"/>
          <w:sz w:val="26"/>
        </w:rPr>
        <w:t>- Thực hiện kế hoạch quản lý chất lượng môi trường không khí giai đoạn 2025-2030 nhằm kiểm soát hiệu quả các nguồn phát thải, cải thiện chất lượng không khí, bảo vệ sức khỏe cộng đồng, đồng thời đáp ứng yêu cầu về phát triển bền vững và thích ứng BĐKH.</w:t>
      </w:r>
    </w:p>
    <w:p w14:paraId="6CCD384A" w14:textId="63B094C8" w:rsidR="00085789" w:rsidRDefault="00000000">
      <w:pPr>
        <w:pStyle w:val="HD3"/>
        <w:spacing w:before="120" w:after="0" w:line="240" w:lineRule="auto"/>
        <w:ind w:firstLine="567"/>
        <w:rPr>
          <w:b w:val="0"/>
          <w:bCs/>
          <w:i w:val="0"/>
          <w:color w:val="auto"/>
          <w:spacing w:val="0"/>
          <w:sz w:val="26"/>
          <w:lang w:val="pt-BR"/>
        </w:rPr>
      </w:pPr>
      <w:r>
        <w:rPr>
          <w:rFonts w:asciiTheme="majorHAnsi" w:eastAsia="Calibri" w:hAnsiTheme="majorHAnsi" w:cstheme="majorHAnsi"/>
          <w:b w:val="0"/>
          <w:bCs/>
          <w:i w:val="0"/>
          <w:color w:val="auto"/>
          <w:spacing w:val="0"/>
          <w:sz w:val="26"/>
        </w:rPr>
        <w:t xml:space="preserve">- Triển  khai xây dựng phân vùng bảo vệ môi trường (vùng bảo vệ nghiêm ngặt, vùng hạn chế phát thải, vùng khác) theo </w:t>
      </w:r>
      <w:r>
        <w:rPr>
          <w:rFonts w:asciiTheme="majorHAnsi" w:hAnsiTheme="majorHAnsi"/>
          <w:b w:val="0"/>
          <w:bCs/>
          <w:i w:val="0"/>
          <w:color w:val="auto"/>
          <w:spacing w:val="0"/>
          <w:sz w:val="26"/>
          <w:lang w:val="nb-NO"/>
        </w:rPr>
        <w:t>Quy hoạch tỉnh Hà Tĩnh thời kỳ 2021-2030, tầm nhìn đến năm 2050 đã được Thủ tướng Chính phủ phê duyệt tại Quyết định số 1363/QĐ-TTg ngày 08/11/2022, phù hợp với  Luật Bảo</w:t>
      </w:r>
      <w:r>
        <w:rPr>
          <w:b w:val="0"/>
          <w:bCs/>
          <w:i w:val="0"/>
          <w:color w:val="auto"/>
          <w:sz w:val="26"/>
          <w:lang w:val="nb-NO"/>
        </w:rPr>
        <w:t xml:space="preserve"> vệ môi trường 2020 và  </w:t>
      </w:r>
      <w:r>
        <w:rPr>
          <w:b w:val="0"/>
          <w:bCs/>
          <w:i w:val="0"/>
          <w:color w:val="auto"/>
          <w:sz w:val="26"/>
          <w:lang w:val="pt-BR"/>
        </w:rPr>
        <w:t xml:space="preserve">Nghị </w:t>
      </w:r>
      <w:r>
        <w:rPr>
          <w:b w:val="0"/>
          <w:bCs/>
          <w:i w:val="0"/>
          <w:color w:val="auto"/>
          <w:spacing w:val="0"/>
          <w:sz w:val="26"/>
          <w:lang w:val="pt-BR"/>
        </w:rPr>
        <w:t>định số 08/2022/NĐ-CP ngày 10/1/2022 của Chính phủ.</w:t>
      </w:r>
    </w:p>
    <w:p w14:paraId="17F56606" w14:textId="77777777" w:rsidR="00085789" w:rsidRDefault="00000000">
      <w:pPr>
        <w:pStyle w:val="HD3"/>
        <w:spacing w:before="120" w:after="0" w:line="240" w:lineRule="auto"/>
        <w:ind w:firstLine="567"/>
        <w:rPr>
          <w:b w:val="0"/>
          <w:bCs/>
          <w:i w:val="0"/>
          <w:color w:val="auto"/>
          <w:spacing w:val="0"/>
          <w:sz w:val="26"/>
          <w:lang w:val="pt-BR"/>
        </w:rPr>
      </w:pPr>
      <w:r>
        <w:rPr>
          <w:b w:val="0"/>
          <w:bCs/>
          <w:i w:val="0"/>
          <w:color w:val="auto"/>
          <w:spacing w:val="0"/>
          <w:sz w:val="26"/>
          <w:lang w:val="pt-BR"/>
        </w:rPr>
        <w:t xml:space="preserve">- Xây dựng Đề án tăng cường năng lực thu gom, vận chuyển, xử lý CTRSH đến năm 2030 và những năm tiếp theo. Chỉ đạo Chủ đầu tư Dự án </w:t>
      </w:r>
      <w:r w:rsidRPr="00AA3A70">
        <w:rPr>
          <w:b w:val="0"/>
          <w:i w:val="0"/>
          <w:color w:val="0D0D0D" w:themeColor="text1" w:themeTint="F2"/>
          <w:sz w:val="26"/>
        </w:rPr>
        <w:t>Nhà máy xử lý chất thải tại xã Hồng Lộc, huyện Lộc Hà</w:t>
      </w:r>
      <w:r>
        <w:rPr>
          <w:b w:val="0"/>
          <w:bCs/>
          <w:i w:val="0"/>
          <w:color w:val="auto"/>
          <w:spacing w:val="0"/>
          <w:sz w:val="26"/>
          <w:lang w:val="pt-BR"/>
        </w:rPr>
        <w:t xml:space="preserve"> (đốt rác phát điện) đảm bảo tiến độ. Ban hành giá dịch vụ thu gom, vận chuyển, xử lý CTRSH đảm bảo quy định.</w:t>
      </w:r>
    </w:p>
    <w:p w14:paraId="3C57A076" w14:textId="77777777" w:rsidR="00085789" w:rsidRDefault="00000000">
      <w:pPr>
        <w:spacing w:before="120" w:line="240" w:lineRule="auto"/>
        <w:ind w:firstLine="567"/>
        <w:jc w:val="both"/>
        <w:rPr>
          <w:bCs/>
          <w:sz w:val="26"/>
          <w:lang w:val="pt-BR"/>
        </w:rPr>
      </w:pPr>
      <w:r>
        <w:rPr>
          <w:bCs/>
          <w:sz w:val="26"/>
          <w:szCs w:val="26"/>
          <w:lang w:val="pt-BR"/>
        </w:rPr>
        <w:t>- Triển khai Đề án mạng lưới và chương trình quan trắc môi trường tỉnh Hà Tĩnh giai đoạn 2026-2030.</w:t>
      </w:r>
    </w:p>
    <w:p w14:paraId="08B3B61F" w14:textId="77777777" w:rsidR="00085789" w:rsidRDefault="00000000">
      <w:pPr>
        <w:spacing w:before="120" w:line="240" w:lineRule="auto"/>
        <w:ind w:firstLine="567"/>
        <w:jc w:val="both"/>
        <w:rPr>
          <w:bCs/>
          <w:sz w:val="26"/>
          <w:lang w:val="pt-BR"/>
        </w:rPr>
      </w:pPr>
      <w:r>
        <w:rPr>
          <w:bCs/>
          <w:sz w:val="26"/>
          <w:szCs w:val="26"/>
          <w:lang w:val="pt-BR"/>
        </w:rPr>
        <w:t>- Xây dựng và triển khai các mô hình bảo vệ môi trường (thu gom, phân loại, xử lý CTRSH, nước thải sinh hoạt khu dân cư tập trung,...), mô hình tự quản ở địa phương nhằm nâng cao hiệu quả quản lý nhà nước về môi trường ở các cấp.</w:t>
      </w:r>
    </w:p>
    <w:p w14:paraId="715E8246" w14:textId="77777777" w:rsidR="00085789" w:rsidRDefault="00000000">
      <w:pPr>
        <w:pStyle w:val="HD3"/>
        <w:spacing w:before="120" w:after="0" w:line="240" w:lineRule="auto"/>
        <w:ind w:firstLine="567"/>
        <w:rPr>
          <w:b w:val="0"/>
          <w:bCs/>
          <w:i w:val="0"/>
          <w:color w:val="auto"/>
          <w:spacing w:val="0"/>
          <w:sz w:val="26"/>
          <w:lang w:val="pt-BR"/>
        </w:rPr>
      </w:pPr>
      <w:r>
        <w:rPr>
          <w:b w:val="0"/>
          <w:bCs/>
          <w:i w:val="0"/>
          <w:color w:val="auto"/>
          <w:spacing w:val="0"/>
          <w:sz w:val="26"/>
          <w:lang w:val="pt-BR"/>
        </w:rPr>
        <w:t>- Xây dựng hệ thống thông tin và cơ sở dữ liệu môi trường hiện đại, đáp ứng yêu cầu chuyển đổi số.</w:t>
      </w:r>
    </w:p>
    <w:p w14:paraId="51B8AE6A" w14:textId="77777777" w:rsidR="00085789" w:rsidRDefault="00000000">
      <w:pPr>
        <w:pStyle w:val="HD3"/>
        <w:spacing w:before="120" w:after="0" w:line="240" w:lineRule="auto"/>
        <w:ind w:firstLine="567"/>
        <w:rPr>
          <w:rFonts w:eastAsia="Calibri" w:cstheme="majorHAnsi"/>
          <w:b w:val="0"/>
          <w:i w:val="0"/>
          <w:iCs/>
          <w:spacing w:val="0"/>
          <w:sz w:val="26"/>
          <w:lang w:val="pt-BR"/>
        </w:rPr>
      </w:pPr>
      <w:r>
        <w:rPr>
          <w:rFonts w:eastAsia="Calibri" w:cstheme="majorHAnsi"/>
          <w:b w:val="0"/>
          <w:i w:val="0"/>
          <w:iCs/>
          <w:spacing w:val="0"/>
          <w:sz w:val="26"/>
          <w:lang w:val="pt-BR"/>
        </w:rPr>
        <w:t xml:space="preserve">- Xây dựng Đề án chuyển đổi xanh và kinh tế tuần hoàn trong các KCN và CCN có rủi ro môi trường cao tập trung vào các nội dung: đánh giá công nghệ hiện tại, hỗ trợ cải tạo, thúc đẩy tuần hoàn tái sử dụng và giảm phát thải. Đề án được triển khai theo định hướng của Chiến lược quốc gia về tăng trưởng xanh giai đoạn 2021-2030, tầm nhìn 2050 </w:t>
      </w:r>
      <w:r>
        <w:rPr>
          <w:rFonts w:eastAsia="Calibri" w:cstheme="majorHAnsi"/>
          <w:b w:val="0"/>
          <w:i w:val="0"/>
          <w:iCs/>
          <w:spacing w:val="0"/>
          <w:sz w:val="26"/>
          <w:lang w:val="pt-BR"/>
        </w:rPr>
        <w:lastRenderedPageBreak/>
        <w:t>(Quyết định số 1658/QĐ-TTg ngày 01/10/2021) và Đề án phát triển kinh tế tuần hoàn ở Việt Nam (Quyết định số 687/QĐ-TTg ngày 07/6/2022).</w:t>
      </w:r>
    </w:p>
    <w:p w14:paraId="3508036E" w14:textId="77777777" w:rsidR="00085789" w:rsidRDefault="00000000">
      <w:pPr>
        <w:pStyle w:val="HD3"/>
        <w:spacing w:before="120" w:after="0" w:line="240" w:lineRule="auto"/>
        <w:ind w:firstLine="567"/>
        <w:rPr>
          <w:rFonts w:eastAsia="Calibri" w:cstheme="majorHAnsi"/>
          <w:b w:val="0"/>
          <w:i w:val="0"/>
          <w:iCs/>
          <w:spacing w:val="0"/>
          <w:sz w:val="26"/>
          <w:lang w:val="pt-BR"/>
        </w:rPr>
      </w:pPr>
      <w:r>
        <w:rPr>
          <w:rFonts w:eastAsia="Calibri" w:cstheme="majorHAnsi"/>
          <w:b w:val="0"/>
          <w:i w:val="0"/>
          <w:iCs/>
          <w:spacing w:val="0"/>
          <w:sz w:val="26"/>
          <w:lang w:val="pt-BR"/>
        </w:rPr>
        <w:t xml:space="preserve">- Triển khai các nội dung về bảo tồn thiên nhiên, đa dạng sinh học trong Quy hoạch tỉnh thời kỳ 2021-2030, tầm nhìn đến năm 2050. </w:t>
      </w:r>
    </w:p>
    <w:p w14:paraId="0F787485" w14:textId="0848AE7A" w:rsidR="00085789" w:rsidRDefault="00000000">
      <w:pPr>
        <w:pStyle w:val="HD3"/>
        <w:spacing w:before="120" w:after="0" w:line="240" w:lineRule="auto"/>
        <w:ind w:firstLine="567"/>
        <w:rPr>
          <w:b w:val="0"/>
          <w:i w:val="0"/>
          <w:iCs/>
          <w:spacing w:val="0"/>
          <w:sz w:val="26"/>
          <w:lang w:val="pt-BR"/>
        </w:rPr>
      </w:pPr>
      <w:r>
        <w:rPr>
          <w:rFonts w:eastAsia="Calibri" w:cstheme="majorHAnsi"/>
          <w:b w:val="0"/>
          <w:i w:val="0"/>
          <w:iCs/>
          <w:spacing w:val="0"/>
          <w:sz w:val="26"/>
          <w:lang w:val="pt-BR"/>
        </w:rPr>
        <w:t>- Thực hiện đánh giá khả năng chịu tải của môi trường tại Khu kinh tế Vũng Áng để làm cơ sở cho việc xem xét, tiếp nhận các dự án đầu tư lớn vào khu kinh tế Vũng Áng.</w:t>
      </w:r>
    </w:p>
    <w:p w14:paraId="1B1AD8D4" w14:textId="77777777" w:rsidR="00085789" w:rsidRDefault="00000000">
      <w:pPr>
        <w:pStyle w:val="HD3"/>
        <w:spacing w:before="120" w:after="0" w:line="240" w:lineRule="auto"/>
        <w:ind w:firstLine="567"/>
        <w:rPr>
          <w:bCs/>
          <w:sz w:val="26"/>
          <w:lang w:val="pt-BR"/>
        </w:rPr>
      </w:pPr>
      <w:r>
        <w:rPr>
          <w:bCs/>
          <w:sz w:val="26"/>
          <w:lang w:val="pt-BR"/>
        </w:rPr>
        <w:t>11.2.2. Hoàn thiện hệ thống chính sách, pháp luật bảo vệ môi trường</w:t>
      </w:r>
    </w:p>
    <w:p w14:paraId="6FFCED91" w14:textId="77777777" w:rsidR="00085789" w:rsidRDefault="00000000">
      <w:pPr>
        <w:pStyle w:val="HD3"/>
        <w:spacing w:before="120" w:after="0" w:line="240" w:lineRule="auto"/>
        <w:ind w:firstLine="720"/>
        <w:rPr>
          <w:rFonts w:asciiTheme="majorHAnsi" w:hAnsiTheme="majorHAnsi" w:cstheme="majorHAnsi"/>
          <w:b w:val="0"/>
          <w:i w:val="0"/>
          <w:iCs/>
          <w:spacing w:val="0"/>
          <w:sz w:val="26"/>
          <w:lang w:val="pt-BR"/>
        </w:rPr>
      </w:pPr>
      <w:r>
        <w:rPr>
          <w:rFonts w:asciiTheme="majorHAnsi" w:hAnsiTheme="majorHAnsi" w:cstheme="majorHAnsi"/>
          <w:b w:val="0"/>
          <w:i w:val="0"/>
          <w:iCs/>
          <w:spacing w:val="0"/>
          <w:sz w:val="26"/>
          <w:lang w:val="pt-BR"/>
        </w:rPr>
        <w:t>- Tiếp tục rà soát, xây dựng, điều chỉnh và tổ chức thực hiện các văn bản quy phạm pháp luật trong Luật bảo vệ môi trường năm 2020 và các văn bản hướng dẫn thi hành giao tỉnh quy định chi tiết.</w:t>
      </w:r>
    </w:p>
    <w:p w14:paraId="5532C87D" w14:textId="77777777" w:rsidR="00085789" w:rsidRDefault="00000000">
      <w:pPr>
        <w:pStyle w:val="HD3"/>
        <w:spacing w:before="120" w:after="0" w:line="240" w:lineRule="auto"/>
        <w:ind w:firstLine="720"/>
        <w:rPr>
          <w:rFonts w:asciiTheme="majorHAnsi" w:hAnsiTheme="majorHAnsi" w:cstheme="majorHAnsi"/>
          <w:b w:val="0"/>
          <w:bCs/>
          <w:i w:val="0"/>
          <w:color w:val="auto"/>
          <w:spacing w:val="0"/>
          <w:sz w:val="26"/>
          <w:lang w:val="pt-BR"/>
        </w:rPr>
      </w:pPr>
      <w:r>
        <w:rPr>
          <w:rFonts w:asciiTheme="majorHAnsi" w:hAnsiTheme="majorHAnsi" w:cstheme="majorHAnsi"/>
          <w:b w:val="0"/>
          <w:i w:val="0"/>
          <w:iCs/>
          <w:color w:val="auto"/>
          <w:spacing w:val="0"/>
          <w:sz w:val="26"/>
          <w:lang w:val="pt-BR"/>
        </w:rPr>
        <w:t>- Đẩy mạnh công tác đào tạo và tập huấn về pháp luật bảo vệ môi trường, đặc biệt là phổ biến kịp thời các quy định mới, sửa đổi trong các văn bản pháp lý cho đội ngũ cán bộ địa phương, nhất</w:t>
      </w:r>
      <w:r>
        <w:rPr>
          <w:rFonts w:asciiTheme="majorHAnsi" w:hAnsiTheme="majorHAnsi" w:cstheme="majorHAnsi"/>
          <w:b w:val="0"/>
          <w:bCs/>
          <w:i w:val="0"/>
          <w:color w:val="auto"/>
          <w:spacing w:val="0"/>
          <w:sz w:val="26"/>
          <w:lang w:val="pt-BR"/>
        </w:rPr>
        <w:t xml:space="preserve"> là cấp xã và các cơ sở sản xuất, kinh doanh, dịch vụ. Việc này nhằm nâng cao năng lực áp dụng pháp luật, tăng hiệu quả thực thi nhiệm vụ bảo vệ môi trường tại cơ sở. Đồng thời, cần tăng cường trách nhiệm và nâng cao hiệu lực, hiệu quả hoạt động của UBND cấp xã trong công tác giám sát, quản lý và xử lý kịp thời các vấn đề môi trường phát sinh.</w:t>
      </w:r>
    </w:p>
    <w:p w14:paraId="18424425" w14:textId="77777777" w:rsidR="00085789" w:rsidRDefault="00000000">
      <w:pPr>
        <w:pStyle w:val="HD3"/>
        <w:spacing w:before="120" w:after="0" w:line="240" w:lineRule="auto"/>
        <w:ind w:firstLine="567"/>
        <w:rPr>
          <w:rFonts w:asciiTheme="majorHAnsi" w:hAnsiTheme="majorHAnsi"/>
          <w:b w:val="0"/>
          <w:bCs/>
          <w:i w:val="0"/>
          <w:color w:val="auto"/>
          <w:spacing w:val="0"/>
          <w:sz w:val="26"/>
        </w:rPr>
      </w:pPr>
      <w:r>
        <w:rPr>
          <w:rFonts w:asciiTheme="majorHAnsi" w:hAnsiTheme="majorHAnsi"/>
          <w:b w:val="0"/>
          <w:bCs/>
          <w:i w:val="0"/>
          <w:color w:val="auto"/>
          <w:spacing w:val="0"/>
          <w:sz w:val="26"/>
        </w:rPr>
        <w:t>- Ban hành cơ chế pháp lý khuyến khích đầu tư xanh, bao gồm ưu đãi cho các dự án áp dụng công nghệ sạch, sử dụng tài nguyên tiết kiệm theo vòng đời sản phẩm, và minh bạch trong báo cáo môi trường. Cơ chế này không chỉ tạo động lực cho doanh nghiệp đổi mới công nghệ và quản trị bền vững, mà còn góp phần giảm phát thải khí nhà kính, hạn chế ô nhiễm, đồng thời nâng cao năng lực cạnh tranh trong bối cảnh hội nhập quốc tế. Các ưu đãi có thể bao gồm: miễn, giảm thuế và phí môi trường; hỗ trợ tín dụng xanh, vay vốn ưu đãi; khuyến khích tham gia thị trường carbon; công nhận nhãn sinh thái cho sản phẩm đạt chuẩn. Bên cạnh đó, cần xây dựng hệ thống tiêu chí và cơ chế giám sát minh bạch, đảm bảo việc ưu đãi đúng đối tượng và mang lại hiệu quả cao.</w:t>
      </w:r>
    </w:p>
    <w:p w14:paraId="413D0606" w14:textId="77777777" w:rsidR="00085789" w:rsidRDefault="00000000">
      <w:pPr>
        <w:widowControl w:val="0"/>
        <w:autoSpaceDE w:val="0"/>
        <w:autoSpaceDN w:val="0"/>
        <w:adjustRightInd w:val="0"/>
        <w:spacing w:before="120" w:line="240" w:lineRule="auto"/>
        <w:ind w:firstLine="567"/>
        <w:jc w:val="both"/>
        <w:rPr>
          <w:rFonts w:asciiTheme="majorHAnsi" w:hAnsiTheme="majorHAnsi"/>
          <w:bCs/>
          <w:sz w:val="26"/>
          <w:szCs w:val="26"/>
        </w:rPr>
      </w:pPr>
      <w:r>
        <w:rPr>
          <w:rFonts w:asciiTheme="majorHAnsi" w:hAnsiTheme="majorHAnsi"/>
          <w:bCs/>
          <w:sz w:val="26"/>
          <w:szCs w:val="26"/>
        </w:rPr>
        <w:t>- Nâng cao chất lượng công tác thẩm định báo cáo đánh giá tác động môi trường, cấp giấy phép môi trường; kiểm soát chặt chẽ các nguồn thải, nhất là các nguồn thải lớn, các cơ sở có nguy cơ gây ô nhiễm môi trường thông qua hệ thống quan trắc tự động, liên tục.</w:t>
      </w:r>
    </w:p>
    <w:p w14:paraId="5D1CF210" w14:textId="77777777" w:rsidR="00085789" w:rsidRDefault="00000000">
      <w:pPr>
        <w:pStyle w:val="-bac3"/>
        <w:spacing w:before="120" w:after="0" w:line="240" w:lineRule="auto"/>
        <w:rPr>
          <w:rFonts w:asciiTheme="majorHAnsi" w:hAnsiTheme="majorHAnsi"/>
        </w:rPr>
      </w:pPr>
      <w:bookmarkStart w:id="1965" w:name="_Toc214311327"/>
      <w:r>
        <w:rPr>
          <w:rFonts w:asciiTheme="majorHAnsi" w:hAnsiTheme="majorHAnsi"/>
        </w:rPr>
        <w:t>11.2.3. Hoàn thiện hệ thống tổ chức quản lý môi trường</w:t>
      </w:r>
      <w:bookmarkEnd w:id="1965"/>
    </w:p>
    <w:p w14:paraId="3A7F4081"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Cs/>
          <w:sz w:val="26"/>
          <w:szCs w:val="26"/>
        </w:rPr>
      </w:pPr>
      <w:r>
        <w:rPr>
          <w:rFonts w:asciiTheme="majorHAnsi" w:hAnsiTheme="majorHAnsi" w:cstheme="majorHAnsi"/>
          <w:bCs/>
          <w:sz w:val="26"/>
          <w:szCs w:val="26"/>
        </w:rPr>
        <w:t>- Xây dựng quy chế phối hợp liên ngành liên quan nhằm thống nhất công tác quản lý môi trường, tránh sự chồng chéo trong quá trình thực thi pháp luật về BVMT.</w:t>
      </w:r>
    </w:p>
    <w:p w14:paraId="3EDA75E5"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Cs/>
          <w:sz w:val="26"/>
          <w:szCs w:val="26"/>
        </w:rPr>
      </w:pPr>
      <w:r>
        <w:rPr>
          <w:rFonts w:asciiTheme="majorHAnsi" w:hAnsiTheme="majorHAnsi" w:cstheme="majorHAnsi"/>
          <w:bCs/>
          <w:sz w:val="26"/>
          <w:szCs w:val="26"/>
        </w:rPr>
        <w:t>- Tổ chức đào tạo, tập huấn nâng cao trình độ về quản lý môi trường cho đội ngũ cán bộ chuyên môn các cấp.</w:t>
      </w:r>
    </w:p>
    <w:p w14:paraId="5DE9B4A5" w14:textId="77777777" w:rsidR="00085789" w:rsidRDefault="00000000">
      <w:pPr>
        <w:widowControl w:val="0"/>
        <w:autoSpaceDE w:val="0"/>
        <w:autoSpaceDN w:val="0"/>
        <w:adjustRightInd w:val="0"/>
        <w:spacing w:before="80" w:line="240" w:lineRule="auto"/>
        <w:ind w:firstLine="567"/>
        <w:jc w:val="both"/>
        <w:rPr>
          <w:rFonts w:asciiTheme="majorHAnsi" w:hAnsiTheme="majorHAnsi" w:cstheme="majorHAnsi"/>
          <w:sz w:val="26"/>
          <w:szCs w:val="26"/>
        </w:rPr>
      </w:pPr>
      <w:r>
        <w:rPr>
          <w:rFonts w:asciiTheme="majorHAnsi" w:hAnsiTheme="majorHAnsi" w:cstheme="majorHAnsi"/>
          <w:sz w:val="26"/>
          <w:szCs w:val="26"/>
        </w:rPr>
        <w:t>- Xây dựng cơ chế đánh giá định kỳ năng lực thực thi và hiệu quả quản lý môi trường, nhằm theo dõi mức độ hoàn thành nhiệm vụ, chất lượng giám sát và xử lý các vấn đề môi trường của từng đơn vị, địa phương để kịp thời điều chỉnh chính sách, phân bổ lại nguồn lực, nâng cao năng lực hoặc thay đổi phương thức quản lý khi cần thiết.</w:t>
      </w:r>
    </w:p>
    <w:p w14:paraId="69C411B4" w14:textId="77777777" w:rsidR="00085789" w:rsidRDefault="00000000">
      <w:pPr>
        <w:pStyle w:val="-bac3"/>
        <w:spacing w:before="80" w:after="0" w:line="240" w:lineRule="auto"/>
      </w:pPr>
      <w:bookmarkStart w:id="1966" w:name="_Toc214311328"/>
      <w:r>
        <w:t>11.2.4. Nâng cao hiệu quả áp dụng các công cụ trong quản lý môi trường</w:t>
      </w:r>
      <w:bookmarkEnd w:id="1966"/>
    </w:p>
    <w:p w14:paraId="21E81895" w14:textId="77777777" w:rsidR="00085789" w:rsidRDefault="00000000">
      <w:pPr>
        <w:widowControl w:val="0"/>
        <w:autoSpaceDE w:val="0"/>
        <w:autoSpaceDN w:val="0"/>
        <w:adjustRightInd w:val="0"/>
        <w:spacing w:before="80" w:line="240" w:lineRule="auto"/>
        <w:ind w:firstLine="720"/>
        <w:jc w:val="both"/>
        <w:rPr>
          <w:rFonts w:asciiTheme="majorHAnsi" w:hAnsiTheme="majorHAnsi" w:cstheme="majorHAnsi"/>
          <w:bCs/>
          <w:sz w:val="26"/>
          <w:szCs w:val="26"/>
        </w:rPr>
      </w:pPr>
      <w:r>
        <w:rPr>
          <w:rFonts w:asciiTheme="majorHAnsi" w:hAnsiTheme="majorHAnsi" w:cstheme="majorHAnsi"/>
          <w:bCs/>
          <w:sz w:val="26"/>
          <w:szCs w:val="26"/>
        </w:rPr>
        <w:t xml:space="preserve">- Mở rộng và làm rõ cơ chế sử dụng công cụ kinh tế như: phí bảo vệ môi trường, thuế môi trường, ký quỹ phục hồi, quỹ đầu tư cải tạo,… nhằm điều chỉnh hành vi của chủ thể gây ô nhiễm và huy động nguồn lực cho công tác khắc phục, phục hồi môi trường. Việc mở rộng công cụ kinh tế không chỉ giúp tăng tính răn đe và công bằng trong quản lý môi </w:t>
      </w:r>
      <w:r>
        <w:rPr>
          <w:rFonts w:asciiTheme="majorHAnsi" w:hAnsiTheme="majorHAnsi" w:cstheme="majorHAnsi"/>
          <w:bCs/>
          <w:sz w:val="26"/>
          <w:szCs w:val="26"/>
        </w:rPr>
        <w:lastRenderedPageBreak/>
        <w:t>trường, mà còn tạo nguồn lực bền vững để đầu tư vào các dự án phục hồi HST, cải thiện chất lượng môi trường và hỗ trợ chuyển đổi xanh, kinh tế tuần hoàn tại địa phương.</w:t>
      </w:r>
    </w:p>
    <w:p w14:paraId="6003DF13" w14:textId="77777777" w:rsidR="00085789" w:rsidRDefault="00000000">
      <w:pPr>
        <w:widowControl w:val="0"/>
        <w:autoSpaceDE w:val="0"/>
        <w:autoSpaceDN w:val="0"/>
        <w:adjustRightInd w:val="0"/>
        <w:spacing w:before="80" w:line="240" w:lineRule="auto"/>
        <w:ind w:firstLine="720"/>
        <w:jc w:val="both"/>
        <w:rPr>
          <w:rFonts w:asciiTheme="majorHAnsi" w:hAnsiTheme="majorHAnsi" w:cstheme="majorHAnsi"/>
          <w:bCs/>
          <w:sz w:val="26"/>
          <w:szCs w:val="26"/>
        </w:rPr>
      </w:pPr>
      <w:r>
        <w:rPr>
          <w:rFonts w:asciiTheme="majorHAnsi" w:hAnsiTheme="majorHAnsi" w:cstheme="majorHAnsi"/>
          <w:bCs/>
          <w:sz w:val="26"/>
          <w:szCs w:val="26"/>
        </w:rPr>
        <w:t>- Tăng cường ứng dụng chuyển đổi số, GIS, Big, data trong công tác quản lý tài nguyên - môi trường, thông qua việc xây dựng và vận hành nền tảng dữ liệu dùng chung, tích hợp đầy đủ các thông tin như hồ sơ ĐTM, giấy phép môi trường, kết quả quan trắc môi trường, báo cáo công tác bảo vệ môi trường và hệ thống cảnh báo sớm rủi ro môi trường. Việc tích hợp này giúp cơ quan quản lý theo dõi liên tục chất lượng môi trường, phát hiện sớm nguy cơ vi phạm, đưa ra quyết định kịp thời và chính xác, đồng thời giảm trùng lặp báo cáo và tăng tính minh bạch.</w:t>
      </w:r>
    </w:p>
    <w:p w14:paraId="0F91B8AB" w14:textId="77777777" w:rsidR="00085789" w:rsidRDefault="00000000">
      <w:pPr>
        <w:widowControl w:val="0"/>
        <w:autoSpaceDE w:val="0"/>
        <w:autoSpaceDN w:val="0"/>
        <w:adjustRightInd w:val="0"/>
        <w:spacing w:before="80" w:line="240" w:lineRule="auto"/>
        <w:ind w:firstLine="567"/>
        <w:jc w:val="both"/>
        <w:rPr>
          <w:rFonts w:asciiTheme="majorHAnsi" w:hAnsiTheme="majorHAnsi" w:cstheme="majorHAnsi"/>
          <w:bCs/>
          <w:sz w:val="26"/>
          <w:szCs w:val="26"/>
        </w:rPr>
      </w:pPr>
      <w:r>
        <w:rPr>
          <w:rFonts w:asciiTheme="majorHAnsi" w:hAnsiTheme="majorHAnsi" w:cstheme="majorHAnsi"/>
          <w:bCs/>
          <w:sz w:val="26"/>
          <w:szCs w:val="26"/>
        </w:rPr>
        <w:t xml:space="preserve"> - Ứng dụng công nghệ trong tính phí nước thải, khí thải nhằm nâng cao hiệu quả quản lý môi trường, bảo đảm công bằng và minh bạch. Hệ thống sẽ tích hợp thiết bị quan trắc tự động, liên tục đối với các nguồn thải lớn, kết nối trực tuyến với cơ quan quản lý để ghi nhận chính xác lưu lượng và tải lượng ô nhiễm (COD, BOD</w:t>
      </w:r>
      <w:r>
        <w:rPr>
          <w:rFonts w:asciiTheme="majorHAnsi" w:hAnsiTheme="majorHAnsi" w:cstheme="majorHAnsi"/>
          <w:bCs/>
          <w:sz w:val="26"/>
          <w:szCs w:val="26"/>
          <w:vertAlign w:val="subscript"/>
        </w:rPr>
        <w:t>5</w:t>
      </w:r>
      <w:r>
        <w:rPr>
          <w:rFonts w:asciiTheme="majorHAnsi" w:hAnsiTheme="majorHAnsi" w:cstheme="majorHAnsi"/>
          <w:bCs/>
          <w:sz w:val="26"/>
          <w:szCs w:val="26"/>
        </w:rPr>
        <w:t>, TSS, NO</w:t>
      </w:r>
      <w:r>
        <w:rPr>
          <w:rFonts w:asciiTheme="majorHAnsi" w:hAnsiTheme="majorHAnsi" w:cstheme="majorHAnsi"/>
          <w:bCs/>
          <w:sz w:val="26"/>
          <w:szCs w:val="26"/>
          <w:vertAlign w:val="subscript"/>
        </w:rPr>
        <w:t>x</w:t>
      </w:r>
      <w:r>
        <w:rPr>
          <w:rFonts w:asciiTheme="majorHAnsi" w:hAnsiTheme="majorHAnsi" w:cstheme="majorHAnsi"/>
          <w:bCs/>
          <w:sz w:val="26"/>
          <w:szCs w:val="26"/>
        </w:rPr>
        <w:t>, SO₂, bụi mịn,...). Trên cơ sở dữ liệu đo đạc thực tế, việc tính phí bảo vệ môi trường sẽ phản ánh đúng mức độ phát thải, thay vì chỉ dựa vào công suất thiết kế hay báo cáo định kỳ của doanh nghiệp.</w:t>
      </w:r>
    </w:p>
    <w:p w14:paraId="646626A6" w14:textId="77777777" w:rsidR="00085789" w:rsidRDefault="00000000">
      <w:pPr>
        <w:pStyle w:val="-bac3"/>
        <w:spacing w:before="80" w:after="0" w:line="240" w:lineRule="auto"/>
      </w:pPr>
      <w:bookmarkStart w:id="1967" w:name="_Toc214311329"/>
      <w:r>
        <w:t>11.2.5. Tăng cường tài chính, đầu tư cho bảo vệ môi trường</w:t>
      </w:r>
      <w:bookmarkEnd w:id="1967"/>
    </w:p>
    <w:p w14:paraId="3DE5A6CA" w14:textId="77777777" w:rsidR="00085789" w:rsidRDefault="00000000">
      <w:pPr>
        <w:widowControl w:val="0"/>
        <w:autoSpaceDE w:val="0"/>
        <w:autoSpaceDN w:val="0"/>
        <w:adjustRightInd w:val="0"/>
        <w:spacing w:before="80" w:line="240" w:lineRule="auto"/>
        <w:ind w:firstLine="709"/>
        <w:jc w:val="both"/>
        <w:rPr>
          <w:rFonts w:asciiTheme="majorHAnsi" w:hAnsiTheme="majorHAnsi" w:cstheme="majorHAnsi"/>
          <w:bCs/>
          <w:sz w:val="26"/>
          <w:szCs w:val="26"/>
        </w:rPr>
      </w:pPr>
      <w:r>
        <w:rPr>
          <w:rFonts w:asciiTheme="majorHAnsi" w:hAnsiTheme="majorHAnsi" w:cstheme="majorHAnsi"/>
          <w:bCs/>
          <w:sz w:val="26"/>
          <w:szCs w:val="26"/>
        </w:rPr>
        <w:t>- Nguồn lực tài chính cho công tác BVMT được dựa trên cơ sở phát huy nội lực là chính, đồng thời tranh thủ tối đa hỗ trợ từ các nguồn khác nhau, bao gồm: nguồn vốn từ ngân sách Trung ương, ngân sách tỉnh, từ các doanh nghiệp, cơ sở sản xuất kinh doanh, từ các tổ chức quốc tế.</w:t>
      </w:r>
    </w:p>
    <w:p w14:paraId="2E3C7038" w14:textId="77777777" w:rsidR="00085789" w:rsidRDefault="00000000">
      <w:pPr>
        <w:widowControl w:val="0"/>
        <w:autoSpaceDE w:val="0"/>
        <w:autoSpaceDN w:val="0"/>
        <w:adjustRightInd w:val="0"/>
        <w:spacing w:before="80" w:line="240" w:lineRule="auto"/>
        <w:ind w:firstLine="709"/>
        <w:jc w:val="both"/>
        <w:rPr>
          <w:rFonts w:asciiTheme="majorHAnsi" w:hAnsiTheme="majorHAnsi" w:cstheme="majorHAnsi"/>
          <w:bCs/>
          <w:sz w:val="26"/>
          <w:szCs w:val="26"/>
        </w:rPr>
      </w:pPr>
      <w:r>
        <w:rPr>
          <w:rFonts w:asciiTheme="majorHAnsi" w:hAnsiTheme="majorHAnsi" w:cstheme="majorHAnsi"/>
          <w:bCs/>
          <w:sz w:val="26"/>
          <w:szCs w:val="26"/>
        </w:rPr>
        <w:t>- Sử dụng hiệu quả nguồn kinh phí sự nghiệp môi trường trong đó ưu tiên giải quyết các điểm nóng, ô nhiễm bức xúc về môi trường.</w:t>
      </w:r>
    </w:p>
    <w:p w14:paraId="5FA9F034" w14:textId="77777777" w:rsidR="00085789" w:rsidRDefault="00000000">
      <w:pPr>
        <w:widowControl w:val="0"/>
        <w:autoSpaceDE w:val="0"/>
        <w:autoSpaceDN w:val="0"/>
        <w:adjustRightInd w:val="0"/>
        <w:spacing w:before="80" w:line="240" w:lineRule="auto"/>
        <w:ind w:firstLine="709"/>
        <w:jc w:val="both"/>
        <w:rPr>
          <w:rFonts w:asciiTheme="majorHAnsi" w:hAnsiTheme="majorHAnsi"/>
          <w:bCs/>
          <w:sz w:val="26"/>
          <w:szCs w:val="26"/>
        </w:rPr>
      </w:pPr>
      <w:r>
        <w:rPr>
          <w:rFonts w:asciiTheme="majorHAnsi" w:hAnsiTheme="majorHAnsi"/>
          <w:bCs/>
          <w:sz w:val="26"/>
          <w:szCs w:val="26"/>
        </w:rPr>
        <w:t xml:space="preserve">- Dành nguồn lực thích đáng cho đầu tư hạ tầng môi trường bao gồm hệ thống thu gom và xử lý nước thải xây dựng, cải tạo, nâng cấp cơ sở hạ tầng thu gom nước thải tại nguồn ở các đô thị, khu dân cư tập trung, các KCN và CCN do địa phương quản lý, công trình xử lý nước thải, bùn thải tập trung,... nhằm đáp ứng yêu cầu của quy định hiện hành. </w:t>
      </w:r>
    </w:p>
    <w:p w14:paraId="1570EF42" w14:textId="77777777" w:rsidR="00085789" w:rsidRDefault="00000000">
      <w:pPr>
        <w:widowControl w:val="0"/>
        <w:autoSpaceDE w:val="0"/>
        <w:autoSpaceDN w:val="0"/>
        <w:adjustRightInd w:val="0"/>
        <w:spacing w:before="80" w:line="240" w:lineRule="auto"/>
        <w:ind w:firstLine="709"/>
        <w:jc w:val="both"/>
        <w:rPr>
          <w:bCs/>
          <w:sz w:val="26"/>
          <w:szCs w:val="26"/>
        </w:rPr>
      </w:pPr>
      <w:r>
        <w:rPr>
          <w:rFonts w:asciiTheme="majorHAnsi" w:hAnsiTheme="majorHAnsi"/>
          <w:bCs/>
          <w:sz w:val="26"/>
          <w:szCs w:val="26"/>
        </w:rPr>
        <w:t>- Thực hiện chính sách khuyến khích, ưu đãi, hỗ trợ doanh nghiệp và người dân tham gia hoạt động ứng phó với BĐKH, quản lý tài nguyên và bảo vệ môi trường; hỗ trợ người dân trồng và bảo vệ rừng, nhất là rừng ngập mặn ven biển</w:t>
      </w:r>
      <w:r>
        <w:rPr>
          <w:bCs/>
          <w:sz w:val="26"/>
          <w:szCs w:val="26"/>
        </w:rPr>
        <w:t xml:space="preserve">. </w:t>
      </w:r>
    </w:p>
    <w:p w14:paraId="28976DD3" w14:textId="77777777" w:rsidR="00085789" w:rsidRDefault="00000000">
      <w:pPr>
        <w:pStyle w:val="-bac3"/>
        <w:spacing w:before="120" w:after="0" w:line="240" w:lineRule="auto"/>
      </w:pPr>
      <w:bookmarkStart w:id="1968" w:name="_Toc214311330"/>
      <w:r>
        <w:t>11.2.6. Nâng cao nhận thức cộng đồng và vấn đề xã hội hóa công tác bảo vệ môi trường</w:t>
      </w:r>
      <w:bookmarkEnd w:id="1968"/>
    </w:p>
    <w:p w14:paraId="545D0FFE"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Cs/>
          <w:sz w:val="26"/>
          <w:szCs w:val="26"/>
        </w:rPr>
      </w:pPr>
      <w:r>
        <w:rPr>
          <w:rFonts w:asciiTheme="majorHAnsi" w:hAnsiTheme="majorHAnsi" w:cstheme="majorHAnsi"/>
          <w:bCs/>
          <w:sz w:val="26"/>
          <w:szCs w:val="26"/>
        </w:rPr>
        <w:t>- Triển khai chương trình giáo dục liên tục về phân loại rác tại nguồn, giảm nhựa sử dụng một lần, sử dụng tài nguyên hiệu quả, gắn với các chiến dịch thực hiện tại cấp xã, trường học, cộng đồng.</w:t>
      </w:r>
    </w:p>
    <w:p w14:paraId="113B6309"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Cs/>
          <w:sz w:val="26"/>
          <w:szCs w:val="26"/>
        </w:rPr>
      </w:pPr>
      <w:r>
        <w:rPr>
          <w:rFonts w:asciiTheme="majorHAnsi" w:hAnsiTheme="majorHAnsi" w:cstheme="majorHAnsi"/>
          <w:bCs/>
          <w:sz w:val="26"/>
          <w:szCs w:val="26"/>
        </w:rPr>
        <w:t>- Nhân rộng mô hình cộng đồng điển hình như “ngôi nhà xanh”, đổi rác lấy quà, kết nối với hệ thống hợp tác xã môi trường và doanh nghiệp tái chế. Những mô hình này không chỉ nâng cao nhận thức, thay đổi hành vi của người dân về phân loại, tái chế và giảm thiểu chất thải, mà còn tạo ra phong trào xã hội hóa công tác bảo vệ môi trường một cách bền vững.</w:t>
      </w:r>
    </w:p>
    <w:p w14:paraId="2E5308FE"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
          <w:i/>
          <w:iCs/>
          <w:sz w:val="26"/>
          <w:szCs w:val="26"/>
        </w:rPr>
      </w:pPr>
      <w:r>
        <w:rPr>
          <w:rFonts w:asciiTheme="majorHAnsi" w:hAnsiTheme="majorHAnsi"/>
          <w:bCs/>
          <w:sz w:val="26"/>
          <w:szCs w:val="26"/>
        </w:rPr>
        <w:t xml:space="preserve">- Tăng cường công tác truyền thông, phổ biến về Luật Bảo vệ môi trường năm 2020, cũng như các quy định liên quan đến khai thác, sử dụng tài nguyên nước, quản lý chất thải, bảo tồn ĐDSH,… nhằm nâng cao nhận thức và trách nhiệm của các tổ chức, cá nhân trong công tác bảo vệ môi trường. </w:t>
      </w:r>
    </w:p>
    <w:p w14:paraId="428CBF02" w14:textId="77777777" w:rsidR="00085789" w:rsidRDefault="00000000">
      <w:pPr>
        <w:pStyle w:val="-bac3"/>
        <w:spacing w:before="120" w:after="0" w:line="240" w:lineRule="auto"/>
        <w:rPr>
          <w:rFonts w:asciiTheme="majorHAnsi" w:hAnsiTheme="majorHAnsi"/>
        </w:rPr>
      </w:pPr>
      <w:bookmarkStart w:id="1969" w:name="_Toc214311331"/>
      <w:r>
        <w:rPr>
          <w:rFonts w:asciiTheme="majorHAnsi" w:hAnsiTheme="majorHAnsi"/>
        </w:rPr>
        <w:lastRenderedPageBreak/>
        <w:t>11.2.7. Mở rộng hợp tác quốc tế</w:t>
      </w:r>
      <w:bookmarkEnd w:id="1969"/>
    </w:p>
    <w:p w14:paraId="2C887530" w14:textId="77777777" w:rsidR="00085789" w:rsidRDefault="00000000">
      <w:pPr>
        <w:widowControl w:val="0"/>
        <w:autoSpaceDE w:val="0"/>
        <w:autoSpaceDN w:val="0"/>
        <w:adjustRightInd w:val="0"/>
        <w:spacing w:before="120" w:line="240" w:lineRule="auto"/>
        <w:ind w:firstLine="709"/>
        <w:jc w:val="both"/>
        <w:rPr>
          <w:rFonts w:asciiTheme="majorHAnsi" w:eastAsia="Calibri" w:hAnsiTheme="majorHAnsi"/>
          <w:sz w:val="26"/>
          <w:szCs w:val="26"/>
        </w:rPr>
      </w:pPr>
      <w:r>
        <w:rPr>
          <w:rFonts w:asciiTheme="majorHAnsi" w:hAnsiTheme="majorHAnsi"/>
          <w:sz w:val="26"/>
          <w:szCs w:val="26"/>
        </w:rPr>
        <w:t>- Tranh thủ nguồn vốn ODA và vốn các thành phần kinh tế khác, triển khai các chương trình, nghiên cứu, ứng dụng, chuyển giao khoa học công nghệ, áp dụng công nghệ mới, tiết kiệm tài nguyên, thân thiện với môi trường nhằm cải thiện chất lượng các nguồn thải hạn chế ảnh hưởng đến môi trường.</w:t>
      </w:r>
    </w:p>
    <w:p w14:paraId="0A047487"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bCs/>
          <w:sz w:val="26"/>
          <w:szCs w:val="26"/>
        </w:rPr>
      </w:pPr>
      <w:r>
        <w:rPr>
          <w:rFonts w:asciiTheme="majorHAnsi" w:hAnsiTheme="majorHAnsi" w:cstheme="majorHAnsi"/>
          <w:bCs/>
          <w:sz w:val="26"/>
          <w:szCs w:val="26"/>
        </w:rPr>
        <w:t>- Học hỏi kinh nghiệm quốc tế về áp dụng công cụ kinh tế mềm dẻo, chuyển đổi xanh, kinh tế tuần hoàn sẽ giúp Hà Tĩnh tiếp cận những giải pháp tiên tiến, giảm thiểu rủi ro trong quá trình thực hiện và tiết kiệm nguồn lực.</w:t>
      </w:r>
    </w:p>
    <w:p w14:paraId="67F71A76" w14:textId="77777777" w:rsidR="00085789" w:rsidRDefault="00000000">
      <w:pPr>
        <w:widowControl w:val="0"/>
        <w:autoSpaceDE w:val="0"/>
        <w:autoSpaceDN w:val="0"/>
        <w:adjustRightInd w:val="0"/>
        <w:spacing w:before="120" w:line="240" w:lineRule="auto"/>
        <w:ind w:firstLine="709"/>
        <w:jc w:val="both"/>
        <w:rPr>
          <w:rFonts w:cstheme="majorHAnsi"/>
          <w:bCs/>
          <w:sz w:val="26"/>
          <w:szCs w:val="26"/>
        </w:rPr>
      </w:pPr>
      <w:r>
        <w:rPr>
          <w:rFonts w:asciiTheme="majorHAnsi" w:hAnsiTheme="majorHAnsi" w:cstheme="majorHAnsi"/>
          <w:bCs/>
          <w:sz w:val="26"/>
          <w:szCs w:val="26"/>
        </w:rPr>
        <w:t>- Tận dụng các chương trình hỗ trợ kỹ thuật và tài</w:t>
      </w:r>
      <w:r>
        <w:rPr>
          <w:rFonts w:cstheme="majorHAnsi"/>
          <w:bCs/>
          <w:sz w:val="26"/>
          <w:szCs w:val="26"/>
        </w:rPr>
        <w:t xml:space="preserve"> chính từ các tổ chức như ADB (Ngân hàng Phát triển châu Á), JICA (Nhật Bản), UNDP (Chương trình Phát triển Liên Hợp Quốc), đối tác Bắc Âu để triển khai mô hình thử nghiệm về quản lý chất thải, nông nghiệp bền vững, phục hồi HST và ứng phó BĐKH. Chủ động xây dựng và đề xuất các đề tài, dự án, đề án kêu gọi tài trợ của đối tác nước ngoài để chủ động nắm bắt thời cơ cho hoạt động thích ứng và giảm nhẹ tác động của BĐKH.</w:t>
      </w:r>
    </w:p>
    <w:p w14:paraId="0DBEFC48" w14:textId="77777777" w:rsidR="00085789" w:rsidRDefault="00000000">
      <w:pPr>
        <w:pStyle w:val="-bac3"/>
        <w:spacing w:before="120" w:after="0" w:line="240" w:lineRule="auto"/>
      </w:pPr>
      <w:bookmarkStart w:id="1970" w:name="_Toc214311332"/>
      <w:r>
        <w:t>11.2.8. Trách nhiệm của các sở, ngành, đơn vị liên quan</w:t>
      </w:r>
      <w:bookmarkEnd w:id="1970"/>
    </w:p>
    <w:p w14:paraId="72E120B5" w14:textId="77777777" w:rsidR="00085789" w:rsidRDefault="00000000">
      <w:pPr>
        <w:spacing w:before="120" w:line="240" w:lineRule="auto"/>
        <w:ind w:firstLine="720"/>
        <w:rPr>
          <w:rFonts w:asciiTheme="majorHAnsi" w:hAnsiTheme="majorHAnsi" w:cstheme="majorHAnsi"/>
          <w:sz w:val="26"/>
          <w:szCs w:val="26"/>
          <w:lang w:val="pt-BR"/>
        </w:rPr>
      </w:pPr>
      <w:r>
        <w:rPr>
          <w:rFonts w:asciiTheme="majorHAnsi" w:hAnsiTheme="majorHAnsi" w:cstheme="majorHAnsi"/>
          <w:sz w:val="26"/>
          <w:szCs w:val="26"/>
          <w:lang w:val="pt-BR"/>
        </w:rPr>
        <w:t xml:space="preserve"> </w:t>
      </w:r>
      <w:r>
        <w:rPr>
          <w:rFonts w:asciiTheme="majorHAnsi" w:hAnsiTheme="majorHAnsi" w:cstheme="majorHAnsi"/>
          <w:b/>
          <w:bCs/>
          <w:sz w:val="26"/>
          <w:szCs w:val="26"/>
          <w:lang w:val="pt-BR"/>
        </w:rPr>
        <w:t xml:space="preserve">(1) Sở </w:t>
      </w:r>
      <w:r>
        <w:rPr>
          <w:rFonts w:asciiTheme="majorHAnsi" w:hAnsiTheme="majorHAnsi" w:cstheme="majorHAnsi"/>
          <w:b/>
          <w:bCs/>
          <w:sz w:val="26"/>
          <w:szCs w:val="26"/>
          <w:lang w:val="pt-PT"/>
        </w:rPr>
        <w:t>Nông nghiệp</w:t>
      </w:r>
      <w:r>
        <w:rPr>
          <w:rFonts w:asciiTheme="majorHAnsi" w:hAnsiTheme="majorHAnsi" w:cstheme="majorHAnsi"/>
          <w:b/>
          <w:bCs/>
          <w:sz w:val="26"/>
          <w:szCs w:val="26"/>
          <w:lang w:val="pt-BR"/>
        </w:rPr>
        <w:t xml:space="preserve"> và Môi trường:</w:t>
      </w:r>
    </w:p>
    <w:p w14:paraId="41B0B5B1" w14:textId="675A2E6C" w:rsidR="00085789" w:rsidRDefault="00000000">
      <w:pPr>
        <w:spacing w:before="120" w:line="240" w:lineRule="auto"/>
        <w:ind w:firstLine="709"/>
        <w:jc w:val="both"/>
        <w:rPr>
          <w:sz w:val="26"/>
          <w:szCs w:val="26"/>
          <w:lang w:val="pt-BR"/>
        </w:rPr>
      </w:pPr>
      <w:r>
        <w:rPr>
          <w:sz w:val="26"/>
          <w:szCs w:val="26"/>
          <w:lang w:val="pt-BR"/>
        </w:rPr>
        <w:t>- Tiếp tục nâng cao chất lượng đội ngũ cán bộ làm công tác bảo vệ môi trường ở các cấp; đầu tư đầy đủ trang thiết bị, phương tiện phục vụ công tác quản lý nhà nước về BVMT, công tác kiểm tra, phát hiện vi phạm pháp luật về BVMT.</w:t>
      </w:r>
    </w:p>
    <w:p w14:paraId="33371D8B" w14:textId="77777777" w:rsidR="00085789" w:rsidRDefault="00000000">
      <w:pPr>
        <w:spacing w:before="120" w:line="240" w:lineRule="auto"/>
        <w:ind w:firstLine="709"/>
        <w:jc w:val="both"/>
        <w:rPr>
          <w:sz w:val="26"/>
          <w:szCs w:val="26"/>
          <w:lang w:val="pt-BR"/>
        </w:rPr>
      </w:pPr>
      <w:r>
        <w:rPr>
          <w:sz w:val="26"/>
          <w:szCs w:val="26"/>
          <w:lang w:val="pt-BR"/>
        </w:rPr>
        <w:t>- Tăng cường công tác tuyên truyền, phổ biến, giáo dục pháp luật về môi trường nhằm nâng cao nhận thức về BVMT cho cán bộ, người dân và nâng cao ý thức chấp hành pháp luật về BVMT cho tổ chức, cá nhân hoạt động sản xuất, kinh doanh dịch vụ trên địa bàn. Tiếp tục đẩy mạnh và đa dạng hóa công tác truyền thông, vận động nhân dân thực hiện nếp sống văn hóa, thân thiện với môi trường, tự giác chấp hành các quy định của pháp luật về BVMT; triển khai sâu rộng việc phân loại, xử lý rác thải sinh hoạt tại nguồn, giảm thiểu rác thải nhựa, xử lý nước thải sinh hoạt tại hộ gia đình.</w:t>
      </w:r>
    </w:p>
    <w:p w14:paraId="003D4B64" w14:textId="77777777" w:rsidR="00085789" w:rsidRDefault="00000000">
      <w:pPr>
        <w:spacing w:before="120" w:line="240" w:lineRule="auto"/>
        <w:ind w:firstLine="709"/>
        <w:jc w:val="both"/>
        <w:rPr>
          <w:sz w:val="26"/>
          <w:szCs w:val="26"/>
          <w:lang w:val="pt-BR"/>
        </w:rPr>
      </w:pPr>
      <w:r>
        <w:rPr>
          <w:sz w:val="26"/>
          <w:szCs w:val="26"/>
          <w:lang w:val="pt-BR"/>
        </w:rPr>
        <w:t>- Tham mưu các giải pháp huy động tối đa các nguồn lực đầu tư cho BVMT. Trước mắt ưu tiên xử lý các điểm có nguy cơ ô nhiễm môi trường; đầu tư hạ tầng BVMT như hệ thống thoát nước và xử lý nước thải tập trung của các khu đô thị, hạ tầng BVMT các KCN, CCN, làng nghề, khu dân cư nông thôn tập trung trên địa bàn các xã, phường.</w:t>
      </w:r>
    </w:p>
    <w:p w14:paraId="4A81F792" w14:textId="77777777" w:rsidR="00085789" w:rsidRDefault="00000000">
      <w:pPr>
        <w:widowControl w:val="0"/>
        <w:autoSpaceDE w:val="0"/>
        <w:autoSpaceDN w:val="0"/>
        <w:adjustRightInd w:val="0"/>
        <w:spacing w:before="120" w:line="240" w:lineRule="auto"/>
        <w:ind w:firstLine="709"/>
        <w:jc w:val="both"/>
        <w:rPr>
          <w:bCs/>
          <w:sz w:val="26"/>
          <w:szCs w:val="26"/>
          <w:lang w:val="pt-BR"/>
        </w:rPr>
      </w:pPr>
      <w:r>
        <w:rPr>
          <w:sz w:val="26"/>
          <w:szCs w:val="26"/>
          <w:lang w:val="pt-BR"/>
        </w:rPr>
        <w:t>- Tăng cường công tác kiểm tra, giám sát chặt chẽ việc chấp hành pháp luật về bảo vệ môi trường của các cơ sở sản xuất, kinh doanh, dịch vụ, KCN, CCN trên địa bàn tỉnh, tập trung vào các dự án, cơ sở có nguy cơ ô nhiễm môi trường cao, các dự án có nguồn thải lớn như dự án Formosa, nhà máy nhiệt điện Vũng Áng 1, Vũng Áng 2, nhà máy Bia Sài Gòn - Hà Tĩnh, nhà máy sản xuất pin Vines Vũng Áng,…</w:t>
      </w:r>
      <w:r>
        <w:rPr>
          <w:bCs/>
          <w:sz w:val="26"/>
          <w:szCs w:val="26"/>
          <w:lang w:val="pt-BR"/>
        </w:rPr>
        <w:t>.</w:t>
      </w:r>
    </w:p>
    <w:p w14:paraId="77037760" w14:textId="77777777" w:rsidR="00085789" w:rsidRDefault="00000000">
      <w:pPr>
        <w:widowControl w:val="0"/>
        <w:autoSpaceDE w:val="0"/>
        <w:autoSpaceDN w:val="0"/>
        <w:adjustRightInd w:val="0"/>
        <w:spacing w:before="120" w:line="240" w:lineRule="auto"/>
        <w:ind w:firstLine="709"/>
        <w:jc w:val="both"/>
        <w:rPr>
          <w:bCs/>
          <w:spacing w:val="-2"/>
          <w:sz w:val="26"/>
          <w:szCs w:val="26"/>
          <w:lang w:val="pt-BR"/>
        </w:rPr>
      </w:pPr>
      <w:r>
        <w:rPr>
          <w:bCs/>
          <w:spacing w:val="-2"/>
          <w:sz w:val="26"/>
          <w:szCs w:val="26"/>
          <w:lang w:val="pt-BR"/>
        </w:rPr>
        <w:t xml:space="preserve">- Phối hợp với các sở, ngành, địa phương và chủ đầu tư hạ tầng CCN rà soát, đề xuất giải pháp đầu tư xây dựng hạ tầng khu xử lý nước thải đảm bảo phù hợp với điều kiện thực tế, hiệu quả và tránh lãng phí. </w:t>
      </w:r>
      <w:r>
        <w:rPr>
          <w:bCs/>
          <w:sz w:val="26"/>
          <w:szCs w:val="26"/>
          <w:lang w:val="pt-BR"/>
        </w:rPr>
        <w:t>Đối với các CCN có quy mô nhỏ, lưu lượng nước thải phát sinh không lớn, chưa đủ điều kiện đầu tư hệ thống quan trắc nước thải tự động, liên tục, cần thực hiện các giải pháp sau:</w:t>
      </w:r>
    </w:p>
    <w:p w14:paraId="5B079635"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bCs/>
          <w:spacing w:val="-6"/>
          <w:sz w:val="26"/>
          <w:szCs w:val="26"/>
          <w:lang w:val="pt-BR"/>
        </w:rPr>
      </w:pPr>
      <w:r>
        <w:rPr>
          <w:rFonts w:asciiTheme="majorHAnsi" w:hAnsiTheme="majorHAnsi" w:cstheme="majorHAnsi"/>
          <w:bCs/>
          <w:spacing w:val="-6"/>
          <w:sz w:val="26"/>
          <w:szCs w:val="26"/>
          <w:lang w:val="pt-BR"/>
        </w:rPr>
        <w:t>+ Hướng dẫn, yêu cầu từng cơ sở trong CCN phải có công trình xử lý nước thải đảm bảo đạt quy chuẩn môi trường trước khi thải ra nguồn tiếp nhận.</w:t>
      </w:r>
    </w:p>
    <w:p w14:paraId="4D1A64AB"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bCs/>
          <w:sz w:val="26"/>
          <w:szCs w:val="26"/>
          <w:lang w:val="pt-BR"/>
        </w:rPr>
      </w:pPr>
      <w:r>
        <w:rPr>
          <w:rFonts w:asciiTheme="majorHAnsi" w:hAnsiTheme="majorHAnsi" w:cstheme="majorHAnsi"/>
          <w:bCs/>
          <w:sz w:val="26"/>
          <w:szCs w:val="26"/>
          <w:lang w:val="pt-BR"/>
        </w:rPr>
        <w:t xml:space="preserve">+ Tổ chức quan trắc môi trường định kỳ theo tần suất và thông số được quy định tại </w:t>
      </w:r>
      <w:r>
        <w:rPr>
          <w:rFonts w:asciiTheme="majorHAnsi" w:hAnsiTheme="majorHAnsi" w:cstheme="majorHAnsi"/>
          <w:bCs/>
          <w:sz w:val="26"/>
          <w:szCs w:val="26"/>
          <w:lang w:val="pt-BR"/>
        </w:rPr>
        <w:lastRenderedPageBreak/>
        <w:t>Thông tư số 02/2022/TT-BTNMT.</w:t>
      </w:r>
    </w:p>
    <w:p w14:paraId="0894BFCD"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bCs/>
          <w:spacing w:val="-6"/>
          <w:sz w:val="26"/>
          <w:szCs w:val="26"/>
          <w:lang w:val="pt-BR"/>
        </w:rPr>
      </w:pPr>
      <w:r>
        <w:rPr>
          <w:rFonts w:asciiTheme="majorHAnsi" w:hAnsiTheme="majorHAnsi" w:cstheme="majorHAnsi"/>
          <w:bCs/>
          <w:spacing w:val="-6"/>
          <w:sz w:val="26"/>
          <w:szCs w:val="26"/>
          <w:lang w:val="pt-BR"/>
        </w:rPr>
        <w:t>+ Xây dựng công trình, thiết bị phòng ngừa, ứng phó sự cố môi trường đối với nước thải.</w:t>
      </w:r>
    </w:p>
    <w:p w14:paraId="4D8EE07B"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sz w:val="26"/>
          <w:szCs w:val="26"/>
          <w:lang w:val="pt-BR"/>
        </w:rPr>
      </w:pPr>
      <w:r>
        <w:rPr>
          <w:rFonts w:asciiTheme="majorHAnsi" w:hAnsiTheme="majorHAnsi" w:cstheme="majorHAnsi"/>
          <w:sz w:val="26"/>
          <w:szCs w:val="26"/>
          <w:lang w:val="pt-BR"/>
        </w:rPr>
        <w:t>- Tiếp tục nâng cao chất lượng công tác thẩm định báo cáo ĐTM, cấp GPMT, giấy phép khai thác nguồn nước,.... Bên cạnh đó cần tăng cường giám sát quá trình triển khai thực tế, bảo đảm các hạng mục BVMT được xây dựng đúng theo thiết kế đã được phê duyệt. Công tác thanh tra, kiểm tra phải được thực hiện theo chuyên đề và đột xuất, kịp thời phát hiện sai phạm, yêu cầu điều chỉnh hoặc đình chỉ khi có nguy cơ gây ô nhiễm.</w:t>
      </w:r>
    </w:p>
    <w:p w14:paraId="7D46B3AF" w14:textId="77777777" w:rsidR="00085789" w:rsidRDefault="00000000">
      <w:pPr>
        <w:widowControl w:val="0"/>
        <w:autoSpaceDE w:val="0"/>
        <w:autoSpaceDN w:val="0"/>
        <w:adjustRightInd w:val="0"/>
        <w:spacing w:before="120" w:line="240" w:lineRule="auto"/>
        <w:ind w:firstLine="709"/>
        <w:jc w:val="both"/>
        <w:rPr>
          <w:rFonts w:asciiTheme="majorHAnsi" w:hAnsiTheme="majorHAnsi"/>
          <w:spacing w:val="-4"/>
          <w:sz w:val="26"/>
          <w:szCs w:val="26"/>
          <w:lang w:val="es-MX"/>
        </w:rPr>
      </w:pPr>
      <w:r>
        <w:rPr>
          <w:rFonts w:asciiTheme="majorHAnsi" w:hAnsiTheme="majorHAnsi" w:cstheme="majorHAnsi"/>
          <w:spacing w:val="-4"/>
          <w:sz w:val="26"/>
          <w:szCs w:val="26"/>
          <w:lang w:val="pt-BR"/>
        </w:rPr>
        <w:t xml:space="preserve">- Tăng cường giám sát chất lượng nước thải, khí thải thông qua theo dõi hệ thống quan trắc tự động, liên tục của các cơ sở sản xuất. Đồng thời </w:t>
      </w:r>
      <w:r>
        <w:rPr>
          <w:rFonts w:asciiTheme="majorHAnsi" w:hAnsiTheme="majorHAnsi"/>
          <w:spacing w:val="-4"/>
          <w:sz w:val="26"/>
          <w:szCs w:val="26"/>
          <w:lang w:val="es-MX"/>
        </w:rPr>
        <w:t>rà soát, đôn đốc chủ đầu tư các dự án, cơ sở, khu sản xuất, kinh doanh, dịch vụ tập trung đã đi vào hoạt động có phát sinh nước thải thuộc đối tượng phải lắp đặt hệ thống quan trắc tự động khẩn trương thực hiện lắp đặt và kết nối truyền dữ liệu về Sở Nông nghiệp và Môi trường theo quy định của pháp luật.</w:t>
      </w:r>
    </w:p>
    <w:p w14:paraId="1C683B16" w14:textId="77777777" w:rsidR="00085789" w:rsidRDefault="00000000">
      <w:pPr>
        <w:spacing w:before="120" w:line="240" w:lineRule="auto"/>
        <w:ind w:firstLine="709"/>
        <w:jc w:val="both"/>
        <w:rPr>
          <w:rFonts w:asciiTheme="majorHAnsi" w:hAnsiTheme="majorHAnsi" w:cstheme="majorHAnsi"/>
          <w:sz w:val="26"/>
          <w:szCs w:val="26"/>
          <w:lang w:val="es-MX"/>
        </w:rPr>
      </w:pPr>
      <w:r>
        <w:rPr>
          <w:sz w:val="26"/>
          <w:szCs w:val="26"/>
          <w:lang w:val="es-MX"/>
        </w:rPr>
        <w:t xml:space="preserve">- Tham mưu xây dựng phân vùng bảo vệ môi trường phù hợp với quy hoạch tỉnh, Luật BVMT </w:t>
      </w:r>
      <w:r>
        <w:rPr>
          <w:rFonts w:asciiTheme="majorHAnsi" w:hAnsiTheme="majorHAnsi" w:cstheme="majorHAnsi"/>
          <w:sz w:val="26"/>
          <w:szCs w:val="26"/>
          <w:lang w:val="es-MX"/>
        </w:rPr>
        <w:t>làm căn cứ để thẩm định dự án, bố trí không gian phát triển KT-XH và kiểm soát các nguồn phát thải.</w:t>
      </w:r>
    </w:p>
    <w:p w14:paraId="65AF6DDE" w14:textId="77777777" w:rsidR="00085789" w:rsidRDefault="00000000">
      <w:pPr>
        <w:pStyle w:val="HD3"/>
        <w:spacing w:before="120" w:after="0" w:line="240" w:lineRule="auto"/>
        <w:ind w:firstLine="567"/>
        <w:rPr>
          <w:b w:val="0"/>
          <w:i w:val="0"/>
          <w:iCs/>
          <w:spacing w:val="0"/>
          <w:sz w:val="26"/>
          <w:lang w:val="pt-BR"/>
        </w:rPr>
      </w:pPr>
      <w:r w:rsidRPr="00AA3A70">
        <w:rPr>
          <w:rFonts w:asciiTheme="majorHAnsi" w:hAnsiTheme="majorHAnsi" w:cstheme="majorHAnsi"/>
          <w:b w:val="0"/>
          <w:sz w:val="26"/>
          <w:lang w:val="es-MX"/>
        </w:rPr>
        <w:t>-</w:t>
      </w:r>
      <w:r>
        <w:rPr>
          <w:rFonts w:asciiTheme="majorHAnsi" w:hAnsiTheme="majorHAnsi" w:cstheme="majorHAnsi"/>
          <w:sz w:val="26"/>
          <w:lang w:val="es-MX"/>
        </w:rPr>
        <w:t xml:space="preserve"> </w:t>
      </w:r>
      <w:r>
        <w:rPr>
          <w:rFonts w:eastAsia="Calibri" w:cstheme="majorHAnsi"/>
          <w:b w:val="0"/>
          <w:i w:val="0"/>
          <w:iCs/>
          <w:spacing w:val="0"/>
          <w:sz w:val="26"/>
          <w:lang w:val="pt-BR"/>
        </w:rPr>
        <w:t>Tham mưu thực hiện đánh giá khả năng chịu tải của môi trường tại Khu kinh tế Vũng Áng để làm cơ sở cho việc xem xét, tiếp nhận các dự án đầu tư vào khu kinh tế.</w:t>
      </w:r>
    </w:p>
    <w:p w14:paraId="1616C44E" w14:textId="77777777" w:rsidR="00085789" w:rsidRDefault="00000000">
      <w:pPr>
        <w:spacing w:before="120" w:line="240" w:lineRule="auto"/>
        <w:ind w:firstLine="709"/>
        <w:jc w:val="both"/>
        <w:rPr>
          <w:spacing w:val="-2"/>
          <w:sz w:val="26"/>
          <w:szCs w:val="26"/>
          <w:lang w:val="es-MX"/>
        </w:rPr>
      </w:pPr>
      <w:r>
        <w:rPr>
          <w:spacing w:val="-2"/>
          <w:sz w:val="26"/>
          <w:szCs w:val="26"/>
          <w:lang w:val="es-MX"/>
        </w:rPr>
        <w:t xml:space="preserve">- Tìm hiểu nghiên cứu ứng dụng tiến bộ khoa học và công nghệ tiên tiến vào BVMT nhằm sử dụng hiệu quả, tiết kiệm tài nguyên thiên nhiên, ưu tiên phát triển năng lượng sạch, năng lượng tái tạo, giảm lượng chất thải phát sinh, giảm phát thải khí nhà kính; thúc đẩy quá trình chuyển đổi sang nền kinh tế xanh. </w:t>
      </w:r>
    </w:p>
    <w:p w14:paraId="027591F9" w14:textId="77777777" w:rsidR="00085789" w:rsidRDefault="00000000">
      <w:pPr>
        <w:spacing w:before="120" w:line="240" w:lineRule="auto"/>
        <w:ind w:firstLine="709"/>
        <w:jc w:val="both"/>
        <w:rPr>
          <w:sz w:val="26"/>
          <w:szCs w:val="26"/>
          <w:lang w:val="es-MX"/>
        </w:rPr>
      </w:pPr>
      <w:r>
        <w:rPr>
          <w:sz w:val="26"/>
          <w:szCs w:val="26"/>
          <w:lang w:val="es-MX"/>
        </w:rPr>
        <w:t>- Mở rộng quan hệ hợp tác quốc tế về lĩnh vực môi trường, BĐKH; tranh thủ tối đa nguồn hỗ trợ tài chính, kỹ thuật của các nước, các tổ chức quốc tế về BVMT.</w:t>
      </w:r>
    </w:p>
    <w:p w14:paraId="736DA252"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b/>
          <w:bCs/>
          <w:sz w:val="26"/>
          <w:szCs w:val="26"/>
          <w:lang w:val="es-MX"/>
        </w:rPr>
      </w:pPr>
      <w:r>
        <w:rPr>
          <w:rFonts w:asciiTheme="majorHAnsi" w:hAnsiTheme="majorHAnsi" w:cstheme="majorHAnsi"/>
          <w:b/>
          <w:bCs/>
          <w:sz w:val="26"/>
          <w:szCs w:val="26"/>
          <w:lang w:val="es-MX"/>
        </w:rPr>
        <w:t>(2) Sở Xây dựng:</w:t>
      </w:r>
    </w:p>
    <w:p w14:paraId="4FF90BB7"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sz w:val="26"/>
          <w:szCs w:val="26"/>
          <w:lang w:val="es-MX"/>
        </w:rPr>
      </w:pPr>
      <w:r>
        <w:rPr>
          <w:rFonts w:asciiTheme="majorHAnsi" w:hAnsiTheme="majorHAnsi" w:cstheme="majorHAnsi"/>
          <w:sz w:val="26"/>
          <w:szCs w:val="26"/>
          <w:lang w:val="es-MX"/>
        </w:rPr>
        <w:t xml:space="preserve">- Phối hợp với Sở Nông nghiệp và Môi trường trong việc lồng ghép phân vùng bảo vệ môi trường, hành lang bảo vệ nguồn nước, </w:t>
      </w:r>
      <w:r>
        <w:rPr>
          <w:spacing w:val="2"/>
          <w:sz w:val="26"/>
          <w:szCs w:val="26"/>
          <w:lang w:val="pt-PT"/>
        </w:rPr>
        <w:t>khoảng cách an toàn môi trường</w:t>
      </w:r>
      <w:r>
        <w:rPr>
          <w:rFonts w:asciiTheme="majorHAnsi" w:hAnsiTheme="majorHAnsi" w:cstheme="majorHAnsi"/>
          <w:sz w:val="26"/>
          <w:szCs w:val="26"/>
          <w:lang w:val="es-MX"/>
        </w:rPr>
        <w:t xml:space="preserve"> vào quy hoạch xây dựng.</w:t>
      </w:r>
      <w:r>
        <w:rPr>
          <w:sz w:val="26"/>
          <w:szCs w:val="26"/>
          <w:lang w:val="es-MX"/>
        </w:rPr>
        <w:t xml:space="preserve"> </w:t>
      </w:r>
    </w:p>
    <w:p w14:paraId="204359DA" w14:textId="77777777" w:rsidR="00085789" w:rsidRDefault="00000000">
      <w:pPr>
        <w:spacing w:before="120" w:line="240" w:lineRule="auto"/>
        <w:ind w:firstLine="720"/>
        <w:jc w:val="both"/>
        <w:rPr>
          <w:sz w:val="26"/>
          <w:szCs w:val="26"/>
          <w:lang w:val="pt-PT"/>
        </w:rPr>
      </w:pPr>
      <w:r>
        <w:rPr>
          <w:sz w:val="26"/>
          <w:szCs w:val="26"/>
          <w:lang w:val="pt-PT"/>
        </w:rPr>
        <w:t xml:space="preserve">- Xây dựng các văn bản hướng dẫn cho các cơ sở đầu tư mới, nâng công suất, đổi mới công nghệ và thiết bị tiên tiến theo hướng tiết kiệm nguyên nhiên vật liệu và bảo vệ môi trường phù hợp với định hướng của quy hoạch. </w:t>
      </w:r>
    </w:p>
    <w:p w14:paraId="52DAC906" w14:textId="77777777" w:rsidR="00085789" w:rsidRDefault="00000000">
      <w:pPr>
        <w:spacing w:before="120" w:line="240" w:lineRule="auto"/>
        <w:ind w:firstLine="720"/>
        <w:jc w:val="both"/>
        <w:rPr>
          <w:sz w:val="26"/>
          <w:szCs w:val="26"/>
          <w:lang w:val="pt-PT"/>
        </w:rPr>
      </w:pPr>
      <w:r>
        <w:rPr>
          <w:sz w:val="26"/>
          <w:szCs w:val="26"/>
          <w:lang w:val="pt-PT"/>
        </w:rPr>
        <w:t xml:space="preserve">- Phối hợp với Sở ngành có liên quan, UBND các xã, phường tiến hành kiểm tra các cơ sở sản xuất trên địa bàn về việc chấp hành pháp luật về bảo vệ môi trường. </w:t>
      </w:r>
    </w:p>
    <w:p w14:paraId="2E5EDA4D" w14:textId="77777777" w:rsidR="00085789" w:rsidRDefault="00000000">
      <w:pPr>
        <w:spacing w:before="120" w:line="240" w:lineRule="auto"/>
        <w:ind w:firstLine="720"/>
        <w:jc w:val="both"/>
        <w:rPr>
          <w:sz w:val="26"/>
          <w:szCs w:val="26"/>
          <w:lang w:val="pt-PT"/>
        </w:rPr>
      </w:pPr>
      <w:r>
        <w:rPr>
          <w:sz w:val="26"/>
          <w:szCs w:val="26"/>
          <w:lang w:val="pt-PT"/>
        </w:rPr>
        <w:t>- Ban hành tiêu chí khuyến khích các công trình sử dụng vật liệu thân thiện, tiết kiệm năng lượng và có giải pháp tuần hoàn nước, rác thải trong quá trình thẩm định báo cáo nghiên cứu khả thi (hoặc trong hồ sơ thiết kế kỹ thuật).</w:t>
      </w:r>
    </w:p>
    <w:p w14:paraId="07E97DC3"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(3) Sở Khoa học và Công nghệ:</w:t>
      </w:r>
    </w:p>
    <w:p w14:paraId="238A67C0" w14:textId="77777777" w:rsidR="00085789" w:rsidRDefault="00000000">
      <w:pPr>
        <w:widowControl w:val="0"/>
        <w:spacing w:before="120" w:line="240" w:lineRule="auto"/>
        <w:ind w:firstLine="709"/>
        <w:jc w:val="both"/>
        <w:rPr>
          <w:sz w:val="26"/>
          <w:szCs w:val="26"/>
          <w:lang w:val="pt-PT"/>
        </w:rPr>
      </w:pPr>
      <w:r>
        <w:rPr>
          <w:sz w:val="26"/>
          <w:szCs w:val="26"/>
          <w:lang w:val="pt-PT"/>
        </w:rPr>
        <w:t>- Tư vấn, hỗ trợ nghiên cứu, áp dụng và chuyển giao công nghệ xử lý nước thải tiên tiến</w:t>
      </w:r>
      <w:r>
        <w:rPr>
          <w:spacing w:val="-4"/>
          <w:sz w:val="26"/>
          <w:szCs w:val="26"/>
          <w:lang w:val="pt-PT"/>
        </w:rPr>
        <w:t>, phù hợp với đặc thù của Hà Tĩnh, đảm bảo vận hành đơn giản nhất nhưng có hiệu quả, giúp cho các cơ sở sản xuất, kinh doanh, dịch vụ chủ động trong công tác bảo vệ môi trường.</w:t>
      </w:r>
    </w:p>
    <w:p w14:paraId="0FBAF649"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spacing w:val="-4"/>
          <w:sz w:val="26"/>
          <w:szCs w:val="26"/>
          <w:lang w:val="pt-PT"/>
        </w:rPr>
      </w:pPr>
      <w:r>
        <w:rPr>
          <w:rFonts w:asciiTheme="majorHAnsi" w:hAnsiTheme="majorHAnsi" w:cstheme="majorHAnsi"/>
          <w:spacing w:val="-4"/>
          <w:sz w:val="26"/>
          <w:szCs w:val="26"/>
          <w:lang w:val="pt-PT"/>
        </w:rPr>
        <w:t xml:space="preserve">- Khuyến khích và hỗ trợ các tổ chức, cá nhân nghiên cứu, phát triển và ứng dụng các giải pháp công nghệ phù hợp với điều kiện thực tiễn của tỉnh; ưu tiên các công nghệ giám sát có chi phí thấp, công nghệ xử lý nước thải và khí thải hiệu quả, giải pháp phục hồi HST, cũng </w:t>
      </w:r>
      <w:r>
        <w:rPr>
          <w:rFonts w:asciiTheme="majorHAnsi" w:hAnsiTheme="majorHAnsi" w:cstheme="majorHAnsi"/>
          <w:spacing w:val="-4"/>
          <w:sz w:val="26"/>
          <w:szCs w:val="26"/>
          <w:lang w:val="pt-PT"/>
        </w:rPr>
        <w:lastRenderedPageBreak/>
        <w:t>như các mô hình quản lý và tái chế chất thải thân thiện với môi trường.</w:t>
      </w:r>
    </w:p>
    <w:p w14:paraId="12871794"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Tham mưu xây dựng cơ chế khuyến khích doanh nghiệp địa phương tham gia nghiên cứu, đổi mới sáng tạo, gắn kết kết quả nghiên cứu với nhu cầu thực tế nhằm nâng cao hiệu quả bảo vệ môi trường và phát triển bền vững </w:t>
      </w:r>
    </w:p>
    <w:p w14:paraId="63A04010"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sz w:val="26"/>
          <w:szCs w:val="26"/>
          <w:lang w:val="pt-PT"/>
        </w:rPr>
      </w:pPr>
      <w:r>
        <w:rPr>
          <w:rFonts w:asciiTheme="majorHAnsi" w:hAnsiTheme="majorHAnsi" w:cstheme="majorHAnsi"/>
          <w:sz w:val="26"/>
          <w:szCs w:val="26"/>
          <w:lang w:val="pt-PT"/>
        </w:rPr>
        <w:t>- Tổ chức đào tạo, tập huấn cho cán bộ và doanh nghiệp về ứng dụng công nghệ xử lý mới, tiết kiệm năng lượng, sản xuất sạch hơn.</w:t>
      </w:r>
    </w:p>
    <w:p w14:paraId="15C6819A" w14:textId="77777777" w:rsidR="00085789" w:rsidRDefault="00000000">
      <w:pPr>
        <w:widowControl w:val="0"/>
        <w:autoSpaceDE w:val="0"/>
        <w:autoSpaceDN w:val="0"/>
        <w:adjustRightInd w:val="0"/>
        <w:spacing w:before="120" w:line="240" w:lineRule="auto"/>
        <w:ind w:firstLine="709"/>
        <w:jc w:val="both"/>
        <w:rPr>
          <w:rFonts w:asciiTheme="majorHAnsi" w:hAnsiTheme="majorHAnsi" w:cstheme="majorHAnsi"/>
          <w:sz w:val="26"/>
          <w:szCs w:val="26"/>
          <w:lang w:val="pt-PT"/>
        </w:rPr>
      </w:pPr>
      <w:r>
        <w:rPr>
          <w:rFonts w:asciiTheme="majorHAnsi" w:hAnsiTheme="majorHAnsi" w:cstheme="majorHAnsi"/>
          <w:sz w:val="26"/>
          <w:szCs w:val="26"/>
          <w:lang w:val="pt-PT"/>
        </w:rPr>
        <w:t>- Phối hợp với các sở, ban, ngành tổ chức tuyên truyền về hiệu quả kinh tế - kỹ thuật và lợi ích môi trường của việc sử dụng các sản phẩm mới, thân thiện môi trường. Đồng thời triển khai chương trình “sản phẩm xanh - tiêu dùng bền vững” để khuyến khích người dân và doanh nghiệp ưu tiên lựa chọn sản phẩm tiết kiệm năng lượng, ít phát thải và tái chế được. Ngoài ra, phối hợp với hệ thống trường học, hợp tác xã, hiệp hội ngành nghề để nhân rộng thói quen tiêu dùng xanh và hỗ trợ doanh nghiệp tiếp cận thị trường.</w:t>
      </w:r>
    </w:p>
    <w:p w14:paraId="7B66B7F9"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(4) Sở Tài chính:</w:t>
      </w:r>
    </w:p>
    <w:p w14:paraId="2EACD327" w14:textId="58917B75"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Nghiên cứu đề xuất danh mục dự án thu hút đầu tư, ưu tiên các dự án </w:t>
      </w:r>
      <w:r>
        <w:rPr>
          <w:sz w:val="26"/>
          <w:szCs w:val="26"/>
          <w:lang w:val="pt-PT"/>
        </w:rPr>
        <w:t xml:space="preserve">sử dụng công nghệ tiên tiến, hiện đại, nguồn nhân lực chất lượng cao thân thiện với môi trường, các dự án về </w:t>
      </w:r>
      <w:r>
        <w:rPr>
          <w:rFonts w:asciiTheme="majorHAnsi" w:hAnsiTheme="majorHAnsi" w:cstheme="majorHAnsi"/>
          <w:sz w:val="26"/>
          <w:szCs w:val="26"/>
          <w:lang w:val="pt-PT"/>
        </w:rPr>
        <w:t xml:space="preserve">hạ </w:t>
      </w:r>
      <w:r>
        <w:rPr>
          <w:rFonts w:asciiTheme="majorHAnsi" w:hAnsiTheme="majorHAnsi" w:cstheme="majorHAnsi"/>
          <w:spacing w:val="-4"/>
          <w:sz w:val="26"/>
          <w:szCs w:val="26"/>
          <w:lang w:val="pt-PT"/>
        </w:rPr>
        <w:t>tầng xử lý nước thải, rác thải, tái chế và năng lượng tái tạo. Đồng thời, tham mưu cơ chế bố trí, phân bổ và quản lý nguồn vốn đầu tư công cho các dự án bảo vệ môi trường, bảo đảm minh bạch và hiệu quả. Kết hợp triển khai các chính sách ưu đãi về thuế, phí, tín dụng xanh nhằm khuyến khích doanh nghiệp tham gia các dự án công nghệ sạch và kinh tế tuần hoàn.</w:t>
      </w:r>
      <w:r>
        <w:rPr>
          <w:rFonts w:asciiTheme="majorHAnsi" w:hAnsiTheme="majorHAnsi" w:cstheme="majorHAnsi"/>
          <w:sz w:val="26"/>
          <w:szCs w:val="26"/>
          <w:lang w:val="pt-PT"/>
        </w:rPr>
        <w:t xml:space="preserve"> </w:t>
      </w:r>
    </w:p>
    <w:p w14:paraId="372D5736"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Định kỳ rà soát, cập nhật danh mục dự án, bảo đảm phù hợp với quy hoạch tỉnh Hà Tĩnh thời kỳ 2021-2030, tầm nhìn đến 2050. </w:t>
      </w:r>
    </w:p>
    <w:p w14:paraId="61777680"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Tăng cường công tác giám sát sử dụng nguồn vốn, đồng thời đề xuất huy động thêm vốn ODA, vốn vay ưu đãi quốc tế và nguồn lực xã hội hóa, nhằm mở rộng quy mô các dự án trọng điểm về bảo vệ môi trường và ứng phó BĐKH.</w:t>
      </w:r>
    </w:p>
    <w:p w14:paraId="3F09FC12"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(5) Sở Công Thương:</w:t>
      </w:r>
    </w:p>
    <w:p w14:paraId="7D1803C5"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Triển khai chương trình sản xuất sạch hơn cho ngành công nghiệp chủ lực</w:t>
      </w:r>
      <w:r>
        <w:rPr>
          <w:lang w:val="pt-PT"/>
        </w:rPr>
        <w:t xml:space="preserve"> </w:t>
      </w:r>
      <w:r>
        <w:rPr>
          <w:rFonts w:asciiTheme="majorHAnsi" w:hAnsiTheme="majorHAnsi" w:cstheme="majorHAnsi"/>
          <w:sz w:val="26"/>
          <w:szCs w:val="26"/>
          <w:lang w:val="pt-PT"/>
        </w:rPr>
        <w:t>nhằm nâng cao hiệu quả sử dụng tài nguyên, giảm phát thải và chi phí xử lý chất thải.</w:t>
      </w:r>
    </w:p>
    <w:p w14:paraId="1D55967A"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Xây dựng hệ thống “chứng nhận xanh” cho sản phẩm, tạo động lực thị trường cho sản phẩm thân thiện môi trường.</w:t>
      </w:r>
    </w:p>
    <w:p w14:paraId="777A8E2C"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Đôn đốc các chủ đầu tư hạ tầng CCN tiếp tục hoàn thiện hạ tầng CCN đặc biệt là công trình bảo vệ môi trường như hệ thống thoát nước mưa và nước thải tách riêng, trạm xử lý nước thải tập trung, bãi tập kết CTR đúng quy định. Tham gia đoàn thanh tra, kiểm tra công tác BVMT tại các CCN, các cơ sở sản xuất, kinh doanh, dịch vụ.</w:t>
      </w:r>
    </w:p>
    <w:p w14:paraId="33AD359B"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Hỗ trợ doanh nghiệp nhỏ và vừa nâng cấp công nghệ, áp dụng hệ thống quản lý môi trường (ví dụ ISO 14001) và tiết kiệm năng lượng nhằm giảm thiểu ô nhiễm, tăng hiệu quả sản xuất và đáp ứng yêu cầu hội nhập quốc tế.</w:t>
      </w:r>
    </w:p>
    <w:p w14:paraId="16EE4C75"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(6) Ban Quản lý KKT tỉnh:</w:t>
      </w:r>
    </w:p>
    <w:p w14:paraId="4EF7F37A" w14:textId="77777777" w:rsidR="00085789" w:rsidRDefault="00000000">
      <w:pPr>
        <w:widowControl w:val="0"/>
        <w:autoSpaceDE w:val="0"/>
        <w:autoSpaceDN w:val="0"/>
        <w:adjustRightInd w:val="0"/>
        <w:spacing w:before="120" w:line="240" w:lineRule="auto"/>
        <w:ind w:firstLine="567"/>
        <w:jc w:val="both"/>
        <w:rPr>
          <w:sz w:val="26"/>
          <w:szCs w:val="26"/>
          <w:lang w:val="pt-PT"/>
        </w:rPr>
      </w:pPr>
      <w:r>
        <w:rPr>
          <w:rFonts w:asciiTheme="majorHAnsi" w:hAnsiTheme="majorHAnsi" w:cstheme="majorHAnsi"/>
          <w:sz w:val="26"/>
          <w:szCs w:val="26"/>
          <w:lang w:val="pt-PT"/>
        </w:rPr>
        <w:t xml:space="preserve">- </w:t>
      </w:r>
      <w:r>
        <w:rPr>
          <w:sz w:val="26"/>
          <w:szCs w:val="26"/>
          <w:lang w:val="pt-PT"/>
        </w:rPr>
        <w:t xml:space="preserve">Kêu gọi, xúc tiến, ưu tiên, khuyến khích các doanh nghiệp, tổ chức, cá nhân tham gia đầu tư các dự án có công nghệ tiên tiến, hiện đại, thân thiện với môi trường; </w:t>
      </w:r>
    </w:p>
    <w:p w14:paraId="19447A65"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Phát triển KCN sinh thái, đấu nối hệ thống xử lý nước thải tập trung và tuần hoàn tái sử dụng nước. </w:t>
      </w:r>
    </w:p>
    <w:p w14:paraId="73183DD2"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lastRenderedPageBreak/>
        <w:t>- Tổ chức huấn luyện, diễn tập định kỳ với sự tham gia của doanh nghiệp, lực lượng phòng cháy chữa cháy, y tế, công an để nâng cao kỹ năng ứng phó sự cố. Hệ thống trang thiết bị cảnh báo và phương tiện xử lý sự cố cũng phải được đầu tư và bố trí đồng bộ.</w:t>
      </w:r>
    </w:p>
    <w:p w14:paraId="040885EC"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Tăng cường công tác BVMT đối với các dự án trong các Khu kinh tế.</w:t>
      </w:r>
    </w:p>
    <w:p w14:paraId="5606601C"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 xml:space="preserve"> (7) UBND các phường, xã:</w:t>
      </w:r>
    </w:p>
    <w:p w14:paraId="4DA206E9"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Tổ chức kiểm tra các nguồn ô nhiễm trên địa bàn, giám sát phân loại rác tại nguồn, xử lý vi phạm xảy ra trên địa bàn quản lý. </w:t>
      </w:r>
    </w:p>
    <w:p w14:paraId="5BEFF255"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Vận động cộng đồng tham gia các chương trình bảo vệ môi trường; </w:t>
      </w:r>
    </w:p>
    <w:p w14:paraId="1F3090FB" w14:textId="603A2EA3" w:rsidR="00085789" w:rsidRDefault="00000000">
      <w:pPr>
        <w:widowControl w:val="0"/>
        <w:autoSpaceDE w:val="0"/>
        <w:autoSpaceDN w:val="0"/>
        <w:adjustRightInd w:val="0"/>
        <w:spacing w:before="120" w:line="240" w:lineRule="auto"/>
        <w:ind w:firstLine="567"/>
        <w:jc w:val="both"/>
        <w:rPr>
          <w:rFonts w:asciiTheme="majorHAnsi" w:hAnsiTheme="majorHAnsi" w:cstheme="majorHAnsi"/>
          <w:spacing w:val="-4"/>
          <w:sz w:val="26"/>
          <w:szCs w:val="26"/>
          <w:lang w:val="pt-PT"/>
        </w:rPr>
      </w:pPr>
      <w:r>
        <w:rPr>
          <w:rFonts w:asciiTheme="majorHAnsi" w:hAnsiTheme="majorHAnsi" w:cstheme="majorHAnsi"/>
          <w:spacing w:val="-4"/>
          <w:sz w:val="26"/>
          <w:szCs w:val="26"/>
          <w:lang w:val="pt-PT"/>
        </w:rPr>
        <w:t>- Nâng cao chất lượng các quy hoạch chi tiết cấp xã, cần tích hợp không gian xanh, hành lang bảo vệ môi trường và hệ thống thoát nước mưa riêng biệt với nước thải sinh hoạt, góp phần giảm ngập úng và ô nhiễm.</w:t>
      </w:r>
    </w:p>
    <w:p w14:paraId="2536A874"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Hỗ trợ vận hành hệ thống thu gom rác, phối hợp với hợp tác xã môi trường hoặc doanh nghiệp tư nhân; giám sát chất lượng dịch vụ nhằm đảm bảo thu gom đúng tần suất, tránh tồn đọng gây ô nhiễm. Đồng thời tuyên truyền để người dân thực hiện đúng thời gian và vị trí điểm tập kết rác theo quy định; khuyến khích phân loại rác tại nguồn và triển khai các mô hình cộng đồng tự quản, góp phần giảm áp lực cho công tác quản lý và nâng cao hiệu quả xử lý chất thải. </w:t>
      </w:r>
    </w:p>
    <w:p w14:paraId="3CE9379E"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Đưa mục tiêu môi trường vào kế hoạch phát triển KT-XH địa phương; gắn chỉ tiêu giảm rác thải, tăng tỷ lệ hộ dân có công trình xử lý nước thải hợp vệ sinh và diện tích cây xanh vào kế hoạch phát triển KT-XH hàng năm và công bố công khai để người dân giám sát và cùng tham gia cải thiện.</w:t>
      </w:r>
    </w:p>
    <w:p w14:paraId="5A077B31"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b/>
          <w:bCs/>
          <w:sz w:val="26"/>
          <w:szCs w:val="26"/>
          <w:lang w:val="pt-PT"/>
        </w:rPr>
      </w:pPr>
      <w:r>
        <w:rPr>
          <w:rFonts w:asciiTheme="majorHAnsi" w:hAnsiTheme="majorHAnsi" w:cstheme="majorHAnsi"/>
          <w:b/>
          <w:bCs/>
          <w:sz w:val="26"/>
          <w:szCs w:val="26"/>
          <w:lang w:val="pt-PT"/>
        </w:rPr>
        <w:t>(8) Các doanh nghiệp, các nhà đầu tư:</w:t>
      </w:r>
    </w:p>
    <w:p w14:paraId="6C0DFBFC"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Tuân thủ đầy đủ quy trình đánh giá tác động môi trường và thực hiện giám sát sau đầu tư nhằm tuân thủ Luật BVMT 2020, giúp chủ động phòng ngừa rủi ro, kiểm soát tác động xấu trong quá trình hoạt động.</w:t>
      </w:r>
    </w:p>
    <w:p w14:paraId="6F88F60B"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xml:space="preserve">- Khuyến khích đổi mới dây chuyền sản xuất theo hướng tiết kiệm năng lượng, giảm phát thải, tái sử dụng nước và phụ phẩm. Ưu tiên sử dụng năng lượng tái tạo vừa tiết kiệm chi phí lâu dài vừa bảo vệ môi trường. </w:t>
      </w:r>
    </w:p>
    <w:p w14:paraId="7453FBCE"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Doanh nghiệp tham gia chương trình sản xuất sạch hơn, định kỳ công bố báo cáo môi trường trên cổng thông tin điện tử của đơn vị. Việc minh bạch thông tin giúp doanh nghiệp nâng cao uy tín, đồng thời nhận được sự đồng thuận và tin tưởng từ cộng đồng.</w:t>
      </w:r>
    </w:p>
    <w:p w14:paraId="54EFF8C2"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Áp dụng mô hình công nghiệp sinh thái, phụ phẩm của doanh nghiệp này có thể trở thành nguyên liệu cho doanh nghiệp khác như: tro xỉ làm gạch, bã mía sản xuất phân bón,.... Cách làm này vừa giảm chất thải, vừa tạo thêm giá trị kinh tế.</w:t>
      </w:r>
    </w:p>
    <w:p w14:paraId="15270C1C" w14:textId="77777777" w:rsidR="00085789" w:rsidRDefault="00000000">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r>
        <w:rPr>
          <w:rFonts w:asciiTheme="majorHAnsi" w:hAnsiTheme="majorHAnsi" w:cstheme="majorHAnsi"/>
          <w:sz w:val="26"/>
          <w:szCs w:val="26"/>
          <w:lang w:val="pt-PT"/>
        </w:rPr>
        <w:t>- Doanh nghiệp phối hợp với UBND xã, phường triển khai các hoạt động như trồng cây xanh, cải thiện cảnh quan, hoàn thiện hệ thống thu gom rác, đồng thời đồng hành và tài trợ cho các mô hình sáng tạo của cộng đồng như “đổi rác lấy quà”,.... Các hoạt động này vừa góp phần nâng cao chất lượng môi trường sống, phù hợp với mục tiêu xây dựng nông thôn bền vững của tỉnh, vừa tăng cường sự gắn kết và đồng thuận giữa doanh nghiệp với người dân, tạo động lực cho phát triển kinh tế gắn liền với bảo vệ môi trường.</w:t>
      </w:r>
    </w:p>
    <w:p w14:paraId="16085BA7" w14:textId="77777777" w:rsidR="00085789" w:rsidRDefault="00085789">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p>
    <w:p w14:paraId="13E2EA35" w14:textId="77777777" w:rsidR="00085789" w:rsidRDefault="00085789">
      <w:pPr>
        <w:widowControl w:val="0"/>
        <w:autoSpaceDE w:val="0"/>
        <w:autoSpaceDN w:val="0"/>
        <w:adjustRightInd w:val="0"/>
        <w:spacing w:before="120" w:line="240" w:lineRule="auto"/>
        <w:ind w:firstLine="567"/>
        <w:jc w:val="both"/>
        <w:rPr>
          <w:rFonts w:asciiTheme="majorHAnsi" w:hAnsiTheme="majorHAnsi" w:cstheme="majorHAnsi"/>
          <w:sz w:val="26"/>
          <w:szCs w:val="26"/>
          <w:lang w:val="pt-PT"/>
        </w:rPr>
      </w:pPr>
    </w:p>
    <w:p w14:paraId="0E35617B" w14:textId="77777777" w:rsidR="00085789" w:rsidRDefault="00000000">
      <w:pPr>
        <w:pStyle w:val="-bac1"/>
        <w:spacing w:before="120" w:after="0" w:line="240" w:lineRule="auto"/>
        <w:rPr>
          <w:lang w:val="sq-AL"/>
        </w:rPr>
      </w:pPr>
      <w:bookmarkStart w:id="1971" w:name="_Toc138943449"/>
      <w:bookmarkStart w:id="1972" w:name="_Toc138977453"/>
      <w:bookmarkStart w:id="1973" w:name="_Toc142915485"/>
      <w:bookmarkStart w:id="1974" w:name="_Toc142919626"/>
      <w:bookmarkStart w:id="1975" w:name="_Toc214311333"/>
      <w:bookmarkEnd w:id="1963"/>
      <w:bookmarkEnd w:id="1964"/>
      <w:r>
        <w:rPr>
          <w:lang w:val="sq-AL"/>
        </w:rPr>
        <w:lastRenderedPageBreak/>
        <w:t>KẾT LUẬN VÀ KIẾN NGHỊ</w:t>
      </w:r>
      <w:bookmarkEnd w:id="1971"/>
      <w:bookmarkEnd w:id="1972"/>
      <w:bookmarkEnd w:id="1973"/>
      <w:bookmarkEnd w:id="1974"/>
      <w:bookmarkEnd w:id="1975"/>
    </w:p>
    <w:p w14:paraId="30E963CE" w14:textId="77777777" w:rsidR="00085789" w:rsidRDefault="00000000">
      <w:pPr>
        <w:pStyle w:val="bac2"/>
        <w:spacing w:before="120" w:after="0" w:line="240" w:lineRule="auto"/>
        <w:rPr>
          <w:rFonts w:ascii="Times New Roman" w:eastAsia="Calibri" w:hAnsi="Times New Roman"/>
          <w:smallCaps/>
          <w:lang w:val="sq-AL"/>
        </w:rPr>
      </w:pPr>
      <w:bookmarkStart w:id="1976" w:name="_Toc138943450"/>
      <w:bookmarkStart w:id="1977" w:name="_Toc138977454"/>
      <w:bookmarkStart w:id="1978" w:name="_Toc142915486"/>
      <w:bookmarkStart w:id="1979" w:name="_Toc142919627"/>
      <w:bookmarkStart w:id="1980" w:name="_Toc181861497"/>
      <w:bookmarkStart w:id="1981" w:name="_Toc181861980"/>
      <w:bookmarkStart w:id="1982" w:name="_Toc193957742"/>
      <w:bookmarkStart w:id="1983" w:name="_Toc214311334"/>
      <w:r>
        <w:rPr>
          <w:rFonts w:ascii="Times New Roman" w:eastAsia="Calibri" w:hAnsi="Times New Roman"/>
          <w:lang w:val="sq-AL"/>
        </w:rPr>
        <w:t>1. Kết luận</w:t>
      </w:r>
      <w:bookmarkEnd w:id="1976"/>
      <w:bookmarkEnd w:id="1977"/>
      <w:bookmarkEnd w:id="1978"/>
      <w:bookmarkEnd w:id="1979"/>
      <w:bookmarkEnd w:id="1980"/>
      <w:bookmarkEnd w:id="1981"/>
      <w:bookmarkEnd w:id="1982"/>
      <w:bookmarkEnd w:id="1983"/>
    </w:p>
    <w:p w14:paraId="04A6B18D" w14:textId="6849A321" w:rsidR="00085789" w:rsidRDefault="00000000">
      <w:pPr>
        <w:pStyle w:val="hd1"/>
        <w:spacing w:before="120" w:after="0" w:line="240" w:lineRule="auto"/>
        <w:ind w:firstLine="709"/>
        <w:rPr>
          <w:rFonts w:ascii="Times New Roman" w:eastAsia="Calibri" w:hAnsi="Times New Roman" w:cs="Times New Roman"/>
          <w:b w:val="0"/>
          <w:bCs/>
          <w:smallCaps/>
          <w:color w:val="auto"/>
          <w:spacing w:val="0"/>
          <w:sz w:val="26"/>
          <w:lang w:val="sq-AL"/>
        </w:rPr>
      </w:pPr>
      <w:r>
        <w:rPr>
          <w:rFonts w:ascii="Times New Roman" w:eastAsia="Calibri" w:hAnsi="Times New Roman" w:cs="Times New Roman"/>
          <w:b w:val="0"/>
          <w:bCs/>
          <w:color w:val="auto"/>
          <w:spacing w:val="0"/>
          <w:sz w:val="26"/>
          <w:lang w:val="sq-AL"/>
        </w:rPr>
        <w:t>Trong giai đoạn 2021-2025, công tác bảo vệ môi trường luôn nhận được sự quan tâm, chỉ đạo sát sao của Tỉnh ủy, HĐND tỉnh, sự vào cuộc kịp thời của các sở, ngành, địa phương và cộng đồng đã đạt nhiều kết quả quan trọng. Hệ thống văn bản pháp luật, cơ chế, chính sách từng bước được ban hành và hoàn thiện, góp phần nâng cao hiệu lực, hiệu quả quản lý nhà nước về môi trường, đồng thời gắn kết với mục tiêu phát triển KT-XH bền vững của tỉnh.</w:t>
      </w:r>
      <w:r>
        <w:rPr>
          <w:rFonts w:ascii="Times New Roman" w:eastAsia="Calibri" w:hAnsi="Times New Roman" w:cs="Times New Roman"/>
          <w:b w:val="0"/>
          <w:bCs/>
          <w:smallCaps/>
          <w:color w:val="auto"/>
          <w:spacing w:val="0"/>
          <w:sz w:val="26"/>
          <w:lang w:val="sq-AL"/>
        </w:rPr>
        <w:t xml:space="preserve"> </w:t>
      </w:r>
      <w:r>
        <w:rPr>
          <w:rFonts w:ascii="Times New Roman" w:eastAsia="Calibri" w:hAnsi="Times New Roman" w:cs="Times New Roman"/>
          <w:b w:val="0"/>
          <w:bCs/>
          <w:color w:val="auto"/>
          <w:spacing w:val="0"/>
          <w:sz w:val="26"/>
          <w:lang w:val="sq-AL"/>
        </w:rPr>
        <w:t xml:space="preserve">Đã từng bước đầu tư trang thiết bị phục vụ công tác quan trắc, giám sát môi trường theo hướng hiện đại; các dự án lớn đặc biệt là dự án Formosa được giám sát chặt chẽ, các cơ sở có quy mô xả thải lớn đã hoàn thành việc kết nối hệ thống quan trắc tự động, liên tục và truyền số liệu trực tiếp về Sở Nông nghiệp và Môi trường để theo dõi, giám sát. Mạng lưới các hợp tác xã, tổ đội vệ sinh môi trường được phát triển, mở rộng; toàn tỉnh có 12 khu xử lý CTRSH đang hoạt động (gồm 03 nhà máy, 03 bãi chôn lấp hợp vệ sinh và 06 lò đốt độc lập) góp phần đáng kể trong công tác thu gom, vận chuyển, xử lý chất thải rắn sinh hoạt, tỷ lệ thu gom CTRSH toàn tỉnh đạt khoảng 96,5 %, tỷ lệ xử lý CTRSH toàn tỉnh đạt khoảng 95 % (đạt tỷ lệ khoảng 98,4 % so với lượng CTRSH thu gom), tăng hơn 20 % so với năm 2020 và </w:t>
      </w:r>
      <w:r>
        <w:rPr>
          <w:rFonts w:ascii="Times New Roman" w:hAnsi="Times New Roman" w:cs="Times New Roman"/>
          <w:b w:val="0"/>
          <w:bCs/>
          <w:color w:val="auto"/>
          <w:spacing w:val="0"/>
          <w:sz w:val="26"/>
          <w:szCs w:val="26"/>
          <w:lang w:val="hsb-DE"/>
        </w:rPr>
        <w:t>có khoảng 75 % số hộ thực hiện phân loại rác tại nguồn)</w:t>
      </w:r>
      <w:r>
        <w:rPr>
          <w:rFonts w:ascii="Times New Roman" w:eastAsia="Calibri" w:hAnsi="Times New Roman" w:cs="Times New Roman"/>
          <w:b w:val="0"/>
          <w:bCs/>
          <w:color w:val="auto"/>
          <w:spacing w:val="0"/>
          <w:sz w:val="26"/>
          <w:lang w:val="sq-AL"/>
        </w:rPr>
        <w:t>.</w:t>
      </w:r>
      <w:r>
        <w:rPr>
          <w:rFonts w:ascii="Times New Roman" w:eastAsia="Calibri" w:hAnsi="Times New Roman" w:cs="Times New Roman"/>
          <w:b w:val="0"/>
          <w:bCs/>
          <w:smallCaps/>
          <w:color w:val="auto"/>
          <w:spacing w:val="0"/>
          <w:sz w:val="26"/>
          <w:lang w:val="sq-AL"/>
        </w:rPr>
        <w:t xml:space="preserve"> </w:t>
      </w:r>
      <w:r>
        <w:rPr>
          <w:rFonts w:ascii="Times New Roman" w:eastAsia="Calibri" w:hAnsi="Times New Roman" w:cs="Times New Roman"/>
          <w:b w:val="0"/>
          <w:bCs/>
          <w:color w:val="auto"/>
          <w:spacing w:val="0"/>
          <w:sz w:val="26"/>
          <w:lang w:val="sq-AL"/>
        </w:rPr>
        <w:t>Công tác trồng rừng, bảo vệ rừng được quan tâm, với trên 46.000 ha rừng trồng mới giai đoạn 2021-2025, giúp duy trì độ che phủ rừng trên 52 % (từ năm 2021-2024) và 48,9 % năm 2025, góp phần giảm thiểu rủi ro thiên tai, lũ lụt góp phần ứng phó BĐKH và phòng chống thiên tai. Quá trình thẩm định chủ trương đầu tư các dự án luôn được xem xét phương án bảo vệ môi trường trong Dự án,...</w:t>
      </w:r>
      <w:r>
        <w:rPr>
          <w:rFonts w:ascii="Times New Roman" w:eastAsia="Calibri" w:hAnsi="Times New Roman" w:cs="Times New Roman"/>
          <w:b w:val="0"/>
          <w:bCs/>
          <w:smallCaps/>
          <w:color w:val="auto"/>
          <w:spacing w:val="0"/>
          <w:sz w:val="26"/>
          <w:lang w:val="sq-AL"/>
        </w:rPr>
        <w:t xml:space="preserve">. </w:t>
      </w:r>
      <w:r>
        <w:rPr>
          <w:rFonts w:ascii="Times New Roman" w:eastAsia="Calibri" w:hAnsi="Times New Roman" w:cs="Times New Roman"/>
          <w:b w:val="0"/>
          <w:bCs/>
          <w:color w:val="auto"/>
          <w:spacing w:val="0"/>
          <w:sz w:val="26"/>
          <w:lang w:val="sq-AL"/>
        </w:rPr>
        <w:t>Qua đó, đã góp phần hạn chế mức độ gia tăng ô nhiễm, suy thoái môi trường trên địa bàn, giữ cân bằng sinh thái, bảo đảm chất lượng môi trường sống và sức khỏe của người dân, cộng đồng. Tuy vậy, quá trình công nghiệp hóa, đô thị hóa và gia tăng dân</w:t>
      </w:r>
      <w:r>
        <w:rPr>
          <w:rFonts w:ascii="Times New Roman" w:eastAsia="Calibri" w:hAnsi="Times New Roman" w:cs="Times New Roman"/>
          <w:b w:val="0"/>
          <w:color w:val="auto"/>
          <w:spacing w:val="0"/>
          <w:sz w:val="26"/>
          <w:lang w:val="sq-AL"/>
        </w:rPr>
        <w:t xml:space="preserve"> số vẫn tạo ra áp lực lớn lên tài nguyên và môi trường thời gian tới, cụ thể:</w:t>
      </w:r>
    </w:p>
    <w:p w14:paraId="09F62E4A" w14:textId="77777777" w:rsidR="00085789" w:rsidRDefault="00000000">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xml:space="preserve">- </w:t>
      </w:r>
      <w:r>
        <w:rPr>
          <w:rFonts w:ascii="Times New Roman" w:hAnsi="Times New Roman" w:cs="Times New Roman"/>
          <w:b w:val="0"/>
          <w:color w:val="auto"/>
          <w:spacing w:val="0"/>
          <w:sz w:val="26"/>
          <w:lang w:val="sq-AL"/>
        </w:rPr>
        <w:t>Chất lượng nước mặt tại một số vị trí đã có dấu hiệu ô nhiễm hữu cơ do hoạt động xả thải vào các lưu vực của các cơ sở hoạt động NTTS, các cơ sở hoạt động sản xuất công nghiệp, chăn nuôi và nước thải sinh hoạt.</w:t>
      </w:r>
    </w:p>
    <w:p w14:paraId="445A8BF9" w14:textId="77777777" w:rsidR="00085789" w:rsidRDefault="00000000">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Khí thải, bụi, tiếng ồn tại các KCN, CCN và đô thị có xu hướng gia tăng.</w:t>
      </w:r>
    </w:p>
    <w:p w14:paraId="60B8A70C" w14:textId="77777777" w:rsidR="00085789" w:rsidRDefault="00000000">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Hệ thống thu gom, xử lý nước thải và CTR chưa đồng bộ, nhiều nơi chưa đáp ứng yêu cầu.</w:t>
      </w:r>
    </w:p>
    <w:p w14:paraId="26ED5E2A" w14:textId="77777777" w:rsidR="00085789" w:rsidRDefault="00000000">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 Công tác bảo tồn ĐDSH và ứng phó BĐKH còn nhiều thách thức.</w:t>
      </w:r>
    </w:p>
    <w:p w14:paraId="7B422CD3" w14:textId="4E0EBEA3" w:rsidR="00085789" w:rsidRDefault="00000000">
      <w:pPr>
        <w:pStyle w:val="hd1"/>
        <w:spacing w:before="120" w:after="0" w:line="240" w:lineRule="auto"/>
        <w:ind w:firstLine="709"/>
        <w:rPr>
          <w:rFonts w:ascii="Times New Roman" w:eastAsia="Calibri" w:hAnsi="Times New Roman" w:cs="Times New Roman"/>
          <w:b w:val="0"/>
          <w:smallCaps/>
          <w:color w:val="auto"/>
          <w:spacing w:val="0"/>
          <w:sz w:val="26"/>
          <w:lang w:val="sq-AL"/>
        </w:rPr>
      </w:pPr>
      <w:r>
        <w:rPr>
          <w:rFonts w:ascii="Times New Roman" w:eastAsia="Calibri" w:hAnsi="Times New Roman" w:cs="Times New Roman"/>
          <w:b w:val="0"/>
          <w:color w:val="auto"/>
          <w:spacing w:val="0"/>
          <w:sz w:val="26"/>
          <w:lang w:val="sq-AL"/>
        </w:rPr>
        <w:t>Trong giai đoạn tới, Hà Tĩnh đứng trước sức ép ngày càng lớn từ BĐKH, thiên tai, sự cố môi trường và yêu cầu phát triển KT-XH, đòi hỏi sự phối hợp chặt chẽ và các giải pháp đồng bộ.</w:t>
      </w:r>
    </w:p>
    <w:p w14:paraId="34BE8401" w14:textId="77777777" w:rsidR="00085789" w:rsidRDefault="00000000">
      <w:pPr>
        <w:pStyle w:val="bac2"/>
        <w:widowControl w:val="0"/>
        <w:spacing w:before="120" w:after="0" w:line="240" w:lineRule="auto"/>
        <w:ind w:firstLine="709"/>
        <w:rPr>
          <w:rFonts w:ascii="Times New Roman" w:eastAsia="Calibri" w:hAnsi="Times New Roman"/>
          <w:smallCaps/>
          <w:lang w:val="sq-AL"/>
        </w:rPr>
      </w:pPr>
      <w:bookmarkStart w:id="1984" w:name="_Toc214311335"/>
      <w:r>
        <w:rPr>
          <w:rFonts w:ascii="Times New Roman" w:eastAsia="Calibri" w:hAnsi="Times New Roman"/>
          <w:lang w:val="sq-AL"/>
        </w:rPr>
        <w:t>2. Kiến nghị</w:t>
      </w:r>
      <w:bookmarkEnd w:id="1984"/>
      <w:r>
        <w:rPr>
          <w:rFonts w:ascii="Times New Roman" w:eastAsia="Calibri" w:hAnsi="Times New Roman"/>
          <w:lang w:val="sq-AL"/>
        </w:rPr>
        <w:t>, đề xuất</w:t>
      </w:r>
    </w:p>
    <w:p w14:paraId="0BDADCD4" w14:textId="77777777" w:rsidR="00085789" w:rsidRPr="005E2E65" w:rsidRDefault="00000000">
      <w:pPr>
        <w:widowControl w:val="0"/>
        <w:spacing w:before="120" w:line="240" w:lineRule="auto"/>
        <w:ind w:firstLine="709"/>
        <w:jc w:val="both"/>
        <w:rPr>
          <w:rFonts w:eastAsia="Calibri"/>
          <w:i/>
          <w:iCs/>
          <w:sz w:val="26"/>
          <w:szCs w:val="26"/>
          <w:lang w:val="nl-NL"/>
        </w:rPr>
      </w:pPr>
      <w:r w:rsidRPr="005E2E65">
        <w:rPr>
          <w:rFonts w:eastAsia="Calibri"/>
          <w:i/>
          <w:iCs/>
          <w:sz w:val="26"/>
          <w:szCs w:val="26"/>
          <w:lang w:val="nl-NL"/>
        </w:rPr>
        <w:t>2.1. Đối với Bộ Nông nghiệp và Môi trường:</w:t>
      </w:r>
    </w:p>
    <w:p w14:paraId="665668E9" w14:textId="77777777" w:rsidR="00085789" w:rsidRDefault="00000000">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Rà soát, sửa đổi, bổ sung, hoàn thiện hệ thống các văn bản quy phạm pháp luật về bảo vệ môi trường, đặc biệt là quy định về bảo vệ môi trường trong KCN, CCN đảm bảo thu hút đầu tư; quy định về yếu tố nhạy cảm trong phân loại dự án đầu tư đối với tiêu chí đất trồng lúa, di dân,....</w:t>
      </w:r>
    </w:p>
    <w:p w14:paraId="1C039FD1" w14:textId="77777777" w:rsidR="00085789" w:rsidRDefault="00000000">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z w:val="26"/>
          <w:szCs w:val="26"/>
          <w:lang w:val="nl-NL"/>
        </w:rPr>
        <w:t xml:space="preserve">- Chủ trì tổ chức kiểm tra, giám sát việc chấp hành pháp luật về bảo vệ môi trường đối với các dự án do Bộ phê duyệt báo cáo đánh giá tác động môi trường, cấp giấy phép môi trường; </w:t>
      </w:r>
      <w:r>
        <w:rPr>
          <w:rFonts w:ascii="Times New Roman" w:hAnsi="Times New Roman" w:cs="Times New Roman"/>
          <w:b w:val="0"/>
          <w:spacing w:val="0"/>
          <w:sz w:val="26"/>
          <w:szCs w:val="26"/>
          <w:lang w:val="nl-NL"/>
        </w:rPr>
        <w:t xml:space="preserve">giám sát chặt chẽ công tác bảo vệ môi trường dự án Khu liên hợp gang thép và cảng </w:t>
      </w:r>
      <w:r>
        <w:rPr>
          <w:rFonts w:ascii="Times New Roman" w:hAnsi="Times New Roman" w:cs="Times New Roman"/>
          <w:b w:val="0"/>
          <w:spacing w:val="0"/>
          <w:sz w:val="26"/>
          <w:szCs w:val="26"/>
          <w:lang w:val="nl-NL"/>
        </w:rPr>
        <w:lastRenderedPageBreak/>
        <w:t xml:space="preserve">nước sâu Sơn Dương Formosa. </w:t>
      </w:r>
    </w:p>
    <w:p w14:paraId="5216E15A" w14:textId="77777777" w:rsidR="00085789" w:rsidRDefault="00000000">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xml:space="preserve">- Hỗ trợ kinh phí triển khai các dự án về ĐDSH theo quy hoạch tỉnh đã được phê duyệt. Tạo điều kiện cho tỉnh Hà Tĩnh được tham gia các dự án quốc tế trên lĩnh vực bảo vệ môi trường gắn với ứng phó BĐKH. </w:t>
      </w:r>
    </w:p>
    <w:p w14:paraId="52D01E06" w14:textId="77777777" w:rsidR="00085789" w:rsidRPr="001A08FA" w:rsidRDefault="00000000">
      <w:pPr>
        <w:pStyle w:val="hd1"/>
        <w:spacing w:before="120" w:after="0" w:line="240" w:lineRule="auto"/>
        <w:ind w:firstLine="709"/>
        <w:rPr>
          <w:rFonts w:ascii="Times New Roman" w:hAnsi="Times New Roman" w:cs="Times New Roman"/>
          <w:b w:val="0"/>
          <w:bCs/>
          <w:sz w:val="26"/>
          <w:szCs w:val="26"/>
          <w:lang w:val="nl-NL"/>
        </w:rPr>
      </w:pPr>
      <w:r w:rsidRPr="001A08FA">
        <w:rPr>
          <w:rFonts w:ascii="Times New Roman" w:hAnsi="Times New Roman" w:cs="Times New Roman"/>
          <w:b w:val="0"/>
          <w:bCs/>
          <w:sz w:val="26"/>
          <w:szCs w:val="26"/>
          <w:lang w:val="nl-NL"/>
        </w:rPr>
        <w:t>- Hỗ trợ chuyển giao hệ thống phần mềm quản lý cơ sở dữ liệu môi trường đang vận hành, khai thác của Bộ hoặc nghiên cứu xây dựng phần mềm dùng chung đối với cơ sở dữ liệu môi trường cấp tỉnh và có cơ chể chuyển giao cho các địa phương sử dụng (số hóa, nhập dữ liệu và khai thác các tính năng của phần mềm,…) đáp ứng yêu cầu của chuyển đổi số.</w:t>
      </w:r>
    </w:p>
    <w:p w14:paraId="151CAE57" w14:textId="77777777" w:rsidR="00085789" w:rsidRPr="005E2E65" w:rsidRDefault="00000000">
      <w:pPr>
        <w:pStyle w:val="hd1"/>
        <w:spacing w:before="120" w:after="0" w:line="240" w:lineRule="auto"/>
        <w:ind w:firstLine="709"/>
        <w:rPr>
          <w:rFonts w:ascii="Times New Roman" w:eastAsia="Calibri" w:hAnsi="Times New Roman" w:cs="Times New Roman"/>
          <w:b w:val="0"/>
          <w:i/>
          <w:iCs/>
          <w:color w:val="auto"/>
          <w:spacing w:val="0"/>
          <w:sz w:val="26"/>
          <w:lang w:val="nl-NL"/>
        </w:rPr>
      </w:pPr>
      <w:r w:rsidRPr="005E2E65">
        <w:rPr>
          <w:rFonts w:ascii="Times New Roman" w:eastAsia="Calibri" w:hAnsi="Times New Roman" w:cs="Times New Roman"/>
          <w:b w:val="0"/>
          <w:i/>
          <w:iCs/>
          <w:color w:val="auto"/>
          <w:spacing w:val="0"/>
          <w:sz w:val="26"/>
          <w:lang w:val="nl-NL"/>
        </w:rPr>
        <w:t>2.2. Đối với Hội đồng nhân dân tỉnh</w:t>
      </w:r>
    </w:p>
    <w:p w14:paraId="0858F123" w14:textId="77777777" w:rsidR="00085789" w:rsidRDefault="00000000">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xml:space="preserve">Kính đề nghị HĐND tỉnh quan tâm, ưu tiên phân bổ nguồn kinh phí đáp ứng cho công tác bảo vệ môi trường, tập trung vào các nội dung sau: </w:t>
      </w:r>
    </w:p>
    <w:p w14:paraId="21A62835" w14:textId="47B8DE5E" w:rsidR="00085789" w:rsidRDefault="00000000">
      <w:pPr>
        <w:pStyle w:val="hd1"/>
        <w:spacing w:before="120" w:after="0" w:line="240" w:lineRule="auto"/>
        <w:ind w:firstLine="709"/>
        <w:rPr>
          <w:rFonts w:ascii="Times New Roman" w:hAnsi="Times New Roman" w:cs="Times New Roman"/>
          <w:b w:val="0"/>
          <w:spacing w:val="0"/>
          <w:sz w:val="26"/>
          <w:szCs w:val="26"/>
          <w:lang w:val="nl-NL"/>
        </w:rPr>
      </w:pPr>
      <w:r>
        <w:rPr>
          <w:rFonts w:ascii="Times New Roman" w:hAnsi="Times New Roman" w:cs="Times New Roman"/>
          <w:b w:val="0"/>
          <w:spacing w:val="0"/>
          <w:sz w:val="26"/>
          <w:szCs w:val="26"/>
          <w:lang w:val="nl-NL"/>
        </w:rPr>
        <w:t>- Đầu tư xây dựng hạ tầng thoát nước và xử lý nước thải sinh hoạt tập trung, trước mắt cho các khu đô thị, hạ tầng bảo vệ môi trường (khu xử lý nước thải tập trung, khu tập kết chất thải rắn) cho các khu công nghiệp, CCN, làng nghề do nhà nước làm chủ đầu tư; các dự án phòng chống thiên tai, thích ứng với biến đổi khí hậu, bảo tồn đa dạng sinh học.</w:t>
      </w:r>
    </w:p>
    <w:p w14:paraId="7E613DBC" w14:textId="77777777" w:rsidR="00085789" w:rsidRDefault="00000000">
      <w:pPr>
        <w:pStyle w:val="hd1"/>
        <w:spacing w:before="120" w:after="0" w:line="240" w:lineRule="auto"/>
        <w:ind w:firstLine="709"/>
        <w:rPr>
          <w:rFonts w:ascii="Times New Roman" w:eastAsia="Calibri" w:hAnsi="Times New Roman" w:cs="Times New Roman"/>
          <w:b w:val="0"/>
          <w:bCs/>
          <w:color w:val="auto"/>
          <w:spacing w:val="0"/>
          <w:sz w:val="26"/>
          <w:lang w:val="nl-NL"/>
        </w:rPr>
      </w:pPr>
      <w:r>
        <w:rPr>
          <w:rFonts w:ascii="Times New Roman" w:hAnsi="Times New Roman" w:cs="Times New Roman"/>
          <w:b w:val="0"/>
          <w:bCs/>
          <w:spacing w:val="0"/>
          <w:sz w:val="26"/>
          <w:szCs w:val="26"/>
          <w:lang w:val="nl-NL"/>
        </w:rPr>
        <w:t>- Đóng cửa, cải tạo các bãi chôn lấp rác thải sinh hoạt đã hết sức chứa hoặc đã ngừng hoạt động nhưng chưa đóng cửa (như bãi rác Thiên Cầm; bãi rác Phượng Thành,...).</w:t>
      </w:r>
      <w:r>
        <w:rPr>
          <w:rFonts w:ascii="Times New Roman" w:eastAsia="Calibri" w:hAnsi="Times New Roman" w:cs="Times New Roman"/>
          <w:b w:val="0"/>
          <w:bCs/>
          <w:color w:val="auto"/>
          <w:spacing w:val="0"/>
          <w:sz w:val="26"/>
          <w:lang w:val="nl-NL"/>
        </w:rPr>
        <w:t xml:space="preserve"> </w:t>
      </w:r>
    </w:p>
    <w:p w14:paraId="738A563F" w14:textId="77777777" w:rsidR="00085789" w:rsidRDefault="00085789">
      <w:pPr>
        <w:pStyle w:val="hd1"/>
        <w:spacing w:before="120" w:after="0" w:line="240" w:lineRule="auto"/>
        <w:ind w:firstLine="709"/>
        <w:rPr>
          <w:rFonts w:ascii="Times New Roman" w:eastAsia="Calibri" w:hAnsi="Times New Roman" w:cs="Times New Roman"/>
          <w:b w:val="0"/>
          <w:bCs/>
          <w:spacing w:val="0"/>
          <w:lang w:val="nl-NL"/>
        </w:rPr>
      </w:pPr>
    </w:p>
    <w:p w14:paraId="1D1B9FF5" w14:textId="77777777" w:rsidR="00085789" w:rsidRDefault="00085789">
      <w:pPr>
        <w:pStyle w:val="hd1"/>
        <w:spacing w:before="120" w:after="0" w:line="240" w:lineRule="auto"/>
        <w:ind w:firstLine="709"/>
        <w:rPr>
          <w:rFonts w:ascii="Times New Roman" w:eastAsia="Calibri" w:hAnsi="Times New Roman" w:cs="Times New Roman"/>
          <w:b w:val="0"/>
          <w:bCs/>
          <w:lang w:val="nl-NL"/>
        </w:rPr>
      </w:pPr>
    </w:p>
    <w:p w14:paraId="47D4313A" w14:textId="77777777" w:rsidR="00085789" w:rsidRDefault="00085789">
      <w:pPr>
        <w:pStyle w:val="hd1"/>
        <w:spacing w:before="120" w:after="0" w:line="240" w:lineRule="auto"/>
        <w:ind w:firstLine="709"/>
        <w:rPr>
          <w:rFonts w:ascii="Times New Roman" w:eastAsia="Calibri" w:hAnsi="Times New Roman" w:cs="Times New Roman"/>
          <w:lang w:val="nl-NL"/>
        </w:rPr>
      </w:pPr>
    </w:p>
    <w:p w14:paraId="327152E4" w14:textId="77777777" w:rsidR="00085789" w:rsidRDefault="00085789">
      <w:pPr>
        <w:pStyle w:val="hd1"/>
        <w:spacing w:before="120" w:after="0" w:line="240" w:lineRule="auto"/>
        <w:ind w:firstLine="709"/>
        <w:rPr>
          <w:rFonts w:asciiTheme="majorHAnsi" w:eastAsia="Calibri" w:hAnsiTheme="majorHAnsi"/>
          <w:lang w:val="nl-NL"/>
        </w:rPr>
      </w:pPr>
    </w:p>
    <w:p w14:paraId="4085BFFB" w14:textId="77777777" w:rsidR="00085789" w:rsidRDefault="00085789">
      <w:pPr>
        <w:pStyle w:val="hd1"/>
        <w:spacing w:before="120" w:after="0" w:line="240" w:lineRule="auto"/>
        <w:ind w:firstLine="709"/>
        <w:rPr>
          <w:rFonts w:asciiTheme="majorHAnsi" w:eastAsia="Calibri" w:hAnsiTheme="majorHAnsi"/>
          <w:lang w:val="nl-NL"/>
        </w:rPr>
      </w:pPr>
    </w:p>
    <w:p w14:paraId="6622E124" w14:textId="77777777" w:rsidR="00085789" w:rsidRDefault="00085789">
      <w:pPr>
        <w:pStyle w:val="hd1"/>
        <w:spacing w:before="120" w:after="0" w:line="240" w:lineRule="auto"/>
        <w:ind w:firstLine="709"/>
        <w:rPr>
          <w:rFonts w:asciiTheme="majorHAnsi" w:eastAsia="Calibri" w:hAnsiTheme="majorHAnsi"/>
          <w:lang w:val="nl-NL"/>
        </w:rPr>
      </w:pPr>
    </w:p>
    <w:p w14:paraId="6323FD90" w14:textId="77777777" w:rsidR="00085789" w:rsidRDefault="00085789">
      <w:pPr>
        <w:pStyle w:val="hd1"/>
        <w:spacing w:before="120" w:after="0" w:line="240" w:lineRule="auto"/>
        <w:ind w:firstLine="709"/>
        <w:rPr>
          <w:rFonts w:asciiTheme="majorHAnsi" w:eastAsia="Calibri" w:hAnsiTheme="majorHAnsi"/>
          <w:lang w:val="nl-NL"/>
        </w:rPr>
      </w:pPr>
    </w:p>
    <w:p w14:paraId="76C37532" w14:textId="77777777" w:rsidR="00085789" w:rsidRDefault="00085789">
      <w:pPr>
        <w:pStyle w:val="hd1"/>
        <w:spacing w:before="120" w:after="0" w:line="240" w:lineRule="auto"/>
        <w:ind w:firstLine="709"/>
        <w:rPr>
          <w:rFonts w:asciiTheme="majorHAnsi" w:eastAsia="Calibri" w:hAnsiTheme="majorHAnsi"/>
          <w:lang w:val="nl-NL"/>
        </w:rPr>
      </w:pPr>
    </w:p>
    <w:p w14:paraId="4373F0FB" w14:textId="77777777" w:rsidR="00085789" w:rsidRDefault="00085789">
      <w:pPr>
        <w:pStyle w:val="hd1"/>
        <w:spacing w:before="120" w:after="0" w:line="240" w:lineRule="auto"/>
        <w:ind w:firstLine="709"/>
        <w:rPr>
          <w:rFonts w:asciiTheme="majorHAnsi" w:eastAsia="Calibri" w:hAnsiTheme="majorHAnsi"/>
          <w:lang w:val="nl-NL"/>
        </w:rPr>
      </w:pPr>
    </w:p>
    <w:p w14:paraId="51F0A3BA" w14:textId="77777777" w:rsidR="00085789" w:rsidRDefault="00085789">
      <w:pPr>
        <w:pStyle w:val="hd1"/>
        <w:spacing w:before="120" w:after="0" w:line="240" w:lineRule="auto"/>
        <w:ind w:firstLine="709"/>
        <w:rPr>
          <w:rFonts w:asciiTheme="majorHAnsi" w:eastAsia="Calibri" w:hAnsiTheme="majorHAnsi"/>
          <w:lang w:val="nl-NL"/>
        </w:rPr>
      </w:pPr>
    </w:p>
    <w:p w14:paraId="17C5E88B" w14:textId="77777777" w:rsidR="00085789" w:rsidRDefault="00085789">
      <w:pPr>
        <w:pStyle w:val="hd1"/>
        <w:spacing w:before="120" w:after="0" w:line="240" w:lineRule="auto"/>
        <w:ind w:firstLine="709"/>
        <w:rPr>
          <w:rFonts w:asciiTheme="majorHAnsi" w:eastAsia="Calibri" w:hAnsiTheme="majorHAnsi"/>
          <w:lang w:val="nl-NL"/>
        </w:rPr>
      </w:pPr>
    </w:p>
    <w:p w14:paraId="1E76EB66" w14:textId="77777777" w:rsidR="00085789" w:rsidRDefault="00085789">
      <w:pPr>
        <w:pStyle w:val="hd1"/>
        <w:spacing w:before="120" w:after="0" w:line="240" w:lineRule="auto"/>
        <w:ind w:firstLine="709"/>
        <w:rPr>
          <w:rFonts w:asciiTheme="majorHAnsi" w:eastAsia="Calibri" w:hAnsiTheme="majorHAnsi"/>
          <w:lang w:val="nl-NL"/>
        </w:rPr>
      </w:pPr>
    </w:p>
    <w:p w14:paraId="533165CB" w14:textId="77777777" w:rsidR="00085789" w:rsidRDefault="00085789">
      <w:pPr>
        <w:pStyle w:val="hd1"/>
        <w:spacing w:before="120" w:after="0" w:line="240" w:lineRule="auto"/>
        <w:ind w:firstLine="709"/>
        <w:rPr>
          <w:rFonts w:asciiTheme="majorHAnsi" w:eastAsia="Calibri" w:hAnsiTheme="majorHAnsi"/>
          <w:lang w:val="nl-NL"/>
        </w:rPr>
      </w:pPr>
    </w:p>
    <w:p w14:paraId="291B105D" w14:textId="77777777" w:rsidR="00085789" w:rsidRDefault="00085789">
      <w:pPr>
        <w:pStyle w:val="hd1"/>
        <w:spacing w:before="120" w:after="0" w:line="240" w:lineRule="auto"/>
        <w:ind w:firstLine="709"/>
        <w:rPr>
          <w:rFonts w:asciiTheme="majorHAnsi" w:eastAsia="Calibri" w:hAnsiTheme="majorHAnsi"/>
          <w:lang w:val="nl-NL"/>
        </w:rPr>
      </w:pPr>
    </w:p>
    <w:p w14:paraId="0E4F7DAE" w14:textId="77777777" w:rsidR="00085789" w:rsidRDefault="00085789">
      <w:pPr>
        <w:pStyle w:val="hd1"/>
        <w:spacing w:before="120" w:after="0" w:line="240" w:lineRule="auto"/>
        <w:ind w:firstLine="709"/>
        <w:rPr>
          <w:rFonts w:asciiTheme="majorHAnsi" w:eastAsia="Calibri" w:hAnsiTheme="majorHAnsi"/>
          <w:lang w:val="nl-NL"/>
        </w:rPr>
      </w:pPr>
    </w:p>
    <w:p w14:paraId="1A95310A" w14:textId="77777777" w:rsidR="00085789" w:rsidRDefault="00085789">
      <w:pPr>
        <w:pStyle w:val="hd1"/>
        <w:spacing w:before="120" w:after="0" w:line="240" w:lineRule="auto"/>
        <w:ind w:firstLine="709"/>
        <w:rPr>
          <w:rFonts w:asciiTheme="majorHAnsi" w:eastAsia="Calibri" w:hAnsiTheme="majorHAnsi"/>
          <w:sz w:val="6"/>
          <w:szCs w:val="2"/>
          <w:lang w:val="nl-NL"/>
        </w:rPr>
      </w:pPr>
    </w:p>
    <w:p w14:paraId="68870248" w14:textId="77777777" w:rsidR="00085789" w:rsidRDefault="00085789">
      <w:pPr>
        <w:pStyle w:val="-bac1"/>
        <w:spacing w:before="120" w:after="0" w:line="240" w:lineRule="auto"/>
      </w:pPr>
      <w:bookmarkStart w:id="1985" w:name="_Toc214311336"/>
    </w:p>
    <w:bookmarkEnd w:id="414"/>
    <w:bookmarkEnd w:id="415"/>
    <w:bookmarkEnd w:id="416"/>
    <w:bookmarkEnd w:id="417"/>
    <w:bookmarkEnd w:id="418"/>
    <w:bookmarkEnd w:id="1985"/>
    <w:p w14:paraId="1E6F6018" w14:textId="77777777" w:rsidR="00085789" w:rsidRDefault="00085789">
      <w:pPr>
        <w:pStyle w:val="-bac1"/>
        <w:spacing w:before="120" w:after="0" w:line="240" w:lineRule="auto"/>
      </w:pPr>
    </w:p>
    <w:sectPr w:rsidR="00085789">
      <w:headerReference w:type="default" r:id="rId147"/>
      <w:footerReference w:type="even" r:id="rId148"/>
      <w:footerReference w:type="default" r:id="rId149"/>
      <w:pgSz w:w="11909" w:h="16834" w:code="9"/>
      <w:pgMar w:top="1134" w:right="1134" w:bottom="1134" w:left="1418" w:header="567" w:footer="51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4C638F" w14:textId="77777777" w:rsidR="002E70D4" w:rsidRDefault="002E70D4">
      <w:r>
        <w:separator/>
      </w:r>
    </w:p>
  </w:endnote>
  <w:endnote w:type="continuationSeparator" w:id="0">
    <w:p w14:paraId="014DBC27" w14:textId="77777777" w:rsidR="002E70D4" w:rsidRDefault="002E7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NI-Times">
    <w:charset w:val="00"/>
    <w:family w:val="auto"/>
    <w:pitch w:val="variable"/>
    <w:sig w:usb0="00000007" w:usb1="00000000" w:usb2="00000000" w:usb3="00000000" w:csb0="00000013"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VnTimeH">
    <w:altName w:val="Times New Roman"/>
    <w:charset w:val="00"/>
    <w:family w:val="swiss"/>
    <w:pitch w:val="variable"/>
    <w:sig w:usb0="00000003" w:usb1="00000000" w:usb2="00000000" w:usb3="00000000" w:csb0="00000001" w:csb1="00000000"/>
  </w:font>
  <w:font w:name=".VnTime">
    <w:altName w:val="Times New Roman"/>
    <w:charset w:val="00"/>
    <w:family w:val="swiss"/>
    <w:pitch w:val="variable"/>
    <w:sig w:usb0="00000003" w:usb1="00000000" w:usb2="00000000" w:usb3="00000000" w:csb0="00000001" w:csb1="00000000"/>
  </w:font>
  <w:font w:name=".VnArial Narrow">
    <w:altName w:val="Calibri"/>
    <w:charset w:val="00"/>
    <w:family w:val="swiss"/>
    <w:pitch w:val="variable"/>
    <w:sig w:usb0="00000007" w:usb1="00000000" w:usb2="00000000" w:usb3="00000000" w:csb0="00000003" w:csb1="00000000"/>
  </w:font>
  <w:font w:name="VnTimes">
    <w:charset w:val="00"/>
    <w:family w:val="auto"/>
    <w:pitch w:val="variable"/>
    <w:sig w:usb0="00000003" w:usb1="00000000" w:usb2="00000000" w:usb3="00000000" w:csb0="00000001" w:csb1="00000000"/>
  </w:font>
  <w:font w:name=".VnArial">
    <w:charset w:val="00"/>
    <w:family w:val="swiss"/>
    <w:pitch w:val="variable"/>
    <w:sig w:usb0="00000007" w:usb1="00000000" w:usb2="00000000" w:usb3="00000000" w:csb0="00000011" w:csb1="00000000"/>
  </w:font>
  <w:font w:name="Times New Roman Italic">
    <w:panose1 w:val="0202050305040509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VNtimes new roman">
    <w:altName w:val="Courier New"/>
    <w:charset w:val="00"/>
    <w:family w:val="swiss"/>
    <w:pitch w:val="variable"/>
    <w:sig w:usb0="00000003" w:usb1="00000000" w:usb2="00000000" w:usb3="00000000" w:csb0="00000001" w:csb1="00000000"/>
  </w:font>
  <w:font w:name="Times New Roman Bold">
    <w:altName w:val="Times New Roman"/>
    <w:panose1 w:val="020208030705050203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N-NTime">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New Roman Bold Italic">
    <w:altName w:val="Times New Roman"/>
    <w:panose1 w:val="02020703060505090304"/>
    <w:charset w:val="00"/>
    <w:family w:val="roman"/>
    <w:notTrueType/>
    <w:pitch w:val="default"/>
  </w:font>
  <w:font w:name=".VnBook-Antiqua">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TimesNewRoman">
    <w:altName w:val="Yu Gothic"/>
    <w:panose1 w:val="00000000000000000000"/>
    <w:charset w:val="00"/>
    <w:family w:val="roman"/>
    <w:notTrueType/>
    <w:pitch w:val="default"/>
  </w:font>
  <w:font w:name=".VnArialH">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FKai-SB">
    <w:charset w:val="88"/>
    <w:family w:val="script"/>
    <w:pitch w:val="fixed"/>
    <w:sig w:usb0="00000003" w:usb1="080E0000" w:usb2="00000016" w:usb3="00000000" w:csb0="00100001" w:csb1="00000000"/>
  </w:font>
  <w:font w:name="PMingLiU">
    <w:altName w:val="新細明體"/>
    <w:panose1 w:val="02010601000101010101"/>
    <w:charset w:val="88"/>
    <w:family w:val="roman"/>
    <w:pitch w:val="variable"/>
    <w:sig w:usb0="A00002FF" w:usb1="28CFFCFA" w:usb2="00000016" w:usb3="00000000" w:csb0="00100001" w:csb1="00000000"/>
  </w:font>
  <w:font w:name="Malgun Gothic Semilight">
    <w:panose1 w:val="020B0502040204020203"/>
    <w:charset w:val="80"/>
    <w:family w:val="swiss"/>
    <w:pitch w:val="variable"/>
    <w:sig w:usb0="B0000AAF" w:usb1="09DF7CFB" w:usb2="00000012" w:usb3="00000000" w:csb0="003E01BD" w:csb1="00000000"/>
  </w:font>
  <w:font w:name="TimesNewRomanPSMT">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C2C21" w14:textId="77777777" w:rsidR="00085789"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925D9E2" w14:textId="77777777" w:rsidR="00085789" w:rsidRDefault="00085789">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1711402453"/>
      <w:docPartObj>
        <w:docPartGallery w:val="Page Numbers (Bottom of Page)"/>
        <w:docPartUnique/>
      </w:docPartObj>
    </w:sdtPr>
    <w:sdtContent>
      <w:p w14:paraId="3E2CB802" w14:textId="77777777" w:rsidR="00085789" w:rsidRDefault="00000000">
        <w:pPr>
          <w:pStyle w:val="Footer"/>
          <w:spacing w:before="120"/>
          <w:jc w:val="right"/>
          <w:rPr>
            <w:sz w:val="26"/>
            <w:szCs w:val="26"/>
          </w:rPr>
        </w:pPr>
        <w:r>
          <w:rPr>
            <w:noProof/>
            <w:sz w:val="26"/>
            <w:szCs w:val="26"/>
          </w:rPr>
          <mc:AlternateContent>
            <mc:Choice Requires="wps">
              <w:drawing>
                <wp:anchor distT="4294967295" distB="4294967295" distL="114300" distR="114300" simplePos="0" relativeHeight="251644416" behindDoc="0" locked="0" layoutInCell="1" allowOverlap="1" wp14:anchorId="322C72FB" wp14:editId="6E43D40F">
                  <wp:simplePos x="0" y="0"/>
                  <wp:positionH relativeFrom="margin">
                    <wp:align>right</wp:align>
                  </wp:positionH>
                  <wp:positionV relativeFrom="paragraph">
                    <wp:posOffset>-21590</wp:posOffset>
                  </wp:positionV>
                  <wp:extent cx="5943600" cy="19050"/>
                  <wp:effectExtent l="0" t="0" r="19050" b="19050"/>
                  <wp:wrapNone/>
                  <wp:docPr id="1217" name="Straight Connector 12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943600" cy="1905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262F474" id="Straight Connector 1217" o:spid="_x0000_s1026" style="position:absolute;flip:y;z-index:251644416;visibility:visible;mso-wrap-style:square;mso-width-percent:0;mso-height-percent:0;mso-wrap-distance-left:9pt;mso-wrap-distance-top:-3e-5mm;mso-wrap-distance-right:9pt;mso-wrap-distance-bottom:-3e-5mm;mso-position-horizontal:right;mso-position-horizontal-relative:margin;mso-position-vertical:absolute;mso-position-vertical-relative:text;mso-width-percent:0;mso-height-percent:0;mso-width-relative:page;mso-height-relative:page" from="416.8pt,-1.7pt" to="884.8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" strokecolor="black [3213]">
                  <o:lock v:ext="edit" shapetype="f"/>
                  <w10:wrap anchorx="margin"/>
                </v:line>
              </w:pict>
            </mc:Fallback>
          </mc:AlternateContent>
        </w:r>
        <w:r>
          <w:rPr>
            <w:sz w:val="26"/>
            <w:szCs w:val="26"/>
          </w:rPr>
          <w:t xml:space="preserve">Trang | </w:t>
        </w:r>
        <w:r>
          <w:rPr>
            <w:sz w:val="26"/>
            <w:szCs w:val="26"/>
          </w:rPr>
          <w:fldChar w:fldCharType="begin"/>
        </w:r>
        <w:r>
          <w:rPr>
            <w:sz w:val="26"/>
            <w:szCs w:val="26"/>
          </w:rPr>
          <w:instrText xml:space="preserve"> PAGE   \* MERGEFORMAT </w:instrText>
        </w:r>
        <w:r>
          <w:rPr>
            <w:sz w:val="26"/>
            <w:szCs w:val="26"/>
          </w:rPr>
          <w:fldChar w:fldCharType="separate"/>
        </w:r>
        <w:r>
          <w:rPr>
            <w:noProof/>
            <w:sz w:val="26"/>
            <w:szCs w:val="26"/>
          </w:rPr>
          <w:t>218</w:t>
        </w:r>
        <w:r>
          <w:rPr>
            <w:noProof/>
            <w:sz w:val="26"/>
            <w:szCs w:val="26"/>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1399170019"/>
      <w:docPartObj>
        <w:docPartGallery w:val="Page Numbers (Bottom of Page)"/>
        <w:docPartUnique/>
      </w:docPartObj>
    </w:sdtPr>
    <w:sdtEndPr>
      <w:rPr>
        <w:sz w:val="24"/>
        <w:szCs w:val="24"/>
      </w:rPr>
    </w:sdtEndPr>
    <w:sdtContent>
      <w:p w14:paraId="547BA5FA" w14:textId="77777777" w:rsidR="00085789" w:rsidRDefault="00000000">
        <w:pPr>
          <w:pStyle w:val="Footer"/>
          <w:pBdr>
            <w:top w:val="single" w:sz="4" w:space="1" w:color="auto"/>
          </w:pBdr>
          <w:jc w:val="right"/>
          <w:rPr>
            <w:sz w:val="24"/>
            <w:szCs w:val="24"/>
          </w:rPr>
        </w:pPr>
        <w:r>
          <w:rPr>
            <w:sz w:val="24"/>
            <w:szCs w:val="24"/>
          </w:rPr>
          <w:t xml:space="preserve">Trang | </w:t>
        </w:r>
        <w:r>
          <w:rPr>
            <w:sz w:val="24"/>
            <w:szCs w:val="24"/>
          </w:rPr>
          <w:fldChar w:fldCharType="begin"/>
        </w:r>
        <w:r>
          <w:rPr>
            <w:sz w:val="24"/>
            <w:szCs w:val="24"/>
          </w:rPr>
          <w:instrText xml:space="preserve"> PAGE   \* MERGEFORMAT </w:instrText>
        </w:r>
        <w:r>
          <w:rPr>
            <w:sz w:val="24"/>
            <w:szCs w:val="24"/>
          </w:rPr>
          <w:fldChar w:fldCharType="separate"/>
        </w:r>
        <w:r>
          <w:rPr>
            <w:noProof/>
            <w:sz w:val="24"/>
            <w:szCs w:val="24"/>
          </w:rPr>
          <w:t>45</w:t>
        </w:r>
        <w:r>
          <w:rPr>
            <w:noProof/>
            <w:sz w:val="24"/>
            <w:szCs w:val="24"/>
          </w:rPr>
          <w:fldChar w:fldCharType="end"/>
        </w:r>
      </w:p>
    </w:sdtContent>
  </w:sdt>
  <w:p w14:paraId="269B43C2" w14:textId="77777777" w:rsidR="00085789" w:rsidRDefault="000857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77701" w14:textId="77777777" w:rsidR="00085789" w:rsidRDefault="00085789">
    <w:pPr>
      <w:pStyle w:val="Footer"/>
    </w:pPr>
  </w:p>
  <w:p w14:paraId="145D2BD8" w14:textId="77777777" w:rsidR="00085789" w:rsidRDefault="00085789">
    <w:pPr>
      <w:pStyle w:val="Footer"/>
      <w:tabs>
        <w:tab w:val="clear" w:pos="4320"/>
        <w:tab w:val="clear" w:pos="8640"/>
        <w:tab w:val="left" w:pos="3570"/>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71982" w14:textId="77777777" w:rsidR="00085789"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9A6054" w14:textId="77777777" w:rsidR="00085789" w:rsidRDefault="00085789">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240919399"/>
      <w:docPartObj>
        <w:docPartGallery w:val="Page Numbers (Bottom of Page)"/>
        <w:docPartUnique/>
      </w:docPartObj>
    </w:sdtPr>
    <w:sdtContent>
      <w:p w14:paraId="1D4D9B70" w14:textId="77777777" w:rsidR="00085789" w:rsidRDefault="00000000">
        <w:pPr>
          <w:pStyle w:val="Footer"/>
          <w:pBdr>
            <w:top w:val="single" w:sz="4" w:space="1" w:color="auto"/>
          </w:pBdr>
          <w:jc w:val="right"/>
          <w:rPr>
            <w:sz w:val="26"/>
            <w:szCs w:val="26"/>
          </w:rPr>
        </w:pPr>
        <w:r>
          <w:rPr>
            <w:sz w:val="26"/>
            <w:szCs w:val="26"/>
          </w:rPr>
          <w:t xml:space="preserve">Trang | </w:t>
        </w:r>
        <w:r>
          <w:rPr>
            <w:sz w:val="26"/>
            <w:szCs w:val="26"/>
          </w:rPr>
          <w:fldChar w:fldCharType="begin"/>
        </w:r>
        <w:r>
          <w:rPr>
            <w:sz w:val="26"/>
            <w:szCs w:val="26"/>
          </w:rPr>
          <w:instrText xml:space="preserve"> PAGE   \* MERGEFORMAT </w:instrText>
        </w:r>
        <w:r>
          <w:rPr>
            <w:sz w:val="26"/>
            <w:szCs w:val="26"/>
          </w:rPr>
          <w:fldChar w:fldCharType="separate"/>
        </w:r>
        <w:r>
          <w:rPr>
            <w:noProof/>
            <w:sz w:val="26"/>
            <w:szCs w:val="26"/>
          </w:rPr>
          <w:t>71</w:t>
        </w:r>
        <w:r>
          <w:rPr>
            <w:noProof/>
            <w:sz w:val="26"/>
            <w:szCs w:val="26"/>
          </w:rPr>
          <w:fldChar w:fldCharType="end"/>
        </w:r>
      </w:p>
    </w:sdtContent>
  </w:sdt>
  <w:p w14:paraId="4550DB93" w14:textId="77777777" w:rsidR="00085789" w:rsidRDefault="00085789">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E04FCC" w14:textId="77777777" w:rsidR="00085789"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E621F67" w14:textId="77777777" w:rsidR="00085789" w:rsidRDefault="00085789">
    <w:pPr>
      <w:pStyle w:val="Footer"/>
      <w:ind w:right="360"/>
    </w:pPr>
  </w:p>
  <w:p w14:paraId="655B612C" w14:textId="77777777" w:rsidR="00085789" w:rsidRDefault="00085789"/>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6"/>
        <w:szCs w:val="26"/>
      </w:rPr>
      <w:id w:val="-1315865087"/>
      <w:docPartObj>
        <w:docPartGallery w:val="Page Numbers (Bottom of Page)"/>
        <w:docPartUnique/>
      </w:docPartObj>
    </w:sdtPr>
    <w:sdtContent>
      <w:p w14:paraId="40588F90" w14:textId="77777777" w:rsidR="00085789" w:rsidRDefault="00000000">
        <w:pPr>
          <w:pStyle w:val="Footer"/>
          <w:jc w:val="right"/>
          <w:rPr>
            <w:sz w:val="26"/>
            <w:szCs w:val="26"/>
          </w:rPr>
        </w:pPr>
        <w:r>
          <w:rPr>
            <w:noProof/>
          </w:rPr>
          <mc:AlternateContent>
            <mc:Choice Requires="wps">
              <w:drawing>
                <wp:anchor distT="4294967294" distB="4294967294" distL="114300" distR="114300" simplePos="0" relativeHeight="251673600" behindDoc="0" locked="0" layoutInCell="1" allowOverlap="1" wp14:anchorId="526AB472" wp14:editId="629967B5">
                  <wp:simplePos x="0" y="0"/>
                  <wp:positionH relativeFrom="column">
                    <wp:posOffset>-29210</wp:posOffset>
                  </wp:positionH>
                  <wp:positionV relativeFrom="paragraph">
                    <wp:posOffset>-59056</wp:posOffset>
                  </wp:positionV>
                  <wp:extent cx="5760085" cy="0"/>
                  <wp:effectExtent l="0" t="0" r="0" b="0"/>
                  <wp:wrapNone/>
                  <wp:docPr id="2016443834" name="Straight Connector 20164438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008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29A6310" id="Straight Connector 2016443834" o:spid="_x0000_s1026" style="position:absolute;z-index:2516736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3pt,-4.65pt" to="451.25pt,-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" strokecolor="black [3213]">
                  <o:lock v:ext="edit" shapetype="f"/>
                </v:line>
              </w:pict>
            </mc:Fallback>
          </mc:AlternateContent>
        </w:r>
        <w:r>
          <w:rPr>
            <w:sz w:val="24"/>
            <w:szCs w:val="24"/>
          </w:rPr>
          <w:t xml:space="preserve">Trang | </w:t>
        </w:r>
        <w:r>
          <w:rPr>
            <w:sz w:val="24"/>
            <w:szCs w:val="24"/>
          </w:rPr>
          <w:fldChar w:fldCharType="begin"/>
        </w:r>
        <w:r>
          <w:rPr>
            <w:sz w:val="24"/>
            <w:szCs w:val="24"/>
          </w:rPr>
          <w:instrText xml:space="preserve"> PAGE   \* MERGEFORMAT </w:instrText>
        </w:r>
        <w:r>
          <w:rPr>
            <w:sz w:val="24"/>
            <w:szCs w:val="24"/>
          </w:rPr>
          <w:fldChar w:fldCharType="separate"/>
        </w:r>
        <w:r>
          <w:rPr>
            <w:noProof/>
            <w:sz w:val="24"/>
            <w:szCs w:val="24"/>
          </w:rPr>
          <w:t>163</w:t>
        </w:r>
        <w:r>
          <w:rPr>
            <w:noProof/>
            <w:sz w:val="24"/>
            <w:szCs w:val="24"/>
          </w:rPr>
          <w:fldChar w:fldCharType="end"/>
        </w:r>
      </w:p>
    </w:sdtContent>
  </w:sdt>
  <w:p w14:paraId="20886473" w14:textId="77777777" w:rsidR="00085789" w:rsidRDefault="00085789">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4104538"/>
      <w:docPartObj>
        <w:docPartGallery w:val="Page Numbers (Bottom of Page)"/>
        <w:docPartUnique/>
      </w:docPartObj>
    </w:sdtPr>
    <w:sdtEndPr>
      <w:rPr>
        <w:noProof/>
        <w:sz w:val="24"/>
        <w:szCs w:val="24"/>
      </w:rPr>
    </w:sdtEndPr>
    <w:sdtContent>
      <w:sdt>
        <w:sdtPr>
          <w:rPr>
            <w:sz w:val="24"/>
            <w:szCs w:val="24"/>
          </w:rPr>
          <w:id w:val="1979413837"/>
          <w:docPartObj>
            <w:docPartGallery w:val="Page Numbers (Bottom of Page)"/>
            <w:docPartUnique/>
          </w:docPartObj>
        </w:sdtPr>
        <w:sdtContent>
          <w:p w14:paraId="43D5D2AF" w14:textId="77777777" w:rsidR="00085789" w:rsidRDefault="00000000">
            <w:pPr>
              <w:pStyle w:val="Footer"/>
              <w:pBdr>
                <w:top w:val="single" w:sz="4" w:space="1" w:color="auto"/>
              </w:pBdr>
              <w:jc w:val="right"/>
              <w:rPr>
                <w:sz w:val="24"/>
                <w:szCs w:val="24"/>
              </w:rPr>
            </w:pPr>
            <w:r>
              <w:rPr>
                <w:sz w:val="24"/>
                <w:szCs w:val="24"/>
              </w:rPr>
              <w:t xml:space="preserve">Trang | </w:t>
            </w:r>
            <w:r>
              <w:rPr>
                <w:sz w:val="24"/>
                <w:szCs w:val="24"/>
              </w:rPr>
              <w:fldChar w:fldCharType="begin"/>
            </w:r>
            <w:r>
              <w:rPr>
                <w:sz w:val="24"/>
                <w:szCs w:val="24"/>
              </w:rPr>
              <w:instrText xml:space="preserve"> PAGE   \* MERGEFORMAT </w:instrText>
            </w:r>
            <w:r>
              <w:rPr>
                <w:sz w:val="24"/>
                <w:szCs w:val="24"/>
              </w:rPr>
              <w:fldChar w:fldCharType="separate"/>
            </w:r>
            <w:r>
              <w:rPr>
                <w:noProof/>
                <w:sz w:val="24"/>
                <w:szCs w:val="24"/>
              </w:rPr>
              <w:t>186</w:t>
            </w:r>
            <w:r>
              <w:rPr>
                <w:noProof/>
                <w:sz w:val="24"/>
                <w:szCs w:val="24"/>
              </w:rPr>
              <w:fldChar w:fldCharType="end"/>
            </w:r>
          </w:p>
        </w:sdtContent>
      </w:sdt>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B1BB8" w14:textId="77777777" w:rsidR="00085789" w:rsidRDefault="0000000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293511D" w14:textId="77777777" w:rsidR="00085789" w:rsidRDefault="00085789">
    <w:pPr>
      <w:pStyle w:val="Footer"/>
      <w:ind w:right="360"/>
    </w:pPr>
  </w:p>
  <w:p w14:paraId="289B9543" w14:textId="77777777" w:rsidR="00085789" w:rsidRDefault="0008578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9690D" w14:textId="77777777" w:rsidR="002E70D4" w:rsidRDefault="002E70D4">
      <w:r>
        <w:separator/>
      </w:r>
    </w:p>
  </w:footnote>
  <w:footnote w:type="continuationSeparator" w:id="0">
    <w:p w14:paraId="3D0762F3" w14:textId="77777777" w:rsidR="002E70D4" w:rsidRDefault="002E70D4">
      <w:r>
        <w:continuationSeparator/>
      </w:r>
    </w:p>
  </w:footnote>
  <w:footnote w:id="1">
    <w:p w14:paraId="3B2B2B3A" w14:textId="77777777" w:rsidR="00085789" w:rsidRDefault="00000000">
      <w:pPr>
        <w:pStyle w:val="FootnoteText"/>
        <w:jc w:val="both"/>
        <w:rPr>
          <w:sz w:val="18"/>
          <w:szCs w:val="18"/>
          <w:lang w:val="vi-VN"/>
        </w:rPr>
      </w:pPr>
      <w:r>
        <w:rPr>
          <w:rStyle w:val="FootnoteReference"/>
          <w:sz w:val="18"/>
          <w:szCs w:val="18"/>
        </w:rPr>
        <w:footnoteRef/>
      </w:r>
      <w:r>
        <w:rPr>
          <w:sz w:val="18"/>
          <w:szCs w:val="18"/>
        </w:rPr>
        <w:t xml:space="preserve"> KCN Vũng Áng 1, KCN Gia Lách, KCN Phú Vinh.</w:t>
      </w:r>
    </w:p>
  </w:footnote>
  <w:footnote w:id="2">
    <w:p w14:paraId="02261994" w14:textId="77777777" w:rsidR="00085789" w:rsidRDefault="00000000">
      <w:pPr>
        <w:pStyle w:val="FootnoteText"/>
        <w:jc w:val="both"/>
        <w:rPr>
          <w:sz w:val="18"/>
          <w:szCs w:val="18"/>
          <w:lang w:val="vi-VN"/>
        </w:rPr>
      </w:pPr>
      <w:r>
        <w:rPr>
          <w:rStyle w:val="FootnoteReference"/>
          <w:sz w:val="18"/>
          <w:szCs w:val="18"/>
        </w:rPr>
        <w:footnoteRef/>
      </w:r>
      <w:r>
        <w:rPr>
          <w:sz w:val="18"/>
          <w:szCs w:val="18"/>
          <w:lang w:val="vi-VN"/>
        </w:rPr>
        <w:t xml:space="preserve"> </w:t>
      </w:r>
      <w:r>
        <w:rPr>
          <w:color w:val="000000" w:themeColor="text1"/>
          <w:sz w:val="18"/>
          <w:szCs w:val="18"/>
          <w:lang w:val="vi-VN"/>
        </w:rPr>
        <w:t>KCN Bắc Thạch Hà được Thủ tưởng Chính phủ chấp thuận chủ trương đầu tư dự án đầu tư xây dựng và kinh doanh hạ tầng khu công nghiệp Bắc Thạch Hà (Giai đoạn 1), huyện Thạch Hà, tỉnh Hà Tĩnh tại Quyết định số 1003/QĐ-TTg ngày 29/8/2023; KCN Vinhomes Vũng Áng được Thủ tưởng Chính phủ chấp thuận chủ trương đầu tư  Dự án đầu tư xây dựng và kinh doanh kết cấu hạ tầng khu công nghiệp Vinhomes Vũng Áng tại KKT Vũng Áng, thị xã Kỳ Anh tại Quyết định số 639/QĐ-TTg vào ngày 13/7/2024; KCN Gia lách mở rộng được Thủ tưởng Chính phủ chấp thuận chủ trương đầu tư dự án đầu tư xây dựng và kinh doanh kết cấu hạ tầng khu công nghiệp (KCN) Gia Lách mở rộng, tỉnh Hà Tĩnh tại Quyết định số 1468/QĐ-TTg ngày 25/11/2024.</w:t>
      </w:r>
    </w:p>
  </w:footnote>
  <w:footnote w:id="3">
    <w:p w14:paraId="0AAFFD83" w14:textId="77777777" w:rsidR="00085789" w:rsidRDefault="00000000">
      <w:pPr>
        <w:pStyle w:val="FootnoteText"/>
        <w:jc w:val="both"/>
        <w:rPr>
          <w:sz w:val="18"/>
          <w:szCs w:val="18"/>
          <w:lang w:val="vi-VN"/>
        </w:rPr>
      </w:pPr>
      <w:r>
        <w:rPr>
          <w:rStyle w:val="FootnoteReference"/>
          <w:sz w:val="18"/>
          <w:szCs w:val="18"/>
        </w:rPr>
        <w:footnoteRef/>
      </w:r>
      <w:r>
        <w:rPr>
          <w:sz w:val="18"/>
          <w:szCs w:val="18"/>
          <w:lang w:val="vi-VN"/>
        </w:rPr>
        <w:t xml:space="preserve"> Gồm: 403,78 ha diện tích đất công nghiệp có thể cho thuê; 168,19 ha diện tích đã cho dự án thứ cấp thuê.</w:t>
      </w:r>
    </w:p>
  </w:footnote>
  <w:footnote w:id="4">
    <w:p w14:paraId="1C9D4DA8" w14:textId="77777777" w:rsidR="00085789" w:rsidRDefault="00000000">
      <w:pPr>
        <w:pStyle w:val="FootnoteText"/>
        <w:jc w:val="both"/>
        <w:rPr>
          <w:sz w:val="18"/>
          <w:szCs w:val="18"/>
          <w:lang w:val="vi-VN"/>
        </w:rPr>
      </w:pPr>
      <w:r>
        <w:rPr>
          <w:rStyle w:val="FootnoteReference"/>
          <w:sz w:val="18"/>
          <w:szCs w:val="18"/>
        </w:rPr>
        <w:footnoteRef/>
      </w:r>
      <w:r>
        <w:rPr>
          <w:sz w:val="18"/>
          <w:szCs w:val="18"/>
          <w:lang w:val="vi-VN"/>
        </w:rPr>
        <w:t xml:space="preserve"> CCN Bắc Thạch Quý với diện tích 10 ha nằm trong đô thị, gần khu dân cư nếu tiếp tục sản xuất sẽ gây ô nhiễm môi trường và CCN sản xuất, chế biến thức ăn chăn nuôi, cung cấp giống bò sữa Sơn Lễ với với diện tích 62,87 ha đã được UBND tỉnh giao cho Công ty Cổ phần Vinamilk Việt Nam triển khai thực hiện dự án chăn nuôi bò sữa, không phục vụ mục đích phát triển công nghiệp.</w:t>
      </w:r>
    </w:p>
  </w:footnote>
  <w:footnote w:id="5">
    <w:p w14:paraId="59B8DFF1" w14:textId="77777777" w:rsidR="00085789" w:rsidRDefault="00000000">
      <w:pPr>
        <w:pStyle w:val="FootnoteText"/>
        <w:jc w:val="both"/>
        <w:rPr>
          <w:sz w:val="18"/>
          <w:szCs w:val="18"/>
          <w:lang w:val="vi-VN"/>
        </w:rPr>
      </w:pPr>
      <w:r>
        <w:rPr>
          <w:rStyle w:val="FootnoteReference"/>
          <w:sz w:val="18"/>
          <w:szCs w:val="18"/>
        </w:rPr>
        <w:footnoteRef/>
      </w:r>
      <w:r>
        <w:rPr>
          <w:sz w:val="18"/>
          <w:szCs w:val="18"/>
          <w:lang w:val="vi-VN"/>
        </w:rPr>
        <w:t xml:space="preserve"> Gồm: CCN Cổng Khánh 1 - Công ty CP Đầu tư IDI; CCN Cổng Khánh 2 - Công ty CP Tập đoàn Hoành Sơn; CCN Kỳ Hưng - Công ty TNHH Thương mại và Đầu tư Lợi Châu; CCN Xuân Lĩnh - Công ty TNHH Thanh Thành Đạt; CCN huyện Đức Thọ - Công ty CP Đầu tư GS Miền Trung; CCN Thái Yên (phần mở rộng 15,3 ha) - Công ty CP Đầu tư IDI; CCN huyện Can Lộc - Công ty CP đầu tư Tân Hà Đô; CCN Yên Huy - Công ty TNHH Yên Huy; CCN Thạch Bằng - Công ty CP Đầu tư Hưng Đại Việt; CCN Cẩm Nhượng - Công ty CP Eco Land; CCN Lâm Hợp - Công ty TNHH MTV Đầu tư và Phát triển kho bãi Nhơn Tân; đến nay đã có 177 dự án/cơ sở thứ cấp; đạt tỷ lệ lấp đầy 25,97%.</w:t>
      </w:r>
    </w:p>
  </w:footnote>
  <w:footnote w:id="6">
    <w:p w14:paraId="2473FACE" w14:textId="77777777" w:rsidR="00085789" w:rsidRDefault="00000000">
      <w:pPr>
        <w:pStyle w:val="FootnoteText"/>
        <w:jc w:val="both"/>
        <w:rPr>
          <w:sz w:val="18"/>
          <w:szCs w:val="18"/>
          <w:lang w:val="vi-VN"/>
        </w:rPr>
      </w:pPr>
      <w:r>
        <w:rPr>
          <w:rStyle w:val="FootnoteReference"/>
          <w:sz w:val="18"/>
          <w:szCs w:val="18"/>
        </w:rPr>
        <w:footnoteRef/>
      </w:r>
      <w:r>
        <w:rPr>
          <w:sz w:val="18"/>
          <w:szCs w:val="18"/>
          <w:lang w:val="vi-VN"/>
        </w:rPr>
        <w:t xml:space="preserve"> Gồm: CCN Thạch Đồng; CCN Trung Lương; CCN Nam Hồng; CCN Kỳ Ninh; CCN Trường Sơn; CCN Phù Việt; CCN Bắc Cẩm Xuyên; CCN Khe Cò; CCN Gia Phố; CCN huyện Vũ Quang; CCN Thạch Kim; CCN Thái Yên (phần cũ 5,5 ha); đến nay đã có 179 dự án/cơ sở thứ cấp; đạt tỷ lệ lấp đầy 62,17%.</w:t>
      </w:r>
    </w:p>
  </w:footnote>
  <w:footnote w:id="7">
    <w:p w14:paraId="10696F54" w14:textId="77777777" w:rsidR="00085789" w:rsidRDefault="00000000">
      <w:pPr>
        <w:pStyle w:val="FootnoteText"/>
        <w:jc w:val="both"/>
        <w:rPr>
          <w:sz w:val="18"/>
          <w:szCs w:val="18"/>
          <w:lang w:val="vi-VN"/>
        </w:rPr>
      </w:pPr>
      <w:r>
        <w:rPr>
          <w:rStyle w:val="FootnoteReference"/>
          <w:sz w:val="18"/>
          <w:szCs w:val="18"/>
        </w:rPr>
        <w:footnoteRef/>
      </w:r>
      <w:r>
        <w:rPr>
          <w:sz w:val="18"/>
          <w:szCs w:val="18"/>
          <w:lang w:val="vi-VN"/>
        </w:rPr>
        <w:t xml:space="preserve"> CCN Cẩm Nhượng, CCN Thạch Bằng, CCN Lâm Hợp.</w:t>
      </w:r>
    </w:p>
  </w:footnote>
  <w:footnote w:id="8">
    <w:p w14:paraId="37E0AFB9" w14:textId="77777777" w:rsidR="00085789" w:rsidRDefault="00000000">
      <w:pPr>
        <w:pStyle w:val="FootnoteText"/>
        <w:jc w:val="both"/>
        <w:rPr>
          <w:lang w:val="vi-VN"/>
        </w:rPr>
      </w:pPr>
      <w:r>
        <w:rPr>
          <w:rStyle w:val="FootnoteReference"/>
        </w:rPr>
        <w:footnoteRef/>
      </w:r>
      <w:r>
        <w:rPr>
          <w:lang w:val="vi-VN"/>
        </w:rPr>
        <w:t xml:space="preserve"> Làng mộc Thái Yên (xã Đức Thịnh); Làng mộc Tràng Đình (xã Gia Hanh); Làng nghề chổi đót Hà Ân (xã Mai Phụ); Làng nghề đóng thuyền Trường Sơn (xã Đức Minh); Làng nghề bánh đa nem thôn Bình (phường Thành Sen); Làng nghề làm bún Đại Lự (xã Hồng Lộc); Làng nghề nón lá Ba Giang (xã Việt Xuyên).</w:t>
      </w:r>
    </w:p>
  </w:footnote>
  <w:footnote w:id="9">
    <w:p w14:paraId="41C22D9D" w14:textId="77777777" w:rsidR="00085789" w:rsidRDefault="00000000">
      <w:pPr>
        <w:pStyle w:val="FootnoteText"/>
        <w:jc w:val="both"/>
        <w:rPr>
          <w:lang w:val="vi-VN"/>
        </w:rPr>
      </w:pPr>
      <w:r>
        <w:rPr>
          <w:rStyle w:val="FootnoteReference"/>
        </w:rPr>
        <w:footnoteRef/>
      </w:r>
      <w:r>
        <w:rPr>
          <w:lang w:val="vi-VN"/>
        </w:rPr>
        <w:t xml:space="preserve"> Làng nghề đan lát thôn Nam Giang (xã Thạch Hà); Làng nghề đan lát Phú Quý (xã Đông Kinh); Làng nghề sản xuất muối thôn Châu Hạ (xã Mai Phụ); Làng nghề làm hương Báo Ân (xã Mai Phụ); Làng nghề hoa cây cảnh Bắc Sơn (xã Toàn Lưu); Làng nghề chế tác trầm hương thôn 8 (xã Phúc Trạch).</w:t>
      </w:r>
    </w:p>
  </w:footnote>
  <w:footnote w:id="10">
    <w:p w14:paraId="515CBEF8" w14:textId="77777777" w:rsidR="00085789" w:rsidRDefault="00000000">
      <w:pPr>
        <w:pStyle w:val="FootnoteText"/>
        <w:jc w:val="both"/>
        <w:rPr>
          <w:lang w:val="vi-VN"/>
        </w:rPr>
      </w:pPr>
      <w:r>
        <w:rPr>
          <w:rStyle w:val="FootnoteReference"/>
        </w:rPr>
        <w:footnoteRef/>
      </w:r>
      <w:r>
        <w:rPr>
          <w:lang w:val="vi-VN"/>
        </w:rPr>
        <w:t xml:space="preserve"> Nhà máy nhiệt điện Vũng Áng 1, Nhà máy nhiệt điện Vũng Áng 2, Nhà máy nhiệt điện Formosa Hà Tĩnh.</w:t>
      </w:r>
    </w:p>
  </w:footnote>
  <w:footnote w:id="11">
    <w:p w14:paraId="6E170F40" w14:textId="77777777" w:rsidR="00085789" w:rsidRDefault="00000000">
      <w:pPr>
        <w:pStyle w:val="FootnoteText"/>
        <w:jc w:val="both"/>
        <w:rPr>
          <w:lang w:val="vi-VN"/>
        </w:rPr>
      </w:pPr>
      <w:r>
        <w:rPr>
          <w:rStyle w:val="FootnoteReference"/>
        </w:rPr>
        <w:footnoteRef/>
      </w:r>
      <w:r>
        <w:rPr>
          <w:lang w:val="vi-VN"/>
        </w:rPr>
        <w:t xml:space="preserve"> Nhà máy thuỷ điện Hương Sơn, Hương Sơn 2, H</w:t>
      </w:r>
      <w:r>
        <w:t>ố</w:t>
      </w:r>
      <w:r>
        <w:rPr>
          <w:lang w:val="vi-VN"/>
        </w:rPr>
        <w:t xml:space="preserve"> Hô, Kẻ Gỗ, Ngàn Trươi, Đá Hàn, Vũ Quang.</w:t>
      </w:r>
    </w:p>
  </w:footnote>
  <w:footnote w:id="12">
    <w:p w14:paraId="05B0FE51" w14:textId="77777777" w:rsidR="00085789" w:rsidRDefault="00000000">
      <w:pPr>
        <w:pStyle w:val="FootnoteText"/>
        <w:jc w:val="both"/>
        <w:rPr>
          <w:lang w:val="vi-VN"/>
        </w:rPr>
      </w:pPr>
      <w:r>
        <w:rPr>
          <w:rStyle w:val="FootnoteReference"/>
        </w:rPr>
        <w:footnoteRef/>
      </w:r>
      <w:r>
        <w:rPr>
          <w:lang w:val="vi-VN"/>
        </w:rPr>
        <w:t xml:space="preserve"> Trang trại phong điện HBRE Hà Tĩnh.</w:t>
      </w:r>
    </w:p>
  </w:footnote>
  <w:footnote w:id="13">
    <w:p w14:paraId="72192AD6" w14:textId="77777777" w:rsidR="00085789" w:rsidRDefault="00000000">
      <w:pPr>
        <w:pStyle w:val="FootnoteText"/>
        <w:jc w:val="both"/>
        <w:rPr>
          <w:lang w:val="vi-VN"/>
        </w:rPr>
      </w:pPr>
      <w:r>
        <w:rPr>
          <w:rStyle w:val="FootnoteReference"/>
        </w:rPr>
        <w:footnoteRef/>
      </w:r>
      <w:r>
        <w:rPr>
          <w:lang w:val="vi-VN"/>
        </w:rPr>
        <w:t xml:space="preserve"> Nhà máy điện mặt trời Cẩm Hoà và Nhà máy điện mặt trời Cẩm Hưng.</w:t>
      </w:r>
    </w:p>
  </w:footnote>
  <w:footnote w:id="14">
    <w:p w14:paraId="4A8D4389" w14:textId="77777777" w:rsidR="00085789" w:rsidRDefault="00000000">
      <w:pPr>
        <w:pStyle w:val="FootnoteText"/>
        <w:jc w:val="both"/>
        <w:rPr>
          <w:lang w:val="sv-SE"/>
        </w:rPr>
      </w:pPr>
      <w:r>
        <w:rPr>
          <w:rStyle w:val="FootnoteReference"/>
        </w:rPr>
        <w:footnoteRef/>
      </w:r>
      <w:r>
        <w:rPr>
          <w:lang w:val="sv-SE"/>
        </w:rPr>
        <w:t xml:space="preserve"> </w:t>
      </w:r>
      <w:r>
        <w:rPr>
          <w:bCs/>
          <w:lang w:val="pt-PT"/>
        </w:rPr>
        <w:t>Rừng sản xuất: 35.679 ha; rừng phòng hộ: 1.470 ha.</w:t>
      </w:r>
    </w:p>
  </w:footnote>
  <w:footnote w:id="15">
    <w:p w14:paraId="2864B8E9" w14:textId="77777777" w:rsidR="00085789" w:rsidRDefault="00000000">
      <w:pPr>
        <w:pStyle w:val="FootnoteText"/>
        <w:jc w:val="both"/>
        <w:rPr>
          <w:lang w:val="sv-SE"/>
        </w:rPr>
      </w:pPr>
      <w:r>
        <w:rPr>
          <w:rStyle w:val="FootnoteReference"/>
        </w:rPr>
        <w:footnoteRef/>
      </w:r>
      <w:r>
        <w:rPr>
          <w:lang w:val="sv-SE"/>
        </w:rPr>
        <w:t xml:space="preserve"> </w:t>
      </w:r>
      <w:r>
        <w:rPr>
          <w:bCs/>
          <w:lang w:val="pt-PT"/>
        </w:rPr>
        <w:t>Rừng sản xuất: 44.679 ha; rừng phòng hộ: 1.770 ha.</w:t>
      </w:r>
    </w:p>
  </w:footnote>
  <w:footnote w:id="16">
    <w:p w14:paraId="3B1689D4" w14:textId="77777777" w:rsidR="00085789" w:rsidRDefault="00000000">
      <w:pPr>
        <w:pStyle w:val="FootnoteText"/>
        <w:jc w:val="both"/>
        <w:rPr>
          <w:lang w:val="sv-SE"/>
        </w:rPr>
      </w:pPr>
      <w:r>
        <w:rPr>
          <w:rStyle w:val="FootnoteReference"/>
        </w:rPr>
        <w:footnoteRef/>
      </w:r>
      <w:r>
        <w:rPr>
          <w:lang w:val="sv-SE"/>
        </w:rPr>
        <w:t xml:space="preserve"> </w:t>
      </w:r>
      <w:r>
        <w:rPr>
          <w:bCs/>
          <w:lang w:val="pt-PT"/>
        </w:rPr>
        <w:t>Năm 2021: 551 ha, năm 2022: 551 ha, năm 2023: 551 ha, năm 2024: 550,5 ha, năm 2025 (kế hoạch): 330ha</w:t>
      </w:r>
    </w:p>
  </w:footnote>
  <w:footnote w:id="17">
    <w:p w14:paraId="6AB252EB" w14:textId="77777777" w:rsidR="00085789" w:rsidRDefault="00000000">
      <w:pPr>
        <w:pStyle w:val="FootnoteText"/>
        <w:jc w:val="both"/>
        <w:rPr>
          <w:lang w:val="sv-SE"/>
        </w:rPr>
      </w:pPr>
      <w:r>
        <w:rPr>
          <w:rStyle w:val="FootnoteReference"/>
        </w:rPr>
        <w:footnoteRef/>
      </w:r>
      <w:r>
        <w:rPr>
          <w:lang w:val="sv-SE"/>
        </w:rPr>
        <w:t xml:space="preserve"> </w:t>
      </w:r>
      <w:r>
        <w:rPr>
          <w:bCs/>
          <w:lang w:val="pt-PT"/>
        </w:rPr>
        <w:t>Năm 2021: 23.000 ha, năm 2022: 21.260 ha, năm 2023: 21.000 ha, năm 2024: 22.000 ha, năm 2025 (kế hoạch)  27.000 ha.</w:t>
      </w:r>
    </w:p>
  </w:footnote>
  <w:footnote w:id="18">
    <w:p w14:paraId="5623F775" w14:textId="77777777" w:rsidR="00085789" w:rsidRDefault="00000000">
      <w:pPr>
        <w:pStyle w:val="FootnoteText"/>
        <w:jc w:val="both"/>
        <w:rPr>
          <w:highlight w:val="yellow"/>
          <w:lang w:val="sv-SE"/>
        </w:rPr>
      </w:pPr>
      <w:r>
        <w:rPr>
          <w:rStyle w:val="FootnoteReference"/>
        </w:rPr>
        <w:footnoteRef/>
      </w:r>
      <w:r>
        <w:rPr>
          <w:lang w:val="sv-SE"/>
        </w:rPr>
        <w:t xml:space="preserve"> </w:t>
      </w:r>
      <w:r>
        <w:rPr>
          <w:bCs/>
          <w:lang w:val="pt-PT"/>
        </w:rPr>
        <w:t>Năm 2021: 3.089.000 cây, năm 2022: 2.912.000 cây, năm 2023: 2.800.000 cây, năm 2024: 2.050.000 cây, năm 2025 (kế hoạch)  2.070.000 cây.</w:t>
      </w:r>
    </w:p>
  </w:footnote>
  <w:footnote w:id="19">
    <w:p w14:paraId="3CD92789" w14:textId="77777777" w:rsidR="00085789" w:rsidRDefault="00000000">
      <w:pPr>
        <w:tabs>
          <w:tab w:val="left" w:pos="8880"/>
        </w:tabs>
        <w:spacing w:line="240" w:lineRule="auto"/>
        <w:jc w:val="both"/>
        <w:outlineLvl w:val="1"/>
        <w:rPr>
          <w:color w:val="000000" w:themeColor="text1"/>
          <w:sz w:val="20"/>
          <w:szCs w:val="20"/>
          <w:lang w:val="sv-SE"/>
        </w:rPr>
      </w:pPr>
      <w:r>
        <w:rPr>
          <w:rStyle w:val="FootnoteReference"/>
          <w:sz w:val="20"/>
          <w:szCs w:val="20"/>
        </w:rPr>
        <w:footnoteRef/>
      </w:r>
      <w:r>
        <w:rPr>
          <w:sz w:val="20"/>
          <w:szCs w:val="20"/>
          <w:lang w:val="sv-SE"/>
        </w:rPr>
        <w:t xml:space="preserve"> </w:t>
      </w:r>
      <w:r>
        <w:rPr>
          <w:color w:val="000000" w:themeColor="text1"/>
          <w:sz w:val="20"/>
          <w:szCs w:val="20"/>
          <w:lang w:val="sv-SE"/>
        </w:rPr>
        <w:t>Tỷ lệ che phủ rừng năm 2021 đạt 52,25%; năm 2022 đạt 52,56%,  năm 2023 đạt 52,58%, năm 2024 đạt 52,33%, năm 2025 dự kiến đạt trên 48,9% %.</w:t>
      </w:r>
    </w:p>
  </w:footnote>
  <w:footnote w:id="20">
    <w:p w14:paraId="1906D01A" w14:textId="77777777" w:rsidR="00085789" w:rsidRDefault="00000000">
      <w:pPr>
        <w:pStyle w:val="FootnoteText"/>
        <w:jc w:val="both"/>
        <w:rPr>
          <w:lang w:val="sv-SE"/>
        </w:rPr>
      </w:pPr>
      <w:r>
        <w:rPr>
          <w:rStyle w:val="FootnoteReference"/>
        </w:rPr>
        <w:footnoteRef/>
      </w:r>
      <w:r>
        <w:rPr>
          <w:lang w:val="sv-SE"/>
        </w:rPr>
        <w:t xml:space="preserve"> Các cơ sở tăng giường bệnh: Bệnh viện Y học cổ truyền: 220 giường bệnh (điều chỉnh từ 160 giường bệnh lên 220 giường bệnh); Bệnh viện Phục hồi chức năng: 200 giường bệnh (điều chỉnh từ 150 giường bệnh lên 200 giường bệnh); Bệnh viện Đa khoa thị xã Kỳ Anh: 300 giường bệnh (điều chỉnh từ 250 giường bệnh lên 300 giường bệnh); Bệnh viện đa khoa Lộc Hà: 200 giường bệnh (điều chỉnh từ 140 giường bệnh lên 200 giường bệnh); TTYT  huyện Thạch Hà (nay là TTYT Thạch Hà): 200 giường bệnh (điều chỉnh từ 150 giường bệnh lên 200 giường bệnh); TTYT huyện Nghi Xuân (nay là TTYT Tiên Điền): 160 giường bệnh (điều chỉnh từ 120 giường bệnh lên 160 giường bệnh); TTYT huyện Kỳ Anh (nay là TTYT Kỳ Anh): 75 giường bệnh; TTYT huyện Hương Sơn (nay là TTYT Hương Sơn): 270 giường bệnh (điều chỉnh từ 130 giường bệnh lên 200 giường bệnh cơ sở 1 tại thị trấn Phố Châu; giữ nguyên 70 giường bệnh cơ sở 2 tại thị trấn Tây Sơn).</w:t>
      </w:r>
    </w:p>
  </w:footnote>
  <w:footnote w:id="21">
    <w:p w14:paraId="356A29F9" w14:textId="77777777" w:rsidR="00085789" w:rsidRDefault="00000000">
      <w:pPr>
        <w:pStyle w:val="FootnoteText"/>
        <w:jc w:val="both"/>
        <w:rPr>
          <w:lang w:val="vi-VN"/>
        </w:rPr>
      </w:pPr>
      <w:r>
        <w:rPr>
          <w:rStyle w:val="FootnoteReference"/>
        </w:rPr>
        <w:footnoteRef/>
      </w:r>
      <w:r>
        <w:rPr>
          <w:lang w:val="vi-VN"/>
        </w:rPr>
        <w:t xml:space="preserve"> Gồm: </w:t>
      </w:r>
      <w:r>
        <w:rPr>
          <w:lang w:val="sv-SE"/>
        </w:rPr>
        <w:t>40</w:t>
      </w:r>
      <w:r>
        <w:rPr>
          <w:lang w:val="vi-VN"/>
        </w:rPr>
        <w:t>3,78</w:t>
      </w:r>
      <w:r>
        <w:rPr>
          <w:lang w:val="sv-SE"/>
        </w:rPr>
        <w:t xml:space="preserve"> </w:t>
      </w:r>
      <w:r>
        <w:rPr>
          <w:lang w:val="vi-VN"/>
        </w:rPr>
        <w:t>ha diện tích đất công nghiệp có thể cho thuê; 168,19</w:t>
      </w:r>
      <w:r>
        <w:rPr>
          <w:lang w:val="sv-SE"/>
        </w:rPr>
        <w:t xml:space="preserve"> </w:t>
      </w:r>
      <w:r>
        <w:rPr>
          <w:lang w:val="vi-VN"/>
        </w:rPr>
        <w:t>ha diện tích đã cho dự án thứ cấp thuê.</w:t>
      </w:r>
    </w:p>
  </w:footnote>
  <w:footnote w:id="22">
    <w:p w14:paraId="44D8F598" w14:textId="77777777" w:rsidR="00085789" w:rsidRDefault="00000000">
      <w:pPr>
        <w:pStyle w:val="FootnoteText"/>
        <w:jc w:val="both"/>
        <w:rPr>
          <w:lang w:val="vi-VN"/>
        </w:rPr>
      </w:pPr>
      <w:r>
        <w:rPr>
          <w:rStyle w:val="FootnoteReference"/>
        </w:rPr>
        <w:footnoteRef/>
      </w:r>
      <w:r>
        <w:rPr>
          <w:lang w:val="vi-VN"/>
        </w:rPr>
        <w:t xml:space="preserve"> CCN Bắc Thạch Quý với diện tích 10 ha nằm trong đô thị, gần khu dân cư nếu tiếp tục sản xuất sẽ gây ô nhiễm môi trường và CCN sản xuất, chế biến thức ăn chăn nuôi, cung cấp giống bò sữa Sơn Lễ với với diện tích 62,87 ha đã được UBND tỉnh giao cho Công ty Cổ phần Vinamilk Việt Nam triển khai thực hiện dự án chăn nuôi bò sữa, không phục vụ mục đích phát triển công nghiệp.</w:t>
      </w:r>
    </w:p>
  </w:footnote>
  <w:footnote w:id="23">
    <w:p w14:paraId="5252B4A4" w14:textId="77777777" w:rsidR="00085789" w:rsidRDefault="00000000">
      <w:pPr>
        <w:pStyle w:val="FootnoteText"/>
        <w:jc w:val="both"/>
        <w:rPr>
          <w:lang w:val="vi-VN"/>
        </w:rPr>
      </w:pPr>
      <w:r>
        <w:rPr>
          <w:rStyle w:val="FootnoteReference"/>
        </w:rPr>
        <w:footnoteRef/>
      </w:r>
      <w:r>
        <w:rPr>
          <w:lang w:val="vi-VN"/>
        </w:rPr>
        <w:t xml:space="preserve"> Gồm: CCN Cổng Khánh 1 - Công ty CP Đầu tư IDI; CCN Cổng Khánh 2 - Công ty CP Tập đoàn Hoành Sơn; CCN Kỳ Hưng - Công ty TNHH Thương mại và Đầu tư Lợi Châu; CCN Xuân Lĩnh - Công ty TNHH Thanh Thành Đạt; CCN huyện Đức Thọ - Công ty CP Đầu tư GS Miền Trung; CCN Thái Yên (phần mở rộng 15,3 ha) - Công ty CP Đầu tư IDI; CCN huyện Can Lộc - Công ty CP đầu tư Tân Hà Đô; CCN Yên Huy - Công ty TNHH Yên Huy; CCN Thạch Bằng - Công ty CP Đầu tư Hưng Đại Việt; CCN Cẩm Nhượng - Công ty CP Eco Land; CCN Lâm Hợp - Công ty TNHH MTV Đầu tư và Phát triển kho bãi Nhơn Tân; đến nay đã có 177 dự án/cơ sở thứ cấp; đạt tỷ lệ lấp đầy 25,97%.</w:t>
      </w:r>
    </w:p>
  </w:footnote>
  <w:footnote w:id="24">
    <w:p w14:paraId="49E8CB0C" w14:textId="77777777" w:rsidR="00085789" w:rsidRDefault="00000000">
      <w:pPr>
        <w:pStyle w:val="FootnoteText"/>
        <w:jc w:val="both"/>
        <w:rPr>
          <w:lang w:val="vi-VN"/>
        </w:rPr>
      </w:pPr>
      <w:r>
        <w:rPr>
          <w:rStyle w:val="FootnoteReference"/>
        </w:rPr>
        <w:footnoteRef/>
      </w:r>
      <w:r>
        <w:rPr>
          <w:lang w:val="vi-VN"/>
        </w:rPr>
        <w:t xml:space="preserve"> Gồm: CCN Thạch Đồng; CCN Trung Lương; CCN Nam Hồng; CCN Kỳ Ninh; CCN Trường Sơn; CCN Phù Việt; CCN Bắc Cẩm Xuyên; CCN Khe Cò; CCN Gia Phố; CCN huyện Vũ Quang; CCN Thạch Kim; CCN Thái Yên (phần cũ 5,5 ha); đến nay đã có 179 dự án/cơ sở thứ cấp; đạt tỷ lệ lấp đầy 62,17%.</w:t>
      </w:r>
    </w:p>
  </w:footnote>
  <w:footnote w:id="25">
    <w:p w14:paraId="02C2728A" w14:textId="77777777" w:rsidR="00085789" w:rsidRDefault="00000000">
      <w:pPr>
        <w:pStyle w:val="FootnoteText"/>
        <w:jc w:val="both"/>
        <w:rPr>
          <w:lang w:val="vi-VN"/>
        </w:rPr>
      </w:pPr>
      <w:r>
        <w:rPr>
          <w:rStyle w:val="FootnoteReference"/>
        </w:rPr>
        <w:footnoteRef/>
      </w:r>
      <w:r>
        <w:rPr>
          <w:lang w:val="vi-VN"/>
        </w:rPr>
        <w:t xml:space="preserve"> CCN Cẩm Nhượng, CCN Thạch Bằng, CCN Lâm Hợp.</w:t>
      </w:r>
    </w:p>
  </w:footnote>
  <w:footnote w:id="26">
    <w:p w14:paraId="78B0D02D" w14:textId="77777777" w:rsidR="00085789" w:rsidRDefault="00000000">
      <w:pPr>
        <w:pStyle w:val="FootnoteText"/>
        <w:jc w:val="both"/>
        <w:rPr>
          <w:lang w:val="vi-VN"/>
        </w:rPr>
      </w:pPr>
      <w:r>
        <w:rPr>
          <w:rStyle w:val="FootnoteReference"/>
        </w:rPr>
        <w:footnoteRef/>
      </w:r>
      <w:r>
        <w:rPr>
          <w:lang w:val="vi-VN"/>
        </w:rPr>
        <w:t xml:space="preserve"> CCN Kỳ Hưng, CCN Thái Yên (phần mở rộng), CCN Yên Huy, CCN Xuân Lĩnh, CCN Cổng Khánh 2, CCN Cổng Khánh 1.</w:t>
      </w:r>
    </w:p>
  </w:footnote>
  <w:footnote w:id="27">
    <w:p w14:paraId="322F4975" w14:textId="77777777" w:rsidR="00085789" w:rsidRDefault="00000000">
      <w:pPr>
        <w:pStyle w:val="FootnoteText"/>
        <w:jc w:val="both"/>
        <w:rPr>
          <w:lang w:val="vi-VN"/>
        </w:rPr>
      </w:pPr>
      <w:r>
        <w:rPr>
          <w:rStyle w:val="FootnoteReference"/>
        </w:rPr>
        <w:footnoteRef/>
      </w:r>
      <w:r>
        <w:rPr>
          <w:lang w:val="vi-VN"/>
        </w:rPr>
        <w:t xml:space="preserve"> CCN Kỳ Hưng, CCN Thái Yên (phần mở rộng), CCN Yên Huy, CCN Xuân Lĩnh, CCN Cổng Khánh 2, CCN Cổng Khánh 1, CCN Thạch Kim.</w:t>
      </w:r>
    </w:p>
  </w:footnote>
  <w:footnote w:id="28">
    <w:p w14:paraId="5B21E8B1" w14:textId="77777777" w:rsidR="00085789" w:rsidRDefault="00000000">
      <w:pPr>
        <w:pStyle w:val="FootnoteText"/>
        <w:jc w:val="both"/>
        <w:rPr>
          <w:lang w:val="vi-VN"/>
        </w:rPr>
      </w:pPr>
      <w:r>
        <w:rPr>
          <w:rStyle w:val="FootnoteReference"/>
        </w:rPr>
        <w:footnoteRef/>
      </w:r>
      <w:r>
        <w:rPr>
          <w:lang w:val="vi-VN"/>
        </w:rPr>
        <w:t xml:space="preserve"> CCN Bắc Cẩm Xuyên, CCN Nam Hồng, CCN huyện Đức Thọ.</w:t>
      </w:r>
    </w:p>
  </w:footnote>
  <w:footnote w:id="29">
    <w:p w14:paraId="3EE8AA50" w14:textId="77777777" w:rsidR="00085789" w:rsidRDefault="00000000">
      <w:pPr>
        <w:pStyle w:val="FootnoteText"/>
        <w:jc w:val="both"/>
        <w:rPr>
          <w:lang w:val="vi-VN"/>
        </w:rPr>
      </w:pPr>
      <w:r>
        <w:rPr>
          <w:rStyle w:val="FootnoteReference"/>
        </w:rPr>
        <w:footnoteRef/>
      </w:r>
      <w:r>
        <w:rPr>
          <w:lang w:val="vi-VN"/>
        </w:rPr>
        <w:t xml:space="preserve"> CCN Xuân Lĩnh, CCN Cổng Khánh 2, CCN Cổng Khánh 1.</w:t>
      </w:r>
    </w:p>
  </w:footnote>
  <w:footnote w:id="30">
    <w:p w14:paraId="7EDA9AFF" w14:textId="77777777" w:rsidR="00085789" w:rsidRDefault="00000000">
      <w:pPr>
        <w:pStyle w:val="FootnoteText"/>
        <w:rPr>
          <w:lang w:val="vi-VN"/>
        </w:rPr>
      </w:pPr>
      <w:r>
        <w:rPr>
          <w:rStyle w:val="FootnoteReference"/>
        </w:rPr>
        <w:footnoteRef/>
      </w:r>
      <w:r>
        <w:rPr>
          <w:lang w:val="vi-VN"/>
        </w:rPr>
        <w:t xml:space="preserve"> CCN Kỳ Hưng, CCN Thái Yên, CCN Yên Huy, CCN Xuân Lĩnh, CCN Cổng Khánh 2, CCN Thạch Kim.</w:t>
      </w:r>
    </w:p>
  </w:footnote>
  <w:footnote w:id="31">
    <w:p w14:paraId="237923F9" w14:textId="77777777" w:rsidR="00085789" w:rsidRDefault="00000000">
      <w:pPr>
        <w:pStyle w:val="FootnoteText"/>
        <w:rPr>
          <w:lang w:val="vi-VN"/>
        </w:rPr>
      </w:pPr>
      <w:r>
        <w:rPr>
          <w:rStyle w:val="FootnoteReference"/>
        </w:rPr>
        <w:footnoteRef/>
      </w:r>
      <w:r>
        <w:rPr>
          <w:lang w:val="vi-VN"/>
        </w:rPr>
        <w:t xml:space="preserve"> CCN Xuân Lĩnh, CCN Cổng Khánh 2, CCN Thái Yên (phần mở rộng).</w:t>
      </w:r>
    </w:p>
  </w:footnote>
  <w:footnote w:id="32">
    <w:p w14:paraId="7965BA55" w14:textId="77777777" w:rsidR="00085789" w:rsidRDefault="00000000">
      <w:pPr>
        <w:pStyle w:val="FootnoteText"/>
        <w:rPr>
          <w:lang w:val="vi-VN"/>
        </w:rPr>
      </w:pPr>
      <w:r>
        <w:rPr>
          <w:rStyle w:val="FootnoteReference"/>
        </w:rPr>
        <w:footnoteRef/>
      </w:r>
      <w:r>
        <w:rPr>
          <w:lang w:val="vi-VN"/>
        </w:rPr>
        <w:t xml:space="preserve"> CCN Kỳ Hưng, CCN Yên Huy, CCN Cổng Khánh 1.</w:t>
      </w:r>
    </w:p>
  </w:footnote>
  <w:footnote w:id="33">
    <w:p w14:paraId="4EAA3588" w14:textId="77777777" w:rsidR="00085789" w:rsidRDefault="00000000">
      <w:pPr>
        <w:pStyle w:val="FootnoteText"/>
        <w:rPr>
          <w:lang w:val="vi-VN"/>
        </w:rPr>
      </w:pPr>
      <w:r>
        <w:rPr>
          <w:rStyle w:val="FootnoteReference"/>
        </w:rPr>
        <w:footnoteRef/>
      </w:r>
      <w:r>
        <w:rPr>
          <w:lang w:val="vi-VN"/>
        </w:rPr>
        <w:t xml:space="preserve"> Trung tâm y tế Vũ Quang.</w:t>
      </w:r>
    </w:p>
  </w:footnote>
  <w:footnote w:id="34">
    <w:p w14:paraId="72D4768C" w14:textId="77777777" w:rsidR="00085789" w:rsidRDefault="00000000">
      <w:pPr>
        <w:pStyle w:val="FootnoteText"/>
        <w:rPr>
          <w:lang w:val="vi-VN"/>
        </w:rPr>
      </w:pPr>
      <w:r>
        <w:rPr>
          <w:rStyle w:val="FootnoteReference"/>
        </w:rPr>
        <w:footnoteRef/>
      </w:r>
      <w:r>
        <w:rPr>
          <w:lang w:val="vi-VN"/>
        </w:rPr>
        <w:t xml:space="preserve"> Bệnh viện đa khoa tỉnh, Trung tâm y tế Hương Sơn và Trung tâm y tế Hồng Lĩnh.</w:t>
      </w:r>
    </w:p>
  </w:footnote>
  <w:footnote w:id="35">
    <w:p w14:paraId="5BD4D863" w14:textId="77777777" w:rsidR="00085789" w:rsidRDefault="00000000">
      <w:pPr>
        <w:pStyle w:val="FootnoteText"/>
        <w:rPr>
          <w:lang w:val="vi-VN"/>
        </w:rPr>
      </w:pPr>
      <w:r>
        <w:rPr>
          <w:rStyle w:val="FootnoteReference"/>
        </w:rPr>
        <w:footnoteRef/>
      </w:r>
      <w:r>
        <w:rPr>
          <w:lang w:val="vi-VN"/>
        </w:rPr>
        <w:t xml:space="preserve"> </w:t>
      </w:r>
      <w:r>
        <w:rPr>
          <w:bCs/>
          <w:lang w:val="vi-VN"/>
        </w:rPr>
        <w:t>Trung tâm y tế thành phố Hà Tĩnh (nay là Trung tâm y tế Thành Sen).</w:t>
      </w:r>
    </w:p>
  </w:footnote>
  <w:footnote w:id="36">
    <w:p w14:paraId="0F7E2DCD" w14:textId="77777777" w:rsidR="00085789" w:rsidRDefault="00000000">
      <w:pPr>
        <w:spacing w:line="240" w:lineRule="auto"/>
        <w:jc w:val="both"/>
        <w:rPr>
          <w:sz w:val="20"/>
          <w:szCs w:val="24"/>
          <w:lang w:val="nl-NL"/>
        </w:rPr>
      </w:pPr>
      <w:r>
        <w:rPr>
          <w:rStyle w:val="FootnoteReference"/>
          <w:sz w:val="24"/>
        </w:rPr>
        <w:footnoteRef/>
      </w:r>
      <w:r>
        <w:rPr>
          <w:sz w:val="20"/>
          <w:szCs w:val="24"/>
          <w:lang w:val="nl-NL"/>
        </w:rPr>
        <w:t>Quyết định số 1460/QĐ-TCMT ngày 12 tháng 11 năm 2019 của Tổng cục Môi trường hướng dẫn kỹ thuật tính toán và công bố chỉ số chất lượng nước việt nam (vn_wqi).</w:t>
      </w:r>
    </w:p>
    <w:p w14:paraId="76AFD129" w14:textId="77777777" w:rsidR="00085789" w:rsidRDefault="00085789">
      <w:pPr>
        <w:pStyle w:val="FootnoteText"/>
        <w:rPr>
          <w:lang w:val="vi-VN"/>
        </w:rPr>
      </w:pPr>
    </w:p>
  </w:footnote>
  <w:footnote w:id="37">
    <w:p w14:paraId="51F7FADE" w14:textId="77777777" w:rsidR="00085789" w:rsidRDefault="00000000">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38">
    <w:p w14:paraId="316002EC" w14:textId="77777777" w:rsidR="00085789" w:rsidRDefault="00000000">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39">
    <w:p w14:paraId="4B5CDD44" w14:textId="77777777" w:rsidR="00085789" w:rsidRDefault="00000000">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40">
    <w:p w14:paraId="44A1691F" w14:textId="77777777" w:rsidR="00085789" w:rsidRDefault="00000000">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41">
    <w:p w14:paraId="7F4AA7EB" w14:textId="77777777" w:rsidR="00085789" w:rsidRDefault="00000000">
      <w:pPr>
        <w:pStyle w:val="FootnoteText"/>
        <w:jc w:val="both"/>
        <w:rPr>
          <w:lang w:val="vi-VN"/>
        </w:rPr>
      </w:pPr>
      <w:r>
        <w:rPr>
          <w:rStyle w:val="FootnoteReference"/>
        </w:rPr>
        <w:footnoteRef/>
      </w:r>
      <w:r>
        <w:rPr>
          <w:lang w:val="vi-VN"/>
        </w:rPr>
        <w:t xml:space="preserve"> Quyết định số 1946/QĐ-TTg ngày 21/10/2010 của Thủ tướng Chính phủ phê duyệt kế hoạch xử lý, phòng ngừa ô nhiễm môi trường do hóa chất bảo vệ thực vật tồn lưu trên phạm vi cả nước.</w:t>
      </w:r>
    </w:p>
  </w:footnote>
  <w:footnote w:id="42">
    <w:p w14:paraId="6E18E485" w14:textId="77777777" w:rsidR="00085789" w:rsidRDefault="00000000">
      <w:pPr>
        <w:pStyle w:val="FootnoteText"/>
        <w:jc w:val="both"/>
        <w:rPr>
          <w:lang w:val="vi-VN"/>
        </w:rPr>
      </w:pPr>
      <w:r>
        <w:rPr>
          <w:rStyle w:val="FootnoteReference"/>
        </w:rPr>
        <w:footnoteRef/>
      </w:r>
      <w:r>
        <w:rPr>
          <w:lang w:val="vi-VN"/>
        </w:rPr>
        <w:t xml:space="preserve"> Nghị quyết số 1665/NQ-UBTVQH15 ngày 16/06/2025 của UBTV Quốc hội về việc sắp xếp các đơn vị hành chính cấp xã của tỉnh Hà Tĩnh năm 2025.</w:t>
      </w:r>
    </w:p>
  </w:footnote>
  <w:footnote w:id="43">
    <w:p w14:paraId="4C03AFC9" w14:textId="77777777" w:rsidR="00085789" w:rsidRDefault="00000000">
      <w:pPr>
        <w:pStyle w:val="FootnoteText"/>
        <w:rPr>
          <w:lang w:val="vi-VN"/>
        </w:rPr>
      </w:pPr>
      <w:r>
        <w:rPr>
          <w:rStyle w:val="FootnoteReference"/>
        </w:rPr>
        <w:footnoteRef/>
      </w:r>
      <w:r>
        <w:rPr>
          <w:lang w:val="vi-VN"/>
        </w:rPr>
        <w:t xml:space="preserve"> Báo cáo hiện trạng môi trường tỉnh Hà Tĩnh giai đoạn 2016-2020;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3049E" w14:textId="77777777" w:rsidR="00085789" w:rsidRDefault="00000000">
    <w:pPr>
      <w:pStyle w:val="Header"/>
      <w:pBdr>
        <w:bottom w:val="thickThinSmallGap" w:sz="12" w:space="1" w:color="823B0B"/>
      </w:pBdr>
      <w:tabs>
        <w:tab w:val="clear" w:pos="4320"/>
        <w:tab w:val="clear" w:pos="8640"/>
        <w:tab w:val="right" w:pos="9357"/>
      </w:tabs>
      <w:spacing w:before="60" w:after="60"/>
      <w:rPr>
        <w:rFonts w:eastAsia="DengXian Light"/>
        <w:sz w:val="26"/>
        <w:szCs w:val="26"/>
      </w:rPr>
    </w:pPr>
    <w:r>
      <w:rPr>
        <w:rFonts w:eastAsia="DengXian Light"/>
        <w:noProof/>
        <w:sz w:val="26"/>
        <w:szCs w:val="26"/>
      </w:rPr>
      <mc:AlternateContent>
        <mc:Choice Requires="wps">
          <w:drawing>
            <wp:anchor distT="0" distB="0" distL="114300" distR="114300" simplePos="0" relativeHeight="251662336" behindDoc="0" locked="0" layoutInCell="0" allowOverlap="1" wp14:anchorId="20588C4B" wp14:editId="000AE42E">
              <wp:simplePos x="0" y="0"/>
              <wp:positionH relativeFrom="margin">
                <wp:align>center</wp:align>
              </wp:positionH>
              <wp:positionV relativeFrom="topMargin">
                <wp:posOffset>295275</wp:posOffset>
              </wp:positionV>
              <wp:extent cx="4957482" cy="179294"/>
              <wp:effectExtent l="0" t="0" r="0" b="11430"/>
              <wp:wrapNone/>
              <wp:docPr id="218"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7482" cy="179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i/>
                              <w:iCs/>
                              <w:sz w:val="24"/>
                              <w:szCs w:val="24"/>
                            </w:rPr>
                            <w:alias w:val="Title"/>
                            <w:id w:val="78679243"/>
                            <w:dataBinding w:prefixMappings="xmlns:ns0='http://schemas.openxmlformats.org/package/2006/metadata/core-properties' xmlns:ns1='http://purl.org/dc/elements/1.1/'" w:xpath="/ns0:coreProperties[1]/ns1:title[1]" w:storeItemID="{6C3C8BC8-F283-45AE-878A-BAB7291924A1}"/>
                            <w:text/>
                          </w:sdtPr>
                          <w:sdtContent>
                            <w:p w14:paraId="6D6A8E7E" w14:textId="77777777" w:rsidR="00085789" w:rsidRDefault="00000000">
                              <w:pPr>
                                <w:spacing w:line="240" w:lineRule="auto"/>
                                <w:rPr>
                                  <w:i/>
                                  <w:iCs/>
                                  <w:sz w:val="24"/>
                                  <w:szCs w:val="24"/>
                                </w:rPr>
                              </w:pPr>
                              <w:r>
                                <w:rPr>
                                  <w:i/>
                                  <w:iCs/>
                                  <w:sz w:val="24"/>
                                  <w:szCs w:val="24"/>
                                </w:rPr>
                                <w:t>Báo cáo tổng quan về hiện trạng môi trường tỉnh Hà Tĩnh giai đoạn 2021- 2025</w:t>
                              </w:r>
                            </w:p>
                          </w:sdtContent>
                        </w:sdt>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0D067695" id="_x0000_t202" coordsize="21600,21600" o:spt="202" path="m,l,21600r21600,l21600,xe">
              <v:stroke joinstyle="miter"/>
              <v:path gradientshapeok="t" o:connecttype="rect"/>
            </v:shapetype>
            <v:shape id="Text Box 225" o:spid="_x0000_s1073" type="#_x0000_t202" style="position:absolute;margin-left:0;margin-top:23.25pt;width:390.35pt;height:14.1pt;z-index:251662336;visibility:visible;mso-wrap-style:square;mso-width-percent:0;mso-height-percent:0;mso-wrap-distance-left:9pt;mso-wrap-distance-top:0;mso-wrap-distance-right:9pt;mso-wrap-distance-bottom:0;mso-position-horizontal:center;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" o:allowincell="f" filled="f" stroked="f">
              <v:textbox inset=",0,,0">
                <w:txbxContent>
                  <w:sdt>
                    <w:sdtPr>
                      <w:rPr>
                        <w:i/>
                        <w:iCs/>
                        <w:sz w:val="24"/>
                        <w:szCs w:val="24"/>
                      </w:rPr>
                      <w:alias w:val="Title"/>
                      <w:id w:val="78679243"/>
                      <w:dataBinding w:prefixMappings="xmlns:ns0='http://schemas.openxmlformats.org/package/2006/metadata/core-properties' xmlns:ns1='http://purl.org/dc/elements/1.1/'" w:xpath="/ns0:coreProperties[1]/ns1:title[1]" w:storeItemID="{6C3C8BC8-F283-45AE-878A-BAB7291924A1}"/>
                      <w:text/>
                    </w:sdtPr>
                    <w:sdtContent>
                      <w:p w14:paraId="50FD3C9B" w14:textId="6AEF889A" w:rsidR="000E0CEF" w:rsidRDefault="000E0CEF">
                        <w:pPr>
                          <w:spacing w:line="240" w:lineRule="auto"/>
                          <w:rPr>
                            <w:i/>
                            <w:iCs/>
                            <w:sz w:val="24"/>
                            <w:szCs w:val="24"/>
                          </w:rPr>
                        </w:pPr>
                        <w:r>
                          <w:rPr>
                            <w:i/>
                            <w:iCs/>
                            <w:sz w:val="24"/>
                            <w:szCs w:val="24"/>
                          </w:rPr>
                          <w:t>Báo cáo tổng quan về hiện trạng môi trường tỉnh Hà Tĩnh giai đoạn 2021- 2025</w:t>
                        </w:r>
                      </w:p>
                    </w:sdtContent>
                  </w:sdt>
                </w:txbxContent>
              </v:textbox>
              <w10:wrap anchorx="margin" anchory="margin"/>
            </v:shape>
          </w:pict>
        </mc:Fallback>
      </mc:AlternateContent>
    </w:r>
    <w:r>
      <w:rPr>
        <w:rFonts w:eastAsia="DengXian Light"/>
        <w:sz w:val="26"/>
        <w:szCs w:val="26"/>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F7482" w14:textId="77777777" w:rsidR="00085789" w:rsidRDefault="000857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6A11F" w14:textId="77777777" w:rsidR="00085789" w:rsidRDefault="00000000">
    <w:pPr>
      <w:pStyle w:val="Header"/>
      <w:pBdr>
        <w:bottom w:val="thickThinSmallGap" w:sz="12" w:space="1" w:color="823B0B"/>
      </w:pBdr>
      <w:spacing w:before="60" w:after="60"/>
      <w:rPr>
        <w:rFonts w:eastAsia="DengXian Light"/>
        <w:sz w:val="26"/>
        <w:szCs w:val="26"/>
      </w:rPr>
    </w:pPr>
    <w:r>
      <w:rPr>
        <w:rFonts w:eastAsia="DengXian Light"/>
        <w:noProof/>
        <w:sz w:val="26"/>
        <w:szCs w:val="26"/>
      </w:rPr>
      <mc:AlternateContent>
        <mc:Choice Requires="wps">
          <w:drawing>
            <wp:anchor distT="0" distB="0" distL="114300" distR="114300" simplePos="0" relativeHeight="251674624" behindDoc="0" locked="0" layoutInCell="0" allowOverlap="1" wp14:anchorId="3CE07567" wp14:editId="0A04CF35">
              <wp:simplePos x="0" y="0"/>
              <wp:positionH relativeFrom="margin">
                <wp:posOffset>490220</wp:posOffset>
              </wp:positionH>
              <wp:positionV relativeFrom="topMargin">
                <wp:posOffset>295275</wp:posOffset>
              </wp:positionV>
              <wp:extent cx="5181600" cy="161925"/>
              <wp:effectExtent l="0" t="0" r="0" b="9525"/>
              <wp:wrapNone/>
              <wp:docPr id="523228465"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i/>
                              <w:iCs/>
                              <w:sz w:val="24"/>
                              <w:szCs w:val="24"/>
                            </w:rPr>
                            <w:alias w:val="Title"/>
                            <w:id w:val="1885675669"/>
                            <w:dataBinding w:prefixMappings="xmlns:ns0='http://schemas.openxmlformats.org/package/2006/metadata/core-properties' xmlns:ns1='http://purl.org/dc/elements/1.1/'" w:xpath="/ns0:coreProperties[1]/ns1:title[1]" w:storeItemID="{6C3C8BC8-F283-45AE-878A-BAB7291924A1}"/>
                            <w:text/>
                          </w:sdtPr>
                          <w:sdtContent>
                            <w:p w14:paraId="326834B6" w14:textId="77777777" w:rsidR="00085789" w:rsidRDefault="00000000">
                              <w:pPr>
                                <w:spacing w:line="240" w:lineRule="auto"/>
                                <w:rPr>
                                  <w:i/>
                                  <w:iCs/>
                                  <w:sz w:val="24"/>
                                  <w:szCs w:val="24"/>
                                </w:rPr>
                              </w:pPr>
                              <w:r>
                                <w:rPr>
                                  <w:i/>
                                  <w:iCs/>
                                  <w:sz w:val="24"/>
                                  <w:szCs w:val="24"/>
                                </w:rPr>
                                <w:t>Báo cáo tổng quan về hiện trạng môi trường tỉnh Hà Tĩnh giai đoạn 2021- 2025</w:t>
                              </w:r>
                            </w:p>
                          </w:sdtContent>
                        </w:sdt>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0304204" id="_x0000_t202" coordsize="21600,21600" o:spt="202" path="m,l,21600r21600,l21600,xe">
              <v:stroke joinstyle="miter"/>
              <v:path gradientshapeok="t" o:connecttype="rect"/>
            </v:shapetype>
            <v:shape id="_x0000_s1074" type="#_x0000_t202" style="position:absolute;margin-left:38.6pt;margin-top:23.25pt;width:408pt;height:12.7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" o:allowincell="f" filled="f" stroked="f">
              <v:textbox inset=",0,,0">
                <w:txbxContent>
                  <w:sdt>
                    <w:sdtPr>
                      <w:rPr>
                        <w:i/>
                        <w:iCs/>
                        <w:sz w:val="24"/>
                        <w:szCs w:val="24"/>
                      </w:rPr>
                      <w:alias w:val="Title"/>
                      <w:id w:val="1885675669"/>
                      <w:dataBinding w:prefixMappings="xmlns:ns0='http://schemas.openxmlformats.org/package/2006/metadata/core-properties' xmlns:ns1='http://purl.org/dc/elements/1.1/'" w:xpath="/ns0:coreProperties[1]/ns1:title[1]" w:storeItemID="{6C3C8BC8-F283-45AE-878A-BAB7291924A1}"/>
                      <w:text/>
                    </w:sdtPr>
                    <w:sdtContent>
                      <w:p w14:paraId="2B84D7B3" w14:textId="75D61B8B" w:rsidR="000E0CEF" w:rsidRDefault="000E0CEF">
                        <w:pPr>
                          <w:spacing w:line="240" w:lineRule="auto"/>
                          <w:rPr>
                            <w:i/>
                            <w:iCs/>
                            <w:sz w:val="24"/>
                            <w:szCs w:val="24"/>
                          </w:rPr>
                        </w:pPr>
                        <w:r>
                          <w:rPr>
                            <w:i/>
                            <w:iCs/>
                            <w:sz w:val="24"/>
                            <w:szCs w:val="24"/>
                          </w:rPr>
                          <w:t>Báo cáo tổng quan về hiện trạng môi trường tỉnh Hà Tĩnh giai đoạn 2021- 2025</w:t>
                        </w:r>
                      </w:p>
                    </w:sdtContent>
                  </w:sdt>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4A8E8" w14:textId="77777777" w:rsidR="00085789" w:rsidRDefault="00000000">
    <w:pPr>
      <w:pStyle w:val="Header"/>
      <w:pBdr>
        <w:bottom w:val="thickThinSmallGap" w:sz="12" w:space="1" w:color="823B0B"/>
      </w:pBdr>
      <w:spacing w:before="60" w:after="60"/>
      <w:rPr>
        <w:rFonts w:eastAsia="DengXian Light"/>
        <w:sz w:val="26"/>
        <w:szCs w:val="26"/>
      </w:rPr>
    </w:pPr>
    <w:r>
      <w:rPr>
        <w:rFonts w:eastAsia="DengXian Light"/>
        <w:noProof/>
        <w:sz w:val="26"/>
        <w:szCs w:val="26"/>
      </w:rPr>
      <mc:AlternateContent>
        <mc:Choice Requires="wps">
          <w:drawing>
            <wp:anchor distT="0" distB="0" distL="114300" distR="114300" simplePos="0" relativeHeight="251676672" behindDoc="0" locked="0" layoutInCell="0" allowOverlap="1" wp14:anchorId="758DDCBF" wp14:editId="5E5A89F0">
              <wp:simplePos x="0" y="0"/>
              <wp:positionH relativeFrom="margin">
                <wp:posOffset>406759</wp:posOffset>
              </wp:positionH>
              <wp:positionV relativeFrom="topMargin">
                <wp:posOffset>373711</wp:posOffset>
              </wp:positionV>
              <wp:extent cx="5112689" cy="159026"/>
              <wp:effectExtent l="0" t="0" r="0" b="12700"/>
              <wp:wrapNone/>
              <wp:docPr id="206394840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12689" cy="1590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i/>
                              <w:iCs/>
                              <w:sz w:val="24"/>
                              <w:szCs w:val="24"/>
                            </w:rPr>
                            <w:alias w:val="Title"/>
                            <w:id w:val="-381549201"/>
                            <w:dataBinding w:prefixMappings="xmlns:ns0='http://schemas.openxmlformats.org/package/2006/metadata/core-properties' xmlns:ns1='http://purl.org/dc/elements/1.1/'" w:xpath="/ns0:coreProperties[1]/ns1:title[1]" w:storeItemID="{6C3C8BC8-F283-45AE-878A-BAB7291924A1}"/>
                            <w:text/>
                          </w:sdtPr>
                          <w:sdtContent>
                            <w:p w14:paraId="3B854053" w14:textId="77777777" w:rsidR="00085789" w:rsidRDefault="00000000">
                              <w:pPr>
                                <w:spacing w:line="240" w:lineRule="auto"/>
                                <w:rPr>
                                  <w:i/>
                                  <w:iCs/>
                                  <w:sz w:val="24"/>
                                  <w:szCs w:val="24"/>
                                </w:rPr>
                              </w:pPr>
                              <w:r>
                                <w:rPr>
                                  <w:i/>
                                  <w:iCs/>
                                  <w:sz w:val="24"/>
                                  <w:szCs w:val="24"/>
                                </w:rPr>
                                <w:t>Báo cáo tổng quan về hiện trạng môi trường tỉnh Hà Tĩnh giai đoạn 2021- 2025</w:t>
                              </w:r>
                            </w:p>
                          </w:sdtContent>
                        </w:sdt>
                      </w:txbxContent>
                    </wps:txbx>
                    <wps:bodyPr rot="0" vert="horz" wrap="square" lIns="91440" tIns="0" rIns="91440" bIns="0" anchor="ctr" anchorCtr="0" upright="1">
                      <a:noAutofit/>
                    </wps:bodyPr>
                  </wps:wsp>
                </a:graphicData>
              </a:graphic>
              <wp14:sizeRelH relativeFrom="margin">
                <wp14:pctWidth>0</wp14:pctWidth>
              </wp14:sizeRelH>
              <wp14:sizeRelV relativeFrom="page">
                <wp14:pctHeight>0</wp14:pctHeight>
              </wp14:sizeRelV>
            </wp:anchor>
          </w:drawing>
        </mc:Choice>
        <mc:Fallback>
          <w:pict>
            <v:shapetype w14:anchorId="232EE1F9" id="_x0000_t202" coordsize="21600,21600" o:spt="202" path="m,l,21600r21600,l21600,xe">
              <v:stroke joinstyle="miter"/>
              <v:path gradientshapeok="t" o:connecttype="rect"/>
            </v:shapetype>
            <v:shape id="_x0000_s1075" type="#_x0000_t202" style="position:absolute;margin-left:32.05pt;margin-top:29.45pt;width:402.55pt;height:12.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op-margin-area;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" o:allowincell="f" filled="f" stroked="f">
              <v:textbox inset=",0,,0">
                <w:txbxContent>
                  <w:sdt>
                    <w:sdtPr>
                      <w:rPr>
                        <w:i/>
                        <w:iCs/>
                        <w:sz w:val="24"/>
                        <w:szCs w:val="24"/>
                      </w:rPr>
                      <w:alias w:val="Title"/>
                      <w:id w:val="-381549201"/>
                      <w:dataBinding w:prefixMappings="xmlns:ns0='http://schemas.openxmlformats.org/package/2006/metadata/core-properties' xmlns:ns1='http://purl.org/dc/elements/1.1/'" w:xpath="/ns0:coreProperties[1]/ns1:title[1]" w:storeItemID="{6C3C8BC8-F283-45AE-878A-BAB7291924A1}"/>
                      <w:text/>
                    </w:sdtPr>
                    <w:sdtContent>
                      <w:p w14:paraId="003C02F3" w14:textId="5C9E1E5D" w:rsidR="000E0CEF" w:rsidRDefault="000E0CEF">
                        <w:pPr>
                          <w:spacing w:line="240" w:lineRule="auto"/>
                          <w:rPr>
                            <w:i/>
                            <w:iCs/>
                            <w:sz w:val="24"/>
                            <w:szCs w:val="24"/>
                          </w:rPr>
                        </w:pPr>
                        <w:r>
                          <w:rPr>
                            <w:i/>
                            <w:iCs/>
                            <w:sz w:val="24"/>
                            <w:szCs w:val="24"/>
                          </w:rPr>
                          <w:t>Báo cáo tổng quan về hiện trạng môi trường tỉnh Hà Tĩnh giai đoạn 2021- 2025</w:t>
                        </w:r>
                      </w:p>
                    </w:sdtContent>
                  </w:sdt>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754C7" w14:textId="77777777" w:rsidR="00085789" w:rsidRDefault="00000000">
    <w:pPr>
      <w:pStyle w:val="Header"/>
      <w:pBdr>
        <w:bottom w:val="thickThinSmallGap" w:sz="12" w:space="1" w:color="823B0B"/>
      </w:pBdr>
      <w:spacing w:before="60"/>
      <w:jc w:val="center"/>
      <w:rPr>
        <w:rFonts w:eastAsia="DengXian Light"/>
        <w:i/>
        <w:iCs/>
        <w:sz w:val="24"/>
        <w:szCs w:val="24"/>
      </w:rPr>
    </w:pPr>
    <w:r>
      <w:rPr>
        <w:rFonts w:eastAsia="DengXian Light"/>
        <w:i/>
        <w:iCs/>
        <w:sz w:val="24"/>
        <w:szCs w:val="24"/>
      </w:rPr>
      <w:t>Báo cáo tổng</w:t>
    </w:r>
    <w:r>
      <w:rPr>
        <w:rFonts w:eastAsia="DengXian Light"/>
        <w:i/>
        <w:iCs/>
        <w:sz w:val="24"/>
        <w:szCs w:val="24"/>
        <w:lang w:val="vi-VN"/>
      </w:rPr>
      <w:t xml:space="preserve"> quan về </w:t>
    </w:r>
    <w:r>
      <w:rPr>
        <w:rFonts w:eastAsia="DengXian Light"/>
        <w:i/>
        <w:iCs/>
        <w:sz w:val="24"/>
        <w:szCs w:val="24"/>
      </w:rPr>
      <w:t>Hiện trạng môi trường tỉnh Hà Tĩnh giai</w:t>
    </w:r>
    <w:r>
      <w:rPr>
        <w:rFonts w:eastAsia="DengXian Light"/>
        <w:i/>
        <w:iCs/>
        <w:sz w:val="24"/>
        <w:szCs w:val="24"/>
        <w:lang w:val="vi-VN"/>
      </w:rPr>
      <w:t xml:space="preserve"> đoạn </w:t>
    </w:r>
    <w:r>
      <w:rPr>
        <w:rFonts w:eastAsia="DengXian Light"/>
        <w:i/>
        <w:iCs/>
        <w:sz w:val="24"/>
        <w:szCs w:val="24"/>
      </w:rPr>
      <w:t>2021</w:t>
    </w:r>
    <w:r>
      <w:rPr>
        <w:rFonts w:eastAsia="DengXian Light"/>
        <w:i/>
        <w:iCs/>
        <w:sz w:val="24"/>
        <w:szCs w:val="24"/>
        <w:lang w:val="vi-VN"/>
      </w:rPr>
      <w:t>-2025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ED44AF0"/>
    <w:styleLink w:val="Tmc2121832"/>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6EF8BED6"/>
    <w:lvl w:ilvl="0" w:tplc="FFFFFFFF">
      <w:numFmt w:val="none"/>
      <w:lvlText w:val=""/>
      <w:lvlJc w:val="left"/>
      <w:pPr>
        <w:tabs>
          <w:tab w:val="num" w:pos="360"/>
        </w:tabs>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6"/>
    <w:multiLevelType w:val="multilevel"/>
    <w:tmpl w:val="00000006"/>
    <w:name w:val="WW8Num8"/>
    <w:lvl w:ilvl="0">
      <w:start w:val="1"/>
      <w:numFmt w:val="decimal"/>
      <w:lvlText w:val="1.%1."/>
      <w:lvlJc w:val="left"/>
      <w:pPr>
        <w:tabs>
          <w:tab w:val="num" w:pos="567"/>
        </w:tabs>
        <w:ind w:left="567" w:hanging="567"/>
      </w:pPr>
      <w:rPr>
        <w:rFonts w:ascii="Times New Roman" w:hAnsi="Times New Roman" w:cs="Times New Roman"/>
        <w:b/>
        <w:i w:val="0"/>
        <w:caps w:val="0"/>
        <w:smallCaps w:val="0"/>
        <w:color w:val="auto"/>
        <w:sz w:val="26"/>
        <w:szCs w:val="26"/>
      </w:rPr>
    </w:lvl>
    <w:lvl w:ilvl="1">
      <w:start w:val="1"/>
      <w:numFmt w:val="bullet"/>
      <w:lvlText w:val="-"/>
      <w:lvlJc w:val="left"/>
      <w:pPr>
        <w:tabs>
          <w:tab w:val="num" w:pos="567"/>
        </w:tabs>
        <w:ind w:left="567" w:hanging="567"/>
      </w:pPr>
      <w:rPr>
        <w:rFonts w:ascii="VNI-Times" w:hAnsi="VNI-Times" w:cs="Times New Roman"/>
        <w:b w:val="0"/>
        <w:i w:val="0"/>
        <w:caps w:val="0"/>
        <w:smallCaps w:val="0"/>
        <w:color w:val="auto"/>
        <w:sz w:val="26"/>
        <w:szCs w:val="26"/>
      </w:rPr>
    </w:lvl>
    <w:lvl w:ilvl="2">
      <w:start w:val="1"/>
      <w:numFmt w:val="lowerRoman"/>
      <w:lvlText w:val="%3."/>
      <w:lvlJc w:val="right"/>
      <w:pPr>
        <w:tabs>
          <w:tab w:val="num" w:pos="2160"/>
        </w:tabs>
        <w:ind w:left="2160" w:hanging="180"/>
      </w:pPr>
    </w:lvl>
    <w:lvl w:ilvl="3">
      <w:start w:val="1"/>
      <w:numFmt w:val="lowerLetter"/>
      <w:lvlText w:val="%4)"/>
      <w:lvlJc w:val="left"/>
      <w:pPr>
        <w:tabs>
          <w:tab w:val="num" w:pos="0"/>
        </w:tabs>
        <w:ind w:left="360" w:hanging="360"/>
      </w:pPr>
    </w:lvl>
    <w:lvl w:ilvl="4">
      <w:start w:val="1"/>
      <w:numFmt w:val="decimal"/>
      <w:lvlText w:val="%5."/>
      <w:lvlJc w:val="left"/>
      <w:pPr>
        <w:tabs>
          <w:tab w:val="num" w:pos="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0000010"/>
    <w:multiLevelType w:val="multilevel"/>
    <w:tmpl w:val="00000010"/>
    <w:lvl w:ilvl="0">
      <w:start w:val="1"/>
      <w:numFmt w:val="bullet"/>
      <w:pStyle w:val="Gach"/>
      <w:lvlText w:val=""/>
      <w:lvlJc w:val="left"/>
      <w:pPr>
        <w:ind w:left="1080" w:hanging="360"/>
      </w:pPr>
      <w:rPr>
        <w:rFonts w:ascii="Symbol" w:hAnsi="Symbol" w:hint="default"/>
        <w:sz w:val="13"/>
      </w:rPr>
    </w:lvl>
    <w:lvl w:ilvl="1">
      <w:start w:val="1"/>
      <w:numFmt w:val="bullet"/>
      <w:lvlText w:val="o"/>
      <w:lvlJc w:val="left"/>
      <w:pPr>
        <w:ind w:left="1440" w:hanging="360"/>
      </w:pPr>
      <w:rPr>
        <w:rFonts w:ascii="Courier New" w:hAnsi="Courier New" w:cs="SimSu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SimSu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SimSun"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0000018"/>
    <w:multiLevelType w:val="singleLevel"/>
    <w:tmpl w:val="00000018"/>
    <w:name w:val="WW8Num32"/>
    <w:lvl w:ilvl="0">
      <w:start w:val="1"/>
      <w:numFmt w:val="bullet"/>
      <w:lvlText w:val="-"/>
      <w:lvlJc w:val="left"/>
      <w:pPr>
        <w:tabs>
          <w:tab w:val="num" w:pos="567"/>
        </w:tabs>
        <w:ind w:left="567" w:hanging="567"/>
      </w:pPr>
      <w:rPr>
        <w:rFonts w:ascii="Times New Roman" w:hAnsi="Times New Roman" w:cs="Times New Roman"/>
      </w:rPr>
    </w:lvl>
  </w:abstractNum>
  <w:abstractNum w:abstractNumId="5" w15:restartNumberingAfterBreak="0">
    <w:nsid w:val="00AE337D"/>
    <w:multiLevelType w:val="hybridMultilevel"/>
    <w:tmpl w:val="06F89CCA"/>
    <w:styleLink w:val="Tmc2121823"/>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0EA3CF3"/>
    <w:multiLevelType w:val="hybridMultilevel"/>
    <w:tmpl w:val="AD425F38"/>
    <w:lvl w:ilvl="0" w:tplc="FFFFFFFF">
      <w:start w:val="5"/>
      <w:numFmt w:val="bullet"/>
      <w:pStyle w:val="Gachdaudong"/>
      <w:lvlText w:val="-"/>
      <w:lvlJc w:val="left"/>
      <w:pPr>
        <w:tabs>
          <w:tab w:val="num" w:pos="567"/>
        </w:tabs>
        <w:ind w:left="567" w:hanging="397"/>
      </w:pPr>
      <w:rPr>
        <w:rFonts w:ascii="Times New Roman" w:hAnsi="Times New Roman" w:cs="Times New Roman" w:hint="default"/>
      </w:rPr>
    </w:lvl>
    <w:lvl w:ilvl="1" w:tplc="C710375A">
      <w:start w:val="1"/>
      <w:numFmt w:val="decimal"/>
      <w:lvlText w:val="4.2.2.%2"/>
      <w:lvlJc w:val="left"/>
      <w:pPr>
        <w:tabs>
          <w:tab w:val="num" w:pos="567"/>
        </w:tabs>
        <w:ind w:left="567" w:hanging="397"/>
      </w:pPr>
      <w:rPr>
        <w:rFonts w:ascii=".VnTimeH" w:hAnsi=".VnTimeH" w:hint="default"/>
        <w:b/>
        <w:i w:val="0"/>
        <w:sz w:val="24"/>
        <w:szCs w:val="24"/>
      </w:rPr>
    </w:lvl>
    <w:lvl w:ilvl="2" w:tplc="65CE2F68">
      <w:start w:val="1"/>
      <w:numFmt w:val="decimal"/>
      <w:lvlText w:val="%3."/>
      <w:lvlJc w:val="left"/>
      <w:pPr>
        <w:tabs>
          <w:tab w:val="num" w:pos="539"/>
        </w:tabs>
        <w:ind w:left="539" w:hanging="397"/>
      </w:pPr>
      <w:rPr>
        <w:rFonts w:hint="default"/>
      </w:rPr>
    </w:lvl>
    <w:lvl w:ilvl="3" w:tplc="AFF28098">
      <w:start w:val="5"/>
      <w:numFmt w:val="bullet"/>
      <w:lvlText w:val="+"/>
      <w:lvlJc w:val="left"/>
      <w:pPr>
        <w:tabs>
          <w:tab w:val="num" w:pos="567"/>
        </w:tabs>
        <w:ind w:left="567" w:hanging="397"/>
      </w:pPr>
      <w:rPr>
        <w:rFonts w:ascii="Courier New" w:hAnsi="Courier New" w:hint="default"/>
        <w:b w:val="0"/>
        <w:bCs w:val="0"/>
        <w:i w:val="0"/>
        <w:iCs w:val="0"/>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22506FC"/>
    <w:multiLevelType w:val="multilevel"/>
    <w:tmpl w:val="ABA8C9D0"/>
    <w:styleLink w:val="1111115"/>
    <w:lvl w:ilvl="0">
      <w:start w:val="1"/>
      <w:numFmt w:val="decimal"/>
      <w:lvlText w:val="%1."/>
      <w:lvlJc w:val="left"/>
      <w:pPr>
        <w:tabs>
          <w:tab w:val="num" w:pos="0"/>
        </w:tabs>
        <w:ind w:hanging="340"/>
      </w:pPr>
      <w:rPr>
        <w:rFonts w:ascii="VNI-Times" w:hAnsi="VNI-Times" w:cs="Times New Roman" w:hint="default"/>
        <w:b/>
        <w:i w:val="0"/>
        <w:color w:val="FFFFFF"/>
        <w:sz w:val="26"/>
        <w:szCs w:val="26"/>
      </w:rPr>
    </w:lvl>
    <w:lvl w:ilvl="1">
      <w:start w:val="1"/>
      <w:numFmt w:val="decimal"/>
      <w:lvlText w:val="%1.%2."/>
      <w:lvlJc w:val="left"/>
      <w:pPr>
        <w:tabs>
          <w:tab w:val="num" w:pos="1021"/>
        </w:tabs>
        <w:ind w:left="1021" w:hanging="1021"/>
      </w:pPr>
      <w:rPr>
        <w:rFonts w:ascii="VNI-Times" w:hAnsi="VNI-Times" w:cs="Times New Roman" w:hint="default"/>
        <w:b/>
        <w:i w:val="0"/>
        <w:color w:val="auto"/>
        <w:sz w:val="26"/>
        <w:szCs w:val="26"/>
      </w:rPr>
    </w:lvl>
    <w:lvl w:ilvl="2">
      <w:start w:val="1"/>
      <w:numFmt w:val="decimal"/>
      <w:lvlText w:val="%1.%2.%3."/>
      <w:lvlJc w:val="left"/>
      <w:pPr>
        <w:tabs>
          <w:tab w:val="num" w:pos="1021"/>
        </w:tabs>
        <w:ind w:left="1021" w:hanging="1021"/>
      </w:pPr>
      <w:rPr>
        <w:rFonts w:ascii="VNI-Times" w:hAnsi="VNI-Times" w:cs="Times New Roman" w:hint="default"/>
        <w:b/>
        <w:i w:val="0"/>
        <w:color w:val="auto"/>
        <w:sz w:val="26"/>
        <w:szCs w:val="26"/>
      </w:rPr>
    </w:lvl>
    <w:lvl w:ilvl="3">
      <w:start w:val="1"/>
      <w:numFmt w:val="decimal"/>
      <w:lvlText w:val="%1.%2.%3.%4."/>
      <w:lvlJc w:val="left"/>
      <w:pPr>
        <w:tabs>
          <w:tab w:val="num" w:pos="1021"/>
        </w:tabs>
        <w:ind w:left="1021" w:hanging="1021"/>
      </w:pPr>
      <w:rPr>
        <w:rFonts w:ascii="VNI-Times" w:hAnsi="VNI-Times" w:cs="Times New Roman" w:hint="default"/>
        <w:b/>
        <w:i w:val="0"/>
        <w:sz w:val="26"/>
        <w:szCs w:val="26"/>
      </w:rPr>
    </w:lvl>
    <w:lvl w:ilvl="4">
      <w:start w:val="1"/>
      <w:numFmt w:val="lowerLetter"/>
      <w:lvlText w:val="%5."/>
      <w:lvlJc w:val="left"/>
      <w:pPr>
        <w:tabs>
          <w:tab w:val="num" w:pos="340"/>
        </w:tabs>
        <w:ind w:left="340" w:hanging="340"/>
      </w:pPr>
      <w:rPr>
        <w:rFonts w:ascii="VNI-Times" w:hAnsi="VNI-Times" w:cs="Times New Roman" w:hint="default"/>
        <w:b/>
        <w:i w:val="0"/>
        <w:color w:val="auto"/>
        <w:sz w:val="26"/>
        <w:szCs w:val="26"/>
      </w:rPr>
    </w:lvl>
    <w:lvl w:ilvl="5">
      <w:start w:val="1"/>
      <w:numFmt w:val="bullet"/>
      <w:lvlText w:val=""/>
      <w:lvlJc w:val="left"/>
      <w:pPr>
        <w:tabs>
          <w:tab w:val="num" w:pos="340"/>
        </w:tabs>
        <w:ind w:left="340" w:hanging="340"/>
      </w:pPr>
      <w:rPr>
        <w:rFonts w:ascii="Symbol" w:hAnsi="Symbol" w:hint="default"/>
        <w:b/>
        <w:i w:val="0"/>
        <w:sz w:val="26"/>
      </w:rPr>
    </w:lvl>
    <w:lvl w:ilvl="6">
      <w:start w:val="1"/>
      <w:numFmt w:val="bullet"/>
      <w:lvlText w:val="–"/>
      <w:lvlJc w:val="left"/>
      <w:pPr>
        <w:tabs>
          <w:tab w:val="num" w:pos="340"/>
        </w:tabs>
        <w:ind w:left="340" w:hanging="340"/>
      </w:pPr>
      <w:rPr>
        <w:rFonts w:ascii="VNI-Times" w:hAnsi="VNI-Times" w:hint="default"/>
        <w:b w:val="0"/>
        <w:i w:val="0"/>
        <w:color w:val="auto"/>
        <w:sz w:val="26"/>
      </w:rPr>
    </w:lvl>
    <w:lvl w:ilvl="7">
      <w:start w:val="1"/>
      <w:numFmt w:val="bullet"/>
      <w:lvlText w:val=""/>
      <w:lvlJc w:val="left"/>
      <w:pPr>
        <w:tabs>
          <w:tab w:val="num" w:pos="680"/>
        </w:tabs>
        <w:ind w:left="680" w:hanging="340"/>
      </w:pPr>
      <w:rPr>
        <w:rFonts w:ascii="Wingdings" w:hAnsi="Wingdings" w:hint="default"/>
        <w:b w:val="0"/>
        <w:i w:val="0"/>
        <w:sz w:val="26"/>
      </w:rPr>
    </w:lvl>
    <w:lvl w:ilvl="8">
      <w:start w:val="1"/>
      <w:numFmt w:val="bullet"/>
      <w:lvlText w:val=""/>
      <w:lvlJc w:val="left"/>
      <w:pPr>
        <w:tabs>
          <w:tab w:val="num" w:pos="1021"/>
        </w:tabs>
        <w:ind w:left="1021" w:hanging="341"/>
      </w:pPr>
      <w:rPr>
        <w:rFonts w:ascii="Wingdings" w:hAnsi="Wingdings" w:hint="default"/>
        <w:b w:val="0"/>
        <w:i w:val="0"/>
        <w:color w:val="auto"/>
        <w:sz w:val="26"/>
      </w:rPr>
    </w:lvl>
  </w:abstractNum>
  <w:abstractNum w:abstractNumId="8" w15:restartNumberingAfterBreak="0">
    <w:nsid w:val="07A212FB"/>
    <w:multiLevelType w:val="multilevel"/>
    <w:tmpl w:val="07A212FB"/>
    <w:lvl w:ilvl="0">
      <w:start w:val="1"/>
      <w:numFmt w:val="bullet"/>
      <w:pStyle w:val="TitB"/>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094540B1"/>
    <w:multiLevelType w:val="hybridMultilevel"/>
    <w:tmpl w:val="821C12B8"/>
    <w:styleLink w:val="Thuyetminhchung622222212"/>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AE11988"/>
    <w:multiLevelType w:val="hybridMultilevel"/>
    <w:tmpl w:val="49EEC73A"/>
    <w:lvl w:ilvl="0" w:tplc="FFFFFFFF">
      <w:numFmt w:val="bullet"/>
      <w:pStyle w:val="Bullet-Char"/>
      <w:lvlText w:val="-"/>
      <w:lvlJc w:val="left"/>
      <w:pPr>
        <w:tabs>
          <w:tab w:val="num" w:pos="567"/>
        </w:tabs>
        <w:ind w:left="567" w:hanging="567"/>
      </w:pPr>
      <w:rPr>
        <w:rFonts w:ascii=".VnTime" w:eastAsia="Times New Roman" w:hAnsi=".VnTime"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1446701D"/>
    <w:multiLevelType w:val="hybridMultilevel"/>
    <w:tmpl w:val="B0A8CC78"/>
    <w:styleLink w:val="Tmc212185"/>
    <w:lvl w:ilvl="0" w:tplc="FFFFFFFF">
      <w:start w:val="1"/>
      <w:numFmt w:val="decimal"/>
      <w:lvlText w:val="%1)"/>
      <w:lvlJc w:val="left"/>
      <w:pPr>
        <w:tabs>
          <w:tab w:val="num" w:pos="340"/>
        </w:tabs>
        <w:ind w:left="340" w:hanging="340"/>
      </w:pPr>
      <w:rPr>
        <w:rFonts w:cs="Times New Roman" w:hint="default"/>
      </w:rPr>
    </w:lvl>
    <w:lvl w:ilvl="1" w:tplc="FFFFFFFF" w:tentative="1">
      <w:start w:val="1"/>
      <w:numFmt w:val="lowerLetter"/>
      <w:lvlText w:val="%2."/>
      <w:lvlJc w:val="left"/>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2" w15:restartNumberingAfterBreak="0">
    <w:nsid w:val="14DD16D4"/>
    <w:multiLevelType w:val="multilevel"/>
    <w:tmpl w:val="14DD16D4"/>
    <w:lvl w:ilvl="0">
      <w:start w:val="1"/>
      <w:numFmt w:val="lowerLetter"/>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3" w15:restartNumberingAfterBreak="0">
    <w:nsid w:val="29D45A6C"/>
    <w:multiLevelType w:val="hybridMultilevel"/>
    <w:tmpl w:val="69788AFE"/>
    <w:lvl w:ilvl="0" w:tplc="04090001">
      <w:start w:val="1"/>
      <w:numFmt w:val="bullet"/>
      <w:pStyle w:val="StyleLitkBoldItali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B50647"/>
    <w:multiLevelType w:val="hybridMultilevel"/>
    <w:tmpl w:val="10783552"/>
    <w:styleLink w:val="Tmc2121821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2D973688"/>
    <w:multiLevelType w:val="hybridMultilevel"/>
    <w:tmpl w:val="FA564BB6"/>
    <w:lvl w:ilvl="0" w:tplc="308E0A3C">
      <w:start w:val="1"/>
      <w:numFmt w:val="decimal"/>
      <w:lvlText w:val="(%1)"/>
      <w:lvlJc w:val="left"/>
      <w:pPr>
        <w:ind w:left="937" w:hanging="370"/>
      </w:pPr>
      <w:rPr>
        <w:rFonts w:ascii="Times New Roman" w:hAnsi="Times New Roman" w:cs="Times New Roman" w:hint="default"/>
        <w:color w:val="000000" w:themeColor="text1"/>
        <w:sz w:val="2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15:restartNumberingAfterBreak="0">
    <w:nsid w:val="336852CA"/>
    <w:multiLevelType w:val="multilevel"/>
    <w:tmpl w:val="BAD4E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DE59DD"/>
    <w:multiLevelType w:val="hybridMultilevel"/>
    <w:tmpl w:val="73F4EB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3BD50D39"/>
    <w:multiLevelType w:val="hybridMultilevel"/>
    <w:tmpl w:val="F988717E"/>
    <w:styleLink w:val="Tmc2121821"/>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FF6F90"/>
    <w:multiLevelType w:val="multilevel"/>
    <w:tmpl w:val="04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3C1F2E12"/>
    <w:multiLevelType w:val="hybridMultilevel"/>
    <w:tmpl w:val="3E8CEF1A"/>
    <w:lvl w:ilvl="0" w:tplc="08D4F0AA">
      <w:start w:val="1"/>
      <w:numFmt w:val="lowerLetter"/>
      <w:lvlText w:val="%1)"/>
      <w:lvlJc w:val="left"/>
      <w:pPr>
        <w:ind w:left="644"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1" w15:restartNumberingAfterBreak="0">
    <w:nsid w:val="408208D6"/>
    <w:multiLevelType w:val="hybridMultilevel"/>
    <w:tmpl w:val="2F50551A"/>
    <w:lvl w:ilvl="0" w:tplc="606A520C">
      <w:start w:val="10"/>
      <w:numFmt w:val="bullet"/>
      <w:lvlText w:val="-"/>
      <w:lvlJc w:val="left"/>
      <w:pPr>
        <w:ind w:left="1069" w:hanging="360"/>
      </w:pPr>
      <w:rPr>
        <w:rFonts w:ascii="Times New Roman" w:eastAsia="Times New Roman"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426A12A1"/>
    <w:multiLevelType w:val="singleLevel"/>
    <w:tmpl w:val="426A12A1"/>
    <w:lvl w:ilvl="0">
      <w:start w:val="1"/>
      <w:numFmt w:val="decimal"/>
      <w:pStyle w:val="1"/>
      <w:lvlText w:val="B¶ng %1."/>
      <w:lvlJc w:val="right"/>
      <w:pPr>
        <w:tabs>
          <w:tab w:val="left" w:pos="284"/>
        </w:tabs>
        <w:ind w:left="284" w:hanging="171"/>
      </w:pPr>
      <w:rPr>
        <w:rFonts w:ascii=".VnArial Narrow" w:hAnsi=".VnArial Narrow" w:hint="default"/>
        <w:b/>
        <w:i w:val="0"/>
        <w:sz w:val="24"/>
      </w:rPr>
    </w:lvl>
  </w:abstractNum>
  <w:abstractNum w:abstractNumId="23" w15:restartNumberingAfterBreak="0">
    <w:nsid w:val="4B902034"/>
    <w:multiLevelType w:val="hybridMultilevel"/>
    <w:tmpl w:val="805CAAA4"/>
    <w:styleLink w:val="11111122"/>
    <w:lvl w:ilvl="0" w:tplc="A92A577C">
      <w:start w:val="1"/>
      <w:numFmt w:val="decimal"/>
      <w:lvlText w:val="%1."/>
      <w:lvlJc w:val="left"/>
      <w:pPr>
        <w:tabs>
          <w:tab w:val="num" w:pos="567"/>
        </w:tabs>
        <w:ind w:left="567" w:hanging="397"/>
      </w:pPr>
      <w:rPr>
        <w:rFonts w:hint="default"/>
        <w:b/>
      </w:rPr>
    </w:lvl>
    <w:lvl w:ilvl="1" w:tplc="04090019">
      <w:start w:val="1"/>
      <w:numFmt w:val="bullet"/>
      <w:lvlText w:val="-"/>
      <w:lvlJc w:val="left"/>
      <w:pPr>
        <w:tabs>
          <w:tab w:val="num" w:pos="567"/>
        </w:tabs>
        <w:ind w:left="567" w:hanging="397"/>
      </w:pPr>
      <w:rPr>
        <w:rFonts w:ascii=".VnTime" w:hAnsi=".VnTime" w:hint="default"/>
        <w:b/>
      </w:rPr>
    </w:lvl>
    <w:lvl w:ilvl="2" w:tplc="0409001B">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BD15845"/>
    <w:multiLevelType w:val="multilevel"/>
    <w:tmpl w:val="4BD15845"/>
    <w:lvl w:ilvl="0">
      <w:start w:val="1"/>
      <w:numFmt w:val="bullet"/>
      <w:pStyle w:val="Cutruc1"/>
      <w:lvlText w:val=""/>
      <w:lvlJc w:val="left"/>
      <w:pPr>
        <w:tabs>
          <w:tab w:val="left" w:pos="1080"/>
        </w:tabs>
        <w:ind w:left="1080" w:hanging="360"/>
      </w:pPr>
      <w:rPr>
        <w:rFonts w:ascii="Symbol" w:hAnsi="Symbol" w:hint="default"/>
      </w:rPr>
    </w:lvl>
    <w:lvl w:ilvl="1">
      <w:start w:val="1"/>
      <w:numFmt w:val="bullet"/>
      <w:lvlText w:val="o"/>
      <w:lvlJc w:val="left"/>
      <w:pPr>
        <w:tabs>
          <w:tab w:val="left" w:pos="1800"/>
        </w:tabs>
        <w:ind w:left="1800" w:hanging="360"/>
      </w:pPr>
      <w:rPr>
        <w:rFonts w:ascii="Courier New" w:hAnsi="Courier New" w:cs="Courier New" w:hint="default"/>
      </w:rPr>
    </w:lvl>
    <w:lvl w:ilvl="2">
      <w:start w:val="1"/>
      <w:numFmt w:val="bullet"/>
      <w:lvlText w:val=""/>
      <w:lvlJc w:val="left"/>
      <w:pPr>
        <w:tabs>
          <w:tab w:val="left" w:pos="2520"/>
        </w:tabs>
        <w:ind w:left="2520" w:hanging="360"/>
      </w:pPr>
      <w:rPr>
        <w:rFonts w:ascii="Wingdings" w:hAnsi="Wingdings" w:hint="default"/>
      </w:rPr>
    </w:lvl>
    <w:lvl w:ilvl="3">
      <w:start w:val="1"/>
      <w:numFmt w:val="bullet"/>
      <w:lvlText w:val=""/>
      <w:lvlJc w:val="left"/>
      <w:pPr>
        <w:tabs>
          <w:tab w:val="left" w:pos="3240"/>
        </w:tabs>
        <w:ind w:left="3240" w:hanging="360"/>
      </w:pPr>
      <w:rPr>
        <w:rFonts w:ascii="Symbol" w:hAnsi="Symbol" w:hint="default"/>
      </w:rPr>
    </w:lvl>
    <w:lvl w:ilvl="4">
      <w:start w:val="1"/>
      <w:numFmt w:val="bullet"/>
      <w:lvlText w:val="o"/>
      <w:lvlJc w:val="left"/>
      <w:pPr>
        <w:tabs>
          <w:tab w:val="left" w:pos="3960"/>
        </w:tabs>
        <w:ind w:left="3960" w:hanging="360"/>
      </w:pPr>
      <w:rPr>
        <w:rFonts w:ascii="Courier New" w:hAnsi="Courier New" w:cs="Courier New" w:hint="default"/>
      </w:rPr>
    </w:lvl>
    <w:lvl w:ilvl="5">
      <w:start w:val="1"/>
      <w:numFmt w:val="bullet"/>
      <w:lvlText w:val=""/>
      <w:lvlJc w:val="left"/>
      <w:pPr>
        <w:tabs>
          <w:tab w:val="left" w:pos="4680"/>
        </w:tabs>
        <w:ind w:left="4680" w:hanging="360"/>
      </w:pPr>
      <w:rPr>
        <w:rFonts w:ascii="Wingdings" w:hAnsi="Wingdings" w:hint="default"/>
      </w:rPr>
    </w:lvl>
    <w:lvl w:ilvl="6">
      <w:start w:val="1"/>
      <w:numFmt w:val="bullet"/>
      <w:lvlText w:val=""/>
      <w:lvlJc w:val="left"/>
      <w:pPr>
        <w:tabs>
          <w:tab w:val="left" w:pos="5400"/>
        </w:tabs>
        <w:ind w:left="5400" w:hanging="360"/>
      </w:pPr>
      <w:rPr>
        <w:rFonts w:ascii="Symbol" w:hAnsi="Symbol" w:hint="default"/>
      </w:rPr>
    </w:lvl>
    <w:lvl w:ilvl="7">
      <w:start w:val="1"/>
      <w:numFmt w:val="bullet"/>
      <w:lvlText w:val="o"/>
      <w:lvlJc w:val="left"/>
      <w:pPr>
        <w:tabs>
          <w:tab w:val="left" w:pos="6120"/>
        </w:tabs>
        <w:ind w:left="6120" w:hanging="360"/>
      </w:pPr>
      <w:rPr>
        <w:rFonts w:ascii="Courier New" w:hAnsi="Courier New" w:cs="Courier New" w:hint="default"/>
      </w:rPr>
    </w:lvl>
    <w:lvl w:ilvl="8">
      <w:start w:val="1"/>
      <w:numFmt w:val="bullet"/>
      <w:lvlText w:val=""/>
      <w:lvlJc w:val="left"/>
      <w:pPr>
        <w:tabs>
          <w:tab w:val="left" w:pos="6840"/>
        </w:tabs>
        <w:ind w:left="6840" w:hanging="360"/>
      </w:pPr>
      <w:rPr>
        <w:rFonts w:ascii="Wingdings" w:hAnsi="Wingdings" w:hint="default"/>
      </w:rPr>
    </w:lvl>
  </w:abstractNum>
  <w:abstractNum w:abstractNumId="25" w15:restartNumberingAfterBreak="0">
    <w:nsid w:val="4EC0574E"/>
    <w:multiLevelType w:val="multilevel"/>
    <w:tmpl w:val="E69A34B4"/>
    <w:lvl w:ilvl="0">
      <w:start w:val="1"/>
      <w:numFmt w:val="decimal"/>
      <w:lvlText w:val="%1."/>
      <w:lvlJc w:val="left"/>
      <w:pPr>
        <w:ind w:left="2629"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51672EFC"/>
    <w:multiLevelType w:val="hybridMultilevel"/>
    <w:tmpl w:val="F09088D8"/>
    <w:lvl w:ilvl="0" w:tplc="114CE9BC">
      <w:start w:val="1"/>
      <w:numFmt w:val="decimal"/>
      <w:pStyle w:val="Numberedpara"/>
      <w:lvlText w:val="%1."/>
      <w:lvlJc w:val="left"/>
      <w:pPr>
        <w:ind w:left="720" w:hanging="360"/>
      </w:pPr>
      <w:rPr>
        <w:rFonts w:hint="default"/>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2D61C1E"/>
    <w:multiLevelType w:val="hybridMultilevel"/>
    <w:tmpl w:val="DA9E72D0"/>
    <w:styleLink w:val="111111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DD3848"/>
    <w:multiLevelType w:val="hybridMultilevel"/>
    <w:tmpl w:val="986E3308"/>
    <w:lvl w:ilvl="0" w:tplc="4E046BDA">
      <w:start w:val="1"/>
      <w:numFmt w:val="bullet"/>
      <w:pStyle w:val="Style13ptLeft254cm"/>
      <w:lvlText w:val="+"/>
      <w:lvlJc w:val="left"/>
      <w:pPr>
        <w:tabs>
          <w:tab w:val="num" w:pos="1134"/>
        </w:tabs>
        <w:ind w:hanging="567"/>
      </w:pPr>
      <w:rPr>
        <w:rFonts w:ascii="Courier New" w:hAnsi="Courier New" w:hint="default"/>
      </w:rPr>
    </w:lvl>
    <w:lvl w:ilvl="1" w:tplc="04090019">
      <w:start w:val="1"/>
      <w:numFmt w:val="bullet"/>
      <w:lvlText w:val="o"/>
      <w:lvlJc w:val="left"/>
      <w:pPr>
        <w:tabs>
          <w:tab w:val="num" w:pos="2574"/>
        </w:tabs>
        <w:ind w:left="2574" w:hanging="360"/>
      </w:pPr>
      <w:rPr>
        <w:rFonts w:ascii="Courier New" w:hAnsi="Courier New" w:hint="default"/>
      </w:rPr>
    </w:lvl>
    <w:lvl w:ilvl="2" w:tplc="0409001B">
      <w:start w:val="1"/>
      <w:numFmt w:val="bullet"/>
      <w:lvlText w:val=""/>
      <w:lvlJc w:val="left"/>
      <w:pPr>
        <w:tabs>
          <w:tab w:val="num" w:pos="3294"/>
        </w:tabs>
        <w:ind w:left="3294" w:hanging="360"/>
      </w:pPr>
      <w:rPr>
        <w:rFonts w:ascii="Times New Roman" w:hAnsi="Times New Roman" w:hint="default"/>
      </w:rPr>
    </w:lvl>
    <w:lvl w:ilvl="3" w:tplc="0409000F">
      <w:start w:val="1"/>
      <w:numFmt w:val="bullet"/>
      <w:lvlText w:val=""/>
      <w:lvlJc w:val="left"/>
      <w:pPr>
        <w:tabs>
          <w:tab w:val="num" w:pos="4014"/>
        </w:tabs>
        <w:ind w:left="4014" w:hanging="360"/>
      </w:pPr>
      <w:rPr>
        <w:rFonts w:ascii="Times New Roman" w:hAnsi="Times New Roman" w:hint="default"/>
      </w:rPr>
    </w:lvl>
    <w:lvl w:ilvl="4" w:tplc="04090019">
      <w:start w:val="1"/>
      <w:numFmt w:val="bullet"/>
      <w:lvlText w:val="o"/>
      <w:lvlJc w:val="left"/>
      <w:pPr>
        <w:tabs>
          <w:tab w:val="num" w:pos="4734"/>
        </w:tabs>
        <w:ind w:left="4734" w:hanging="360"/>
      </w:pPr>
      <w:rPr>
        <w:rFonts w:ascii="Courier New" w:hAnsi="Courier New" w:hint="default"/>
      </w:rPr>
    </w:lvl>
    <w:lvl w:ilvl="5" w:tplc="0409001B">
      <w:start w:val="1"/>
      <w:numFmt w:val="bullet"/>
      <w:lvlText w:val=""/>
      <w:lvlJc w:val="left"/>
      <w:pPr>
        <w:tabs>
          <w:tab w:val="num" w:pos="5454"/>
        </w:tabs>
        <w:ind w:left="5454" w:hanging="360"/>
      </w:pPr>
      <w:rPr>
        <w:rFonts w:ascii="Times New Roman" w:hAnsi="Times New Roman" w:hint="default"/>
      </w:rPr>
    </w:lvl>
    <w:lvl w:ilvl="6" w:tplc="0409000F">
      <w:start w:val="1"/>
      <w:numFmt w:val="bullet"/>
      <w:lvlText w:val=""/>
      <w:lvlJc w:val="left"/>
      <w:pPr>
        <w:tabs>
          <w:tab w:val="num" w:pos="6174"/>
        </w:tabs>
        <w:ind w:left="6174" w:hanging="360"/>
      </w:pPr>
      <w:rPr>
        <w:rFonts w:ascii="Times New Roman" w:hAnsi="Times New Roman" w:hint="default"/>
      </w:rPr>
    </w:lvl>
    <w:lvl w:ilvl="7" w:tplc="04090019">
      <w:start w:val="1"/>
      <w:numFmt w:val="bullet"/>
      <w:lvlText w:val="o"/>
      <w:lvlJc w:val="left"/>
      <w:pPr>
        <w:tabs>
          <w:tab w:val="num" w:pos="6894"/>
        </w:tabs>
        <w:ind w:left="6894" w:hanging="360"/>
      </w:pPr>
      <w:rPr>
        <w:rFonts w:ascii="Courier New" w:hAnsi="Courier New" w:hint="default"/>
      </w:rPr>
    </w:lvl>
    <w:lvl w:ilvl="8" w:tplc="0409001B">
      <w:start w:val="1"/>
      <w:numFmt w:val="bullet"/>
      <w:lvlText w:val=""/>
      <w:lvlJc w:val="left"/>
      <w:pPr>
        <w:tabs>
          <w:tab w:val="num" w:pos="7614"/>
        </w:tabs>
        <w:ind w:left="7614" w:hanging="360"/>
      </w:pPr>
      <w:rPr>
        <w:rFonts w:ascii="Times New Roman" w:hAnsi="Times New Roman" w:hint="default"/>
      </w:rPr>
    </w:lvl>
  </w:abstractNum>
  <w:abstractNum w:abstractNumId="29" w15:restartNumberingAfterBreak="0">
    <w:nsid w:val="5BD66B97"/>
    <w:multiLevelType w:val="multilevel"/>
    <w:tmpl w:val="BF5E2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EDC6F8B"/>
    <w:multiLevelType w:val="hybridMultilevel"/>
    <w:tmpl w:val="3A8A1192"/>
    <w:lvl w:ilvl="0" w:tplc="2304BB7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1" w15:restartNumberingAfterBreak="0">
    <w:nsid w:val="63D1038C"/>
    <w:multiLevelType w:val="multilevel"/>
    <w:tmpl w:val="63D1038C"/>
    <w:lvl w:ilvl="0">
      <w:start w:val="1"/>
      <w:numFmt w:val="bullet"/>
      <w:pStyle w:val="Litk"/>
      <w:lvlText w:val=""/>
      <w:lvlJc w:val="left"/>
      <w:pPr>
        <w:tabs>
          <w:tab w:val="left" w:pos="720"/>
        </w:tabs>
        <w:ind w:left="720" w:hanging="360"/>
      </w:pPr>
      <w:rPr>
        <w:rFonts w:ascii="Symbol" w:hAnsi="Symbol" w:hint="default"/>
      </w:rPr>
    </w:lvl>
    <w:lvl w:ilvl="1">
      <w:start w:val="1"/>
      <w:numFmt w:val="bullet"/>
      <w:pStyle w:val="Mc11"/>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pStyle w:val="Mc1111"/>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644B62D6"/>
    <w:multiLevelType w:val="hybridMultilevel"/>
    <w:tmpl w:val="EFC60628"/>
    <w:styleLink w:val="11111132"/>
    <w:lvl w:ilvl="0" w:tplc="B5EE11CA">
      <w:start w:val="1"/>
      <w:numFmt w:val="bullet"/>
      <w:lvlText w:val="-"/>
      <w:lvlJc w:val="left"/>
      <w:pPr>
        <w:tabs>
          <w:tab w:val="num" w:pos="1080"/>
        </w:tabs>
        <w:ind w:left="1080" w:hanging="360"/>
      </w:pPr>
      <w:rPr>
        <w:rFonts w:ascii="VnTimes" w:hAnsi="VnTimes" w:hint="default"/>
      </w:rPr>
    </w:lvl>
    <w:lvl w:ilvl="1" w:tplc="D362EAAE">
      <w:start w:val="1"/>
      <w:numFmt w:val="bullet"/>
      <w:lvlText w:val="o"/>
      <w:lvlJc w:val="left"/>
      <w:pPr>
        <w:tabs>
          <w:tab w:val="num" w:pos="1593"/>
        </w:tabs>
        <w:ind w:left="1593" w:hanging="360"/>
      </w:pPr>
      <w:rPr>
        <w:rFonts w:ascii="Courier New" w:hAnsi="Courier New" w:hint="default"/>
      </w:rPr>
    </w:lvl>
    <w:lvl w:ilvl="2" w:tplc="A61AA8AA" w:tentative="1">
      <w:start w:val="1"/>
      <w:numFmt w:val="bullet"/>
      <w:lvlText w:val=""/>
      <w:lvlJc w:val="left"/>
      <w:pPr>
        <w:tabs>
          <w:tab w:val="num" w:pos="2313"/>
        </w:tabs>
        <w:ind w:left="2313" w:hanging="360"/>
      </w:pPr>
      <w:rPr>
        <w:rFonts w:ascii="Wingdings" w:hAnsi="Wingdings" w:hint="default"/>
      </w:rPr>
    </w:lvl>
    <w:lvl w:ilvl="3" w:tplc="19C64AF6" w:tentative="1">
      <w:start w:val="1"/>
      <w:numFmt w:val="bullet"/>
      <w:lvlText w:val=""/>
      <w:lvlJc w:val="left"/>
      <w:pPr>
        <w:tabs>
          <w:tab w:val="num" w:pos="3033"/>
        </w:tabs>
        <w:ind w:left="3033" w:hanging="360"/>
      </w:pPr>
      <w:rPr>
        <w:rFonts w:ascii="Symbol" w:hAnsi="Symbol" w:hint="default"/>
      </w:rPr>
    </w:lvl>
    <w:lvl w:ilvl="4" w:tplc="180831B4" w:tentative="1">
      <w:start w:val="1"/>
      <w:numFmt w:val="bullet"/>
      <w:lvlText w:val="o"/>
      <w:lvlJc w:val="left"/>
      <w:pPr>
        <w:tabs>
          <w:tab w:val="num" w:pos="3753"/>
        </w:tabs>
        <w:ind w:left="3753" w:hanging="360"/>
      </w:pPr>
      <w:rPr>
        <w:rFonts w:ascii="Courier New" w:hAnsi="Courier New" w:hint="default"/>
      </w:rPr>
    </w:lvl>
    <w:lvl w:ilvl="5" w:tplc="3A8EA3FE" w:tentative="1">
      <w:start w:val="1"/>
      <w:numFmt w:val="bullet"/>
      <w:lvlText w:val=""/>
      <w:lvlJc w:val="left"/>
      <w:pPr>
        <w:tabs>
          <w:tab w:val="num" w:pos="4473"/>
        </w:tabs>
        <w:ind w:left="4473" w:hanging="360"/>
      </w:pPr>
      <w:rPr>
        <w:rFonts w:ascii="Wingdings" w:hAnsi="Wingdings" w:hint="default"/>
      </w:rPr>
    </w:lvl>
    <w:lvl w:ilvl="6" w:tplc="C81C7584" w:tentative="1">
      <w:start w:val="1"/>
      <w:numFmt w:val="bullet"/>
      <w:lvlText w:val=""/>
      <w:lvlJc w:val="left"/>
      <w:pPr>
        <w:tabs>
          <w:tab w:val="num" w:pos="5193"/>
        </w:tabs>
        <w:ind w:left="5193" w:hanging="360"/>
      </w:pPr>
      <w:rPr>
        <w:rFonts w:ascii="Symbol" w:hAnsi="Symbol" w:hint="default"/>
      </w:rPr>
    </w:lvl>
    <w:lvl w:ilvl="7" w:tplc="E5C8B656" w:tentative="1">
      <w:start w:val="1"/>
      <w:numFmt w:val="bullet"/>
      <w:lvlText w:val="o"/>
      <w:lvlJc w:val="left"/>
      <w:pPr>
        <w:tabs>
          <w:tab w:val="num" w:pos="5913"/>
        </w:tabs>
        <w:ind w:left="5913" w:hanging="360"/>
      </w:pPr>
      <w:rPr>
        <w:rFonts w:ascii="Courier New" w:hAnsi="Courier New" w:hint="default"/>
      </w:rPr>
    </w:lvl>
    <w:lvl w:ilvl="8" w:tplc="91B2D102" w:tentative="1">
      <w:start w:val="1"/>
      <w:numFmt w:val="bullet"/>
      <w:lvlText w:val=""/>
      <w:lvlJc w:val="left"/>
      <w:pPr>
        <w:tabs>
          <w:tab w:val="num" w:pos="6633"/>
        </w:tabs>
        <w:ind w:left="6633" w:hanging="360"/>
      </w:pPr>
      <w:rPr>
        <w:rFonts w:ascii="Wingdings" w:hAnsi="Wingdings" w:hint="default"/>
      </w:rPr>
    </w:lvl>
  </w:abstractNum>
  <w:abstractNum w:abstractNumId="33" w15:restartNumberingAfterBreak="0">
    <w:nsid w:val="71BB5E20"/>
    <w:multiLevelType w:val="hybridMultilevel"/>
    <w:tmpl w:val="AB2A1A76"/>
    <w:lvl w:ilvl="0" w:tplc="1342370A">
      <w:start w:val="1"/>
      <w:numFmt w:val="bullet"/>
      <w:lvlText w:val="-"/>
      <w:lvlJc w:val="left"/>
      <w:pPr>
        <w:tabs>
          <w:tab w:val="num" w:pos="567"/>
        </w:tabs>
        <w:ind w:left="567" w:hanging="369"/>
      </w:pPr>
      <w:rPr>
        <w:rFonts w:ascii=".VnTime" w:hAnsi=".VnTime" w:hint="default"/>
        <w:color w:val="auto"/>
      </w:rPr>
    </w:lvl>
    <w:lvl w:ilvl="1" w:tplc="D070D7AA">
      <w:start w:val="1"/>
      <w:numFmt w:val="bullet"/>
      <w:pStyle w:val="Muc111"/>
      <w:lvlText w:val=""/>
      <w:lvlJc w:val="left"/>
      <w:pPr>
        <w:tabs>
          <w:tab w:val="num" w:pos="567"/>
        </w:tabs>
        <w:ind w:left="567" w:hanging="397"/>
      </w:pPr>
      <w:rPr>
        <w:rFonts w:ascii="Symbol" w:hAnsi="Symbol" w:hint="default"/>
        <w:color w:val="auto"/>
      </w:rPr>
    </w:lvl>
    <w:lvl w:ilvl="2" w:tplc="184CA13A">
      <w:start w:val="1"/>
      <w:numFmt w:val="bullet"/>
      <w:lvlText w:val=""/>
      <w:lvlJc w:val="left"/>
      <w:pPr>
        <w:tabs>
          <w:tab w:val="num" w:pos="567"/>
        </w:tabs>
        <w:ind w:left="567" w:hanging="397"/>
      </w:pPr>
      <w:rPr>
        <w:rFonts w:ascii="Symbol" w:hAnsi="Symbol" w:hint="default"/>
        <w:color w:val="auto"/>
      </w:rPr>
    </w:lvl>
    <w:lvl w:ilvl="3" w:tplc="94C4C00C">
      <w:start w:val="1"/>
      <w:numFmt w:val="bullet"/>
      <w:lvlText w:val=""/>
      <w:lvlJc w:val="left"/>
      <w:pPr>
        <w:tabs>
          <w:tab w:val="num" w:pos="2880"/>
        </w:tabs>
        <w:ind w:left="2880" w:hanging="360"/>
      </w:pPr>
      <w:rPr>
        <w:rFonts w:ascii="Symbol" w:hAnsi="Symbol" w:hint="default"/>
      </w:rPr>
    </w:lvl>
    <w:lvl w:ilvl="4" w:tplc="21424A2A">
      <w:start w:val="1"/>
      <w:numFmt w:val="bullet"/>
      <w:lvlText w:val="o"/>
      <w:lvlJc w:val="left"/>
      <w:pPr>
        <w:tabs>
          <w:tab w:val="num" w:pos="3600"/>
        </w:tabs>
        <w:ind w:left="3600" w:hanging="360"/>
      </w:pPr>
      <w:rPr>
        <w:rFonts w:ascii="Courier New" w:hAnsi="Courier New" w:cs="Courier New" w:hint="default"/>
      </w:rPr>
    </w:lvl>
    <w:lvl w:ilvl="5" w:tplc="9244AC32">
      <w:start w:val="1"/>
      <w:numFmt w:val="bullet"/>
      <w:lvlText w:val=""/>
      <w:lvlJc w:val="left"/>
      <w:pPr>
        <w:tabs>
          <w:tab w:val="num" w:pos="4320"/>
        </w:tabs>
        <w:ind w:left="4320" w:hanging="360"/>
      </w:pPr>
      <w:rPr>
        <w:rFonts w:ascii="Wingdings" w:hAnsi="Wingdings" w:hint="default"/>
      </w:rPr>
    </w:lvl>
    <w:lvl w:ilvl="6" w:tplc="A552CDF6">
      <w:start w:val="1"/>
      <w:numFmt w:val="bullet"/>
      <w:lvlText w:val=""/>
      <w:lvlJc w:val="left"/>
      <w:pPr>
        <w:tabs>
          <w:tab w:val="num" w:pos="5040"/>
        </w:tabs>
        <w:ind w:left="5040" w:hanging="360"/>
      </w:pPr>
      <w:rPr>
        <w:rFonts w:ascii="Symbol" w:hAnsi="Symbol" w:hint="default"/>
      </w:rPr>
    </w:lvl>
    <w:lvl w:ilvl="7" w:tplc="CA52504C">
      <w:start w:val="1"/>
      <w:numFmt w:val="bullet"/>
      <w:lvlText w:val="o"/>
      <w:lvlJc w:val="left"/>
      <w:pPr>
        <w:tabs>
          <w:tab w:val="num" w:pos="5760"/>
        </w:tabs>
        <w:ind w:left="5760" w:hanging="360"/>
      </w:pPr>
      <w:rPr>
        <w:rFonts w:ascii="Courier New" w:hAnsi="Courier New" w:cs="Courier New" w:hint="default"/>
      </w:rPr>
    </w:lvl>
    <w:lvl w:ilvl="8" w:tplc="FA320F50">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49D724F"/>
    <w:multiLevelType w:val="multilevel"/>
    <w:tmpl w:val="2A8C92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76986178">
    <w:abstractNumId w:val="9"/>
  </w:num>
  <w:num w:numId="2" w16cid:durableId="651100908">
    <w:abstractNumId w:val="32"/>
  </w:num>
  <w:num w:numId="3" w16cid:durableId="1800028768">
    <w:abstractNumId w:val="0"/>
  </w:num>
  <w:num w:numId="4" w16cid:durableId="672102383">
    <w:abstractNumId w:val="27"/>
  </w:num>
  <w:num w:numId="5" w16cid:durableId="168184522">
    <w:abstractNumId w:val="5"/>
  </w:num>
  <w:num w:numId="6" w16cid:durableId="279992926">
    <w:abstractNumId w:val="11"/>
  </w:num>
  <w:num w:numId="7" w16cid:durableId="1483542776">
    <w:abstractNumId w:val="7"/>
  </w:num>
  <w:num w:numId="8" w16cid:durableId="889267830">
    <w:abstractNumId w:val="23"/>
  </w:num>
  <w:num w:numId="9" w16cid:durableId="1487211107">
    <w:abstractNumId w:val="33"/>
  </w:num>
  <w:num w:numId="10" w16cid:durableId="273027468">
    <w:abstractNumId w:val="28"/>
  </w:num>
  <w:num w:numId="11" w16cid:durableId="1675567053">
    <w:abstractNumId w:val="6"/>
  </w:num>
  <w:num w:numId="12" w16cid:durableId="85420638">
    <w:abstractNumId w:val="10"/>
  </w:num>
  <w:num w:numId="13" w16cid:durableId="253636521">
    <w:abstractNumId w:val="3"/>
  </w:num>
  <w:num w:numId="14" w16cid:durableId="1291669684">
    <w:abstractNumId w:val="14"/>
  </w:num>
  <w:num w:numId="15" w16cid:durableId="101192904">
    <w:abstractNumId w:val="18"/>
  </w:num>
  <w:num w:numId="16" w16cid:durableId="1079596105">
    <w:abstractNumId w:val="26"/>
  </w:num>
  <w:num w:numId="17" w16cid:durableId="1603802238">
    <w:abstractNumId w:val="13"/>
  </w:num>
  <w:num w:numId="18" w16cid:durableId="1586451555">
    <w:abstractNumId w:val="20"/>
  </w:num>
  <w:num w:numId="19" w16cid:durableId="2142990208">
    <w:abstractNumId w:val="17"/>
  </w:num>
  <w:num w:numId="20" w16cid:durableId="203834939">
    <w:abstractNumId w:val="15"/>
  </w:num>
  <w:num w:numId="21" w16cid:durableId="359672270">
    <w:abstractNumId w:val="1"/>
  </w:num>
  <w:num w:numId="22" w16cid:durableId="992296410">
    <w:abstractNumId w:val="19"/>
  </w:num>
  <w:num w:numId="23" w16cid:durableId="1273122831">
    <w:abstractNumId w:val="25"/>
  </w:num>
  <w:num w:numId="24" w16cid:durableId="1246958879">
    <w:abstractNumId w:val="31"/>
  </w:num>
  <w:num w:numId="25" w16cid:durableId="1558979780">
    <w:abstractNumId w:val="24"/>
  </w:num>
  <w:num w:numId="26" w16cid:durableId="429283414">
    <w:abstractNumId w:val="8"/>
  </w:num>
  <w:num w:numId="27" w16cid:durableId="1849981084">
    <w:abstractNumId w:val="22"/>
  </w:num>
  <w:num w:numId="28" w16cid:durableId="714886796">
    <w:abstractNumId w:val="12"/>
  </w:num>
  <w:num w:numId="29" w16cid:durableId="1340812288">
    <w:abstractNumId w:val="30"/>
  </w:num>
  <w:num w:numId="30" w16cid:durableId="1406024841">
    <w:abstractNumId w:val="16"/>
  </w:num>
  <w:num w:numId="31" w16cid:durableId="1796678032">
    <w:abstractNumId w:val="29"/>
  </w:num>
  <w:num w:numId="32" w16cid:durableId="1271429919">
    <w:abstractNumId w:val="34"/>
  </w:num>
  <w:num w:numId="33" w16cid:durableId="2027708050">
    <w:abstractNumId w:val="21"/>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789"/>
    <w:rsid w:val="00085789"/>
    <w:rsid w:val="000C041B"/>
    <w:rsid w:val="000F5AB4"/>
    <w:rsid w:val="0014333B"/>
    <w:rsid w:val="0015107F"/>
    <w:rsid w:val="001A08FA"/>
    <w:rsid w:val="00203F98"/>
    <w:rsid w:val="002B1BFC"/>
    <w:rsid w:val="002E70D4"/>
    <w:rsid w:val="00561732"/>
    <w:rsid w:val="005E2E65"/>
    <w:rsid w:val="005E5CEA"/>
    <w:rsid w:val="006913D8"/>
    <w:rsid w:val="006915DC"/>
    <w:rsid w:val="007568C1"/>
    <w:rsid w:val="00790D8F"/>
    <w:rsid w:val="007A3508"/>
    <w:rsid w:val="007D238A"/>
    <w:rsid w:val="00980AFB"/>
    <w:rsid w:val="009F1478"/>
    <w:rsid w:val="00A344D3"/>
    <w:rsid w:val="00A756DE"/>
    <w:rsid w:val="00AA3A70"/>
    <w:rsid w:val="00B40A2C"/>
    <w:rsid w:val="00C45DBD"/>
    <w:rsid w:val="00DD3D46"/>
    <w:rsid w:val="00E7676B"/>
    <w:rsid w:val="00ED06B9"/>
    <w:rsid w:val="00EF2628"/>
    <w:rsid w:val="00F06A78"/>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F282D2"/>
  <w15:docId w15:val="{6B377EAD-A217-4FC8-B120-224EF76931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semiHidden="1" w:unhideWhenUsed="1" w:qFormat="1"/>
    <w:lsdException w:name="heading 3" w:semiHidden="1" w:uiPriority="9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line="300" w:lineRule="exact"/>
    </w:pPr>
    <w:rPr>
      <w:sz w:val="28"/>
      <w:szCs w:val="28"/>
    </w:rPr>
  </w:style>
  <w:style w:type="paragraph" w:styleId="Heading1">
    <w:name w:val="heading 1"/>
    <w:aliases w:val="Heading 1 Char Char,H 1,ch­¬ng Char,Chương 1,Heading,BVI,RepHead1,1 ghost,g Char Char Char,g Char Char,Level 1,heading,MVA,VN,heading1,proj,proj1,proj5,proj6,proj7,proj8,proj9,proj10,proj11,proj12,proj13,proj14,proj15,proj51,proj61,proj71"/>
    <w:basedOn w:val="Normal"/>
    <w:next w:val="Normal"/>
    <w:link w:val="Heading1Char"/>
    <w:uiPriority w:val="1"/>
    <w:qFormat/>
    <w:pPr>
      <w:keepNext/>
      <w:jc w:val="both"/>
      <w:outlineLvl w:val="0"/>
    </w:pPr>
    <w:rPr>
      <w:rFonts w:ascii=".VnArial" w:hAnsi=".VnArial"/>
      <w:b/>
      <w:sz w:val="24"/>
      <w:szCs w:val="20"/>
    </w:rPr>
  </w:style>
  <w:style w:type="paragraph" w:styleId="Heading2">
    <w:name w:val="heading 2"/>
    <w:aliases w:val="Heading 2 Char,H 2 Char Char,h2,MVA2,BVI2,Heading 2-BVI,RepHead2,Muc 11,Muc 11 Char,Tua2,8.4.1 Heading 2,7.1,H 2 Char Char Char Char Char Char,l2,H2,HeadB,H 2,标题 2XW,白鹤滩标题 2 Char,7.1 Char,8.4.1 Heading 2 Char,Tua2 Char,白鹤滩标题 2,Muclon Char,h"/>
    <w:basedOn w:val="Normal"/>
    <w:next w:val="Normal"/>
    <w:link w:val="Heading2Char2"/>
    <w:qFormat/>
    <w:pPr>
      <w:keepNext/>
      <w:jc w:val="both"/>
      <w:outlineLvl w:val="1"/>
    </w:pPr>
    <w:rPr>
      <w:rFonts w:ascii=".VnTimeH" w:hAnsi=".VnTimeH"/>
      <w:b/>
      <w:sz w:val="24"/>
      <w:szCs w:val="20"/>
    </w:rPr>
  </w:style>
  <w:style w:type="paragraph" w:styleId="Heading3">
    <w:name w:val="heading 3"/>
    <w:aliases w:val="Heading 3 Char Char Char Char,Heading 3 Char1,Char Char Char Char Char Char Char,Heading 3 Char Char Char Char Char,Heading 3 Char1 Char,Char,Char Char Char Char,Heading 3 Char Char,Heading 3 Char Char Char Char Char Char Char,Head3,h3 Char"/>
    <w:basedOn w:val="Normal"/>
    <w:next w:val="Normal"/>
    <w:link w:val="Heading3Char2"/>
    <w:autoRedefine/>
    <w:uiPriority w:val="99"/>
    <w:qFormat/>
    <w:pPr>
      <w:widowControl w:val="0"/>
      <w:shd w:val="clear" w:color="auto" w:fill="FFFFFF"/>
      <w:spacing w:line="240" w:lineRule="auto"/>
      <w:ind w:firstLine="709"/>
      <w:jc w:val="both"/>
      <w:outlineLvl w:val="2"/>
    </w:pPr>
    <w:rPr>
      <w:rFonts w:ascii="Times New Roman Italic" w:hAnsi="Times New Roman Italic"/>
      <w:i/>
      <w:iCs/>
      <w:noProof/>
      <w:color w:val="000000" w:themeColor="text1"/>
      <w:spacing w:val="-4"/>
      <w:sz w:val="24"/>
      <w:szCs w:val="24"/>
      <w:lang w:val="sq-AL"/>
    </w:rPr>
  </w:style>
  <w:style w:type="paragraph" w:styleId="Heading4">
    <w:name w:val="heading 4"/>
    <w:aliases w:val="Char1,Char11,Char11 Char,Heading 4 Char Char Char,Char111, Char"/>
    <w:basedOn w:val="Normal"/>
    <w:next w:val="Normal"/>
    <w:link w:val="Heading4Char1"/>
    <w:qFormat/>
    <w:pPr>
      <w:keepNext/>
      <w:spacing w:before="240" w:after="60"/>
      <w:outlineLvl w:val="3"/>
    </w:pPr>
    <w:rPr>
      <w:rFonts w:ascii="Calibri" w:hAnsi="Calibri"/>
      <w:b/>
      <w:szCs w:val="20"/>
    </w:rPr>
  </w:style>
  <w:style w:type="paragraph" w:styleId="Heading5">
    <w:name w:val="heading 5"/>
    <w:aliases w:val="abc,H 5,Heading 5 Char1,Heading 5 Char Char Char,Heading 5 Char1 Char,Titre 5-tableau,Heading 5a,BVI5,RepHead5,hinh"/>
    <w:basedOn w:val="Normal"/>
    <w:next w:val="Normal"/>
    <w:link w:val="Heading5Char"/>
    <w:qFormat/>
    <w:pPr>
      <w:spacing w:before="240" w:after="60"/>
      <w:outlineLvl w:val="4"/>
    </w:pPr>
    <w:rPr>
      <w:rFonts w:ascii="Calibri" w:hAnsi="Calibri"/>
      <w:b/>
      <w:i/>
      <w:sz w:val="26"/>
      <w:szCs w:val="20"/>
    </w:rPr>
  </w:style>
  <w:style w:type="paragraph" w:styleId="Heading6">
    <w:name w:val="heading 6"/>
    <w:aliases w:val="Table,Bang 1: ...,Heading 6-bang, not Kinhill,Not Kinhill,muc a,9.1,Heading 6 Char Char,9.1 Char,Heading 6 Char Char Char Char Char,Diverse,Heading 6 Char Char Char"/>
    <w:basedOn w:val="Normal"/>
    <w:next w:val="Normal"/>
    <w:link w:val="Heading6Char"/>
    <w:qFormat/>
    <w:pPr>
      <w:spacing w:before="240" w:after="60"/>
      <w:outlineLvl w:val="5"/>
    </w:pPr>
    <w:rPr>
      <w:b/>
      <w:sz w:val="22"/>
      <w:szCs w:val="20"/>
    </w:rPr>
  </w:style>
  <w:style w:type="paragraph" w:styleId="Heading7">
    <w:name w:val="heading 7"/>
    <w:aliases w:val="b.thuong,chu thich"/>
    <w:basedOn w:val="Normal"/>
    <w:next w:val="Normal"/>
    <w:link w:val="Heading7Char1"/>
    <w:qFormat/>
    <w:pPr>
      <w:spacing w:before="240" w:after="60"/>
      <w:outlineLvl w:val="6"/>
    </w:pPr>
    <w:rPr>
      <w:sz w:val="24"/>
      <w:szCs w:val="20"/>
    </w:rPr>
  </w:style>
  <w:style w:type="paragraph" w:styleId="Heading8">
    <w:name w:val="heading 8"/>
    <w:basedOn w:val="Normal"/>
    <w:next w:val="Normal"/>
    <w:link w:val="Heading8Char"/>
    <w:qFormat/>
    <w:pPr>
      <w:spacing w:before="240" w:after="60"/>
      <w:outlineLvl w:val="7"/>
    </w:pPr>
    <w:rPr>
      <w:i/>
      <w:sz w:val="24"/>
      <w:szCs w:val="20"/>
    </w:rPr>
  </w:style>
  <w:style w:type="paragraph" w:styleId="Heading9">
    <w:name w:val="heading 9"/>
    <w:basedOn w:val="Normal"/>
    <w:next w:val="Normal"/>
    <w:link w:val="Heading9Char"/>
    <w:qFormat/>
    <w:pPr>
      <w:spacing w:before="240" w:after="60"/>
      <w:outlineLvl w:val="8"/>
    </w:pPr>
    <w:rPr>
      <w:rFonts w:ascii="Arial" w:hAnsi="Arial"/>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Char Char Char,H 1 Char,ch­¬ng Char Char1,Chương 1 Char1,Heading Char1,BVI Char1,RepHead1 Char1,1 ghost Char,g Char Char Char Char,g Char Char Char1,Level 1 Char,heading Char,MVA Char,VN Char,heading1 Char,proj Char,proj1 Char"/>
    <w:link w:val="Heading1"/>
    <w:uiPriority w:val="1"/>
    <w:qFormat/>
    <w:locked/>
    <w:rPr>
      <w:rFonts w:ascii=".VnArial" w:hAnsi=".VnArial"/>
      <w:b/>
      <w:sz w:val="24"/>
      <w:lang w:val="en-US" w:eastAsia="en-US"/>
    </w:rPr>
  </w:style>
  <w:style w:type="character" w:customStyle="1" w:styleId="Heading2Char1">
    <w:name w:val="Heading 2 Char1"/>
    <w:aliases w:val="Heading 2 Char Char,H 2 Char Char Char,h2 Char,MVA2 Char,BVI2 Char,Heading 2-BVI Char,RepHead2 Char,Muc 11 Char1,Muc 11 Char Char,Tua2 Char1,8.4.1 Heading 2 Char1,7.1 Char1,H 2 Char Char Char Char Char Char Char,l2 Char,H2 Char,H 2 Char"/>
    <w:qFormat/>
    <w:rPr>
      <w:rFonts w:ascii="Cambria" w:eastAsia="Times New Roman" w:hAnsi="Cambria" w:cs="Times New Roman"/>
      <w:b/>
      <w:bCs/>
      <w:i/>
      <w:iCs/>
      <w:sz w:val="28"/>
      <w:szCs w:val="28"/>
    </w:rPr>
  </w:style>
  <w:style w:type="character" w:customStyle="1" w:styleId="Heading3Char">
    <w:name w:val="Heading 3 Char"/>
    <w:aliases w:val="Heading 3 Char Char Char Char Char1,Heading 3 Char1 Char1,Char Char Char Char Char Char Char Char,Heading 3 Char Char Char Char Char Char,Heading 3 Char1 Char Char,Char Char,Char Char Char Char Char,Heading 3 Char Char Char,Head3 Char"/>
    <w:qFormat/>
    <w:rPr>
      <w:rFonts w:ascii="Cambria" w:eastAsia="Times New Roman" w:hAnsi="Cambria" w:cs="Times New Roman"/>
      <w:b/>
      <w:bCs/>
      <w:sz w:val="26"/>
      <w:szCs w:val="26"/>
    </w:rPr>
  </w:style>
  <w:style w:type="character" w:customStyle="1" w:styleId="Heading4Char">
    <w:name w:val="Heading 4 Char"/>
    <w:aliases w:val="Char Char1,Char1 Char,Char11 Char Char,Heading 4 Char Char Char Char,Char11 Char1, Char Char,Char111 Char1"/>
    <w:locked/>
    <w:rPr>
      <w:rFonts w:ascii=".VnTime" w:hAnsi=".VnTime"/>
      <w:sz w:val="16"/>
    </w:rPr>
  </w:style>
  <w:style w:type="character" w:customStyle="1" w:styleId="Heading5Char">
    <w:name w:val="Heading 5 Char"/>
    <w:aliases w:val="abc Char,H 5 Char,Heading 5 Char1 Char1,Heading 5 Char Char Char Char,Heading 5 Char1 Char Char,Titre 5-tableau Char,Heading 5a Char,BVI5 Char,RepHead5 Char,hinh Char"/>
    <w:link w:val="Heading5"/>
    <w:qFormat/>
    <w:locked/>
    <w:rPr>
      <w:rFonts w:ascii="Calibri" w:hAnsi="Calibri"/>
      <w:b/>
      <w:i/>
      <w:sz w:val="26"/>
      <w:lang w:val="en-US" w:eastAsia="en-US"/>
    </w:rPr>
  </w:style>
  <w:style w:type="character" w:customStyle="1" w:styleId="Heading6Char">
    <w:name w:val="Heading 6 Char"/>
    <w:aliases w:val="Table Char,Bang 1: ... Char,Heading 6-bang Char, not Kinhill Char,Not Kinhill Char,muc a Char,9.1 Char1,Heading 6 Char Char Char1,9.1 Char Char,Heading 6 Char Char Char Char Char Char,Diverse Char,Heading 6 Char Char Char Char"/>
    <w:link w:val="Heading6"/>
    <w:qFormat/>
    <w:locked/>
    <w:rPr>
      <w:b/>
      <w:sz w:val="22"/>
    </w:rPr>
  </w:style>
  <w:style w:type="character" w:customStyle="1" w:styleId="Heading7Char">
    <w:name w:val="Heading 7 Char"/>
    <w:aliases w:val="b.thuong Char"/>
    <w:qFormat/>
    <w:locked/>
    <w:rPr>
      <w:rFonts w:eastAsia="MS Mincho"/>
      <w:noProof/>
      <w:sz w:val="24"/>
      <w:lang w:val="en-US" w:eastAsia="en-US"/>
    </w:rPr>
  </w:style>
  <w:style w:type="character" w:customStyle="1" w:styleId="Heading8Char">
    <w:name w:val="Heading 8 Char"/>
    <w:link w:val="Heading8"/>
    <w:qFormat/>
    <w:locked/>
    <w:rPr>
      <w:i/>
      <w:sz w:val="24"/>
      <w:lang w:val="en-US" w:eastAsia="en-US"/>
    </w:rPr>
  </w:style>
  <w:style w:type="character" w:customStyle="1" w:styleId="Heading9Char">
    <w:name w:val="Heading 9 Char"/>
    <w:link w:val="Heading9"/>
    <w:qFormat/>
    <w:locked/>
    <w:rPr>
      <w:rFonts w:ascii="Arial" w:hAnsi="Arial"/>
      <w:sz w:val="22"/>
    </w:rPr>
  </w:style>
  <w:style w:type="character" w:customStyle="1" w:styleId="Heading2Char2">
    <w:name w:val="Heading 2 Char2"/>
    <w:aliases w:val="Heading 2 Char Char1,H 2 Char Char Char1,h2 Char1,MVA2 Char1,BVI2 Char1,Heading 2-BVI Char1,RepHead2 Char1,Muc 11 Char2,Muc 11 Char Char1,Tua2 Char2,8.4.1 Heading 2 Char2,7.1 Char2,H 2 Char Char Char Char Char Char Char1,l2 Char1,h Char"/>
    <w:link w:val="Heading2"/>
    <w:locked/>
    <w:rPr>
      <w:rFonts w:ascii=".VnTimeH" w:hAnsi=".VnTimeH"/>
      <w:b/>
      <w:sz w:val="24"/>
      <w:lang w:val="en-US" w:eastAsia="en-US"/>
    </w:rPr>
  </w:style>
  <w:style w:type="character" w:customStyle="1" w:styleId="Heading4Char1">
    <w:name w:val="Heading 4 Char1"/>
    <w:aliases w:val="Char1 Char1,Char11 Char2,Char11 Char Char1,Heading 4 Char Char Char Char1,Char111 Char, Char Char1"/>
    <w:link w:val="Heading4"/>
    <w:locked/>
    <w:rPr>
      <w:rFonts w:ascii="Calibri" w:hAnsi="Calibri"/>
      <w:b/>
      <w:sz w:val="28"/>
      <w:lang w:val="en-US" w:eastAsia="en-US"/>
    </w:rPr>
  </w:style>
  <w:style w:type="character" w:customStyle="1" w:styleId="Heading7Char1">
    <w:name w:val="Heading 7 Char1"/>
    <w:aliases w:val="b.thuong Char1,chu thich Char"/>
    <w:link w:val="Heading7"/>
    <w:locked/>
    <w:rPr>
      <w:sz w:val="24"/>
      <w:lang w:val="en-US" w:eastAsia="en-US"/>
    </w:rPr>
  </w:style>
  <w:style w:type="paragraph" w:customStyle="1" w:styleId="DefaultParagraphFontParaCharCharCharCharChar">
    <w:name w:val="Default Paragraph Font Para Char Char Char Char Char"/>
    <w:autoRedefine/>
    <w:pPr>
      <w:tabs>
        <w:tab w:val="left" w:pos="1152"/>
      </w:tabs>
      <w:spacing w:before="120" w:after="120" w:line="312" w:lineRule="auto"/>
    </w:pPr>
    <w:rPr>
      <w:rFonts w:ascii="Arial" w:hAnsi="Arial" w:cs="Arial"/>
      <w:sz w:val="26"/>
      <w:szCs w:val="26"/>
    </w:rPr>
  </w:style>
  <w:style w:type="paragraph" w:customStyle="1" w:styleId="4">
    <w:name w:val="4"/>
    <w:basedOn w:val="Normal"/>
    <w:uiPriority w:val="99"/>
    <w:qFormat/>
    <w:pPr>
      <w:widowControl w:val="0"/>
      <w:spacing w:before="80" w:after="80" w:line="340" w:lineRule="exact"/>
      <w:jc w:val="both"/>
    </w:pPr>
    <w:rPr>
      <w:rFonts w:ascii="VNtimes new roman" w:hAnsi="VNtimes new roman" w:cs="VNtimes new roman"/>
      <w:b/>
      <w:bCs/>
      <w:i/>
      <w:lang w:val="it-IT"/>
    </w:rPr>
  </w:style>
  <w:style w:type="paragraph" w:styleId="Footer">
    <w:name w:val="footer"/>
    <w:aliases w:val="Footer-Even"/>
    <w:basedOn w:val="Normal"/>
    <w:link w:val="FooterChar"/>
    <w:uiPriority w:val="99"/>
    <w:qFormat/>
    <w:pPr>
      <w:tabs>
        <w:tab w:val="center" w:pos="4320"/>
        <w:tab w:val="right" w:pos="8640"/>
      </w:tabs>
    </w:pPr>
    <w:rPr>
      <w:szCs w:val="20"/>
    </w:rPr>
  </w:style>
  <w:style w:type="character" w:customStyle="1" w:styleId="FooterChar">
    <w:name w:val="Footer Char"/>
    <w:aliases w:val="Footer-Even Char"/>
    <w:link w:val="Footer"/>
    <w:uiPriority w:val="99"/>
    <w:qFormat/>
    <w:locked/>
    <w:rPr>
      <w:sz w:val="28"/>
    </w:rPr>
  </w:style>
  <w:style w:type="character" w:styleId="PageNumber">
    <w:name w:val="page number"/>
    <w:qFormat/>
    <w:rPr>
      <w:rFonts w:cs="Times New Roman"/>
    </w:rPr>
  </w:style>
  <w:style w:type="table" w:styleId="TableGrid">
    <w:name w:val="Table Grid"/>
    <w:aliases w:val="unTra lai em niem vui khi duoc gan ben em,tra lai em loi yeu thuong em dem,tra lai em niem tin thang nam qua ta dap xay,Gio day chi la nhung ky niem buon,http://www,freewebtown,com/nhatquanglan/index,html"/>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Char Char Char,Char3,Body Text1,Body Text Char, Char Char Char, Char3,ändrad,AvtalBrödtext,Body3,Body Text Tables,Body Text level 1,Body Text2,Body Text Char1 Char,Body Text sub head Char Char,a)  Body Text Char Char,Body Text sub head Char1"/>
    <w:basedOn w:val="Normal"/>
    <w:link w:val="BodyTextChar2"/>
    <w:uiPriority w:val="1"/>
    <w:qFormat/>
    <w:pPr>
      <w:jc w:val="both"/>
    </w:pPr>
    <w:rPr>
      <w:rFonts w:ascii=".VnTimeH" w:hAnsi=".VnTimeH"/>
      <w:b/>
      <w:sz w:val="24"/>
      <w:szCs w:val="20"/>
    </w:rPr>
  </w:style>
  <w:style w:type="character" w:customStyle="1" w:styleId="BodyTextChar1">
    <w:name w:val="Body Text Char1"/>
    <w:aliases w:val="Char Char Char Char1,Char3 Char,Body Text1 Char,Body Text Char Char, Char Char Char Char1, Char3 Char3, Char Char Char Char Char, Char3 Char, Char Char Char Char, Char Char Char Char Char Char Char Char, Char3 Char2"/>
    <w:rPr>
      <w:sz w:val="28"/>
      <w:szCs w:val="28"/>
    </w:rPr>
  </w:style>
  <w:style w:type="character" w:customStyle="1" w:styleId="BodyTextChar2">
    <w:name w:val="Body Text Char2"/>
    <w:aliases w:val="Char Char Char Char4,Char3 Char3,Body Text1 Char1,Body Text Char Char1, Char Char Char Char4, Char3 Char4,ändrad Char,AvtalBrödtext Char,Body3 Char,Body Text Tables Char,Body Text level 1 Char,Body Text2 Char,Body Text Char1 Char Char"/>
    <w:link w:val="BodyText"/>
    <w:locked/>
    <w:rPr>
      <w:rFonts w:ascii=".VnTimeH" w:hAnsi=".VnTimeH"/>
      <w:b/>
      <w:sz w:val="24"/>
      <w:lang w:val="en-US" w:eastAsia="en-US"/>
    </w:rPr>
  </w:style>
  <w:style w:type="paragraph" w:styleId="BodyText2">
    <w:name w:val="Body Text 2"/>
    <w:aliases w:val="Body Text 2-1,Body Text NGHIÊNG"/>
    <w:basedOn w:val="Normal"/>
    <w:link w:val="BodyText2Char"/>
    <w:qFormat/>
    <w:pPr>
      <w:jc w:val="both"/>
    </w:pPr>
    <w:rPr>
      <w:rFonts w:ascii=".VnTime" w:hAnsi=".VnTime"/>
      <w:i/>
      <w:sz w:val="24"/>
      <w:szCs w:val="20"/>
    </w:rPr>
  </w:style>
  <w:style w:type="character" w:customStyle="1" w:styleId="BodyText2Char">
    <w:name w:val="Body Text 2 Char"/>
    <w:aliases w:val="Body Text 2-1 Char,Body Text NGHIÊNG Char"/>
    <w:link w:val="BodyText2"/>
    <w:qFormat/>
    <w:locked/>
    <w:rPr>
      <w:rFonts w:ascii=".VnTime" w:hAnsi=".VnTime"/>
      <w:i/>
      <w:sz w:val="24"/>
      <w:lang w:val="en-US" w:eastAsia="en-US"/>
    </w:rPr>
  </w:style>
  <w:style w:type="paragraph" w:customStyle="1" w:styleId="3">
    <w:name w:val="3"/>
    <w:basedOn w:val="Normal"/>
    <w:link w:val="3Char"/>
    <w:qFormat/>
    <w:pPr>
      <w:spacing w:before="60" w:after="60" w:line="340" w:lineRule="exact"/>
      <w:jc w:val="both"/>
    </w:pPr>
    <w:rPr>
      <w:rFonts w:ascii="VNtimes new roman" w:hAnsi="VNtimes new roman"/>
      <w:b/>
    </w:rPr>
  </w:style>
  <w:style w:type="paragraph" w:customStyle="1" w:styleId="Bc3">
    <w:name w:val="Bậc 3"/>
    <w:basedOn w:val="Normal"/>
    <w:pPr>
      <w:tabs>
        <w:tab w:val="center" w:pos="4320"/>
        <w:tab w:val="right" w:pos="8640"/>
      </w:tabs>
      <w:spacing w:before="60" w:after="60" w:line="360" w:lineRule="exact"/>
      <w:ind w:firstLine="680"/>
      <w:jc w:val="both"/>
    </w:pPr>
    <w:rPr>
      <w:b/>
      <w:i/>
      <w:szCs w:val="24"/>
    </w:rPr>
  </w:style>
  <w:style w:type="paragraph" w:customStyle="1" w:styleId="2">
    <w:name w:val="2"/>
    <w:basedOn w:val="Normal"/>
    <w:qFormat/>
    <w:pPr>
      <w:spacing w:before="60" w:after="60" w:line="340" w:lineRule="exact"/>
      <w:jc w:val="both"/>
    </w:pPr>
    <w:rPr>
      <w:rFonts w:ascii="VNtimes new roman" w:hAnsi="VNtimes new roman" w:cs="VNtimes new roman"/>
      <w:b/>
      <w:iCs/>
      <w:sz w:val="24"/>
      <w:szCs w:val="24"/>
      <w:lang w:val="pt-BR"/>
    </w:rPr>
  </w:style>
  <w:style w:type="paragraph" w:customStyle="1" w:styleId="chu">
    <w:name w:val="chu"/>
    <w:basedOn w:val="Header"/>
    <w:link w:val="chuChar2"/>
    <w:pPr>
      <w:spacing w:before="40" w:after="40"/>
      <w:ind w:firstLine="567"/>
      <w:jc w:val="both"/>
    </w:pPr>
  </w:style>
  <w:style w:type="paragraph" w:styleId="Header">
    <w:name w:val="header"/>
    <w:aliases w:val="g,g1,g2,g3,g4,g5,g11,MyHeader,Char4,En-tête client,MyHeader Char Char Char,MyHeader Char Char Char Char Char Char,MyHeader Char Char Char Char,h Char Char Char Char Char, Char4,Header1,enlish"/>
    <w:basedOn w:val="Normal"/>
    <w:link w:val="HeaderChar"/>
    <w:uiPriority w:val="99"/>
    <w:qFormat/>
    <w:pPr>
      <w:tabs>
        <w:tab w:val="center" w:pos="4320"/>
        <w:tab w:val="right" w:pos="8640"/>
      </w:tabs>
    </w:pPr>
    <w:rPr>
      <w:szCs w:val="20"/>
    </w:rPr>
  </w:style>
  <w:style w:type="character" w:customStyle="1" w:styleId="HeaderChar">
    <w:name w:val="Header Char"/>
    <w:aliases w:val="g Char,g1 Char,g2 Char,g3 Char,g4 Char,g5 Char,g11 Char,MyHeader Char,Char4 Char,En-tête client Char,MyHeader Char Char Char Char1,MyHeader Char Char Char Char Char Char Char,MyHeader Char Char Char Char Char,h Char Char Char Char Char Char"/>
    <w:link w:val="Header"/>
    <w:uiPriority w:val="99"/>
    <w:qFormat/>
    <w:locked/>
    <w:rPr>
      <w:sz w:val="28"/>
    </w:rPr>
  </w:style>
  <w:style w:type="character" w:customStyle="1" w:styleId="chuChar2">
    <w:name w:val="chu Char2"/>
    <w:link w:val="chu"/>
    <w:locked/>
    <w:rPr>
      <w:sz w:val="28"/>
      <w:lang w:val="en-US" w:eastAsia="en-US"/>
    </w:rPr>
  </w:style>
  <w:style w:type="paragraph" w:customStyle="1" w:styleId="S2">
    <w:name w:val="S2"/>
    <w:basedOn w:val="Normal"/>
    <w:uiPriority w:val="99"/>
    <w:pPr>
      <w:spacing w:before="60" w:after="60" w:line="360" w:lineRule="exact"/>
      <w:jc w:val="both"/>
    </w:pPr>
    <w:rPr>
      <w:b/>
      <w:szCs w:val="26"/>
    </w:rPr>
  </w:style>
  <w:style w:type="character" w:customStyle="1" w:styleId="4Char">
    <w:name w:val="4 Char"/>
    <w:rPr>
      <w:rFonts w:ascii="Times New Roman Bold" w:hAnsi="Times New Roman Bold"/>
      <w:b/>
      <w:sz w:val="26"/>
      <w:lang w:val="da-DK" w:eastAsia="en-US"/>
    </w:rPr>
  </w:style>
  <w:style w:type="paragraph" w:customStyle="1" w:styleId="chuvietCharChar">
    <w:name w:val="chu viet Char Char"/>
    <w:basedOn w:val="Normal"/>
    <w:uiPriority w:val="99"/>
    <w:pPr>
      <w:spacing w:before="40" w:after="80"/>
      <w:ind w:firstLine="340"/>
      <w:jc w:val="both"/>
    </w:pPr>
  </w:style>
  <w:style w:type="paragraph" w:customStyle="1" w:styleId="Bang">
    <w:name w:val="Bang"/>
    <w:basedOn w:val="Normal"/>
    <w:link w:val="BangChar"/>
    <w:qFormat/>
    <w:pPr>
      <w:spacing w:before="120"/>
      <w:jc w:val="center"/>
    </w:pPr>
    <w:rPr>
      <w:sz w:val="24"/>
      <w:szCs w:val="20"/>
    </w:rPr>
  </w:style>
  <w:style w:type="character" w:customStyle="1" w:styleId="BangChar">
    <w:name w:val="Bang Char"/>
    <w:link w:val="Bang"/>
    <w:uiPriority w:val="99"/>
    <w:locked/>
    <w:rPr>
      <w:sz w:val="24"/>
      <w:lang w:val="en-US" w:eastAsia="en-US"/>
    </w:rPr>
  </w:style>
  <w:style w:type="paragraph" w:customStyle="1" w:styleId="Normal1">
    <w:name w:val="Normal1"/>
    <w:basedOn w:val="Normal"/>
    <w:link w:val="normalChar"/>
    <w:pPr>
      <w:widowControl w:val="0"/>
      <w:spacing w:before="120"/>
      <w:jc w:val="both"/>
    </w:pPr>
    <w:rPr>
      <w:sz w:val="24"/>
      <w:szCs w:val="20"/>
    </w:rPr>
  </w:style>
  <w:style w:type="character" w:customStyle="1" w:styleId="normalChar">
    <w:name w:val="normal Char"/>
    <w:link w:val="Normal1"/>
    <w:locked/>
    <w:rPr>
      <w:sz w:val="24"/>
      <w:lang w:val="en-US" w:eastAsia="en-US"/>
    </w:rPr>
  </w:style>
  <w:style w:type="paragraph" w:customStyle="1" w:styleId="StylechuthichBoldItalicCharChar">
    <w:name w:val="Style chuthich + Bold Italic Char Char"/>
    <w:basedOn w:val="Normal"/>
    <w:uiPriority w:val="99"/>
    <w:pPr>
      <w:spacing w:before="120" w:after="200"/>
      <w:jc w:val="both"/>
    </w:pPr>
    <w:rPr>
      <w:bCs/>
      <w:iCs/>
    </w:rPr>
  </w:style>
  <w:style w:type="character" w:customStyle="1" w:styleId="CharChar13">
    <w:name w:val="Char Char13"/>
    <w:rPr>
      <w:rFonts w:ascii="Calibri" w:hAnsi="Calibri"/>
      <w:b/>
      <w:i/>
      <w:sz w:val="26"/>
    </w:rPr>
  </w:style>
  <w:style w:type="character" w:customStyle="1" w:styleId="CharChar9">
    <w:name w:val="Char Char9"/>
    <w:rPr>
      <w:rFonts w:ascii="Arial" w:hAnsi="Arial"/>
      <w:sz w:val="22"/>
      <w:lang w:val="en-US" w:eastAsia="en-US"/>
    </w:rPr>
  </w:style>
  <w:style w:type="paragraph" w:customStyle="1" w:styleId="A2">
    <w:name w:val="A.2"/>
    <w:basedOn w:val="11"/>
    <w:qFormat/>
    <w:pPr>
      <w:tabs>
        <w:tab w:val="clear" w:pos="4320"/>
        <w:tab w:val="clear" w:pos="8640"/>
      </w:tabs>
      <w:spacing w:before="0" w:line="350" w:lineRule="exact"/>
      <w:outlineLvl w:val="1"/>
    </w:pPr>
    <w:rPr>
      <w:color w:val="000000"/>
      <w:sz w:val="24"/>
      <w:szCs w:val="26"/>
    </w:rPr>
  </w:style>
  <w:style w:type="paragraph" w:customStyle="1" w:styleId="Hd2-hinh">
    <w:name w:val="Hd2-hinh"/>
    <w:basedOn w:val="A2"/>
    <w:qFormat/>
    <w:pPr>
      <w:spacing w:before="60" w:after="60" w:line="360" w:lineRule="exact"/>
      <w:jc w:val="center"/>
    </w:pPr>
    <w:rPr>
      <w:rFonts w:ascii="Times New Roman Bold" w:hAnsi="Times New Roman Bold"/>
      <w:spacing w:val="-6"/>
      <w:sz w:val="28"/>
    </w:rPr>
  </w:style>
  <w:style w:type="character" w:customStyle="1" w:styleId="BodyTextCharChar3">
    <w:name w:val="Body Text Char Char3"/>
    <w:aliases w:val="Char Char Char Char Char3,Char3 Char4,Char Char Char Char5,Char Char Char Char Char Char Char Char2,Heading 3 Char1 Char11,Heading 3 Char Char Char Char Char Char3,Heading 3 Char1 Char Char2"/>
    <w:locked/>
    <w:rPr>
      <w:rFonts w:ascii=".VnTimeH" w:hAnsi=".VnTimeH"/>
      <w:b/>
      <w:sz w:val="24"/>
      <w:lang w:val="en-US" w:eastAsia="en-US"/>
    </w:rPr>
  </w:style>
  <w:style w:type="character" w:customStyle="1" w:styleId="CharChar7">
    <w:name w:val="Char Char7"/>
    <w:locked/>
    <w:rPr>
      <w:rFonts w:ascii=".VnTimeH" w:hAnsi=".VnTimeH"/>
      <w:b/>
      <w:sz w:val="24"/>
      <w:lang w:val="en-US" w:eastAsia="en-US"/>
    </w:rPr>
  </w:style>
  <w:style w:type="paragraph" w:styleId="BodyText3">
    <w:name w:val="Body Text 3"/>
    <w:basedOn w:val="Normal"/>
    <w:link w:val="BodyText3Char"/>
    <w:pPr>
      <w:spacing w:after="120"/>
    </w:pPr>
    <w:rPr>
      <w:rFonts w:ascii=".VnTime" w:hAnsi=".VnTime"/>
      <w:sz w:val="16"/>
      <w:szCs w:val="20"/>
    </w:rPr>
  </w:style>
  <w:style w:type="character" w:customStyle="1" w:styleId="BodyText3Char">
    <w:name w:val="Body Text 3 Char"/>
    <w:link w:val="BodyText3"/>
    <w:qFormat/>
    <w:locked/>
    <w:rPr>
      <w:rFonts w:ascii=".VnTime" w:hAnsi=".VnTime"/>
      <w:sz w:val="16"/>
    </w:rPr>
  </w:style>
  <w:style w:type="character" w:customStyle="1" w:styleId="CharChar3">
    <w:name w:val="Char Char3"/>
    <w:rPr>
      <w:rFonts w:ascii=".VnTime" w:hAnsi=".VnTime"/>
      <w:sz w:val="24"/>
      <w:lang w:val="en-US" w:eastAsia="en-US"/>
    </w:rPr>
  </w:style>
  <w:style w:type="paragraph" w:styleId="BodyTextIndent">
    <w:name w:val="Body Text Indent"/>
    <w:aliases w:val="Body Text 2 Char Char Char Char Char Char Char Char Char,Body Text 2 Char Char Char Char Char Char Char Char Char1 Char"/>
    <w:basedOn w:val="Normal"/>
    <w:link w:val="BodyTextIndentChar"/>
    <w:qFormat/>
    <w:pPr>
      <w:spacing w:after="120"/>
      <w:ind w:left="360"/>
    </w:pPr>
    <w:rPr>
      <w:rFonts w:ascii=".VnTime" w:hAnsi=".VnTime"/>
      <w:sz w:val="24"/>
      <w:szCs w:val="20"/>
    </w:rPr>
  </w:style>
  <w:style w:type="character" w:customStyle="1" w:styleId="BodyTextIndentChar">
    <w:name w:val="Body Text Indent Char"/>
    <w:aliases w:val="Body Text 2 Char Char Char Char Char Char Char Char Char Char,Body Text 2 Char Char Char Char Char Char Char Char Char1 Char Char"/>
    <w:link w:val="BodyTextIndent"/>
    <w:qFormat/>
    <w:locked/>
    <w:rPr>
      <w:rFonts w:ascii=".VnTime" w:hAnsi=".VnTime"/>
      <w:sz w:val="24"/>
      <w:lang w:val="en-US" w:eastAsia="en-US"/>
    </w:rPr>
  </w:style>
  <w:style w:type="paragraph" w:styleId="BodyTextIndent3">
    <w:name w:val="Body Text Indent 3"/>
    <w:basedOn w:val="Normal"/>
    <w:link w:val="BodyTextIndent3Char"/>
    <w:qFormat/>
    <w:pPr>
      <w:spacing w:after="120"/>
      <w:ind w:left="360"/>
    </w:pPr>
    <w:rPr>
      <w:rFonts w:ascii=".VnTime" w:hAnsi=".VnTime"/>
      <w:sz w:val="16"/>
      <w:szCs w:val="20"/>
    </w:rPr>
  </w:style>
  <w:style w:type="character" w:customStyle="1" w:styleId="BodyTextIndent3Char">
    <w:name w:val="Body Text Indent 3 Char"/>
    <w:link w:val="BodyTextIndent3"/>
    <w:qFormat/>
    <w:locked/>
    <w:rPr>
      <w:rFonts w:ascii=".VnTime" w:hAnsi=".VnTime"/>
      <w:sz w:val="16"/>
      <w:lang w:val="en-US" w:eastAsia="en-US"/>
    </w:rPr>
  </w:style>
  <w:style w:type="character" w:styleId="Hyperlink">
    <w:name w:val="Hyperlink"/>
    <w:uiPriority w:val="99"/>
    <w:qFormat/>
    <w:rPr>
      <w:color w:val="0000FF"/>
      <w:u w:val="single"/>
    </w:rPr>
  </w:style>
  <w:style w:type="paragraph" w:customStyle="1" w:styleId="HD2">
    <w:name w:val="HD2"/>
    <w:basedOn w:val="Hd2-hinh"/>
    <w:uiPriority w:val="99"/>
    <w:qFormat/>
  </w:style>
  <w:style w:type="paragraph" w:customStyle="1" w:styleId="Heading11">
    <w:name w:val="Heading 11"/>
    <w:basedOn w:val="Normal"/>
    <w:autoRedefine/>
    <w:uiPriority w:val="99"/>
    <w:pPr>
      <w:spacing w:after="160" w:line="240" w:lineRule="exact"/>
      <w:jc w:val="center"/>
    </w:pPr>
    <w:rPr>
      <w:rFonts w:ascii=".VnTimeH" w:eastAsia="MS Mincho" w:hAnsi=".VnTimeH"/>
      <w:b/>
      <w:sz w:val="32"/>
      <w:szCs w:val="20"/>
    </w:rPr>
  </w:style>
  <w:style w:type="paragraph" w:customStyle="1" w:styleId="ID1">
    <w:name w:val="ID1"/>
    <w:basedOn w:val="Normal"/>
    <w:pPr>
      <w:tabs>
        <w:tab w:val="left" w:pos="0"/>
      </w:tabs>
      <w:autoSpaceDE w:val="0"/>
      <w:autoSpaceDN w:val="0"/>
      <w:adjustRightInd w:val="0"/>
      <w:spacing w:before="60" w:after="60" w:line="360" w:lineRule="auto"/>
      <w:jc w:val="both"/>
    </w:pPr>
    <w:rPr>
      <w:rFonts w:ascii=".VnTime" w:hAnsi=".VnTime" w:cs=".VnTime"/>
      <w:b/>
      <w:bCs/>
      <w:sz w:val="24"/>
      <w:szCs w:val="24"/>
    </w:rPr>
  </w:style>
  <w:style w:type="paragraph" w:styleId="TableofFigures">
    <w:name w:val="table of figures"/>
    <w:basedOn w:val="Normal"/>
    <w:next w:val="Normal"/>
    <w:uiPriority w:val="99"/>
  </w:style>
  <w:style w:type="paragraph" w:customStyle="1" w:styleId="HD3">
    <w:name w:val="HD3"/>
    <w:basedOn w:val="HD2"/>
    <w:qFormat/>
    <w:pPr>
      <w:keepNext/>
      <w:jc w:val="both"/>
    </w:pPr>
    <w:rPr>
      <w:rFonts w:ascii="Times New Roman" w:hAnsi="Times New Roman"/>
      <w:i/>
    </w:rPr>
  </w:style>
  <w:style w:type="character" w:customStyle="1" w:styleId="CharChar20">
    <w:name w:val="Char Char20"/>
    <w:aliases w:val="Char1 Char Char"/>
    <w:rPr>
      <w:rFonts w:ascii="Tahoma" w:hAnsi="Tahoma"/>
      <w:sz w:val="16"/>
    </w:rPr>
  </w:style>
  <w:style w:type="paragraph" w:customStyle="1" w:styleId="VDnoidung">
    <w:name w:val="VDnoidung"/>
    <w:basedOn w:val="ListBullet2"/>
    <w:uiPriority w:val="99"/>
    <w:pPr>
      <w:tabs>
        <w:tab w:val="clear" w:pos="720"/>
      </w:tabs>
      <w:spacing w:before="60" w:after="120" w:line="312" w:lineRule="auto"/>
      <w:ind w:left="0" w:firstLine="720"/>
      <w:contextualSpacing w:val="0"/>
      <w:jc w:val="both"/>
    </w:pPr>
    <w:rPr>
      <w:rFonts w:eastAsia="SimSun"/>
      <w:szCs w:val="28"/>
      <w:lang w:val="en-GB"/>
    </w:rPr>
  </w:style>
  <w:style w:type="paragraph" w:styleId="ListBullet2">
    <w:name w:val="List Bullet 2"/>
    <w:basedOn w:val="Normal"/>
    <w:pPr>
      <w:tabs>
        <w:tab w:val="num" w:pos="720"/>
      </w:tabs>
      <w:ind w:left="720" w:hanging="360"/>
      <w:contextualSpacing/>
    </w:pPr>
    <w:rPr>
      <w:rFonts w:ascii=".VnTime" w:hAnsi=".VnTime"/>
      <w:szCs w:val="24"/>
    </w:rPr>
  </w:style>
  <w:style w:type="paragraph" w:styleId="BalloonText">
    <w:name w:val="Balloon Text"/>
    <w:basedOn w:val="Normal"/>
    <w:link w:val="BalloonTextChar"/>
    <w:uiPriority w:val="99"/>
    <w:qFormat/>
    <w:pPr>
      <w:spacing w:line="240" w:lineRule="auto"/>
    </w:pPr>
    <w:rPr>
      <w:rFonts w:ascii="Tahoma" w:hAnsi="Tahoma" w:cs="Tahoma"/>
      <w:sz w:val="16"/>
      <w:szCs w:val="16"/>
    </w:rPr>
  </w:style>
  <w:style w:type="paragraph" w:customStyle="1" w:styleId="mucnho">
    <w:name w:val="muc nho"/>
    <w:basedOn w:val="Normal"/>
    <w:autoRedefine/>
    <w:uiPriority w:val="99"/>
    <w:pPr>
      <w:spacing w:line="360" w:lineRule="auto"/>
      <w:jc w:val="center"/>
    </w:pPr>
    <w:rPr>
      <w:rFonts w:ascii="VNtimes new roman" w:hAnsi="VNtimes new roman" w:cs="VNtimes new roman"/>
      <w:lang w:val="it-IT"/>
    </w:rPr>
  </w:style>
  <w:style w:type="paragraph" w:styleId="NormalWeb">
    <w:name w:val="Normal (Web)"/>
    <w:aliases w:val="표준 (웹),Char Char Char Char Char Char Char Char Char Char Char,Char Char Char Char Char Char Char Char Char Char Char Char Char Char Char,Char Char Cha"/>
    <w:basedOn w:val="Normal"/>
    <w:link w:val="NormalWebChar"/>
    <w:uiPriority w:val="99"/>
    <w:qFormat/>
    <w:pPr>
      <w:spacing w:before="100" w:beforeAutospacing="1" w:after="100" w:afterAutospacing="1"/>
    </w:pPr>
    <w:rPr>
      <w:rFonts w:ascii="VNtimes new roman" w:hAnsi="VNtimes new roman"/>
      <w:sz w:val="24"/>
      <w:szCs w:val="20"/>
    </w:rPr>
  </w:style>
  <w:style w:type="paragraph" w:customStyle="1" w:styleId="Bc1">
    <w:name w:val="Bậc 1"/>
    <w:basedOn w:val="Normal"/>
    <w:pPr>
      <w:tabs>
        <w:tab w:val="center" w:pos="4320"/>
        <w:tab w:val="right" w:pos="8640"/>
      </w:tabs>
      <w:spacing w:before="60" w:after="60" w:line="360" w:lineRule="exact"/>
      <w:ind w:firstLine="680"/>
      <w:jc w:val="center"/>
    </w:pPr>
    <w:rPr>
      <w:rFonts w:cs="VNtimes new roman"/>
      <w:b/>
      <w:szCs w:val="20"/>
    </w:rPr>
  </w:style>
  <w:style w:type="character" w:customStyle="1" w:styleId="BalloonTextChar">
    <w:name w:val="Balloon Text Char"/>
    <w:link w:val="BalloonText"/>
    <w:uiPriority w:val="99"/>
    <w:qFormat/>
    <w:rPr>
      <w:rFonts w:ascii="Tahoma" w:hAnsi="Tahoma" w:cs="Tahoma"/>
      <w:sz w:val="16"/>
      <w:szCs w:val="16"/>
    </w:rPr>
  </w:style>
  <w:style w:type="paragraph" w:styleId="TOC2">
    <w:name w:val="toc 2"/>
    <w:aliases w:val="AD2"/>
    <w:basedOn w:val="Normal"/>
    <w:next w:val="Normal"/>
    <w:autoRedefine/>
    <w:uiPriority w:val="39"/>
    <w:qFormat/>
    <w:pPr>
      <w:ind w:left="280"/>
    </w:pPr>
    <w:rPr>
      <w:rFonts w:asciiTheme="minorHAnsi" w:hAnsiTheme="minorHAnsi" w:cstheme="minorHAnsi"/>
      <w:smallCaps/>
      <w:sz w:val="20"/>
      <w:szCs w:val="20"/>
    </w:rPr>
  </w:style>
  <w:style w:type="character" w:customStyle="1" w:styleId="CharChar16">
    <w:name w:val="Char Char16"/>
    <w:locked/>
    <w:rPr>
      <w:rFonts w:ascii=".VnArial" w:hAnsi=".VnArial"/>
      <w:b/>
      <w:sz w:val="24"/>
    </w:rPr>
  </w:style>
  <w:style w:type="character" w:customStyle="1" w:styleId="Heading2CharChar2">
    <w:name w:val="Heading 2 Char Char2"/>
    <w:aliases w:val="H 2 Char Char Char Char,BVI2 Char2,Heading 2-BVI Char2,RepHead2 Char Char,H 2 Char Char Char2,标题 2XW Char,7.1 Char Char,HeadB Char,H 2 Char1"/>
    <w:locked/>
    <w:rPr>
      <w:rFonts w:ascii=".VnTimeH" w:hAnsi=".VnTimeH"/>
      <w:b/>
      <w:sz w:val="24"/>
    </w:rPr>
  </w:style>
  <w:style w:type="character" w:customStyle="1" w:styleId="CharChar15">
    <w:name w:val="Char Char15"/>
    <w:locked/>
    <w:rPr>
      <w:rFonts w:ascii=".VnTimeH" w:hAnsi=".VnTimeH"/>
      <w:b/>
      <w:sz w:val="24"/>
    </w:rPr>
  </w:style>
  <w:style w:type="character" w:customStyle="1" w:styleId="CharChar12">
    <w:name w:val="Char Char12"/>
    <w:locked/>
    <w:rPr>
      <w:b/>
      <w:sz w:val="22"/>
    </w:rPr>
  </w:style>
  <w:style w:type="character" w:customStyle="1" w:styleId="CharChar11">
    <w:name w:val="Char Char11"/>
    <w:locked/>
    <w:rPr>
      <w:sz w:val="24"/>
    </w:rPr>
  </w:style>
  <w:style w:type="character" w:customStyle="1" w:styleId="CharChar10">
    <w:name w:val="Char Char10"/>
    <w:locked/>
    <w:rPr>
      <w:i/>
      <w:sz w:val="24"/>
    </w:rPr>
  </w:style>
  <w:style w:type="character" w:customStyle="1" w:styleId="CharChar8">
    <w:name w:val="Char Char8"/>
    <w:locked/>
    <w:rPr>
      <w:rFonts w:ascii=".VnTimeH" w:hAnsi=".VnTimeH"/>
      <w:b/>
      <w:sz w:val="24"/>
    </w:rPr>
  </w:style>
  <w:style w:type="character" w:customStyle="1" w:styleId="CharChar6">
    <w:name w:val="Char Char6"/>
    <w:locked/>
    <w:rPr>
      <w:rFonts w:ascii=".VnTime" w:hAnsi=".VnTime"/>
      <w:i/>
      <w:sz w:val="24"/>
    </w:rPr>
  </w:style>
  <w:style w:type="character" w:customStyle="1" w:styleId="CharChar5">
    <w:name w:val="Char Char5"/>
    <w:locked/>
    <w:rPr>
      <w:rFonts w:ascii=".VnTime" w:hAnsi=".VnTime"/>
      <w:sz w:val="16"/>
    </w:rPr>
  </w:style>
  <w:style w:type="character" w:customStyle="1" w:styleId="CharChar4">
    <w:name w:val="Char Char4"/>
    <w:locked/>
    <w:rPr>
      <w:rFonts w:ascii=".VnTime" w:hAnsi=".VnTime"/>
      <w:sz w:val="24"/>
    </w:rPr>
  </w:style>
  <w:style w:type="character" w:customStyle="1" w:styleId="CharChar2">
    <w:name w:val="Char Char2"/>
    <w:locked/>
    <w:rPr>
      <w:rFonts w:ascii=".VnTime" w:hAnsi=".VnTime"/>
      <w:sz w:val="24"/>
    </w:rPr>
  </w:style>
  <w:style w:type="paragraph" w:customStyle="1" w:styleId="a">
    <w:name w:val="(文字) (文字)"/>
    <w:basedOn w:val="Normal"/>
    <w:next w:val="Normal"/>
    <w:autoRedefine/>
    <w:qFormat/>
    <w:pPr>
      <w:spacing w:line="380" w:lineRule="exact"/>
    </w:pPr>
    <w:rPr>
      <w:rFonts w:ascii=".VnTime" w:eastAsia="MS Mincho" w:hAnsi=".VnTime"/>
      <w:b/>
      <w:noProof/>
      <w:szCs w:val="20"/>
    </w:rPr>
  </w:style>
  <w:style w:type="character" w:customStyle="1" w:styleId="Bodytext11">
    <w:name w:val="Body text + 11"/>
    <w:aliases w:val="5 pt11,Spacing 0 pt25,5 pt,Spacing 0 pt2"/>
    <w:rPr>
      <w:spacing w:val="-2"/>
      <w:sz w:val="23"/>
      <w:szCs w:val="23"/>
      <w:lang w:bidi="ar-SA"/>
    </w:rPr>
  </w:style>
  <w:style w:type="paragraph" w:styleId="ListParagraph">
    <w:name w:val="List Paragraph"/>
    <w:aliases w:val="ADB paragraph numbering,Numbered List Paragraph,numbered para,bullet,List Paragraph11,tieu de phu 1,Bullet paras,Medium Grid 1 - Accent 21,References,List Paragraph (numbered (a)),List Paragraph1,Normal 2,Resume Title,Citation List,Headin"/>
    <w:basedOn w:val="Normal"/>
    <w:link w:val="ListParagraphChar"/>
    <w:uiPriority w:val="1"/>
    <w:qFormat/>
    <w:pPr>
      <w:spacing w:after="200" w:line="276" w:lineRule="auto"/>
      <w:ind w:left="720"/>
    </w:pPr>
    <w:rPr>
      <w:rFonts w:ascii="Calibri" w:hAnsi="Calibri"/>
      <w:sz w:val="22"/>
      <w:szCs w:val="22"/>
    </w:rPr>
  </w:style>
  <w:style w:type="paragraph" w:customStyle="1" w:styleId="S3">
    <w:name w:val="S3"/>
    <w:basedOn w:val="Normal"/>
    <w:uiPriority w:val="99"/>
    <w:qFormat/>
    <w:pPr>
      <w:spacing w:before="60" w:after="60" w:line="360" w:lineRule="exact"/>
      <w:jc w:val="both"/>
    </w:pPr>
    <w:rPr>
      <w:b/>
      <w:szCs w:val="26"/>
    </w:rPr>
  </w:style>
  <w:style w:type="paragraph" w:styleId="Subtitle">
    <w:name w:val="Subtitle"/>
    <w:aliases w:val="Hinh ve"/>
    <w:basedOn w:val="Normal"/>
    <w:link w:val="SubtitleChar"/>
    <w:uiPriority w:val="11"/>
    <w:qFormat/>
    <w:pPr>
      <w:widowControl w:val="0"/>
      <w:spacing w:after="60"/>
      <w:jc w:val="center"/>
    </w:pPr>
    <w:rPr>
      <w:rFonts w:ascii="Arial" w:hAnsi="Arial"/>
      <w:sz w:val="24"/>
      <w:szCs w:val="20"/>
      <w:lang w:val="en-GB"/>
    </w:rPr>
  </w:style>
  <w:style w:type="character" w:customStyle="1" w:styleId="SubtitleChar">
    <w:name w:val="Subtitle Char"/>
    <w:aliases w:val="Hinh ve Char"/>
    <w:link w:val="Subtitle"/>
    <w:uiPriority w:val="11"/>
    <w:qFormat/>
    <w:locked/>
    <w:rPr>
      <w:rFonts w:ascii="Arial" w:hAnsi="Arial"/>
      <w:sz w:val="24"/>
      <w:lang w:val="en-GB"/>
    </w:rPr>
  </w:style>
  <w:style w:type="paragraph" w:customStyle="1" w:styleId="5">
    <w:name w:val="5"/>
    <w:basedOn w:val="Normal"/>
    <w:uiPriority w:val="99"/>
    <w:pPr>
      <w:spacing w:before="60" w:after="60"/>
      <w:ind w:firstLine="567"/>
      <w:jc w:val="both"/>
    </w:pPr>
    <w:rPr>
      <w:szCs w:val="24"/>
    </w:rPr>
  </w:style>
  <w:style w:type="character" w:styleId="Strong">
    <w:name w:val="Strong"/>
    <w:aliases w:val="STRONG BANG"/>
    <w:uiPriority w:val="22"/>
    <w:qFormat/>
    <w:rPr>
      <w:rFonts w:ascii="Times New Roman Bold" w:hAnsi="Times New Roman Bold"/>
      <w:b/>
      <w:color w:val="000000"/>
      <w:sz w:val="26"/>
      <w:vertAlign w:val="baseline"/>
      <w:lang w:val="en-US" w:eastAsia="en-US"/>
    </w:rPr>
  </w:style>
  <w:style w:type="character" w:customStyle="1" w:styleId="S2Char">
    <w:name w:val="S2 Char"/>
    <w:rPr>
      <w:b/>
      <w:sz w:val="26"/>
      <w:lang w:val="en-US" w:eastAsia="en-US"/>
    </w:rPr>
  </w:style>
  <w:style w:type="paragraph" w:styleId="BodyTextIndent2">
    <w:name w:val="Body Text Indent 2"/>
    <w:basedOn w:val="Normal"/>
    <w:link w:val="BodyTextIndent2Char"/>
    <w:qFormat/>
    <w:pPr>
      <w:spacing w:after="120" w:line="480" w:lineRule="auto"/>
      <w:ind w:left="360"/>
    </w:pPr>
    <w:rPr>
      <w:sz w:val="24"/>
      <w:szCs w:val="20"/>
    </w:rPr>
  </w:style>
  <w:style w:type="character" w:customStyle="1" w:styleId="BodyTextIndent2Char">
    <w:name w:val="Body Text Indent 2 Char"/>
    <w:link w:val="BodyTextIndent2"/>
    <w:qFormat/>
    <w:locked/>
    <w:rPr>
      <w:sz w:val="24"/>
    </w:rPr>
  </w:style>
  <w:style w:type="character" w:customStyle="1" w:styleId="Bodytext0">
    <w:name w:val="Body text_"/>
    <w:link w:val="Bodytext1"/>
    <w:uiPriority w:val="99"/>
    <w:rPr>
      <w:sz w:val="26"/>
      <w:szCs w:val="26"/>
      <w:shd w:val="clear" w:color="auto" w:fill="FFFFFF"/>
    </w:rPr>
  </w:style>
  <w:style w:type="paragraph" w:customStyle="1" w:styleId="Chuong">
    <w:name w:val="Chuong"/>
    <w:basedOn w:val="Normal"/>
    <w:uiPriority w:val="99"/>
    <w:pPr>
      <w:widowControl w:val="0"/>
      <w:spacing w:before="60" w:line="312" w:lineRule="auto"/>
      <w:ind w:left="567" w:hanging="567"/>
      <w:jc w:val="center"/>
    </w:pPr>
    <w:rPr>
      <w:b/>
      <w:bCs/>
      <w:lang w:val="en-GB"/>
    </w:rPr>
  </w:style>
  <w:style w:type="paragraph" w:customStyle="1" w:styleId="11">
    <w:name w:val="1.1"/>
    <w:basedOn w:val="Normal"/>
    <w:qFormat/>
    <w:pPr>
      <w:tabs>
        <w:tab w:val="center" w:pos="4320"/>
        <w:tab w:val="right" w:pos="8640"/>
      </w:tabs>
      <w:spacing w:before="60" w:line="360" w:lineRule="exact"/>
    </w:pPr>
    <w:rPr>
      <w:b/>
      <w:szCs w:val="20"/>
    </w:rPr>
  </w:style>
  <w:style w:type="paragraph" w:customStyle="1" w:styleId="a0">
    <w:name w:val="a"/>
    <w:basedOn w:val="chu"/>
    <w:qFormat/>
    <w:pPr>
      <w:spacing w:before="80" w:after="80"/>
    </w:pPr>
  </w:style>
  <w:style w:type="paragraph" w:customStyle="1" w:styleId="nguonsolieu">
    <w:name w:val="nguon so lieu"/>
    <w:basedOn w:val="11"/>
    <w:uiPriority w:val="99"/>
    <w:pPr>
      <w:spacing w:after="40"/>
      <w:ind w:firstLine="340"/>
    </w:pPr>
    <w:rPr>
      <w:sz w:val="24"/>
    </w:rPr>
  </w:style>
  <w:style w:type="character" w:styleId="FollowedHyperlink">
    <w:name w:val="FollowedHyperlink"/>
    <w:rPr>
      <w:color w:val="800080"/>
      <w:u w:val="single"/>
    </w:rPr>
  </w:style>
  <w:style w:type="character" w:customStyle="1" w:styleId="2Char">
    <w:name w:val="2 Char"/>
    <w:locked/>
    <w:rPr>
      <w:rFonts w:ascii="VNtimes new roman" w:hAnsi="VNtimes new roman"/>
      <w:b/>
      <w:sz w:val="24"/>
      <w:lang w:val="pt-BR" w:eastAsia="en-US"/>
    </w:rPr>
  </w:style>
  <w:style w:type="paragraph" w:styleId="BlockText">
    <w:name w:val="Block Text"/>
    <w:basedOn w:val="Normal"/>
    <w:pPr>
      <w:tabs>
        <w:tab w:val="left" w:pos="567"/>
        <w:tab w:val="left" w:pos="851"/>
        <w:tab w:val="left" w:pos="2552"/>
      </w:tabs>
      <w:spacing w:before="80" w:line="288" w:lineRule="auto"/>
      <w:ind w:left="794" w:right="28" w:hanging="794"/>
      <w:jc w:val="both"/>
    </w:pPr>
    <w:rPr>
      <w:szCs w:val="24"/>
    </w:rPr>
  </w:style>
  <w:style w:type="paragraph" w:customStyle="1" w:styleId="noidung">
    <w:name w:val="noidung"/>
    <w:basedOn w:val="Normal"/>
    <w:uiPriority w:val="99"/>
    <w:pPr>
      <w:spacing w:before="100" w:beforeAutospacing="1" w:after="100" w:afterAutospacing="1"/>
    </w:pPr>
    <w:rPr>
      <w:sz w:val="24"/>
      <w:szCs w:val="24"/>
    </w:rPr>
  </w:style>
  <w:style w:type="paragraph" w:customStyle="1" w:styleId="Heading21">
    <w:name w:val="Heading 21"/>
    <w:basedOn w:val="TOC2"/>
    <w:autoRedefine/>
    <w:uiPriority w:val="99"/>
    <w:pPr>
      <w:tabs>
        <w:tab w:val="left" w:pos="1000"/>
        <w:tab w:val="right" w:leader="hyphen" w:pos="9110"/>
        <w:tab w:val="right" w:leader="dot" w:pos="9232"/>
      </w:tabs>
      <w:spacing w:after="120" w:line="380" w:lineRule="exact"/>
    </w:pPr>
    <w:rPr>
      <w:rFonts w:ascii=".VnTimeH" w:eastAsia="MS Mincho" w:hAnsi=".VnTimeH"/>
      <w:iCs/>
      <w:sz w:val="28"/>
      <w:szCs w:val="28"/>
      <w:lang w:val="nb-NO"/>
    </w:rPr>
  </w:style>
  <w:style w:type="paragraph" w:customStyle="1" w:styleId="Bc2">
    <w:name w:val="Bậc 2"/>
    <w:basedOn w:val="Normal"/>
    <w:pPr>
      <w:tabs>
        <w:tab w:val="center" w:pos="4320"/>
        <w:tab w:val="right" w:pos="8640"/>
      </w:tabs>
      <w:spacing w:before="60" w:after="60" w:line="360" w:lineRule="exact"/>
      <w:ind w:firstLine="680"/>
    </w:pPr>
    <w:rPr>
      <w:b/>
      <w:szCs w:val="20"/>
    </w:rPr>
  </w:style>
  <w:style w:type="character" w:styleId="Emphasis">
    <w:name w:val="Emphasis"/>
    <w:uiPriority w:val="20"/>
    <w:qFormat/>
    <w:rPr>
      <w:i/>
    </w:rPr>
  </w:style>
  <w:style w:type="paragraph" w:customStyle="1" w:styleId="Bodytext1">
    <w:name w:val="Body text1"/>
    <w:basedOn w:val="Normal"/>
    <w:link w:val="Bodytext0"/>
    <w:pPr>
      <w:widowControl w:val="0"/>
      <w:shd w:val="clear" w:color="auto" w:fill="FFFFFF"/>
      <w:spacing w:line="307" w:lineRule="exact"/>
      <w:jc w:val="center"/>
    </w:pPr>
    <w:rPr>
      <w:sz w:val="26"/>
      <w:szCs w:val="26"/>
    </w:rPr>
  </w:style>
  <w:style w:type="character" w:customStyle="1" w:styleId="Bodytext114">
    <w:name w:val="Body text + 114"/>
    <w:aliases w:val="5 pt9,Bold,Spacing 0 pt23"/>
    <w:rPr>
      <w:b/>
      <w:bCs/>
      <w:spacing w:val="0"/>
      <w:sz w:val="23"/>
      <w:szCs w:val="23"/>
      <w:lang w:bidi="ar-SA"/>
    </w:rPr>
  </w:style>
  <w:style w:type="paragraph" w:customStyle="1" w:styleId="CharChar2CharCharCharCharCharChar">
    <w:name w:val="Char Char2 Char Char Char Char Char Char"/>
    <w:aliases w:val="Char Char2 Char Char Char Char Char Char Char Char Char Char, Char Char2 Char Char Char Char Char Char Char Char Char Char, Char Char2 Char Char Char Char Char Char"/>
    <w:basedOn w:val="Normal"/>
    <w:pPr>
      <w:tabs>
        <w:tab w:val="left" w:pos="709"/>
      </w:tabs>
    </w:pPr>
    <w:rPr>
      <w:rFonts w:ascii="Tahoma" w:hAnsi="Tahoma"/>
      <w:sz w:val="24"/>
      <w:szCs w:val="24"/>
      <w:lang w:val="pl-PL" w:eastAsia="pl-PL"/>
    </w:rPr>
  </w:style>
  <w:style w:type="paragraph" w:customStyle="1" w:styleId="nomal">
    <w:name w:val="nomal"/>
    <w:basedOn w:val="BodyTextIndent"/>
    <w:link w:val="nomalChar"/>
    <w:pPr>
      <w:spacing w:before="160" w:after="0"/>
      <w:ind w:left="0" w:firstLine="720"/>
      <w:jc w:val="both"/>
    </w:pPr>
    <w:rPr>
      <w:rFonts w:ascii="Times New Roman" w:hAnsi="Times New Roman"/>
      <w:sz w:val="26"/>
    </w:rPr>
  </w:style>
  <w:style w:type="character" w:customStyle="1" w:styleId="nomalChar">
    <w:name w:val="nomal Char"/>
    <w:link w:val="nomal"/>
    <w:locked/>
    <w:rPr>
      <w:sz w:val="26"/>
      <w:lang w:val="en-US" w:eastAsia="en-US"/>
    </w:rPr>
  </w:style>
  <w:style w:type="character" w:customStyle="1" w:styleId="Bodytext11pt">
    <w:name w:val="Body text + 11 pt"/>
    <w:aliases w:val="Spacing 0 pt"/>
    <w:rPr>
      <w:rFonts w:ascii="Times New Roman" w:hAnsi="Times New Roman" w:cs="Times New Roman"/>
      <w:spacing w:val="-2"/>
      <w:sz w:val="22"/>
      <w:szCs w:val="22"/>
      <w:u w:val="none"/>
      <w:lang w:bidi="ar-SA"/>
    </w:rPr>
  </w:style>
  <w:style w:type="character" w:customStyle="1" w:styleId="ndlietkeChar">
    <w:name w:val="nd liet ke Char"/>
    <w:rPr>
      <w:rFonts w:ascii=".VnTime" w:hAnsi=".VnTime"/>
      <w:b/>
      <w:sz w:val="26"/>
      <w:lang w:val="en-US" w:eastAsia="en-US"/>
    </w:rPr>
  </w:style>
  <w:style w:type="paragraph" w:customStyle="1" w:styleId="d4">
    <w:name w:val="d4"/>
    <w:basedOn w:val="BodyText"/>
    <w:uiPriority w:val="99"/>
    <w:qFormat/>
    <w:pPr>
      <w:spacing w:before="120" w:after="60" w:line="340" w:lineRule="exact"/>
    </w:pPr>
    <w:rPr>
      <w:rFonts w:ascii="Times New Roman" w:hAnsi="Times New Roman"/>
      <w:i/>
      <w:szCs w:val="28"/>
      <w:lang w:val="pt-BR"/>
    </w:rPr>
  </w:style>
  <w:style w:type="paragraph" w:customStyle="1" w:styleId="C3">
    <w:name w:val="C3"/>
    <w:basedOn w:val="Normal"/>
    <w:uiPriority w:val="99"/>
    <w:pPr>
      <w:tabs>
        <w:tab w:val="left" w:pos="567"/>
      </w:tabs>
      <w:spacing w:before="240" w:line="360" w:lineRule="auto"/>
      <w:jc w:val="both"/>
    </w:pPr>
    <w:rPr>
      <w:b/>
      <w:i/>
      <w:sz w:val="26"/>
    </w:rPr>
  </w:style>
  <w:style w:type="paragraph" w:customStyle="1" w:styleId="ndlietke">
    <w:name w:val="nd liet ke"/>
    <w:basedOn w:val="Normal"/>
    <w:link w:val="ndlietkeCharChar"/>
    <w:autoRedefine/>
    <w:pPr>
      <w:tabs>
        <w:tab w:val="left" w:pos="567"/>
        <w:tab w:val="num" w:pos="1440"/>
      </w:tabs>
      <w:spacing w:before="60" w:line="360" w:lineRule="auto"/>
      <w:ind w:left="1440" w:hanging="360"/>
      <w:jc w:val="both"/>
    </w:pPr>
    <w:rPr>
      <w:sz w:val="26"/>
      <w:szCs w:val="20"/>
    </w:rPr>
  </w:style>
  <w:style w:type="character" w:customStyle="1" w:styleId="ndlietkeCharChar">
    <w:name w:val="nd liet ke Char Char"/>
    <w:link w:val="ndlietke"/>
    <w:locked/>
    <w:rPr>
      <w:sz w:val="26"/>
    </w:rPr>
  </w:style>
  <w:style w:type="paragraph" w:customStyle="1" w:styleId="tenbang">
    <w:name w:val="ten bang"/>
    <w:basedOn w:val="Normal"/>
    <w:link w:val="tenbangChar"/>
    <w:autoRedefine/>
    <w:pPr>
      <w:spacing w:before="100" w:beforeAutospacing="1" w:line="360" w:lineRule="auto"/>
      <w:jc w:val="center"/>
    </w:pPr>
    <w:rPr>
      <w:b/>
      <w:szCs w:val="20"/>
    </w:rPr>
  </w:style>
  <w:style w:type="character" w:customStyle="1" w:styleId="tenbangChar">
    <w:name w:val="ten bang Char"/>
    <w:link w:val="tenbang"/>
    <w:locked/>
    <w:rPr>
      <w:b/>
      <w:sz w:val="28"/>
      <w:lang w:val="en-US" w:eastAsia="en-US"/>
    </w:rPr>
  </w:style>
  <w:style w:type="paragraph" w:styleId="TOC1">
    <w:name w:val="toc 1"/>
    <w:aliases w:val="AD1"/>
    <w:basedOn w:val="Normal"/>
    <w:next w:val="Normal"/>
    <w:autoRedefine/>
    <w:uiPriority w:val="39"/>
    <w:qFormat/>
    <w:pPr>
      <w:tabs>
        <w:tab w:val="right" w:leader="dot" w:pos="9347"/>
      </w:tabs>
      <w:spacing w:before="40" w:after="40" w:line="240" w:lineRule="auto"/>
      <w:jc w:val="center"/>
    </w:pPr>
    <w:rPr>
      <w:rFonts w:asciiTheme="majorHAnsi" w:hAnsiTheme="majorHAnsi" w:cstheme="minorHAnsi"/>
      <w:b/>
      <w:bCs/>
      <w:noProof/>
      <w:sz w:val="24"/>
      <w:szCs w:val="24"/>
      <w:lang w:val="vi-VN"/>
    </w:rPr>
  </w:style>
  <w:style w:type="paragraph" w:customStyle="1" w:styleId="Normal10">
    <w:name w:val="Normal 1"/>
    <w:basedOn w:val="Normal"/>
    <w:uiPriority w:val="99"/>
    <w:pPr>
      <w:spacing w:after="120"/>
      <w:jc w:val="both"/>
    </w:pPr>
    <w:rPr>
      <w:rFonts w:ascii="VN-NTime" w:eastAsia="Batang" w:hAnsi="VN-NTime"/>
      <w:sz w:val="26"/>
      <w:szCs w:val="24"/>
    </w:rPr>
  </w:style>
  <w:style w:type="paragraph" w:styleId="Caption">
    <w:name w:val="caption"/>
    <w:aliases w:val="Caption Char,Caption Char1 Char,Caption Char Char Char,Caption Char Char Char Char Char Char Char Char,Caption Char Char Char Char Char Char1 Char,Caption Char Char Char Char Char,Caption (table) Char Char,Caption (tab Char Char,Caption (tab Cha"/>
    <w:basedOn w:val="Normal"/>
    <w:next w:val="Normal"/>
    <w:link w:val="CaptionChar1"/>
    <w:uiPriority w:val="35"/>
    <w:qFormat/>
    <w:rPr>
      <w:i/>
      <w:iCs/>
      <w:sz w:val="24"/>
      <w:szCs w:val="24"/>
    </w:rPr>
  </w:style>
  <w:style w:type="paragraph" w:customStyle="1" w:styleId="c4">
    <w:name w:val="c4"/>
    <w:basedOn w:val="Normal"/>
    <w:qFormat/>
    <w:pPr>
      <w:spacing w:before="120" w:after="120" w:line="340" w:lineRule="exact"/>
      <w:jc w:val="both"/>
    </w:pPr>
    <w:rPr>
      <w:b/>
      <w:bCs/>
      <w:i/>
      <w:iCs/>
      <w:szCs w:val="24"/>
    </w:rPr>
  </w:style>
  <w:style w:type="paragraph" w:customStyle="1" w:styleId="t3">
    <w:name w:val="t3"/>
    <w:basedOn w:val="BodyText"/>
    <w:pPr>
      <w:spacing w:before="120" w:after="120" w:line="340" w:lineRule="exact"/>
    </w:pPr>
    <w:rPr>
      <w:rFonts w:ascii=".VnTime" w:hAnsi=".VnTime"/>
    </w:rPr>
  </w:style>
  <w:style w:type="paragraph" w:customStyle="1" w:styleId="S4">
    <w:name w:val="S4"/>
    <w:basedOn w:val="2"/>
    <w:autoRedefine/>
    <w:uiPriority w:val="99"/>
    <w:qFormat/>
    <w:pPr>
      <w:widowControl w:val="0"/>
      <w:spacing w:line="360" w:lineRule="exact"/>
      <w:outlineLvl w:val="3"/>
    </w:pPr>
    <w:rPr>
      <w:rFonts w:ascii="Times New Roman Bold Italic" w:hAnsi="Times New Roman Bold Italic"/>
      <w:color w:val="000000" w:themeColor="text1"/>
      <w:spacing w:val="-4"/>
      <w:sz w:val="28"/>
      <w:lang w:val="sv-SE"/>
    </w:rPr>
  </w:style>
  <w:style w:type="paragraph" w:customStyle="1" w:styleId="S5">
    <w:name w:val="S5"/>
    <w:basedOn w:val="2"/>
    <w:autoRedefine/>
    <w:uiPriority w:val="99"/>
    <w:qFormat/>
    <w:pPr>
      <w:spacing w:line="360" w:lineRule="exact"/>
      <w:jc w:val="center"/>
    </w:pPr>
    <w:rPr>
      <w:rFonts w:ascii="Times New Roman" w:hAnsi="Times New Roman" w:cs="Times New Roman"/>
      <w:noProof/>
      <w:color w:val="000000" w:themeColor="text1"/>
      <w:spacing w:val="-6"/>
      <w:sz w:val="28"/>
      <w:shd w:val="clear" w:color="auto" w:fill="FFFFFF"/>
      <w:lang w:val="vi-VN"/>
    </w:rPr>
  </w:style>
  <w:style w:type="paragraph" w:styleId="TOC5">
    <w:name w:val="toc 5"/>
    <w:basedOn w:val="Normal"/>
    <w:next w:val="Normal"/>
    <w:autoRedefine/>
    <w:uiPriority w:val="39"/>
    <w:unhideWhenUsed/>
    <w:pPr>
      <w:ind w:left="1120"/>
    </w:pPr>
    <w:rPr>
      <w:rFonts w:asciiTheme="minorHAnsi" w:hAnsiTheme="minorHAnsi" w:cstheme="minorHAnsi"/>
      <w:sz w:val="18"/>
      <w:szCs w:val="18"/>
    </w:rPr>
  </w:style>
  <w:style w:type="paragraph" w:styleId="TOC6">
    <w:name w:val="toc 6"/>
    <w:basedOn w:val="Normal"/>
    <w:next w:val="Normal"/>
    <w:autoRedefine/>
    <w:uiPriority w:val="39"/>
    <w:unhideWhenUsed/>
    <w:pPr>
      <w:ind w:left="1400"/>
    </w:pPr>
    <w:rPr>
      <w:rFonts w:asciiTheme="minorHAnsi" w:hAnsiTheme="minorHAnsi" w:cstheme="minorHAnsi"/>
      <w:sz w:val="18"/>
      <w:szCs w:val="18"/>
    </w:rPr>
  </w:style>
  <w:style w:type="paragraph" w:styleId="TOC7">
    <w:name w:val="toc 7"/>
    <w:basedOn w:val="Normal"/>
    <w:next w:val="Normal"/>
    <w:autoRedefine/>
    <w:uiPriority w:val="39"/>
    <w:unhideWhenUsed/>
    <w:pPr>
      <w:ind w:left="1680"/>
    </w:pPr>
    <w:rPr>
      <w:rFonts w:asciiTheme="minorHAnsi" w:hAnsiTheme="minorHAnsi" w:cstheme="minorHAnsi"/>
      <w:sz w:val="18"/>
      <w:szCs w:val="18"/>
    </w:rPr>
  </w:style>
  <w:style w:type="paragraph" w:styleId="TOC8">
    <w:name w:val="toc 8"/>
    <w:basedOn w:val="Normal"/>
    <w:next w:val="Normal"/>
    <w:autoRedefine/>
    <w:uiPriority w:val="39"/>
    <w:unhideWhenUsed/>
    <w:pPr>
      <w:ind w:left="1960"/>
    </w:pPr>
    <w:rPr>
      <w:rFonts w:asciiTheme="minorHAnsi" w:hAnsiTheme="minorHAnsi" w:cstheme="minorHAnsi"/>
      <w:sz w:val="18"/>
      <w:szCs w:val="18"/>
    </w:rPr>
  </w:style>
  <w:style w:type="paragraph" w:styleId="TOC9">
    <w:name w:val="toc 9"/>
    <w:basedOn w:val="Normal"/>
    <w:next w:val="Normal"/>
    <w:autoRedefine/>
    <w:uiPriority w:val="39"/>
    <w:unhideWhenUsed/>
    <w:pPr>
      <w:ind w:left="2240"/>
    </w:pPr>
    <w:rPr>
      <w:rFonts w:asciiTheme="minorHAnsi" w:hAnsiTheme="minorHAnsi" w:cstheme="minorHAnsi"/>
      <w:sz w:val="18"/>
      <w:szCs w:val="18"/>
    </w:rPr>
  </w:style>
  <w:style w:type="paragraph" w:customStyle="1" w:styleId="Heading12">
    <w:name w:val="Heading 12"/>
    <w:basedOn w:val="Normal"/>
    <w:next w:val="Normal"/>
    <w:autoRedefine/>
    <w:pPr>
      <w:spacing w:line="380" w:lineRule="exact"/>
    </w:pPr>
    <w:rPr>
      <w:rFonts w:ascii=".VnTime" w:eastAsia="MS Mincho" w:hAnsi=".VnTime"/>
      <w:noProof/>
      <w:szCs w:val="20"/>
    </w:rPr>
  </w:style>
  <w:style w:type="paragraph" w:customStyle="1" w:styleId="s1">
    <w:name w:val="s1"/>
    <w:basedOn w:val="NormalWeb"/>
    <w:uiPriority w:val="99"/>
    <w:pPr>
      <w:widowControl w:val="0"/>
      <w:spacing w:before="60" w:beforeAutospacing="0" w:after="60" w:afterAutospacing="0" w:line="360" w:lineRule="exact"/>
      <w:jc w:val="center"/>
      <w:outlineLvl w:val="0"/>
    </w:pPr>
    <w:rPr>
      <w:rFonts w:ascii="Times New Roman" w:hAnsi="Times New Roman"/>
      <w:b/>
      <w:bCs/>
      <w:iCs/>
      <w:sz w:val="26"/>
      <w:szCs w:val="28"/>
    </w:rPr>
  </w:style>
  <w:style w:type="paragraph" w:customStyle="1" w:styleId="C2">
    <w:name w:val="C2"/>
    <w:basedOn w:val="Normal"/>
    <w:uiPriority w:val="99"/>
    <w:pPr>
      <w:tabs>
        <w:tab w:val="left" w:pos="567"/>
      </w:tabs>
      <w:spacing w:before="240" w:line="360" w:lineRule="auto"/>
      <w:jc w:val="both"/>
    </w:pPr>
    <w:rPr>
      <w:b/>
      <w:sz w:val="26"/>
    </w:rPr>
  </w:style>
  <w:style w:type="paragraph" w:customStyle="1" w:styleId="Chng">
    <w:name w:val="Chương"/>
    <w:basedOn w:val="Normal"/>
    <w:pPr>
      <w:tabs>
        <w:tab w:val="left" w:pos="567"/>
      </w:tabs>
      <w:spacing w:before="120" w:line="360" w:lineRule="auto"/>
      <w:jc w:val="center"/>
    </w:pPr>
    <w:rPr>
      <w:b/>
      <w:sz w:val="26"/>
    </w:rPr>
  </w:style>
  <w:style w:type="character" w:customStyle="1" w:styleId="CharChar53">
    <w:name w:val="Char Char53"/>
    <w:locked/>
    <w:rPr>
      <w:rFonts w:ascii="Times New Roman" w:hAnsi="Times New Roman"/>
      <w:i/>
      <w:sz w:val="24"/>
      <w:lang w:val="en-US" w:eastAsia="en-US"/>
    </w:rPr>
  </w:style>
  <w:style w:type="character" w:customStyle="1" w:styleId="phylum">
    <w:name w:val="phylum"/>
    <w:rPr>
      <w:rFonts w:cs="Times New Roman"/>
    </w:rPr>
  </w:style>
  <w:style w:type="character" w:customStyle="1" w:styleId="family">
    <w:name w:val="family"/>
    <w:rPr>
      <w:rFonts w:cs="Times New Roman"/>
    </w:rPr>
  </w:style>
  <w:style w:type="character" w:customStyle="1" w:styleId="spnmessagetext">
    <w:name w:val="spnmessagetext"/>
    <w:rPr>
      <w:rFonts w:cs="Times New Roman"/>
    </w:rPr>
  </w:style>
  <w:style w:type="paragraph" w:customStyle="1" w:styleId="nomalChar1">
    <w:name w:val="nomal Char1"/>
    <w:basedOn w:val="BodyTextIndent"/>
    <w:link w:val="nomalChar1Char"/>
    <w:pPr>
      <w:spacing w:before="160" w:after="0"/>
      <w:ind w:left="0" w:firstLine="720"/>
      <w:jc w:val="both"/>
    </w:pPr>
    <w:rPr>
      <w:sz w:val="16"/>
    </w:rPr>
  </w:style>
  <w:style w:type="character" w:customStyle="1" w:styleId="nomalChar1Char">
    <w:name w:val="nomal Char1 Char"/>
    <w:link w:val="nomalChar1"/>
    <w:locked/>
    <w:rPr>
      <w:rFonts w:ascii=".VnTime" w:hAnsi=".VnTime"/>
      <w:sz w:val="16"/>
      <w:lang w:val="en-US" w:eastAsia="en-US"/>
    </w:rPr>
  </w:style>
  <w:style w:type="paragraph" w:customStyle="1" w:styleId="Numberi1">
    <w:name w:val="Number i1"/>
    <w:basedOn w:val="Normal"/>
    <w:uiPriority w:val="99"/>
    <w:pPr>
      <w:tabs>
        <w:tab w:val="num" w:pos="2247"/>
      </w:tabs>
      <w:autoSpaceDE w:val="0"/>
      <w:autoSpaceDN w:val="0"/>
      <w:adjustRightInd w:val="0"/>
      <w:spacing w:before="120" w:after="60" w:line="400" w:lineRule="exact"/>
      <w:ind w:left="2247" w:hanging="567"/>
      <w:jc w:val="both"/>
    </w:pPr>
    <w:rPr>
      <w:rFonts w:ascii=".VnTime" w:hAnsi=".VnTime"/>
      <w:sz w:val="26"/>
      <w:szCs w:val="24"/>
    </w:rPr>
  </w:style>
  <w:style w:type="paragraph" w:customStyle="1" w:styleId="CharCharCharCharCharCharCharCharCharChar">
    <w:name w:val="Char Char Char Char Char Char Char Char Char Char"/>
    <w:basedOn w:val="Normal"/>
    <w:uiPriority w:val="99"/>
    <w:semiHidden/>
    <w:pPr>
      <w:spacing w:after="160" w:line="240" w:lineRule="exact"/>
    </w:pPr>
    <w:rPr>
      <w:rFonts w:ascii="Arial" w:hAnsi="Arial"/>
      <w:sz w:val="22"/>
      <w:szCs w:val="22"/>
    </w:rPr>
  </w:style>
  <w:style w:type="character" w:customStyle="1" w:styleId="CharCharCharChar3">
    <w:name w:val="Char Char Char Char3"/>
    <w:aliases w:val="Char3 Char1,Body Text1 Char Char1,Body Text1 Char3,Body Text Char Char2,Body Text1 Char2,Char3 Char Char2, Char3 Char1, Char3 Char Char2, Char Char Char Char3,Char3 Char Char1,Char3 Char Char"/>
    <w:locked/>
    <w:rPr>
      <w:rFonts w:ascii=".VnTimeH" w:hAnsi=".VnTimeH"/>
      <w:b/>
      <w:sz w:val="24"/>
      <w:lang w:val="en-US" w:eastAsia="en-US"/>
    </w:rPr>
  </w:style>
  <w:style w:type="paragraph" w:customStyle="1" w:styleId="Mca">
    <w:name w:val="Mục a"/>
    <w:basedOn w:val="Normal"/>
    <w:link w:val="McaChar"/>
    <w:pPr>
      <w:keepNext/>
      <w:spacing w:before="120" w:after="120"/>
      <w:ind w:left="340"/>
      <w:jc w:val="both"/>
    </w:pPr>
    <w:rPr>
      <w:rFonts w:eastAsia="MS Mincho"/>
      <w:b/>
      <w:i/>
      <w:sz w:val="24"/>
      <w:szCs w:val="20"/>
      <w:lang w:val="pt-BR"/>
    </w:rPr>
  </w:style>
  <w:style w:type="character" w:customStyle="1" w:styleId="McaChar">
    <w:name w:val="Mục a Char"/>
    <w:link w:val="Mca"/>
    <w:locked/>
    <w:rPr>
      <w:rFonts w:eastAsia="MS Mincho"/>
      <w:b/>
      <w:i/>
      <w:sz w:val="24"/>
      <w:lang w:val="pt-BR" w:eastAsia="en-US"/>
    </w:rPr>
  </w:style>
  <w:style w:type="paragraph" w:customStyle="1" w:styleId="Style18">
    <w:name w:val="Style18"/>
    <w:basedOn w:val="Normal"/>
    <w:uiPriority w:val="99"/>
    <w:pPr>
      <w:keepNext/>
      <w:widowControl w:val="0"/>
      <w:spacing w:before="120" w:after="120" w:line="360" w:lineRule="exact"/>
      <w:jc w:val="center"/>
      <w:outlineLvl w:val="0"/>
    </w:pPr>
    <w:rPr>
      <w:lang w:val="it-IT"/>
    </w:rPr>
  </w:style>
  <w:style w:type="paragraph" w:customStyle="1" w:styleId="CharChar2Char">
    <w:name w:val="Char Char2 Char"/>
    <w:basedOn w:val="Normal"/>
    <w:uiPriority w:val="99"/>
    <w:pPr>
      <w:spacing w:after="160" w:line="240" w:lineRule="exact"/>
    </w:pPr>
    <w:rPr>
      <w:rFonts w:ascii="Tahoma" w:eastAsia="MS Mincho" w:hAnsi="Tahoma"/>
      <w:sz w:val="20"/>
      <w:szCs w:val="20"/>
    </w:rPr>
  </w:style>
  <w:style w:type="paragraph" w:customStyle="1" w:styleId="BANG0">
    <w:name w:val="BANG"/>
    <w:basedOn w:val="Normal"/>
    <w:next w:val="Normal"/>
    <w:uiPriority w:val="99"/>
    <w:pPr>
      <w:spacing w:before="120" w:line="360" w:lineRule="exact"/>
      <w:jc w:val="center"/>
    </w:pPr>
    <w:rPr>
      <w:sz w:val="26"/>
      <w:szCs w:val="26"/>
    </w:rPr>
  </w:style>
  <w:style w:type="paragraph" w:styleId="TOC3">
    <w:name w:val="toc 3"/>
    <w:aliases w:val="AD3"/>
    <w:basedOn w:val="Normal"/>
    <w:next w:val="Normal"/>
    <w:autoRedefine/>
    <w:uiPriority w:val="39"/>
    <w:qFormat/>
    <w:pPr>
      <w:ind w:left="560"/>
    </w:pPr>
    <w:rPr>
      <w:rFonts w:asciiTheme="minorHAnsi" w:hAnsiTheme="minorHAnsi" w:cstheme="minorHAnsi"/>
      <w:i/>
      <w:iCs/>
      <w:sz w:val="20"/>
      <w:szCs w:val="20"/>
    </w:rPr>
  </w:style>
  <w:style w:type="paragraph" w:styleId="TOC4">
    <w:name w:val="toc 4"/>
    <w:aliases w:val="AD4"/>
    <w:basedOn w:val="Normal"/>
    <w:next w:val="Normal"/>
    <w:autoRedefine/>
    <w:uiPriority w:val="39"/>
    <w:pPr>
      <w:ind w:left="840"/>
    </w:pPr>
    <w:rPr>
      <w:rFonts w:asciiTheme="minorHAnsi" w:hAnsiTheme="minorHAnsi" w:cstheme="minorHAnsi"/>
      <w:sz w:val="18"/>
      <w:szCs w:val="18"/>
    </w:rPr>
  </w:style>
  <w:style w:type="paragraph" w:customStyle="1" w:styleId="Bng">
    <w:name w:val="Bảng"/>
    <w:basedOn w:val="Normal"/>
    <w:link w:val="BngChar"/>
    <w:qFormat/>
    <w:pPr>
      <w:jc w:val="center"/>
    </w:pPr>
    <w:rPr>
      <w:b/>
      <w:szCs w:val="20"/>
    </w:rPr>
  </w:style>
  <w:style w:type="paragraph" w:customStyle="1" w:styleId="Hnh">
    <w:name w:val="Hình"/>
    <w:basedOn w:val="Normal"/>
    <w:link w:val="HnhChar"/>
    <w:pPr>
      <w:jc w:val="center"/>
    </w:pPr>
    <w:rPr>
      <w:i/>
      <w:szCs w:val="20"/>
    </w:rPr>
  </w:style>
  <w:style w:type="character" w:customStyle="1" w:styleId="HnhChar">
    <w:name w:val="Hình Char"/>
    <w:link w:val="Hnh"/>
    <w:locked/>
    <w:rPr>
      <w:i/>
      <w:sz w:val="28"/>
      <w:lang w:val="en-US" w:eastAsia="en-US"/>
    </w:rPr>
  </w:style>
  <w:style w:type="paragraph" w:customStyle="1" w:styleId="VnTime">
    <w:name w:val="Vn Time"/>
    <w:basedOn w:val="Normal"/>
    <w:pPr>
      <w:jc w:val="both"/>
    </w:pPr>
    <w:rPr>
      <w:lang w:val="en-GB"/>
    </w:rPr>
  </w:style>
  <w:style w:type="character" w:customStyle="1" w:styleId="CharCharCharChar2">
    <w:name w:val="Char Char Char Char2"/>
    <w:aliases w:val="Char Char Char Char Char2, Char Char Char Char2, Char3 Char Char1, Char3 Char Char"/>
    <w:locked/>
    <w:rPr>
      <w:rFonts w:ascii=".VnTimeH" w:hAnsi=".VnTimeH"/>
      <w:b/>
      <w:sz w:val="24"/>
      <w:lang w:val="en-US" w:eastAsia="en-US"/>
    </w:rPr>
  </w:style>
  <w:style w:type="character" w:customStyle="1" w:styleId="CharCharCharChar11">
    <w:name w:val="Char Char Char Char11"/>
    <w:aliases w:val="Char3 Char2,Body Text1 Char4,Body Text Char Char Char"/>
    <w:locked/>
    <w:rPr>
      <w:rFonts w:ascii=".VnTimeH" w:hAnsi=".VnTimeH"/>
      <w:b/>
      <w:sz w:val="24"/>
      <w:lang w:val="en-US" w:eastAsia="en-US"/>
    </w:rPr>
  </w:style>
  <w:style w:type="paragraph" w:customStyle="1" w:styleId="d3">
    <w:name w:val="d3"/>
    <w:basedOn w:val="2"/>
    <w:qFormat/>
    <w:pPr>
      <w:spacing w:before="120"/>
    </w:pPr>
    <w:rPr>
      <w:rFonts w:ascii="Times New Roman" w:hAnsi="Times New Roman"/>
      <w:sz w:val="28"/>
      <w:szCs w:val="28"/>
    </w:rPr>
  </w:style>
  <w:style w:type="paragraph" w:customStyle="1" w:styleId="d2">
    <w:name w:val="d2"/>
    <w:basedOn w:val="2"/>
    <w:link w:val="d2Char"/>
    <w:qFormat/>
    <w:pPr>
      <w:spacing w:before="120"/>
      <w:jc w:val="left"/>
    </w:pPr>
    <w:rPr>
      <w:rFonts w:ascii="Times New Roman" w:hAnsi="Times New Roman"/>
      <w:sz w:val="28"/>
    </w:rPr>
  </w:style>
  <w:style w:type="paragraph" w:styleId="TOCHeading">
    <w:name w:val="TOC Heading"/>
    <w:basedOn w:val="Heading1"/>
    <w:next w:val="Normal"/>
    <w:uiPriority w:val="39"/>
    <w:qFormat/>
    <w:pPr>
      <w:keepLines/>
      <w:spacing w:before="480" w:line="276" w:lineRule="auto"/>
      <w:jc w:val="left"/>
      <w:outlineLvl w:val="9"/>
    </w:pPr>
    <w:rPr>
      <w:rFonts w:ascii="Cambria" w:hAnsi="Cambria"/>
      <w:color w:val="365F91"/>
      <w:sz w:val="28"/>
      <w:szCs w:val="28"/>
    </w:rPr>
  </w:style>
  <w:style w:type="paragraph" w:styleId="EndnoteText">
    <w:name w:val="endnote text"/>
    <w:basedOn w:val="Normal"/>
    <w:link w:val="EndnoteTextChar"/>
    <w:uiPriority w:val="99"/>
    <w:rPr>
      <w:sz w:val="20"/>
      <w:szCs w:val="20"/>
    </w:rPr>
  </w:style>
  <w:style w:type="character" w:customStyle="1" w:styleId="EndnoteTextChar">
    <w:name w:val="Endnote Text Char"/>
    <w:link w:val="EndnoteText"/>
    <w:uiPriority w:val="99"/>
    <w:locked/>
    <w:rPr>
      <w:rFonts w:cs="Times New Roman"/>
    </w:rPr>
  </w:style>
  <w:style w:type="character" w:styleId="EndnoteReference">
    <w:name w:val="endnote reference"/>
    <w:rPr>
      <w:vertAlign w:val="superscript"/>
    </w:rPr>
  </w:style>
  <w:style w:type="paragraph" w:customStyle="1" w:styleId="E1">
    <w:name w:val="E1"/>
    <w:basedOn w:val="Normal"/>
    <w:uiPriority w:val="99"/>
    <w:qFormat/>
    <w:pPr>
      <w:widowControl w:val="0"/>
      <w:spacing w:before="120" w:after="120" w:line="360" w:lineRule="exact"/>
      <w:jc w:val="center"/>
    </w:pPr>
    <w:rPr>
      <w:b/>
      <w:lang w:val="vi-VN"/>
    </w:rPr>
  </w:style>
  <w:style w:type="paragraph" w:customStyle="1" w:styleId="bb1">
    <w:name w:val="bb1"/>
    <w:basedOn w:val="Normal"/>
    <w:uiPriority w:val="99"/>
    <w:qFormat/>
    <w:pPr>
      <w:widowControl w:val="0"/>
      <w:tabs>
        <w:tab w:val="left" w:pos="720"/>
      </w:tabs>
      <w:spacing w:before="120" w:after="120" w:line="360" w:lineRule="exact"/>
      <w:jc w:val="center"/>
    </w:pPr>
    <w:rPr>
      <w:b/>
    </w:rPr>
  </w:style>
  <w:style w:type="character" w:customStyle="1" w:styleId="apple-converted-space">
    <w:name w:val="apple-converted-space"/>
    <w:rPr>
      <w:rFonts w:cs="Times New Roman"/>
    </w:rPr>
  </w:style>
  <w:style w:type="paragraph" w:customStyle="1" w:styleId="B1">
    <w:name w:val="B1"/>
    <w:basedOn w:val="Normal"/>
    <w:link w:val="B1Char"/>
    <w:qFormat/>
    <w:pPr>
      <w:spacing w:before="120"/>
      <w:jc w:val="center"/>
    </w:pPr>
    <w:rPr>
      <w:b/>
      <w:sz w:val="26"/>
      <w:szCs w:val="26"/>
      <w:lang w:val="fr-FR"/>
    </w:rPr>
  </w:style>
  <w:style w:type="paragraph" w:customStyle="1" w:styleId="A4">
    <w:name w:val="A4"/>
    <w:basedOn w:val="Normal"/>
    <w:qFormat/>
    <w:pPr>
      <w:spacing w:after="120" w:line="400" w:lineRule="exact"/>
      <w:jc w:val="both"/>
    </w:pPr>
    <w:rPr>
      <w:b/>
      <w:i/>
      <w:iCs/>
      <w:sz w:val="26"/>
      <w:szCs w:val="26"/>
    </w:rPr>
  </w:style>
  <w:style w:type="paragraph" w:customStyle="1" w:styleId="m4">
    <w:name w:val="m4"/>
    <w:basedOn w:val="Normal"/>
    <w:link w:val="m4Char"/>
    <w:qFormat/>
    <w:pPr>
      <w:spacing w:before="60" w:after="60" w:line="340" w:lineRule="exact"/>
    </w:pPr>
    <w:rPr>
      <w:b/>
      <w:i/>
      <w:sz w:val="24"/>
      <w:szCs w:val="20"/>
    </w:rPr>
  </w:style>
  <w:style w:type="paragraph" w:customStyle="1" w:styleId="m2">
    <w:name w:val="m2"/>
    <w:basedOn w:val="Normal"/>
    <w:link w:val="m2Char"/>
    <w:qFormat/>
    <w:pPr>
      <w:spacing w:before="120" w:after="120" w:line="360" w:lineRule="exact"/>
      <w:jc w:val="both"/>
    </w:pPr>
    <w:rPr>
      <w:b/>
      <w:iCs/>
      <w:sz w:val="24"/>
      <w:szCs w:val="24"/>
    </w:rPr>
  </w:style>
  <w:style w:type="paragraph" w:customStyle="1" w:styleId="t33">
    <w:name w:val="t33"/>
    <w:basedOn w:val="Normal"/>
    <w:qFormat/>
    <w:pPr>
      <w:spacing w:before="120" w:after="120" w:line="340" w:lineRule="exact"/>
      <w:jc w:val="both"/>
    </w:pPr>
    <w:rPr>
      <w:rFonts w:ascii=".VnTime" w:hAnsi=".VnTime"/>
      <w:b/>
      <w:bCs/>
      <w:szCs w:val="24"/>
    </w:rPr>
  </w:style>
  <w:style w:type="paragraph" w:customStyle="1" w:styleId="d1">
    <w:name w:val="d1"/>
    <w:basedOn w:val="Normal"/>
    <w:uiPriority w:val="99"/>
    <w:qFormat/>
    <w:pPr>
      <w:widowControl w:val="0"/>
      <w:spacing w:line="340" w:lineRule="exact"/>
    </w:pPr>
    <w:rPr>
      <w:rFonts w:cs="VNtimes new roman"/>
      <w:b/>
      <w:lang w:val="fr-FR"/>
    </w:rPr>
  </w:style>
  <w:style w:type="paragraph" w:customStyle="1" w:styleId="b2">
    <w:name w:val="b2"/>
    <w:basedOn w:val="2"/>
    <w:qFormat/>
    <w:pPr>
      <w:spacing w:before="120" w:after="120" w:line="360" w:lineRule="exact"/>
      <w:jc w:val="left"/>
    </w:pPr>
    <w:rPr>
      <w:rFonts w:ascii="Times New Roman" w:hAnsi="Times New Roman"/>
    </w:rPr>
  </w:style>
  <w:style w:type="paragraph" w:customStyle="1" w:styleId="b3">
    <w:name w:val="b3"/>
    <w:basedOn w:val="m4"/>
    <w:qFormat/>
    <w:pPr>
      <w:spacing w:before="120" w:after="120" w:line="360" w:lineRule="exact"/>
      <w:outlineLvl w:val="2"/>
    </w:pPr>
    <w:rPr>
      <w:i w:val="0"/>
      <w:iCs/>
      <w:sz w:val="26"/>
      <w:szCs w:val="28"/>
      <w:lang w:val="pt-BR"/>
    </w:rPr>
  </w:style>
  <w:style w:type="paragraph" w:customStyle="1" w:styleId="b4">
    <w:name w:val="b4"/>
    <w:basedOn w:val="m4"/>
    <w:qFormat/>
    <w:pPr>
      <w:spacing w:before="120" w:after="120" w:line="360" w:lineRule="exact"/>
      <w:outlineLvl w:val="2"/>
    </w:pPr>
    <w:rPr>
      <w:iCs/>
      <w:sz w:val="26"/>
      <w:szCs w:val="28"/>
      <w:lang w:val="pt-BR"/>
    </w:rPr>
  </w:style>
  <w:style w:type="character" w:customStyle="1" w:styleId="CharChar133">
    <w:name w:val="Char Char133"/>
    <w:rPr>
      <w:rFonts w:ascii="Calibri" w:hAnsi="Calibri"/>
      <w:b/>
      <w:i/>
      <w:sz w:val="26"/>
    </w:rPr>
  </w:style>
  <w:style w:type="character" w:customStyle="1" w:styleId="CharChar92">
    <w:name w:val="Char Char92"/>
    <w:rPr>
      <w:rFonts w:ascii="Arial" w:hAnsi="Arial"/>
      <w:sz w:val="22"/>
      <w:lang w:val="en-US" w:eastAsia="en-US"/>
    </w:rPr>
  </w:style>
  <w:style w:type="character" w:customStyle="1" w:styleId="CharChar74">
    <w:name w:val="Char Char74"/>
    <w:locked/>
    <w:rPr>
      <w:rFonts w:ascii=".VnTimeH" w:hAnsi=".VnTimeH"/>
      <w:b/>
      <w:sz w:val="24"/>
      <w:lang w:val="en-US" w:eastAsia="en-US"/>
    </w:rPr>
  </w:style>
  <w:style w:type="paragraph" w:customStyle="1" w:styleId="Heading112">
    <w:name w:val="Heading 112"/>
    <w:basedOn w:val="Normal"/>
    <w:autoRedefine/>
    <w:pPr>
      <w:spacing w:after="160" w:line="240" w:lineRule="exact"/>
      <w:jc w:val="center"/>
    </w:pPr>
    <w:rPr>
      <w:rFonts w:ascii=".VnTimeH" w:eastAsia="MS Mincho" w:hAnsi=".VnTimeH"/>
      <w:b/>
      <w:sz w:val="32"/>
      <w:szCs w:val="20"/>
    </w:rPr>
  </w:style>
  <w:style w:type="character" w:customStyle="1" w:styleId="CharChar163">
    <w:name w:val="Char Char163"/>
    <w:locked/>
    <w:rPr>
      <w:rFonts w:ascii=".VnArial" w:hAnsi=".VnArial"/>
      <w:b/>
      <w:sz w:val="24"/>
    </w:rPr>
  </w:style>
  <w:style w:type="character" w:customStyle="1" w:styleId="CharChar153">
    <w:name w:val="Char Char153"/>
    <w:locked/>
    <w:rPr>
      <w:rFonts w:ascii=".VnTimeH" w:hAnsi=".VnTimeH"/>
      <w:b/>
      <w:sz w:val="24"/>
    </w:rPr>
  </w:style>
  <w:style w:type="character" w:customStyle="1" w:styleId="CharChar123">
    <w:name w:val="Char Char123"/>
    <w:locked/>
    <w:rPr>
      <w:b/>
      <w:sz w:val="22"/>
    </w:rPr>
  </w:style>
  <w:style w:type="character" w:customStyle="1" w:styleId="CharChar113">
    <w:name w:val="Char Char113"/>
    <w:locked/>
    <w:rPr>
      <w:sz w:val="24"/>
    </w:rPr>
  </w:style>
  <w:style w:type="character" w:customStyle="1" w:styleId="CharChar104">
    <w:name w:val="Char Char104"/>
    <w:locked/>
    <w:rPr>
      <w:i/>
      <w:sz w:val="24"/>
    </w:rPr>
  </w:style>
  <w:style w:type="character" w:customStyle="1" w:styleId="CharChar83">
    <w:name w:val="Char Char83"/>
    <w:locked/>
    <w:rPr>
      <w:rFonts w:ascii=".VnTimeH" w:hAnsi=".VnTimeH"/>
      <w:b/>
      <w:sz w:val="24"/>
    </w:rPr>
  </w:style>
  <w:style w:type="character" w:customStyle="1" w:styleId="CharChar63">
    <w:name w:val="Char Char63"/>
    <w:locked/>
    <w:rPr>
      <w:rFonts w:ascii=".VnTime" w:hAnsi=".VnTime"/>
      <w:i/>
      <w:sz w:val="24"/>
    </w:rPr>
  </w:style>
  <w:style w:type="character" w:customStyle="1" w:styleId="CharChar44">
    <w:name w:val="Char Char44"/>
    <w:locked/>
    <w:rPr>
      <w:rFonts w:ascii=".VnTime" w:hAnsi=".VnTime"/>
      <w:sz w:val="24"/>
    </w:rPr>
  </w:style>
  <w:style w:type="character" w:customStyle="1" w:styleId="CharChar23">
    <w:name w:val="Char Char23"/>
    <w:locked/>
    <w:rPr>
      <w:rFonts w:ascii=".VnTime" w:hAnsi=".VnTime"/>
      <w:sz w:val="24"/>
    </w:rPr>
  </w:style>
  <w:style w:type="character" w:customStyle="1" w:styleId="CharChar19">
    <w:name w:val="Char Char19"/>
    <w:locked/>
    <w:rPr>
      <w:rFonts w:ascii=".VnTime" w:hAnsi=".VnTime"/>
      <w:sz w:val="16"/>
    </w:rPr>
  </w:style>
  <w:style w:type="paragraph" w:customStyle="1" w:styleId="Heading212">
    <w:name w:val="Heading 212"/>
    <w:basedOn w:val="TOC2"/>
    <w:autoRedefine/>
    <w:pPr>
      <w:tabs>
        <w:tab w:val="left" w:pos="1000"/>
        <w:tab w:val="right" w:leader="hyphen" w:pos="9110"/>
        <w:tab w:val="right" w:leader="dot" w:pos="9232"/>
      </w:tabs>
      <w:spacing w:after="120" w:line="380" w:lineRule="exact"/>
    </w:pPr>
    <w:rPr>
      <w:rFonts w:ascii=".VnTimeH" w:eastAsia="MS Mincho" w:hAnsi=".VnTimeH"/>
      <w:i/>
      <w:iCs/>
      <w:sz w:val="28"/>
      <w:szCs w:val="28"/>
      <w:lang w:val="nb-NO"/>
    </w:rPr>
  </w:style>
  <w:style w:type="character" w:customStyle="1" w:styleId="CharChar52">
    <w:name w:val="Char Char52"/>
    <w:locked/>
    <w:rPr>
      <w:rFonts w:ascii="Times New Roman" w:hAnsi="Times New Roman"/>
      <w:i/>
      <w:sz w:val="24"/>
      <w:lang w:val="en-US" w:eastAsia="en-US"/>
    </w:rPr>
  </w:style>
  <w:style w:type="paragraph" w:customStyle="1" w:styleId="CharCharCharCharCharCharCharCharCharChar3">
    <w:name w:val="Char Char Char Char Char Char Char Char Char Char3"/>
    <w:basedOn w:val="Normal"/>
    <w:semiHidden/>
    <w:pPr>
      <w:spacing w:after="160" w:line="240" w:lineRule="exact"/>
    </w:pPr>
    <w:rPr>
      <w:rFonts w:ascii="Arial" w:hAnsi="Arial"/>
      <w:sz w:val="22"/>
      <w:szCs w:val="22"/>
    </w:rPr>
  </w:style>
  <w:style w:type="paragraph" w:customStyle="1" w:styleId="CharChar2Char3">
    <w:name w:val="Char Char2 Char3"/>
    <w:basedOn w:val="Normal"/>
    <w:pPr>
      <w:spacing w:after="160" w:line="240" w:lineRule="exact"/>
    </w:pPr>
    <w:rPr>
      <w:rFonts w:ascii="Tahoma" w:eastAsia="MS Mincho" w:hAnsi="Tahoma"/>
      <w:sz w:val="20"/>
      <w:szCs w:val="20"/>
    </w:rPr>
  </w:style>
  <w:style w:type="character" w:customStyle="1" w:styleId="BodyText2-1CharChar1">
    <w:name w:val="Body Text 2-1 Char Char1"/>
    <w:rPr>
      <w:rFonts w:ascii=".VnTime" w:hAnsi=".VnTime"/>
      <w:i/>
      <w:sz w:val="24"/>
    </w:rPr>
  </w:style>
  <w:style w:type="character" w:customStyle="1" w:styleId="CharChar132">
    <w:name w:val="Char Char132"/>
    <w:rPr>
      <w:rFonts w:ascii="Calibri" w:hAnsi="Calibri"/>
      <w:b/>
      <w:i/>
      <w:sz w:val="26"/>
    </w:rPr>
  </w:style>
  <w:style w:type="character" w:customStyle="1" w:styleId="CharChar93">
    <w:name w:val="Char Char93"/>
    <w:rPr>
      <w:rFonts w:ascii="Arial" w:hAnsi="Arial"/>
      <w:sz w:val="22"/>
      <w:lang w:val="en-US" w:eastAsia="en-US"/>
    </w:rPr>
  </w:style>
  <w:style w:type="character" w:customStyle="1" w:styleId="CharChar73">
    <w:name w:val="Char Char73"/>
    <w:locked/>
    <w:rPr>
      <w:rFonts w:ascii=".VnTimeH" w:hAnsi=".VnTimeH"/>
      <w:b/>
      <w:sz w:val="24"/>
      <w:lang w:val="en-US" w:eastAsia="en-US"/>
    </w:rPr>
  </w:style>
  <w:style w:type="paragraph" w:customStyle="1" w:styleId="Heading111">
    <w:name w:val="Heading 111"/>
    <w:basedOn w:val="Normal"/>
    <w:autoRedefine/>
    <w:uiPriority w:val="99"/>
    <w:pPr>
      <w:spacing w:after="160" w:line="240" w:lineRule="exact"/>
      <w:jc w:val="center"/>
    </w:pPr>
    <w:rPr>
      <w:rFonts w:ascii=".VnTimeH" w:eastAsia="MS Mincho" w:hAnsi=".VnTimeH"/>
      <w:b/>
      <w:sz w:val="32"/>
      <w:szCs w:val="20"/>
    </w:rPr>
  </w:style>
  <w:style w:type="character" w:customStyle="1" w:styleId="CharChar162">
    <w:name w:val="Char Char162"/>
    <w:locked/>
    <w:rPr>
      <w:rFonts w:ascii=".VnArial" w:hAnsi=".VnArial"/>
      <w:b/>
      <w:sz w:val="24"/>
    </w:rPr>
  </w:style>
  <w:style w:type="character" w:customStyle="1" w:styleId="CharChar152">
    <w:name w:val="Char Char152"/>
    <w:locked/>
    <w:rPr>
      <w:rFonts w:ascii=".VnTimeH" w:hAnsi=".VnTimeH"/>
      <w:b/>
      <w:sz w:val="24"/>
    </w:rPr>
  </w:style>
  <w:style w:type="character" w:customStyle="1" w:styleId="CharChar122">
    <w:name w:val="Char Char122"/>
    <w:locked/>
    <w:rPr>
      <w:b/>
      <w:sz w:val="22"/>
    </w:rPr>
  </w:style>
  <w:style w:type="character" w:customStyle="1" w:styleId="CharChar112">
    <w:name w:val="Char Char112"/>
    <w:locked/>
    <w:rPr>
      <w:sz w:val="24"/>
    </w:rPr>
  </w:style>
  <w:style w:type="character" w:customStyle="1" w:styleId="CharChar103">
    <w:name w:val="Char Char103"/>
    <w:locked/>
    <w:rPr>
      <w:i/>
      <w:sz w:val="24"/>
    </w:rPr>
  </w:style>
  <w:style w:type="character" w:customStyle="1" w:styleId="CharChar82">
    <w:name w:val="Char Char82"/>
    <w:locked/>
    <w:rPr>
      <w:rFonts w:ascii=".VnTimeH" w:hAnsi=".VnTimeH"/>
      <w:b/>
      <w:sz w:val="24"/>
    </w:rPr>
  </w:style>
  <w:style w:type="character" w:customStyle="1" w:styleId="CharChar62">
    <w:name w:val="Char Char62"/>
    <w:locked/>
    <w:rPr>
      <w:rFonts w:ascii=".VnTime" w:hAnsi=".VnTime"/>
      <w:i/>
      <w:sz w:val="24"/>
    </w:rPr>
  </w:style>
  <w:style w:type="character" w:customStyle="1" w:styleId="CharChar43">
    <w:name w:val="Char Char43"/>
    <w:locked/>
    <w:rPr>
      <w:rFonts w:ascii=".VnTime" w:hAnsi=".VnTime"/>
      <w:sz w:val="24"/>
    </w:rPr>
  </w:style>
  <w:style w:type="character" w:customStyle="1" w:styleId="CharChar22">
    <w:name w:val="Char Char22"/>
    <w:locked/>
    <w:rPr>
      <w:rFonts w:ascii=".VnTime" w:hAnsi=".VnTime"/>
      <w:sz w:val="24"/>
    </w:rPr>
  </w:style>
  <w:style w:type="character" w:customStyle="1" w:styleId="CharChar17">
    <w:name w:val="Char Char17"/>
    <w:locked/>
    <w:rPr>
      <w:rFonts w:ascii=".VnTime" w:hAnsi=".VnTime"/>
      <w:sz w:val="16"/>
    </w:rPr>
  </w:style>
  <w:style w:type="paragraph" w:customStyle="1" w:styleId="Heading211">
    <w:name w:val="Heading 211"/>
    <w:basedOn w:val="TOC2"/>
    <w:autoRedefine/>
    <w:uiPriority w:val="99"/>
    <w:pPr>
      <w:tabs>
        <w:tab w:val="left" w:pos="1000"/>
        <w:tab w:val="right" w:leader="hyphen" w:pos="9110"/>
        <w:tab w:val="right" w:leader="dot" w:pos="9232"/>
      </w:tabs>
      <w:spacing w:after="120" w:line="380" w:lineRule="exact"/>
    </w:pPr>
    <w:rPr>
      <w:rFonts w:ascii=".VnTimeH" w:eastAsia="MS Mincho" w:hAnsi=".VnTimeH"/>
      <w:i/>
      <w:iCs/>
      <w:sz w:val="28"/>
      <w:szCs w:val="28"/>
      <w:lang w:val="nb-NO"/>
    </w:rPr>
  </w:style>
  <w:style w:type="paragraph" w:customStyle="1" w:styleId="CharChar2Char2">
    <w:name w:val="Char Char2 Char2"/>
    <w:basedOn w:val="Normal"/>
    <w:uiPriority w:val="99"/>
    <w:pPr>
      <w:spacing w:after="160" w:line="240" w:lineRule="exact"/>
    </w:pPr>
    <w:rPr>
      <w:rFonts w:ascii="Tahoma" w:eastAsia="MS Mincho" w:hAnsi="Tahoma"/>
      <w:sz w:val="20"/>
      <w:szCs w:val="20"/>
    </w:rPr>
  </w:style>
  <w:style w:type="paragraph" w:customStyle="1" w:styleId="Heading121">
    <w:name w:val="Heading 121"/>
    <w:basedOn w:val="Normal"/>
    <w:autoRedefine/>
    <w:uiPriority w:val="99"/>
    <w:pPr>
      <w:spacing w:after="160" w:line="240" w:lineRule="exact"/>
      <w:jc w:val="center"/>
    </w:pPr>
    <w:rPr>
      <w:rFonts w:ascii=".VnTimeH" w:eastAsia="MS Mincho" w:hAnsi=".VnTimeH"/>
      <w:b/>
      <w:sz w:val="32"/>
      <w:szCs w:val="20"/>
    </w:rPr>
  </w:style>
  <w:style w:type="character" w:customStyle="1" w:styleId="BodyText2-1CharChar">
    <w:name w:val="Body Text 2-1 Char Char"/>
    <w:rPr>
      <w:rFonts w:ascii=".VnBook-Antiqua" w:hAnsi=".VnBook-Antiqua"/>
      <w:sz w:val="28"/>
      <w:lang w:val="en-US" w:eastAsia="en-US"/>
    </w:rPr>
  </w:style>
  <w:style w:type="paragraph" w:customStyle="1" w:styleId="m1">
    <w:name w:val="m1"/>
    <w:basedOn w:val="Normal"/>
    <w:link w:val="m1Char"/>
    <w:uiPriority w:val="99"/>
    <w:qFormat/>
    <w:pPr>
      <w:widowControl w:val="0"/>
      <w:spacing w:before="120" w:after="120" w:line="340" w:lineRule="exact"/>
      <w:jc w:val="center"/>
    </w:pPr>
    <w:rPr>
      <w:b/>
      <w:sz w:val="26"/>
      <w:lang w:val="fr-FR"/>
    </w:rPr>
  </w:style>
  <w:style w:type="paragraph" w:customStyle="1" w:styleId="m3">
    <w:name w:val="m3"/>
    <w:basedOn w:val="3"/>
    <w:uiPriority w:val="99"/>
    <w:qFormat/>
    <w:pPr>
      <w:spacing w:before="120" w:after="120" w:line="360" w:lineRule="exact"/>
      <w:jc w:val="left"/>
    </w:pPr>
    <w:rPr>
      <w:rFonts w:ascii="Times New Roman" w:hAnsi="Times New Roman"/>
      <w:sz w:val="26"/>
    </w:rPr>
  </w:style>
  <w:style w:type="paragraph" w:customStyle="1" w:styleId="bang1">
    <w:name w:val="bang 1"/>
    <w:basedOn w:val="Normal"/>
    <w:link w:val="bang1Char"/>
    <w:qFormat/>
    <w:pPr>
      <w:tabs>
        <w:tab w:val="right" w:leader="dot" w:pos="8891"/>
      </w:tabs>
      <w:spacing w:before="120" w:line="240" w:lineRule="auto"/>
      <w:jc w:val="center"/>
    </w:pPr>
    <w:rPr>
      <w:rFonts w:ascii="Arial" w:hAnsi="Arial"/>
      <w:b/>
      <w:noProof/>
      <w:color w:val="3333FF"/>
      <w:sz w:val="24"/>
      <w:szCs w:val="20"/>
    </w:rPr>
  </w:style>
  <w:style w:type="character" w:customStyle="1" w:styleId="bang1Char">
    <w:name w:val="bang 1 Char"/>
    <w:link w:val="bang1"/>
    <w:locked/>
    <w:rPr>
      <w:rFonts w:ascii="Arial" w:hAnsi="Arial"/>
      <w:b/>
      <w:noProof/>
      <w:color w:val="3333FF"/>
      <w:sz w:val="24"/>
    </w:rPr>
  </w:style>
  <w:style w:type="paragraph" w:customStyle="1" w:styleId="k1">
    <w:name w:val="k1"/>
    <w:basedOn w:val="Normal"/>
    <w:uiPriority w:val="99"/>
    <w:qFormat/>
    <w:pPr>
      <w:spacing w:line="240" w:lineRule="auto"/>
      <w:jc w:val="center"/>
    </w:pPr>
    <w:rPr>
      <w:b/>
    </w:rPr>
  </w:style>
  <w:style w:type="paragraph" w:customStyle="1" w:styleId="k2">
    <w:name w:val="k2"/>
    <w:basedOn w:val="d2"/>
    <w:uiPriority w:val="99"/>
    <w:qFormat/>
  </w:style>
  <w:style w:type="paragraph" w:customStyle="1" w:styleId="k3">
    <w:name w:val="k3"/>
    <w:basedOn w:val="d3"/>
    <w:uiPriority w:val="99"/>
    <w:qFormat/>
    <w:pPr>
      <w:jc w:val="left"/>
    </w:pPr>
  </w:style>
  <w:style w:type="paragraph" w:customStyle="1" w:styleId="Stylepucenoir1Car">
    <w:name w:val="Style puce noir 1 Car"/>
    <w:basedOn w:val="Normal"/>
    <w:uiPriority w:val="99"/>
    <w:pPr>
      <w:tabs>
        <w:tab w:val="num" w:pos="720"/>
      </w:tabs>
      <w:spacing w:before="60" w:after="60" w:line="240" w:lineRule="auto"/>
      <w:ind w:left="714" w:hanging="357"/>
      <w:jc w:val="both"/>
    </w:pPr>
    <w:rPr>
      <w:sz w:val="22"/>
      <w:szCs w:val="24"/>
      <w:lang w:val="fr-FR" w:eastAsia="fr-FR"/>
    </w:rPr>
  </w:style>
  <w:style w:type="character" w:customStyle="1" w:styleId="apple-style-span">
    <w:name w:val="apple-style-span"/>
    <w:qFormat/>
    <w:rPr>
      <w:rFonts w:cs="Times New Roman"/>
    </w:rPr>
  </w:style>
  <w:style w:type="paragraph" w:customStyle="1" w:styleId="muc">
    <w:name w:val="muc"/>
    <w:basedOn w:val="Normal"/>
    <w:uiPriority w:val="99"/>
    <w:pPr>
      <w:tabs>
        <w:tab w:val="num" w:pos="720"/>
      </w:tabs>
      <w:spacing w:before="60" w:after="60" w:line="360" w:lineRule="auto"/>
      <w:ind w:left="504" w:hanging="504"/>
      <w:jc w:val="both"/>
    </w:pPr>
    <w:rPr>
      <w:b/>
      <w:i/>
      <w:noProof/>
      <w:sz w:val="26"/>
      <w:szCs w:val="26"/>
    </w:rPr>
  </w:style>
  <w:style w:type="paragraph" w:styleId="Index1">
    <w:name w:val="index 1"/>
    <w:basedOn w:val="Normal"/>
    <w:next w:val="Normal"/>
    <w:autoRedefine/>
    <w:uiPriority w:val="99"/>
    <w:pPr>
      <w:spacing w:line="240" w:lineRule="auto"/>
      <w:ind w:left="280" w:hanging="280"/>
    </w:pPr>
    <w:rPr>
      <w:rFonts w:ascii=".VnTime" w:hAnsi=".VnTime"/>
    </w:rPr>
  </w:style>
  <w:style w:type="paragraph" w:customStyle="1" w:styleId="GACH0">
    <w:name w:val="GACH"/>
    <w:basedOn w:val="Normal"/>
    <w:uiPriority w:val="99"/>
    <w:pPr>
      <w:tabs>
        <w:tab w:val="num" w:pos="1440"/>
      </w:tabs>
      <w:spacing w:before="120" w:after="120" w:line="400" w:lineRule="exact"/>
      <w:ind w:left="1440" w:hanging="360"/>
      <w:jc w:val="both"/>
    </w:pPr>
    <w:rPr>
      <w:rFonts w:ascii="VNI-Times" w:hAnsi="VNI-Times"/>
      <w:szCs w:val="24"/>
    </w:rPr>
  </w:style>
  <w:style w:type="paragraph" w:customStyle="1" w:styleId="CONG">
    <w:name w:val="CONG"/>
    <w:basedOn w:val="Normal"/>
    <w:uiPriority w:val="99"/>
    <w:pPr>
      <w:tabs>
        <w:tab w:val="left" w:pos="680"/>
      </w:tabs>
      <w:spacing w:before="60" w:line="312" w:lineRule="auto"/>
      <w:ind w:left="680" w:firstLine="640"/>
      <w:jc w:val="both"/>
    </w:pPr>
    <w:rPr>
      <w:rFonts w:ascii="VNI-Times" w:hAnsi="VNI-Times" w:cs="VNI-Times"/>
      <w:lang w:val="fr-FR"/>
    </w:rPr>
  </w:style>
  <w:style w:type="paragraph" w:customStyle="1" w:styleId="heading40">
    <w:name w:val="heading4"/>
    <w:basedOn w:val="Normal"/>
    <w:uiPriority w:val="99"/>
    <w:pPr>
      <w:tabs>
        <w:tab w:val="num" w:pos="1320"/>
      </w:tabs>
      <w:spacing w:before="120" w:after="120" w:line="240" w:lineRule="auto"/>
      <w:ind w:left="1320" w:hanging="360"/>
      <w:jc w:val="both"/>
    </w:pPr>
    <w:rPr>
      <w:rFonts w:ascii=".VnTime" w:hAnsi=".VnTime"/>
      <w:b/>
      <w:bCs/>
      <w:sz w:val="26"/>
      <w:szCs w:val="24"/>
      <w:u w:val="single"/>
    </w:rPr>
  </w:style>
  <w:style w:type="paragraph" w:customStyle="1" w:styleId="CharCharCharCharCharCharCharCharCharChar2">
    <w:name w:val="Char Char Char Char Char Char Char Char Char Char2"/>
    <w:basedOn w:val="Normal"/>
    <w:uiPriority w:val="99"/>
    <w:semiHidden/>
    <w:pPr>
      <w:spacing w:after="160" w:line="240" w:lineRule="exact"/>
    </w:pPr>
    <w:rPr>
      <w:rFonts w:ascii="Arial" w:hAnsi="Arial"/>
      <w:sz w:val="22"/>
      <w:szCs w:val="22"/>
    </w:rPr>
  </w:style>
  <w:style w:type="paragraph" w:customStyle="1" w:styleId="A3">
    <w:name w:val="A3"/>
    <w:basedOn w:val="Normal"/>
    <w:qFormat/>
    <w:pPr>
      <w:spacing w:before="120" w:after="120" w:line="360" w:lineRule="exact"/>
      <w:jc w:val="both"/>
    </w:pPr>
    <w:rPr>
      <w:rFonts w:cs="VNtimes new roman"/>
      <w:b/>
      <w:sz w:val="26"/>
      <w:szCs w:val="26"/>
    </w:rPr>
  </w:style>
  <w:style w:type="character" w:customStyle="1" w:styleId="Heading3CharCharChar2">
    <w:name w:val="Heading 3 Char Char Char2"/>
    <w:aliases w:val="Heading 3 Char Char Char Char Char Char1,Heading 3 Char Char Char Char Char Char Char1,Heading 3 Char Char Char Char Char Char Char Char"/>
    <w:rPr>
      <w:b/>
      <w:sz w:val="27"/>
      <w:lang w:val="en-US" w:eastAsia="en-US"/>
    </w:rPr>
  </w:style>
  <w:style w:type="paragraph" w:customStyle="1" w:styleId="Heading13">
    <w:name w:val="Heading 13"/>
    <w:basedOn w:val="Normal"/>
    <w:autoRedefine/>
    <w:uiPriority w:val="99"/>
    <w:pPr>
      <w:spacing w:after="160" w:line="240" w:lineRule="exact"/>
      <w:jc w:val="center"/>
    </w:pPr>
    <w:rPr>
      <w:rFonts w:ascii=".VnTimeH" w:eastAsia="MS Mincho" w:hAnsi=".VnTimeH"/>
      <w:b/>
      <w:sz w:val="32"/>
      <w:szCs w:val="20"/>
    </w:rPr>
  </w:style>
  <w:style w:type="paragraph" w:customStyle="1" w:styleId="Heading41">
    <w:name w:val="Heading 41"/>
    <w:basedOn w:val="Normal"/>
    <w:autoRedefine/>
    <w:uiPriority w:val="99"/>
    <w:pPr>
      <w:tabs>
        <w:tab w:val="left" w:pos="540"/>
      </w:tabs>
      <w:spacing w:before="120" w:after="80" w:line="380" w:lineRule="exact"/>
      <w:jc w:val="both"/>
    </w:pPr>
    <w:rPr>
      <w:rFonts w:ascii=".VnTime" w:hAnsi=".VnTime" w:cs="Arial"/>
      <w:b/>
      <w:bCs/>
      <w:i/>
      <w:lang w:eastAsia="vi-VN"/>
    </w:rPr>
  </w:style>
  <w:style w:type="character" w:styleId="LineNumber">
    <w:name w:val="line number"/>
    <w:rPr>
      <w:rFonts w:cs="Times New Roman"/>
    </w:rPr>
  </w:style>
  <w:style w:type="paragraph" w:styleId="ListBullet">
    <w:name w:val="List Bullet"/>
    <w:basedOn w:val="Normal"/>
    <w:pPr>
      <w:tabs>
        <w:tab w:val="num" w:pos="360"/>
      </w:tabs>
      <w:spacing w:line="240" w:lineRule="auto"/>
      <w:ind w:left="360" w:hanging="360"/>
    </w:pPr>
    <w:rPr>
      <w:sz w:val="24"/>
      <w:szCs w:val="24"/>
    </w:rPr>
  </w:style>
  <w:style w:type="paragraph" w:customStyle="1" w:styleId="Heading22">
    <w:name w:val="Heading 22"/>
    <w:basedOn w:val="TOC2"/>
    <w:autoRedefine/>
    <w:uiPriority w:val="99"/>
    <w:pPr>
      <w:tabs>
        <w:tab w:val="left" w:pos="1000"/>
        <w:tab w:val="right" w:leader="hyphen" w:pos="9110"/>
      </w:tabs>
      <w:spacing w:after="120" w:line="380" w:lineRule="exact"/>
    </w:pPr>
    <w:rPr>
      <w:rFonts w:ascii=".VnTimeH" w:eastAsia="MS Mincho" w:hAnsi=".VnTimeH"/>
      <w:i/>
      <w:iCs/>
    </w:rPr>
  </w:style>
  <w:style w:type="character" w:customStyle="1" w:styleId="CharChar102">
    <w:name w:val="Char Char102"/>
    <w:rPr>
      <w:rFonts w:ascii=".VnTimeH" w:hAnsi=".VnTimeH"/>
      <w:b/>
      <w:sz w:val="24"/>
    </w:rPr>
  </w:style>
  <w:style w:type="character" w:customStyle="1" w:styleId="CharChar72">
    <w:name w:val="Char Char72"/>
    <w:rPr>
      <w:rFonts w:ascii=".VnTime" w:hAnsi=".VnTime"/>
      <w:i/>
      <w:sz w:val="24"/>
    </w:rPr>
  </w:style>
  <w:style w:type="character" w:customStyle="1" w:styleId="CharChar42">
    <w:name w:val="Char Char42"/>
    <w:rPr>
      <w:sz w:val="22"/>
    </w:rPr>
  </w:style>
  <w:style w:type="paragraph" w:customStyle="1" w:styleId="Style2">
    <w:name w:val="Style2"/>
    <w:basedOn w:val="m1"/>
    <w:uiPriority w:val="99"/>
    <w:qFormat/>
  </w:style>
  <w:style w:type="paragraph" w:customStyle="1" w:styleId="Style3">
    <w:name w:val="Style3"/>
    <w:basedOn w:val="m2"/>
    <w:qFormat/>
  </w:style>
  <w:style w:type="paragraph" w:customStyle="1" w:styleId="Style4">
    <w:name w:val="Style4"/>
    <w:basedOn w:val="m3"/>
    <w:qFormat/>
    <w:pPr>
      <w:spacing w:before="60" w:after="60" w:line="340" w:lineRule="exact"/>
      <w:jc w:val="both"/>
    </w:pPr>
  </w:style>
  <w:style w:type="paragraph" w:customStyle="1" w:styleId="Style5">
    <w:name w:val="Style5"/>
    <w:basedOn w:val="m3"/>
    <w:uiPriority w:val="99"/>
    <w:qFormat/>
    <w:pPr>
      <w:spacing w:before="60" w:after="60" w:line="340" w:lineRule="exact"/>
      <w:jc w:val="both"/>
    </w:pPr>
    <w:rPr>
      <w:lang w:val="vi-VN"/>
    </w:rPr>
  </w:style>
  <w:style w:type="paragraph" w:customStyle="1" w:styleId="Style6">
    <w:name w:val="Style6"/>
    <w:basedOn w:val="m3"/>
    <w:uiPriority w:val="99"/>
    <w:qFormat/>
    <w:pPr>
      <w:spacing w:before="60" w:after="60" w:line="340" w:lineRule="exact"/>
      <w:jc w:val="both"/>
    </w:pPr>
    <w:rPr>
      <w:lang w:val="vi-VN"/>
    </w:rPr>
  </w:style>
  <w:style w:type="paragraph" w:customStyle="1" w:styleId="Style7">
    <w:name w:val="Style7"/>
    <w:basedOn w:val="m3"/>
    <w:next w:val="3"/>
    <w:uiPriority w:val="99"/>
    <w:qFormat/>
    <w:pPr>
      <w:spacing w:before="60" w:after="60" w:line="340" w:lineRule="exact"/>
      <w:jc w:val="both"/>
    </w:pPr>
  </w:style>
  <w:style w:type="paragraph" w:customStyle="1" w:styleId="Style8">
    <w:name w:val="Style8"/>
    <w:basedOn w:val="Normal"/>
    <w:next w:val="m1"/>
    <w:uiPriority w:val="99"/>
    <w:qFormat/>
    <w:pPr>
      <w:widowControl w:val="0"/>
      <w:spacing w:before="120" w:after="120" w:line="360" w:lineRule="exact"/>
      <w:jc w:val="center"/>
    </w:pPr>
    <w:rPr>
      <w:rFonts w:cs="VNtimes new roman"/>
      <w:b/>
      <w:szCs w:val="24"/>
      <w:lang w:val="fr-FR"/>
    </w:rPr>
  </w:style>
  <w:style w:type="paragraph" w:customStyle="1" w:styleId="Style9">
    <w:name w:val="Style9"/>
    <w:basedOn w:val="Style3"/>
    <w:next w:val="m2"/>
    <w:uiPriority w:val="99"/>
    <w:qFormat/>
  </w:style>
  <w:style w:type="paragraph" w:customStyle="1" w:styleId="Style10">
    <w:name w:val="Style10"/>
    <w:basedOn w:val="m3"/>
    <w:next w:val="m3"/>
    <w:uiPriority w:val="99"/>
    <w:qFormat/>
    <w:pPr>
      <w:jc w:val="both"/>
    </w:pPr>
  </w:style>
  <w:style w:type="paragraph" w:customStyle="1" w:styleId="Style11">
    <w:name w:val="Style11"/>
    <w:basedOn w:val="Normal"/>
    <w:uiPriority w:val="99"/>
    <w:qFormat/>
    <w:pPr>
      <w:widowControl w:val="0"/>
      <w:spacing w:before="60" w:after="120" w:line="360" w:lineRule="exact"/>
      <w:jc w:val="center"/>
    </w:pPr>
    <w:rPr>
      <w:rFonts w:cs="VNtimes new roman"/>
      <w:b/>
      <w:szCs w:val="24"/>
      <w:lang w:val="fr-FR"/>
    </w:rPr>
  </w:style>
  <w:style w:type="character" w:customStyle="1" w:styleId="indexstorytext">
    <w:name w:val="indexstorytext"/>
    <w:rPr>
      <w:rFonts w:cs="Times New Roman"/>
    </w:rPr>
  </w:style>
  <w:style w:type="character" w:customStyle="1" w:styleId="ctcsummary">
    <w:name w:val="ctcsummary"/>
    <w:rPr>
      <w:rFonts w:cs="Times New Roman"/>
    </w:rPr>
  </w:style>
  <w:style w:type="paragraph" w:customStyle="1" w:styleId="A1">
    <w:name w:val="A1"/>
    <w:basedOn w:val="m1"/>
    <w:qFormat/>
    <w:pPr>
      <w:spacing w:after="0"/>
    </w:pPr>
    <w:rPr>
      <w:szCs w:val="26"/>
    </w:rPr>
  </w:style>
  <w:style w:type="paragraph" w:customStyle="1" w:styleId="A20">
    <w:name w:val="A2"/>
    <w:basedOn w:val="m2"/>
    <w:uiPriority w:val="99"/>
    <w:qFormat/>
    <w:rPr>
      <w:sz w:val="26"/>
      <w:szCs w:val="26"/>
    </w:rPr>
  </w:style>
  <w:style w:type="paragraph" w:customStyle="1" w:styleId="H1">
    <w:name w:val="H1"/>
    <w:basedOn w:val="m2"/>
    <w:qFormat/>
    <w:pPr>
      <w:spacing w:before="60" w:after="60"/>
      <w:jc w:val="center"/>
    </w:pPr>
    <w:rPr>
      <w:sz w:val="26"/>
      <w:szCs w:val="26"/>
    </w:rPr>
  </w:style>
  <w:style w:type="paragraph" w:styleId="CommentText">
    <w:name w:val="annotation text"/>
    <w:basedOn w:val="Normal"/>
    <w:link w:val="CommentTextChar"/>
    <w:uiPriority w:val="99"/>
    <w:pPr>
      <w:spacing w:line="240" w:lineRule="auto"/>
    </w:pPr>
    <w:rPr>
      <w:sz w:val="20"/>
      <w:szCs w:val="20"/>
    </w:rPr>
  </w:style>
  <w:style w:type="character" w:customStyle="1" w:styleId="CommentTextChar">
    <w:name w:val="Comment Text Char"/>
    <w:link w:val="CommentText"/>
    <w:uiPriority w:val="99"/>
    <w:locked/>
    <w:rPr>
      <w:rFonts w:cs="Times New Roman"/>
    </w:rPr>
  </w:style>
  <w:style w:type="paragraph" w:customStyle="1" w:styleId="Default">
    <w:name w:val="Default"/>
    <w:pPr>
      <w:autoSpaceDE w:val="0"/>
      <w:autoSpaceDN w:val="0"/>
      <w:adjustRightInd w:val="0"/>
    </w:pPr>
    <w:rPr>
      <w:rFonts w:ascii="Arial" w:hAnsi="Arial" w:cs="Arial"/>
      <w:color w:val="000000"/>
      <w:sz w:val="24"/>
      <w:szCs w:val="24"/>
    </w:rPr>
  </w:style>
  <w:style w:type="character" w:customStyle="1" w:styleId="CharChar131">
    <w:name w:val="Char Char131"/>
    <w:rPr>
      <w:rFonts w:ascii="Calibri" w:hAnsi="Calibri"/>
      <w:b/>
      <w:i/>
      <w:sz w:val="26"/>
    </w:rPr>
  </w:style>
  <w:style w:type="character" w:customStyle="1" w:styleId="CharChar91">
    <w:name w:val="Char Char91"/>
    <w:rPr>
      <w:rFonts w:ascii="Arial" w:hAnsi="Arial"/>
      <w:sz w:val="22"/>
      <w:lang w:val="en-US" w:eastAsia="en-US"/>
    </w:rPr>
  </w:style>
  <w:style w:type="character" w:customStyle="1" w:styleId="CharChar71">
    <w:name w:val="Char Char71"/>
    <w:locked/>
    <w:rPr>
      <w:rFonts w:ascii=".VnTimeH" w:hAnsi=".VnTimeH"/>
      <w:b/>
      <w:sz w:val="24"/>
      <w:lang w:val="en-US" w:eastAsia="en-US"/>
    </w:rPr>
  </w:style>
  <w:style w:type="character" w:customStyle="1" w:styleId="CharChar31">
    <w:name w:val="Char Char31"/>
    <w:rPr>
      <w:rFonts w:ascii=".VnTime" w:hAnsi=".VnTime"/>
      <w:sz w:val="24"/>
      <w:lang w:val="en-US" w:eastAsia="en-US"/>
    </w:rPr>
  </w:style>
  <w:style w:type="paragraph" w:customStyle="1" w:styleId="Heading14">
    <w:name w:val="Heading 14"/>
    <w:basedOn w:val="Normal"/>
    <w:autoRedefine/>
    <w:uiPriority w:val="99"/>
    <w:pPr>
      <w:spacing w:after="160" w:line="240" w:lineRule="exact"/>
      <w:jc w:val="center"/>
    </w:pPr>
    <w:rPr>
      <w:rFonts w:ascii=".VnTimeH" w:eastAsia="MS Mincho" w:hAnsi=".VnTimeH"/>
      <w:b/>
      <w:sz w:val="32"/>
      <w:szCs w:val="20"/>
    </w:rPr>
  </w:style>
  <w:style w:type="character" w:customStyle="1" w:styleId="CharChar161">
    <w:name w:val="Char Char161"/>
    <w:locked/>
    <w:rPr>
      <w:rFonts w:ascii=".VnArial" w:hAnsi=".VnArial"/>
      <w:b/>
      <w:sz w:val="24"/>
    </w:rPr>
  </w:style>
  <w:style w:type="character" w:customStyle="1" w:styleId="CharChar151">
    <w:name w:val="Char Char151"/>
    <w:locked/>
    <w:rPr>
      <w:rFonts w:ascii=".VnTimeH" w:hAnsi=".VnTimeH"/>
      <w:b/>
      <w:sz w:val="24"/>
    </w:rPr>
  </w:style>
  <w:style w:type="character" w:customStyle="1" w:styleId="CharChar121">
    <w:name w:val="Char Char121"/>
    <w:locked/>
    <w:rPr>
      <w:b/>
      <w:sz w:val="22"/>
    </w:rPr>
  </w:style>
  <w:style w:type="character" w:customStyle="1" w:styleId="CharChar111">
    <w:name w:val="Char Char111"/>
    <w:locked/>
    <w:rPr>
      <w:sz w:val="24"/>
    </w:rPr>
  </w:style>
  <w:style w:type="character" w:customStyle="1" w:styleId="CharChar101">
    <w:name w:val="Char Char101"/>
    <w:locked/>
    <w:rPr>
      <w:i/>
      <w:sz w:val="24"/>
    </w:rPr>
  </w:style>
  <w:style w:type="character" w:customStyle="1" w:styleId="CharChar81">
    <w:name w:val="Char Char81"/>
    <w:locked/>
    <w:rPr>
      <w:rFonts w:ascii=".VnTimeH" w:hAnsi=".VnTimeH"/>
      <w:b/>
      <w:sz w:val="24"/>
    </w:rPr>
  </w:style>
  <w:style w:type="character" w:customStyle="1" w:styleId="CharChar61">
    <w:name w:val="Char Char61"/>
    <w:locked/>
    <w:rPr>
      <w:rFonts w:ascii=".VnTime" w:hAnsi=".VnTime"/>
      <w:i/>
      <w:sz w:val="24"/>
    </w:rPr>
  </w:style>
  <w:style w:type="character" w:customStyle="1" w:styleId="CharChar51">
    <w:name w:val="Char Char51"/>
    <w:locked/>
    <w:rPr>
      <w:rFonts w:ascii=".VnTime" w:hAnsi=".VnTime"/>
      <w:sz w:val="16"/>
    </w:rPr>
  </w:style>
  <w:style w:type="character" w:customStyle="1" w:styleId="CharChar41">
    <w:name w:val="Char Char41"/>
    <w:locked/>
    <w:rPr>
      <w:rFonts w:ascii=".VnTime" w:hAnsi=".VnTime"/>
      <w:sz w:val="24"/>
    </w:rPr>
  </w:style>
  <w:style w:type="character" w:customStyle="1" w:styleId="CharChar21">
    <w:name w:val="Char Char21"/>
    <w:locked/>
    <w:rPr>
      <w:rFonts w:ascii=".VnTime" w:hAnsi=".VnTime"/>
      <w:sz w:val="24"/>
    </w:rPr>
  </w:style>
  <w:style w:type="character" w:customStyle="1" w:styleId="CharChar14">
    <w:name w:val="Char Char14"/>
    <w:locked/>
    <w:rPr>
      <w:rFonts w:ascii=".VnTime" w:hAnsi=".VnTime"/>
      <w:sz w:val="16"/>
    </w:rPr>
  </w:style>
  <w:style w:type="paragraph" w:customStyle="1" w:styleId="Heading23">
    <w:name w:val="Heading 23"/>
    <w:basedOn w:val="TOC2"/>
    <w:autoRedefine/>
    <w:uiPriority w:val="99"/>
    <w:pPr>
      <w:tabs>
        <w:tab w:val="left" w:pos="1000"/>
        <w:tab w:val="right" w:leader="hyphen" w:pos="9110"/>
        <w:tab w:val="right" w:leader="dot" w:pos="9232"/>
      </w:tabs>
      <w:spacing w:after="120" w:line="380" w:lineRule="exact"/>
    </w:pPr>
    <w:rPr>
      <w:rFonts w:ascii=".VnTimeH" w:eastAsia="MS Mincho" w:hAnsi=".VnTimeH"/>
      <w:i/>
      <w:iCs/>
      <w:sz w:val="28"/>
      <w:szCs w:val="28"/>
      <w:lang w:val="nb-NO"/>
    </w:rPr>
  </w:style>
  <w:style w:type="paragraph" w:customStyle="1" w:styleId="CharCharCharCharCharCharCharCharCharChar1">
    <w:name w:val="Char Char Char Char Char Char Char Char Char Char1"/>
    <w:basedOn w:val="Normal"/>
    <w:uiPriority w:val="99"/>
    <w:semiHidden/>
    <w:pPr>
      <w:spacing w:after="160" w:line="240" w:lineRule="exact"/>
    </w:pPr>
    <w:rPr>
      <w:rFonts w:ascii="Arial" w:hAnsi="Arial"/>
      <w:sz w:val="22"/>
      <w:szCs w:val="22"/>
    </w:rPr>
  </w:style>
  <w:style w:type="paragraph" w:customStyle="1" w:styleId="CharChar2Char1">
    <w:name w:val="Char Char2 Char1"/>
    <w:basedOn w:val="Normal"/>
    <w:uiPriority w:val="99"/>
    <w:pPr>
      <w:spacing w:after="160" w:line="240" w:lineRule="exact"/>
    </w:pPr>
    <w:rPr>
      <w:rFonts w:ascii="Tahoma" w:eastAsia="MS Mincho" w:hAnsi="Tahoma"/>
      <w:sz w:val="20"/>
      <w:szCs w:val="20"/>
    </w:rPr>
  </w:style>
  <w:style w:type="paragraph" w:customStyle="1" w:styleId="Heading42">
    <w:name w:val="Heading 42"/>
    <w:basedOn w:val="Normal"/>
    <w:autoRedefine/>
    <w:pPr>
      <w:tabs>
        <w:tab w:val="left" w:pos="540"/>
      </w:tabs>
      <w:spacing w:before="120" w:after="80" w:line="380" w:lineRule="exact"/>
      <w:jc w:val="both"/>
    </w:pPr>
    <w:rPr>
      <w:rFonts w:ascii=".VnTime" w:hAnsi=".VnTime" w:cs="Arial"/>
      <w:b/>
      <w:bCs/>
      <w:i/>
      <w:lang w:eastAsia="vi-VN"/>
    </w:rPr>
  </w:style>
  <w:style w:type="paragraph" w:customStyle="1" w:styleId="c30">
    <w:name w:val="c3"/>
    <w:basedOn w:val="Normal"/>
    <w:uiPriority w:val="99"/>
    <w:qFormat/>
    <w:pPr>
      <w:spacing w:before="120" w:after="120" w:line="340" w:lineRule="exact"/>
      <w:jc w:val="both"/>
    </w:pPr>
    <w:rPr>
      <w:b/>
      <w:bCs/>
      <w:szCs w:val="24"/>
    </w:rPr>
  </w:style>
  <w:style w:type="character" w:styleId="CommentReference">
    <w:name w:val="annotation reference"/>
    <w:uiPriority w:val="99"/>
    <w:unhideWhenUsed/>
    <w:rPr>
      <w:sz w:val="16"/>
    </w:rPr>
  </w:style>
  <w:style w:type="paragraph" w:customStyle="1" w:styleId="K">
    <w:name w:val="K"/>
    <w:basedOn w:val="Normal"/>
    <w:uiPriority w:val="99"/>
    <w:qFormat/>
    <w:pPr>
      <w:spacing w:before="120" w:after="120" w:line="240" w:lineRule="auto"/>
      <w:jc w:val="center"/>
    </w:pPr>
  </w:style>
  <w:style w:type="paragraph" w:customStyle="1" w:styleId="n1">
    <w:name w:val="n1"/>
    <w:basedOn w:val="Heading1"/>
    <w:uiPriority w:val="99"/>
    <w:qFormat/>
    <w:pPr>
      <w:spacing w:line="320" w:lineRule="exact"/>
      <w:jc w:val="center"/>
    </w:pPr>
    <w:rPr>
      <w:rFonts w:ascii="Times New Roman" w:hAnsi="Times New Roman"/>
      <w:sz w:val="26"/>
    </w:rPr>
  </w:style>
  <w:style w:type="paragraph" w:customStyle="1" w:styleId="n2">
    <w:name w:val="n2"/>
    <w:basedOn w:val="m2"/>
    <w:uiPriority w:val="99"/>
    <w:qFormat/>
  </w:style>
  <w:style w:type="character" w:customStyle="1" w:styleId="st1">
    <w:name w:val="st1"/>
    <w:rPr>
      <w:rFonts w:cs="Times New Roman"/>
    </w:rPr>
  </w:style>
  <w:style w:type="character" w:customStyle="1" w:styleId="Heading3Char2">
    <w:name w:val="Heading 3 Char2"/>
    <w:aliases w:val="Heading 3 Char Char Char Char Char2,Heading 3 Char1 Char2,Char Char Char Char Char Char Char Char1,Heading 3 Char Char Char Char Char Char2,Heading 3 Char1 Char Char1,Char Char18,Char Char Char Char Char1,Heading 3 Char Char Char1"/>
    <w:link w:val="Heading3"/>
    <w:uiPriority w:val="99"/>
    <w:locked/>
    <w:rPr>
      <w:rFonts w:ascii="Times New Roman Italic" w:hAnsi="Times New Roman Italic"/>
      <w:i/>
      <w:iCs/>
      <w:noProof/>
      <w:color w:val="000000" w:themeColor="text1"/>
      <w:spacing w:val="-4"/>
      <w:sz w:val="24"/>
      <w:szCs w:val="24"/>
      <w:shd w:val="clear" w:color="auto" w:fill="FFFFFF"/>
      <w:lang w:val="sq-AL"/>
    </w:rPr>
  </w:style>
  <w:style w:type="character" w:styleId="PlaceholderText">
    <w:name w:val="Placeholder Text"/>
    <w:uiPriority w:val="99"/>
    <w:semiHidden/>
    <w:rPr>
      <w:color w:val="808080"/>
    </w:rPr>
  </w:style>
  <w:style w:type="character" w:customStyle="1" w:styleId="NormalWebChar">
    <w:name w:val="Normal (Web) Char"/>
    <w:aliases w:val="표준 (웹) Char,Char Char Char Char Char Char Char Char Char Char Char Char,Char Char Char Char Char Char Char Char Char Char Char Char Char Char Char Char,Char Char Cha Char"/>
    <w:link w:val="NormalWeb"/>
    <w:uiPriority w:val="99"/>
    <w:qFormat/>
    <w:locked/>
    <w:rPr>
      <w:rFonts w:ascii="VNtimes new roman" w:hAnsi="VNtimes new roman"/>
      <w:sz w:val="24"/>
    </w:rPr>
  </w:style>
  <w:style w:type="paragraph" w:customStyle="1" w:styleId="v5">
    <w:name w:val="v5"/>
    <w:basedOn w:val="Normal"/>
    <w:qFormat/>
    <w:pPr>
      <w:widowControl w:val="0"/>
      <w:spacing w:before="120" w:after="120" w:line="280" w:lineRule="exact"/>
      <w:jc w:val="center"/>
    </w:pPr>
    <w:rPr>
      <w:rFonts w:ascii="Times New Roman Bold" w:hAnsi="Times New Roman Bold" w:cs="Cambria"/>
      <w:b/>
      <w:sz w:val="26"/>
      <w:szCs w:val="26"/>
      <w:lang w:val="fr-FR"/>
    </w:rPr>
  </w:style>
  <w:style w:type="character" w:customStyle="1" w:styleId="m4Char">
    <w:name w:val="m4 Char"/>
    <w:link w:val="m4"/>
    <w:locked/>
    <w:rPr>
      <w:b/>
      <w:i/>
      <w:sz w:val="24"/>
    </w:rPr>
  </w:style>
  <w:style w:type="paragraph" w:customStyle="1" w:styleId="bh11">
    <w:name w:val="bh11"/>
    <w:basedOn w:val="Normal"/>
    <w:qFormat/>
    <w:pPr>
      <w:jc w:val="center"/>
    </w:pPr>
    <w:rPr>
      <w:b/>
      <w:sz w:val="26"/>
      <w:szCs w:val="26"/>
    </w:rPr>
  </w:style>
  <w:style w:type="paragraph" w:customStyle="1" w:styleId="v2">
    <w:name w:val="v2"/>
    <w:basedOn w:val="Normal"/>
    <w:qFormat/>
    <w:pPr>
      <w:spacing w:before="120" w:after="120" w:line="360" w:lineRule="exact"/>
      <w:jc w:val="both"/>
    </w:pPr>
    <w:rPr>
      <w:rFonts w:cs="VNtimes new roman"/>
      <w:b/>
      <w:iCs/>
      <w:sz w:val="24"/>
      <w:szCs w:val="24"/>
    </w:rPr>
  </w:style>
  <w:style w:type="paragraph" w:customStyle="1" w:styleId="thuong">
    <w:name w:val="thuong"/>
    <w:basedOn w:val="Normal"/>
    <w:link w:val="thuongChar"/>
    <w:autoRedefine/>
    <w:pPr>
      <w:widowControl w:val="0"/>
      <w:spacing w:line="360" w:lineRule="exact"/>
      <w:ind w:firstLine="567"/>
      <w:jc w:val="both"/>
    </w:pPr>
    <w:rPr>
      <w:noProof/>
      <w:color w:val="000000"/>
      <w:spacing w:val="-2"/>
      <w:sz w:val="24"/>
      <w:szCs w:val="20"/>
      <w:lang w:val="vi-VN"/>
    </w:rPr>
  </w:style>
  <w:style w:type="character" w:customStyle="1" w:styleId="thuongChar">
    <w:name w:val="thuong Char"/>
    <w:link w:val="thuong"/>
    <w:locked/>
    <w:rPr>
      <w:noProof/>
      <w:color w:val="000000"/>
      <w:spacing w:val="-2"/>
      <w:sz w:val="24"/>
      <w:lang w:val="vi-VN"/>
    </w:rPr>
  </w:style>
  <w:style w:type="paragraph" w:customStyle="1" w:styleId="Lietke-">
    <w:name w:val="Liet ke &quot;-&quot;"/>
    <w:basedOn w:val="Normal"/>
    <w:semiHidden/>
    <w:pPr>
      <w:tabs>
        <w:tab w:val="left" w:pos="5980"/>
      </w:tabs>
      <w:spacing w:before="120" w:line="320" w:lineRule="exact"/>
      <w:ind w:left="1077" w:hanging="357"/>
      <w:jc w:val="both"/>
    </w:pPr>
    <w:rPr>
      <w:rFonts w:cs=".VnTime"/>
      <w:sz w:val="24"/>
      <w:szCs w:val="20"/>
      <w:lang w:val="en-GB"/>
    </w:rPr>
  </w:style>
  <w:style w:type="paragraph" w:customStyle="1" w:styleId="TenPL">
    <w:name w:val="Ten PL"/>
    <w:basedOn w:val="Normal"/>
    <w:autoRedefine/>
    <w:semiHidden/>
    <w:pPr>
      <w:spacing w:afterAutospacing="1" w:line="312" w:lineRule="auto"/>
      <w:jc w:val="center"/>
    </w:pPr>
    <w:rPr>
      <w:rFonts w:ascii=".VnTimeH" w:hAnsi=".VnTimeH" w:cs=".VnTime"/>
      <w:b/>
      <w:color w:val="0000FF"/>
      <w:sz w:val="26"/>
      <w:szCs w:val="26"/>
    </w:rPr>
  </w:style>
  <w:style w:type="paragraph" w:customStyle="1" w:styleId="111">
    <w:name w:val="1.1.1"/>
    <w:basedOn w:val="Normal"/>
    <w:qFormat/>
    <w:pPr>
      <w:spacing w:line="360" w:lineRule="exact"/>
      <w:jc w:val="both"/>
    </w:pPr>
    <w:rPr>
      <w:b/>
      <w:i/>
      <w:szCs w:val="26"/>
    </w:rPr>
  </w:style>
  <w:style w:type="paragraph" w:customStyle="1" w:styleId="bang2">
    <w:name w:val="bang"/>
    <w:basedOn w:val="Normal"/>
    <w:link w:val="bangChar1"/>
    <w:qFormat/>
    <w:pPr>
      <w:spacing w:before="240" w:after="120" w:line="320" w:lineRule="exact"/>
      <w:jc w:val="center"/>
    </w:pPr>
    <w:rPr>
      <w:rFonts w:eastAsia="Batang"/>
      <w:color w:val="000000"/>
      <w:spacing w:val="10"/>
      <w:sz w:val="26"/>
      <w:szCs w:val="20"/>
    </w:rPr>
  </w:style>
  <w:style w:type="character" w:customStyle="1" w:styleId="bangChar1">
    <w:name w:val="bang Char1"/>
    <w:link w:val="bang2"/>
    <w:locked/>
    <w:rPr>
      <w:rFonts w:eastAsia="Batang"/>
      <w:color w:val="000000"/>
      <w:spacing w:val="10"/>
      <w:sz w:val="26"/>
    </w:rPr>
  </w:style>
  <w:style w:type="paragraph" w:customStyle="1" w:styleId="bullets">
    <w:name w:val="bullets"/>
    <w:basedOn w:val="Normal"/>
    <w:pPr>
      <w:tabs>
        <w:tab w:val="left" w:pos="567"/>
      </w:tabs>
      <w:spacing w:before="60" w:line="240" w:lineRule="auto"/>
      <w:jc w:val="both"/>
    </w:pPr>
    <w:rPr>
      <w:sz w:val="24"/>
      <w:szCs w:val="24"/>
    </w:rPr>
  </w:style>
  <w:style w:type="character" w:customStyle="1" w:styleId="BngChar">
    <w:name w:val="Bảng Char"/>
    <w:link w:val="Bng"/>
    <w:locked/>
    <w:rPr>
      <w:b/>
      <w:sz w:val="28"/>
    </w:rPr>
  </w:style>
  <w:style w:type="paragraph" w:customStyle="1" w:styleId="NP2">
    <w:name w:val="NP2"/>
    <w:basedOn w:val="Normal"/>
    <w:uiPriority w:val="99"/>
    <w:qFormat/>
    <w:pPr>
      <w:widowControl w:val="0"/>
      <w:spacing w:before="240" w:line="360" w:lineRule="exact"/>
      <w:jc w:val="both"/>
      <w:outlineLvl w:val="1"/>
    </w:pPr>
    <w:rPr>
      <w:b/>
      <w:sz w:val="24"/>
      <w:lang w:val="vi-VN"/>
    </w:rPr>
  </w:style>
  <w:style w:type="paragraph" w:customStyle="1" w:styleId="NP3">
    <w:name w:val="NP3"/>
    <w:basedOn w:val="Normal"/>
    <w:uiPriority w:val="99"/>
    <w:qFormat/>
    <w:pPr>
      <w:widowControl w:val="0"/>
      <w:spacing w:line="360" w:lineRule="exact"/>
      <w:jc w:val="both"/>
    </w:pPr>
    <w:rPr>
      <w:b/>
      <w:lang w:val="vi-VN"/>
    </w:rPr>
  </w:style>
  <w:style w:type="paragraph" w:customStyle="1" w:styleId="NP1">
    <w:name w:val="NP1"/>
    <w:basedOn w:val="Normal"/>
    <w:uiPriority w:val="99"/>
    <w:qFormat/>
    <w:pPr>
      <w:spacing w:line="340" w:lineRule="exact"/>
      <w:jc w:val="center"/>
    </w:pPr>
    <w:rPr>
      <w:b/>
    </w:rPr>
  </w:style>
  <w:style w:type="paragraph" w:customStyle="1" w:styleId="CharChar2CharCharCharCharCharChar1">
    <w:name w:val="Char Char2 Char Char Char Char Char Char1"/>
    <w:aliases w:val="Char Char2 Char Char Char Char Char Char Char Char Char Char1"/>
    <w:basedOn w:val="Normal"/>
    <w:pPr>
      <w:tabs>
        <w:tab w:val="left" w:pos="709"/>
      </w:tabs>
      <w:spacing w:line="240" w:lineRule="auto"/>
    </w:pPr>
    <w:rPr>
      <w:rFonts w:ascii="Tahoma" w:hAnsi="Tahoma"/>
      <w:sz w:val="24"/>
      <w:szCs w:val="24"/>
      <w:lang w:val="pl-PL" w:eastAsia="pl-PL"/>
    </w:rPr>
  </w:style>
  <w:style w:type="paragraph" w:customStyle="1" w:styleId="Normal2">
    <w:name w:val="Normal2"/>
    <w:basedOn w:val="Normal"/>
    <w:pPr>
      <w:widowControl w:val="0"/>
      <w:spacing w:before="120" w:line="240" w:lineRule="auto"/>
      <w:jc w:val="both"/>
    </w:pPr>
    <w:rPr>
      <w:sz w:val="24"/>
      <w:szCs w:val="24"/>
    </w:rPr>
  </w:style>
  <w:style w:type="character" w:customStyle="1" w:styleId="CharChar135">
    <w:name w:val="Char Char135"/>
    <w:rPr>
      <w:rFonts w:ascii="Calibri" w:hAnsi="Calibri"/>
      <w:b/>
      <w:i/>
      <w:sz w:val="26"/>
    </w:rPr>
  </w:style>
  <w:style w:type="character" w:customStyle="1" w:styleId="CharChar95">
    <w:name w:val="Char Char95"/>
    <w:rPr>
      <w:rFonts w:ascii="Arial" w:hAnsi="Arial"/>
      <w:sz w:val="22"/>
      <w:lang w:val="en-US" w:eastAsia="en-US"/>
    </w:rPr>
  </w:style>
  <w:style w:type="character" w:customStyle="1" w:styleId="CharChar76">
    <w:name w:val="Char Char76"/>
    <w:locked/>
    <w:rPr>
      <w:rFonts w:ascii=".VnTimeH" w:hAnsi=".VnTimeH"/>
      <w:b/>
      <w:sz w:val="24"/>
      <w:lang w:val="en-US" w:eastAsia="en-US"/>
    </w:rPr>
  </w:style>
  <w:style w:type="character" w:customStyle="1" w:styleId="CharChar33">
    <w:name w:val="Char Char33"/>
    <w:rPr>
      <w:rFonts w:ascii=".VnTime" w:hAnsi=".VnTime"/>
      <w:sz w:val="24"/>
      <w:lang w:val="en-US" w:eastAsia="en-US"/>
    </w:rPr>
  </w:style>
  <w:style w:type="paragraph" w:customStyle="1" w:styleId="Heading15">
    <w:name w:val="Heading 15"/>
    <w:basedOn w:val="Normal"/>
    <w:autoRedefine/>
    <w:pPr>
      <w:spacing w:after="160" w:line="240" w:lineRule="exact"/>
      <w:jc w:val="center"/>
    </w:pPr>
    <w:rPr>
      <w:rFonts w:ascii=".VnTimeH" w:eastAsia="MS Mincho" w:hAnsi=".VnTimeH"/>
      <w:b/>
      <w:sz w:val="32"/>
      <w:szCs w:val="20"/>
    </w:rPr>
  </w:style>
  <w:style w:type="character" w:customStyle="1" w:styleId="CharChar165">
    <w:name w:val="Char Char165"/>
    <w:locked/>
    <w:rPr>
      <w:rFonts w:ascii=".VnArial" w:hAnsi=".VnArial"/>
      <w:b/>
      <w:sz w:val="24"/>
    </w:rPr>
  </w:style>
  <w:style w:type="character" w:customStyle="1" w:styleId="CharChar155">
    <w:name w:val="Char Char155"/>
    <w:locked/>
    <w:rPr>
      <w:rFonts w:ascii=".VnTimeH" w:hAnsi=".VnTimeH"/>
      <w:b/>
      <w:sz w:val="24"/>
    </w:rPr>
  </w:style>
  <w:style w:type="character" w:customStyle="1" w:styleId="CharChar125">
    <w:name w:val="Char Char125"/>
    <w:locked/>
    <w:rPr>
      <w:b/>
      <w:sz w:val="22"/>
    </w:rPr>
  </w:style>
  <w:style w:type="character" w:customStyle="1" w:styleId="CharChar115">
    <w:name w:val="Char Char115"/>
    <w:locked/>
    <w:rPr>
      <w:sz w:val="24"/>
    </w:rPr>
  </w:style>
  <w:style w:type="character" w:customStyle="1" w:styleId="CharChar106">
    <w:name w:val="Char Char106"/>
    <w:locked/>
    <w:rPr>
      <w:i/>
      <w:sz w:val="24"/>
    </w:rPr>
  </w:style>
  <w:style w:type="character" w:customStyle="1" w:styleId="CharChar85">
    <w:name w:val="Char Char85"/>
    <w:locked/>
    <w:rPr>
      <w:rFonts w:ascii=".VnTimeH" w:hAnsi=".VnTimeH"/>
      <w:b/>
      <w:sz w:val="24"/>
    </w:rPr>
  </w:style>
  <w:style w:type="character" w:customStyle="1" w:styleId="CharChar65">
    <w:name w:val="Char Char65"/>
    <w:locked/>
    <w:rPr>
      <w:rFonts w:ascii=".VnTime" w:hAnsi=".VnTime"/>
      <w:i/>
      <w:sz w:val="24"/>
    </w:rPr>
  </w:style>
  <w:style w:type="character" w:customStyle="1" w:styleId="CharChar55">
    <w:name w:val="Char Char55"/>
    <w:locked/>
    <w:rPr>
      <w:rFonts w:ascii=".VnTime" w:hAnsi=".VnTime"/>
      <w:sz w:val="16"/>
    </w:rPr>
  </w:style>
  <w:style w:type="character" w:customStyle="1" w:styleId="CharChar46">
    <w:name w:val="Char Char46"/>
    <w:locked/>
    <w:rPr>
      <w:rFonts w:ascii=".VnTime" w:hAnsi=".VnTime"/>
      <w:sz w:val="24"/>
    </w:rPr>
  </w:style>
  <w:style w:type="character" w:customStyle="1" w:styleId="CharChar25">
    <w:name w:val="Char Char25"/>
    <w:locked/>
    <w:rPr>
      <w:rFonts w:ascii=".VnTime" w:hAnsi=".VnTime"/>
      <w:sz w:val="24"/>
    </w:rPr>
  </w:style>
  <w:style w:type="paragraph" w:customStyle="1" w:styleId="Heading24">
    <w:name w:val="Heading 24"/>
    <w:basedOn w:val="TOC2"/>
    <w:autoRedefine/>
    <w:pPr>
      <w:tabs>
        <w:tab w:val="left" w:pos="1000"/>
        <w:tab w:val="right" w:leader="hyphen" w:pos="9110"/>
        <w:tab w:val="right" w:leader="dot" w:pos="9232"/>
      </w:tabs>
      <w:spacing w:after="120" w:line="380" w:lineRule="exact"/>
      <w:jc w:val="center"/>
    </w:pPr>
    <w:rPr>
      <w:rFonts w:ascii=".VnTimeH" w:eastAsia="MS Mincho" w:hAnsi=".VnTimeH"/>
      <w:bCs/>
      <w:iCs/>
      <w:sz w:val="28"/>
      <w:szCs w:val="28"/>
      <w:lang w:val="nb-NO"/>
    </w:rPr>
  </w:style>
  <w:style w:type="paragraph" w:customStyle="1" w:styleId="Heading16">
    <w:name w:val="Heading 16"/>
    <w:basedOn w:val="Normal"/>
    <w:next w:val="Normal"/>
    <w:autoRedefine/>
    <w:pPr>
      <w:spacing w:line="380" w:lineRule="exact"/>
    </w:pPr>
    <w:rPr>
      <w:rFonts w:ascii=".VnTime" w:eastAsia="MS Mincho" w:hAnsi=".VnTime"/>
      <w:noProof/>
      <w:szCs w:val="20"/>
    </w:rPr>
  </w:style>
  <w:style w:type="paragraph" w:customStyle="1" w:styleId="CharChar2Char5">
    <w:name w:val="Char Char2 Char5"/>
    <w:basedOn w:val="Normal"/>
    <w:pPr>
      <w:spacing w:after="160" w:line="240" w:lineRule="exact"/>
    </w:pPr>
    <w:rPr>
      <w:rFonts w:ascii="Tahoma" w:eastAsia="MS Mincho" w:hAnsi="Tahoma"/>
      <w:sz w:val="20"/>
      <w:szCs w:val="20"/>
    </w:rPr>
  </w:style>
  <w:style w:type="paragraph" w:customStyle="1" w:styleId="Db">
    <w:name w:val="Db"/>
    <w:basedOn w:val="Normal"/>
    <w:uiPriority w:val="99"/>
    <w:pPr>
      <w:spacing w:before="60" w:after="60" w:line="312" w:lineRule="auto"/>
      <w:jc w:val="center"/>
    </w:pPr>
    <w:rPr>
      <w:i/>
      <w:iCs/>
      <w:lang w:val="vi-VN"/>
    </w:rPr>
  </w:style>
  <w:style w:type="paragraph" w:customStyle="1" w:styleId="CharCharCharCharCharCharCharCharCharCharCharCharChar">
    <w:name w:val="Char Char Char Char Char Char Char Char Char Char Char Char Char"/>
    <w:autoRedefine/>
    <w:pPr>
      <w:tabs>
        <w:tab w:val="left" w:pos="1152"/>
      </w:tabs>
      <w:spacing w:before="120" w:after="120" w:line="312" w:lineRule="auto"/>
    </w:pPr>
    <w:rPr>
      <w:rFonts w:ascii="Arial" w:hAnsi="Arial" w:cs="Arial"/>
      <w:sz w:val="26"/>
      <w:szCs w:val="26"/>
    </w:rPr>
  </w:style>
  <w:style w:type="paragraph" w:customStyle="1" w:styleId="CharCharCharCharCharCharCharCharCharCharCharCharCharChar1CharCharCharChar">
    <w:name w:val="Char Char Char Char Char Char Char Char Char Char Char Char Char Char1 Char Char Char Char"/>
    <w:basedOn w:val="Normal"/>
    <w:pPr>
      <w:widowControl w:val="0"/>
      <w:spacing w:line="240" w:lineRule="auto"/>
      <w:jc w:val="both"/>
    </w:pPr>
    <w:rPr>
      <w:rFonts w:ascii="Tahoma" w:eastAsia="SimSun" w:hAnsi="Tahoma"/>
      <w:kern w:val="2"/>
      <w:szCs w:val="20"/>
      <w:lang w:eastAsia="zh-CN"/>
    </w:rPr>
  </w:style>
  <w:style w:type="paragraph" w:customStyle="1" w:styleId="t4">
    <w:name w:val="t4"/>
    <w:basedOn w:val="Normal"/>
    <w:qFormat/>
    <w:pPr>
      <w:keepNext/>
      <w:spacing w:line="312" w:lineRule="auto"/>
      <w:outlineLvl w:val="0"/>
    </w:pPr>
    <w:rPr>
      <w:bCs/>
      <w:i/>
      <w:kern w:val="32"/>
    </w:rPr>
  </w:style>
  <w:style w:type="paragraph" w:customStyle="1" w:styleId="NormalArial">
    <w:name w:val="Normal +Arial"/>
    <w:basedOn w:val="Heading4"/>
    <w:link w:val="NormalArialChar"/>
    <w:pPr>
      <w:spacing w:before="120" w:after="120" w:line="340" w:lineRule="exact"/>
      <w:jc w:val="both"/>
    </w:pPr>
    <w:rPr>
      <w:rFonts w:ascii="Arial" w:hAnsi="Arial"/>
      <w:b w:val="0"/>
      <w:color w:val="000000"/>
      <w:sz w:val="24"/>
    </w:rPr>
  </w:style>
  <w:style w:type="character" w:customStyle="1" w:styleId="NormalArialChar">
    <w:name w:val="Normal +Arial Char"/>
    <w:link w:val="NormalArial"/>
    <w:locked/>
    <w:rPr>
      <w:rFonts w:ascii="Arial" w:hAnsi="Arial"/>
      <w:color w:val="000000"/>
      <w:sz w:val="24"/>
    </w:rPr>
  </w:style>
  <w:style w:type="character" w:customStyle="1" w:styleId="MyHeaderCharChar">
    <w:name w:val="MyHeader Char Char"/>
    <w:locked/>
    <w:rPr>
      <w:rFonts w:ascii=".VnTime" w:hAnsi=".VnTime"/>
      <w:sz w:val="26"/>
      <w:lang w:val="vi-VN" w:eastAsia="vi-VN"/>
    </w:rPr>
  </w:style>
  <w:style w:type="paragraph" w:customStyle="1" w:styleId="Normal3">
    <w:name w:val="Normal3"/>
    <w:basedOn w:val="Normal"/>
    <w:pPr>
      <w:widowControl w:val="0"/>
      <w:spacing w:before="120" w:line="240" w:lineRule="auto"/>
      <w:jc w:val="both"/>
    </w:pPr>
    <w:rPr>
      <w:sz w:val="24"/>
      <w:szCs w:val="24"/>
    </w:rPr>
  </w:style>
  <w:style w:type="character" w:customStyle="1" w:styleId="CharChar134">
    <w:name w:val="Char Char134"/>
    <w:rPr>
      <w:rFonts w:ascii="Calibri" w:hAnsi="Calibri"/>
      <w:b/>
      <w:i/>
      <w:sz w:val="26"/>
    </w:rPr>
  </w:style>
  <w:style w:type="character" w:customStyle="1" w:styleId="CharChar94">
    <w:name w:val="Char Char94"/>
    <w:rPr>
      <w:rFonts w:ascii="Arial" w:hAnsi="Arial"/>
      <w:sz w:val="22"/>
      <w:lang w:val="en-US" w:eastAsia="en-US"/>
    </w:rPr>
  </w:style>
  <w:style w:type="character" w:customStyle="1" w:styleId="CharChar75">
    <w:name w:val="Char Char75"/>
    <w:locked/>
    <w:rPr>
      <w:rFonts w:ascii=".VnTimeH" w:hAnsi=".VnTimeH"/>
      <w:b/>
      <w:sz w:val="24"/>
      <w:lang w:val="en-US" w:eastAsia="en-US"/>
    </w:rPr>
  </w:style>
  <w:style w:type="character" w:customStyle="1" w:styleId="CharChar32">
    <w:name w:val="Char Char32"/>
    <w:rPr>
      <w:rFonts w:ascii=".VnTime" w:hAnsi=".VnTime"/>
      <w:sz w:val="24"/>
      <w:lang w:val="en-US" w:eastAsia="en-US"/>
    </w:rPr>
  </w:style>
  <w:style w:type="paragraph" w:customStyle="1" w:styleId="Heading17">
    <w:name w:val="Heading 17"/>
    <w:basedOn w:val="Normal"/>
    <w:autoRedefine/>
    <w:pPr>
      <w:spacing w:after="160" w:line="240" w:lineRule="exact"/>
      <w:jc w:val="center"/>
    </w:pPr>
    <w:rPr>
      <w:rFonts w:ascii=".VnTimeH" w:eastAsia="MS Mincho" w:hAnsi=".VnTimeH"/>
      <w:b/>
      <w:sz w:val="32"/>
      <w:szCs w:val="20"/>
    </w:rPr>
  </w:style>
  <w:style w:type="character" w:customStyle="1" w:styleId="CharChar164">
    <w:name w:val="Char Char164"/>
    <w:locked/>
    <w:rPr>
      <w:rFonts w:ascii=".VnArial" w:hAnsi=".VnArial"/>
      <w:b/>
      <w:sz w:val="24"/>
    </w:rPr>
  </w:style>
  <w:style w:type="character" w:customStyle="1" w:styleId="CharChar154">
    <w:name w:val="Char Char154"/>
    <w:locked/>
    <w:rPr>
      <w:rFonts w:ascii=".VnTimeH" w:hAnsi=".VnTimeH"/>
      <w:b/>
      <w:sz w:val="24"/>
    </w:rPr>
  </w:style>
  <w:style w:type="character" w:customStyle="1" w:styleId="CharChar124">
    <w:name w:val="Char Char124"/>
    <w:locked/>
    <w:rPr>
      <w:b/>
      <w:sz w:val="22"/>
    </w:rPr>
  </w:style>
  <w:style w:type="character" w:customStyle="1" w:styleId="CharChar114">
    <w:name w:val="Char Char114"/>
    <w:locked/>
    <w:rPr>
      <w:sz w:val="24"/>
    </w:rPr>
  </w:style>
  <w:style w:type="character" w:customStyle="1" w:styleId="CharChar105">
    <w:name w:val="Char Char105"/>
    <w:locked/>
    <w:rPr>
      <w:i/>
      <w:sz w:val="24"/>
    </w:rPr>
  </w:style>
  <w:style w:type="character" w:customStyle="1" w:styleId="CharChar84">
    <w:name w:val="Char Char84"/>
    <w:locked/>
    <w:rPr>
      <w:rFonts w:ascii=".VnTimeH" w:hAnsi=".VnTimeH"/>
      <w:b/>
      <w:sz w:val="24"/>
    </w:rPr>
  </w:style>
  <w:style w:type="character" w:customStyle="1" w:styleId="CharChar64">
    <w:name w:val="Char Char64"/>
    <w:locked/>
    <w:rPr>
      <w:rFonts w:ascii=".VnTime" w:hAnsi=".VnTime"/>
      <w:i/>
      <w:sz w:val="24"/>
    </w:rPr>
  </w:style>
  <w:style w:type="character" w:customStyle="1" w:styleId="CharChar54">
    <w:name w:val="Char Char54"/>
    <w:locked/>
    <w:rPr>
      <w:rFonts w:ascii=".VnTime" w:hAnsi=".VnTime"/>
      <w:sz w:val="16"/>
    </w:rPr>
  </w:style>
  <w:style w:type="character" w:customStyle="1" w:styleId="CharChar45">
    <w:name w:val="Char Char45"/>
    <w:locked/>
    <w:rPr>
      <w:rFonts w:ascii=".VnTime" w:hAnsi=".VnTime"/>
      <w:sz w:val="24"/>
    </w:rPr>
  </w:style>
  <w:style w:type="character" w:customStyle="1" w:styleId="CharChar24">
    <w:name w:val="Char Char24"/>
    <w:locked/>
    <w:rPr>
      <w:rFonts w:ascii=".VnTime" w:hAnsi=".VnTime"/>
      <w:sz w:val="24"/>
    </w:rPr>
  </w:style>
  <w:style w:type="paragraph" w:customStyle="1" w:styleId="Heading25">
    <w:name w:val="Heading 25"/>
    <w:basedOn w:val="TOC2"/>
    <w:autoRedefine/>
    <w:pPr>
      <w:tabs>
        <w:tab w:val="left" w:pos="1000"/>
        <w:tab w:val="right" w:leader="hyphen" w:pos="9110"/>
        <w:tab w:val="right" w:leader="dot" w:pos="9232"/>
      </w:tabs>
      <w:spacing w:after="120" w:line="380" w:lineRule="exact"/>
      <w:jc w:val="center"/>
    </w:pPr>
    <w:rPr>
      <w:rFonts w:ascii=".VnTimeH" w:eastAsia="MS Mincho" w:hAnsi=".VnTimeH"/>
      <w:bCs/>
      <w:iCs/>
      <w:sz w:val="28"/>
      <w:szCs w:val="28"/>
      <w:lang w:val="nb-NO"/>
    </w:rPr>
  </w:style>
  <w:style w:type="paragraph" w:customStyle="1" w:styleId="Heading18">
    <w:name w:val="Heading 18"/>
    <w:basedOn w:val="Normal"/>
    <w:next w:val="Normal"/>
    <w:autoRedefine/>
    <w:pPr>
      <w:spacing w:line="380" w:lineRule="exact"/>
    </w:pPr>
    <w:rPr>
      <w:rFonts w:ascii=".VnTime" w:eastAsia="MS Mincho" w:hAnsi=".VnTime"/>
      <w:noProof/>
      <w:szCs w:val="20"/>
    </w:rPr>
  </w:style>
  <w:style w:type="paragraph" w:customStyle="1" w:styleId="CharChar2Char4">
    <w:name w:val="Char Char2 Char4"/>
    <w:basedOn w:val="Normal"/>
    <w:pPr>
      <w:spacing w:after="160" w:line="240" w:lineRule="exact"/>
    </w:pPr>
    <w:rPr>
      <w:rFonts w:ascii="Tahoma" w:eastAsia="MS Mincho" w:hAnsi="Tahoma"/>
      <w:sz w:val="20"/>
      <w:szCs w:val="20"/>
    </w:rPr>
  </w:style>
  <w:style w:type="paragraph" w:customStyle="1" w:styleId="CharCharCharCharCharCharCharCharCharCharCharCharChar1">
    <w:name w:val="Char Char Char Char Char Char Char Char Char Char Char Char Char1"/>
    <w:autoRedefine/>
    <w:pPr>
      <w:tabs>
        <w:tab w:val="left" w:pos="1152"/>
      </w:tabs>
      <w:spacing w:before="120" w:after="120" w:line="312" w:lineRule="auto"/>
    </w:pPr>
    <w:rPr>
      <w:rFonts w:ascii="Arial" w:hAnsi="Arial" w:cs="Arial"/>
      <w:sz w:val="26"/>
      <w:szCs w:val="26"/>
    </w:rPr>
  </w:style>
  <w:style w:type="paragraph" w:customStyle="1" w:styleId="nomalCharChar">
    <w:name w:val="nomal Char Char"/>
    <w:basedOn w:val="BodyTextIndent"/>
    <w:pPr>
      <w:spacing w:before="160" w:after="0" w:line="240" w:lineRule="auto"/>
      <w:ind w:left="0" w:firstLine="720"/>
      <w:jc w:val="both"/>
    </w:pPr>
    <w:rPr>
      <w:rFonts w:ascii="Times New Roman" w:hAnsi="Times New Roman"/>
      <w:sz w:val="26"/>
    </w:rPr>
  </w:style>
  <w:style w:type="paragraph" w:customStyle="1" w:styleId="ADBNumberredPara">
    <w:name w:val="ADB Numberred Para"/>
    <w:basedOn w:val="Normal"/>
    <w:pPr>
      <w:tabs>
        <w:tab w:val="num" w:pos="0"/>
      </w:tabs>
      <w:spacing w:after="200" w:line="240" w:lineRule="atLeast"/>
      <w:ind w:left="936" w:hanging="432"/>
      <w:jc w:val="both"/>
    </w:pPr>
    <w:rPr>
      <w:rFonts w:ascii="Arial" w:eastAsia="SimSun" w:hAnsi="Arial"/>
      <w:sz w:val="21"/>
      <w:szCs w:val="22"/>
      <w:lang w:val="en-AU" w:eastAsia="zh-CN"/>
    </w:rPr>
  </w:style>
  <w:style w:type="character" w:customStyle="1" w:styleId="CharCharCharCharCharCharCharCharChar">
    <w:name w:val="Char Char Char Char Char Char Char Char Char"/>
    <w:rPr>
      <w:rFonts w:ascii="Arial" w:hAnsi="Arial"/>
      <w:sz w:val="26"/>
      <w:lang w:val="en-US" w:eastAsia="en-US"/>
    </w:rPr>
  </w:style>
  <w:style w:type="numbering" w:styleId="111111">
    <w:name w:val="Outline List 2"/>
    <w:basedOn w:val="NoList"/>
    <w:unhideWhenUsed/>
  </w:style>
  <w:style w:type="numbering" w:customStyle="1" w:styleId="Tmc21218">
    <w:name w:val="Tmc21218"/>
  </w:style>
  <w:style w:type="paragraph" w:styleId="CommentSubject">
    <w:name w:val="annotation subject"/>
    <w:basedOn w:val="CommentText"/>
    <w:next w:val="CommentText"/>
    <w:link w:val="CommentSubjectChar"/>
    <w:uiPriority w:val="99"/>
    <w:pPr>
      <w:spacing w:line="300" w:lineRule="exact"/>
    </w:pPr>
    <w:rPr>
      <w:b/>
      <w:bCs/>
    </w:rPr>
  </w:style>
  <w:style w:type="character" w:customStyle="1" w:styleId="CommentSubjectChar">
    <w:name w:val="Comment Subject Char"/>
    <w:link w:val="CommentSubject"/>
    <w:uiPriority w:val="99"/>
    <w:rPr>
      <w:rFonts w:cs="Times New Roman"/>
      <w:b/>
      <w:bCs/>
    </w:rPr>
  </w:style>
  <w:style w:type="character" w:customStyle="1" w:styleId="CharChar116">
    <w:name w:val="Char Char116"/>
    <w:locked/>
    <w:rPr>
      <w:sz w:val="24"/>
      <w:szCs w:val="24"/>
    </w:rPr>
  </w:style>
  <w:style w:type="character" w:customStyle="1" w:styleId="CharChar110">
    <w:name w:val="Char Char110"/>
    <w:locked/>
    <w:rPr>
      <w:rFonts w:ascii=".VnTime" w:hAnsi=".VnTime"/>
      <w:sz w:val="16"/>
      <w:szCs w:val="16"/>
    </w:rPr>
  </w:style>
  <w:style w:type="paragraph" w:styleId="Revision">
    <w:name w:val="Revision"/>
    <w:hidden/>
    <w:uiPriority w:val="99"/>
    <w:semiHidden/>
    <w:rPr>
      <w:sz w:val="28"/>
      <w:szCs w:val="28"/>
    </w:rPr>
  </w:style>
  <w:style w:type="paragraph" w:customStyle="1" w:styleId="StylevanbanHanging003cm">
    <w:name w:val="Style vanban + Hanging:  0.03 cm"/>
    <w:basedOn w:val="Normal"/>
    <w:pPr>
      <w:spacing w:before="120" w:after="120" w:line="320" w:lineRule="exact"/>
      <w:ind w:left="737"/>
      <w:jc w:val="both"/>
    </w:pPr>
    <w:rPr>
      <w:rFonts w:ascii=".VnTime" w:hAnsi=".VnTime"/>
      <w:noProof/>
      <w:color w:val="000000"/>
      <w:sz w:val="26"/>
      <w:szCs w:val="20"/>
    </w:rPr>
  </w:style>
  <w:style w:type="paragraph" w:customStyle="1" w:styleId="Tieudechuong">
    <w:name w:val="Tieu de chuong"/>
    <w:basedOn w:val="Normal"/>
    <w:pPr>
      <w:overflowPunct w:val="0"/>
      <w:autoSpaceDE w:val="0"/>
      <w:autoSpaceDN w:val="0"/>
      <w:adjustRightInd w:val="0"/>
      <w:spacing w:before="120" w:after="120" w:line="320" w:lineRule="exact"/>
      <w:jc w:val="both"/>
      <w:textAlignment w:val="baseline"/>
    </w:pPr>
    <w:rPr>
      <w:rFonts w:ascii=".VnTimeH" w:hAnsi=".VnTimeH"/>
      <w:b/>
      <w:noProof/>
      <w:szCs w:val="20"/>
      <w:lang w:val="en-GB"/>
    </w:rPr>
  </w:style>
  <w:style w:type="paragraph" w:customStyle="1" w:styleId="vanban">
    <w:name w:val="vanban"/>
    <w:basedOn w:val="Normal"/>
    <w:pPr>
      <w:spacing w:before="60" w:after="60" w:line="320" w:lineRule="exact"/>
      <w:jc w:val="both"/>
    </w:pPr>
    <w:rPr>
      <w:rFonts w:ascii=".VnTime" w:hAnsi=".VnTime"/>
      <w:noProof/>
      <w:color w:val="000000"/>
      <w:sz w:val="26"/>
      <w:szCs w:val="20"/>
    </w:rPr>
  </w:style>
  <w:style w:type="paragraph" w:customStyle="1" w:styleId="Muc111">
    <w:name w:val="Muc 1.1.1"/>
    <w:basedOn w:val="Normal"/>
    <w:autoRedefine/>
    <w:pPr>
      <w:numPr>
        <w:ilvl w:val="1"/>
        <w:numId w:val="9"/>
      </w:numPr>
      <w:overflowPunct w:val="0"/>
      <w:autoSpaceDE w:val="0"/>
      <w:autoSpaceDN w:val="0"/>
      <w:adjustRightInd w:val="0"/>
      <w:spacing w:line="312" w:lineRule="auto"/>
      <w:jc w:val="both"/>
    </w:pPr>
    <w:rPr>
      <w:bCs/>
      <w:iCs/>
      <w:sz w:val="26"/>
      <w:szCs w:val="26"/>
    </w:rPr>
  </w:style>
  <w:style w:type="character" w:customStyle="1" w:styleId="Heading1Char1">
    <w:name w:val="Heading 1 Char1"/>
    <w:aliases w:val="Heading 1 Char Char1,ch­¬ng Char Char,Chương 1 Char,Heading Char,BVI Char,RepHead1 Char,Heading 1 Char Char Char1,H 1 Char1"/>
    <w:rPr>
      <w:rFonts w:ascii=".VnTime" w:hAnsi=".VnTime"/>
      <w:b/>
      <w:sz w:val="26"/>
      <w:lang w:val="en-US" w:eastAsia="en-US" w:bidi="ar-SA"/>
    </w:rPr>
  </w:style>
  <w:style w:type="paragraph" w:customStyle="1" w:styleId="Chuongvasochuong">
    <w:name w:val="Chuong va so chuong"/>
    <w:basedOn w:val="Normal"/>
    <w:pPr>
      <w:overflowPunct w:val="0"/>
      <w:autoSpaceDE w:val="0"/>
      <w:autoSpaceDN w:val="0"/>
      <w:adjustRightInd w:val="0"/>
      <w:spacing w:line="320" w:lineRule="exact"/>
      <w:jc w:val="center"/>
    </w:pPr>
    <w:rPr>
      <w:rFonts w:ascii=".VnTimeH" w:hAnsi=".VnTimeH"/>
      <w:b/>
      <w:sz w:val="24"/>
      <w:szCs w:val="20"/>
      <w:lang w:val="en-GB"/>
    </w:rPr>
  </w:style>
  <w:style w:type="paragraph" w:customStyle="1" w:styleId="Style13ptLeft254cm">
    <w:name w:val="Style 13 pt Left:  2.54 cm"/>
    <w:basedOn w:val="Normal"/>
    <w:pPr>
      <w:numPr>
        <w:numId w:val="10"/>
      </w:numPr>
      <w:spacing w:before="60" w:after="60" w:line="240" w:lineRule="auto"/>
      <w:jc w:val="both"/>
    </w:pPr>
    <w:rPr>
      <w:sz w:val="26"/>
      <w:szCs w:val="20"/>
    </w:rPr>
  </w:style>
  <w:style w:type="paragraph" w:customStyle="1" w:styleId="Gachdaudong">
    <w:name w:val="Gach dau dong"/>
    <w:basedOn w:val="Normal"/>
    <w:pPr>
      <w:numPr>
        <w:numId w:val="11"/>
      </w:numPr>
      <w:spacing w:before="60" w:after="60" w:line="320" w:lineRule="exact"/>
      <w:jc w:val="both"/>
    </w:pPr>
    <w:rPr>
      <w:sz w:val="26"/>
      <w:szCs w:val="24"/>
    </w:rPr>
  </w:style>
  <w:style w:type="paragraph" w:customStyle="1" w:styleId="Doan">
    <w:name w:val="Doan"/>
    <w:basedOn w:val="Normal"/>
    <w:pPr>
      <w:spacing w:before="60" w:line="320" w:lineRule="exact"/>
      <w:ind w:left="720"/>
      <w:jc w:val="both"/>
    </w:pPr>
    <w:rPr>
      <w:rFonts w:ascii=".VnTime" w:hAnsi=".VnTime"/>
      <w:sz w:val="26"/>
      <w:szCs w:val="20"/>
      <w:lang w:val="en-GB"/>
    </w:rPr>
  </w:style>
  <w:style w:type="paragraph" w:customStyle="1" w:styleId="MUC11">
    <w:name w:val="MUC 1.1"/>
    <w:basedOn w:val="Normal"/>
    <w:qFormat/>
    <w:pPr>
      <w:widowControl w:val="0"/>
      <w:spacing w:before="120" w:after="120" w:line="280" w:lineRule="exact"/>
    </w:pPr>
    <w:rPr>
      <w:b/>
      <w:sz w:val="26"/>
      <w:lang w:val="fr-FR"/>
    </w:rPr>
  </w:style>
  <w:style w:type="paragraph" w:customStyle="1" w:styleId="western">
    <w:name w:val="western"/>
    <w:basedOn w:val="Normal"/>
    <w:pPr>
      <w:spacing w:before="115" w:after="115" w:line="317" w:lineRule="atLeast"/>
      <w:jc w:val="both"/>
    </w:pPr>
    <w:rPr>
      <w:sz w:val="26"/>
      <w:szCs w:val="26"/>
    </w:rPr>
  </w:style>
  <w:style w:type="paragraph" w:styleId="NoSpacing">
    <w:name w:val="No Spacing"/>
    <w:link w:val="NoSpacingChar"/>
    <w:uiPriority w:val="1"/>
    <w:qFormat/>
    <w:rPr>
      <w:rFonts w:ascii="Calibri" w:hAnsi="Calibri"/>
      <w:sz w:val="22"/>
      <w:szCs w:val="22"/>
    </w:rPr>
  </w:style>
  <w:style w:type="character" w:customStyle="1" w:styleId="NoSpacingChar">
    <w:name w:val="No Spacing Char"/>
    <w:link w:val="NoSpacing"/>
    <w:uiPriority w:val="1"/>
    <w:rPr>
      <w:rFonts w:ascii="Calibri" w:hAnsi="Calibri"/>
      <w:sz w:val="22"/>
      <w:szCs w:val="22"/>
      <w:lang w:bidi="ar-SA"/>
    </w:rPr>
  </w:style>
  <w:style w:type="numbering" w:customStyle="1" w:styleId="NoList1">
    <w:name w:val="No List1"/>
    <w:next w:val="NoList"/>
    <w:uiPriority w:val="99"/>
    <w:semiHidden/>
    <w:unhideWhenUsed/>
  </w:style>
  <w:style w:type="table" w:customStyle="1" w:styleId="TableGrid1">
    <w:name w:val="Table Grid1"/>
    <w:basedOn w:val="TableNormal"/>
    <w:next w:val="TableGrid"/>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Tmc212181">
    <w:name w:val="Tmc212181"/>
  </w:style>
  <w:style w:type="numbering" w:customStyle="1" w:styleId="1111111">
    <w:name w:val="1 / 1.1 / 1.1.11"/>
    <w:basedOn w:val="NoList"/>
    <w:next w:val="111111"/>
    <w:unhideWhenUsed/>
  </w:style>
  <w:style w:type="numbering" w:customStyle="1" w:styleId="NoList2">
    <w:name w:val="No List2"/>
    <w:next w:val="NoList"/>
    <w:uiPriority w:val="99"/>
    <w:semiHidden/>
    <w:unhideWhenUsed/>
  </w:style>
  <w:style w:type="table" w:customStyle="1" w:styleId="TableGrid2">
    <w:name w:val="Table Grid2"/>
    <w:basedOn w:val="TableNormal"/>
    <w:next w:val="TableGrid"/>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NoList"/>
    <w:next w:val="111111"/>
    <w:uiPriority w:val="99"/>
    <w:semiHidden/>
    <w:unhideWhenUsed/>
  </w:style>
  <w:style w:type="numbering" w:customStyle="1" w:styleId="Tmc212182">
    <w:name w:val="Tmc212182"/>
  </w:style>
  <w:style w:type="numbering" w:customStyle="1" w:styleId="NoList3">
    <w:name w:val="No List3"/>
    <w:next w:val="NoList"/>
    <w:uiPriority w:val="99"/>
    <w:semiHidden/>
    <w:unhideWhenUsed/>
  </w:style>
  <w:style w:type="character" w:customStyle="1" w:styleId="Heading5Char2">
    <w:name w:val="Heading 5 Char2"/>
    <w:aliases w:val="abc Char1,H 5 Char1,Heading 5 Char1 Char2,Heading 5 Char Char Char Char1,Heading 5 Char1 Char Char1"/>
    <w:uiPriority w:val="9"/>
    <w:semiHidden/>
    <w:rPr>
      <w:rFonts w:ascii="Cambria" w:eastAsia="Times New Roman" w:hAnsi="Cambria" w:cs="Times New Roman"/>
      <w:color w:val="243F60"/>
      <w:sz w:val="28"/>
      <w:szCs w:val="28"/>
    </w:rPr>
  </w:style>
  <w:style w:type="character" w:customStyle="1" w:styleId="HeaderChar1">
    <w:name w:val="Header Char1"/>
    <w:aliases w:val="g Char1,g1 Char1,g2 Char1,g3 Char1,g4 Char1,g5 Char1,g11 Char1,MyHeader Char1"/>
    <w:uiPriority w:val="99"/>
    <w:semiHidden/>
    <w:rPr>
      <w:rFonts w:ascii="Times New Roman" w:eastAsia="Times New Roman" w:hAnsi="Times New Roman" w:cs="Times New Roman"/>
      <w:sz w:val="28"/>
      <w:szCs w:val="28"/>
    </w:rPr>
  </w:style>
  <w:style w:type="character" w:customStyle="1" w:styleId="FooterChar1">
    <w:name w:val="Footer Char1"/>
    <w:aliases w:val="Footer-Even Char1"/>
    <w:uiPriority w:val="99"/>
    <w:semiHidden/>
    <w:rPr>
      <w:rFonts w:ascii="Times New Roman" w:eastAsia="Times New Roman" w:hAnsi="Times New Roman" w:cs="Times New Roman"/>
      <w:sz w:val="28"/>
      <w:szCs w:val="28"/>
    </w:rPr>
  </w:style>
  <w:style w:type="character" w:customStyle="1" w:styleId="BodyText2Char1">
    <w:name w:val="Body Text 2 Char1"/>
    <w:aliases w:val="Body Text 2-1 Char1"/>
    <w:uiPriority w:val="99"/>
    <w:semiHidden/>
    <w:rPr>
      <w:rFonts w:ascii="Times New Roman" w:eastAsia="Times New Roman" w:hAnsi="Times New Roman" w:cs="Times New Roman"/>
      <w:sz w:val="28"/>
      <w:szCs w:val="28"/>
    </w:rPr>
  </w:style>
  <w:style w:type="numbering" w:customStyle="1" w:styleId="1111113">
    <w:name w:val="1 / 1.1 / 1.1.13"/>
    <w:basedOn w:val="NoList"/>
    <w:next w:val="111111"/>
    <w:uiPriority w:val="99"/>
    <w:semiHidden/>
    <w:unhideWhenUsed/>
  </w:style>
  <w:style w:type="numbering" w:customStyle="1" w:styleId="Tmc212183">
    <w:name w:val="Tmc212183"/>
  </w:style>
  <w:style w:type="paragraph" w:customStyle="1" w:styleId="CharCharChar1Char">
    <w:name w:val="Char Char Char1 Char"/>
    <w:basedOn w:val="Normal"/>
    <w:uiPriority w:val="99"/>
    <w:pPr>
      <w:spacing w:after="160" w:line="240" w:lineRule="exact"/>
    </w:pPr>
    <w:rPr>
      <w:rFonts w:ascii="Verdana" w:hAnsi="Verdana"/>
      <w:sz w:val="20"/>
      <w:szCs w:val="20"/>
    </w:rPr>
  </w:style>
  <w:style w:type="character" w:customStyle="1" w:styleId="cuongntRCharChar">
    <w:name w:val="cuongntR Char Char"/>
    <w:link w:val="cuongntR"/>
    <w:locked/>
    <w:rPr>
      <w:bCs/>
      <w:sz w:val="28"/>
      <w:szCs w:val="28"/>
      <w:lang w:val="pt-BR"/>
    </w:rPr>
  </w:style>
  <w:style w:type="paragraph" w:customStyle="1" w:styleId="cuongntR">
    <w:name w:val="cuongntR"/>
    <w:basedOn w:val="Normal"/>
    <w:link w:val="cuongntRCharChar"/>
    <w:autoRedefine/>
    <w:pPr>
      <w:spacing w:before="60" w:after="60" w:line="252" w:lineRule="auto"/>
      <w:ind w:firstLine="720"/>
      <w:jc w:val="both"/>
    </w:pPr>
    <w:rPr>
      <w:bCs/>
      <w:lang w:val="pt-BR"/>
    </w:rPr>
  </w:style>
  <w:style w:type="paragraph" w:customStyle="1" w:styleId="xl95">
    <w:name w:val="xl95"/>
    <w:basedOn w:val="Normal"/>
    <w:pPr>
      <w:pBdr>
        <w:top w:val="single" w:sz="4" w:space="0" w:color="auto"/>
        <w:bottom w:val="single" w:sz="12" w:space="0" w:color="auto"/>
      </w:pBdr>
      <w:spacing w:before="100" w:beforeAutospacing="1" w:after="100" w:afterAutospacing="1" w:line="240" w:lineRule="auto"/>
      <w:jc w:val="center"/>
      <w:textAlignment w:val="top"/>
    </w:pPr>
    <w:rPr>
      <w:sz w:val="20"/>
      <w:szCs w:val="20"/>
    </w:rPr>
  </w:style>
  <w:style w:type="paragraph" w:customStyle="1" w:styleId="CharCharCharCharChar1CharChar">
    <w:name w:val="Char Char Char Char Char1 Char Char"/>
    <w:basedOn w:val="Normal"/>
    <w:semiHidden/>
    <w:pPr>
      <w:autoSpaceDE w:val="0"/>
      <w:autoSpaceDN w:val="0"/>
      <w:adjustRightInd w:val="0"/>
      <w:spacing w:before="120" w:after="160" w:line="240" w:lineRule="exact"/>
    </w:pPr>
    <w:rPr>
      <w:rFonts w:ascii="Verdana" w:hAnsi="Verdana"/>
      <w:sz w:val="20"/>
      <w:szCs w:val="20"/>
    </w:rPr>
  </w:style>
  <w:style w:type="character" w:customStyle="1" w:styleId="VLText1">
    <w:name w:val="VL_Text 1"/>
    <w:rPr>
      <w:rFonts w:ascii="Times New Roman" w:hAnsi="Times New Roman"/>
      <w:bdr w:val="none" w:sz="0" w:space="0" w:color="auto"/>
    </w:rPr>
  </w:style>
  <w:style w:type="paragraph" w:customStyle="1" w:styleId="Bullet-Char">
    <w:name w:val="Bullet - Char"/>
    <w:basedOn w:val="Normal"/>
    <w:pPr>
      <w:numPr>
        <w:numId w:val="12"/>
      </w:numPr>
      <w:autoSpaceDE w:val="0"/>
      <w:autoSpaceDN w:val="0"/>
      <w:adjustRightInd w:val="0"/>
      <w:spacing w:before="120" w:after="60" w:line="400" w:lineRule="exact"/>
      <w:jc w:val="both"/>
    </w:pPr>
    <w:rPr>
      <w:rFonts w:ascii=".VnTime" w:hAnsi=".VnTime"/>
      <w:sz w:val="24"/>
      <w:szCs w:val="24"/>
    </w:rPr>
  </w:style>
  <w:style w:type="paragraph" w:customStyle="1" w:styleId="Gach">
    <w:name w:val="Gach"/>
    <w:basedOn w:val="Normal"/>
    <w:pPr>
      <w:numPr>
        <w:numId w:val="13"/>
      </w:numPr>
      <w:tabs>
        <w:tab w:val="left" w:pos="567"/>
      </w:tabs>
      <w:spacing w:before="40" w:after="40" w:line="276" w:lineRule="auto"/>
      <w:jc w:val="both"/>
    </w:pPr>
    <w:rPr>
      <w:rFonts w:ascii="Tahoma" w:hAnsi="Tahoma"/>
      <w:sz w:val="20"/>
      <w:szCs w:val="20"/>
    </w:rPr>
  </w:style>
  <w:style w:type="paragraph" w:customStyle="1" w:styleId="Bullet-">
    <w:name w:val="Bullet -"/>
    <w:basedOn w:val="Normal"/>
    <w:pPr>
      <w:tabs>
        <w:tab w:val="num" w:pos="567"/>
      </w:tabs>
      <w:autoSpaceDE w:val="0"/>
      <w:autoSpaceDN w:val="0"/>
      <w:adjustRightInd w:val="0"/>
      <w:spacing w:before="120" w:after="60" w:line="400" w:lineRule="exact"/>
      <w:ind w:left="567" w:hanging="567"/>
      <w:jc w:val="both"/>
    </w:pPr>
    <w:rPr>
      <w:rFonts w:ascii=".VnTime" w:hAnsi=".VnTime"/>
      <w:sz w:val="24"/>
      <w:szCs w:val="24"/>
    </w:rPr>
  </w:style>
  <w:style w:type="paragraph" w:customStyle="1" w:styleId="h10">
    <w:name w:val="h1"/>
    <w:basedOn w:val="Normal"/>
    <w:link w:val="h1Char"/>
    <w:qFormat/>
    <w:pPr>
      <w:spacing w:before="80" w:after="60" w:line="340" w:lineRule="exact"/>
      <w:jc w:val="center"/>
    </w:pPr>
    <w:rPr>
      <w:b/>
      <w:sz w:val="26"/>
    </w:rPr>
  </w:style>
  <w:style w:type="character" w:customStyle="1" w:styleId="h1Char">
    <w:name w:val="h1 Char"/>
    <w:link w:val="h10"/>
    <w:rPr>
      <w:b/>
      <w:sz w:val="26"/>
      <w:szCs w:val="28"/>
    </w:rPr>
  </w:style>
  <w:style w:type="paragraph" w:customStyle="1" w:styleId="16">
    <w:name w:val="16"/>
    <w:basedOn w:val="Normal"/>
    <w:link w:val="16Char"/>
    <w:autoRedefine/>
    <w:qFormat/>
    <w:pPr>
      <w:widowControl w:val="0"/>
      <w:spacing w:after="60" w:line="340" w:lineRule="exact"/>
      <w:jc w:val="center"/>
      <w:outlineLvl w:val="1"/>
    </w:pPr>
    <w:rPr>
      <w:b/>
      <w:color w:val="000000"/>
      <w:sz w:val="26"/>
    </w:rPr>
  </w:style>
  <w:style w:type="character" w:customStyle="1" w:styleId="16Char">
    <w:name w:val="16 Char"/>
    <w:link w:val="16"/>
    <w:rPr>
      <w:b/>
      <w:color w:val="000000"/>
      <w:sz w:val="26"/>
      <w:szCs w:val="28"/>
    </w:rPr>
  </w:style>
  <w:style w:type="paragraph" w:customStyle="1" w:styleId="14">
    <w:name w:val="14"/>
    <w:basedOn w:val="m4"/>
    <w:link w:val="14Char"/>
    <w:qFormat/>
    <w:pPr>
      <w:spacing w:after="0" w:line="320" w:lineRule="exact"/>
      <w:jc w:val="both"/>
    </w:pPr>
    <w:rPr>
      <w:iCs/>
      <w:sz w:val="26"/>
      <w:szCs w:val="26"/>
    </w:rPr>
  </w:style>
  <w:style w:type="character" w:customStyle="1" w:styleId="14Char">
    <w:name w:val="14 Char"/>
    <w:link w:val="14"/>
    <w:rPr>
      <w:b/>
      <w:i/>
      <w:iCs/>
      <w:sz w:val="26"/>
      <w:szCs w:val="26"/>
    </w:rPr>
  </w:style>
  <w:style w:type="paragraph" w:customStyle="1" w:styleId="17">
    <w:name w:val="17"/>
    <w:basedOn w:val="B1"/>
    <w:link w:val="17Char"/>
    <w:autoRedefine/>
    <w:qFormat/>
    <w:pPr>
      <w:spacing w:line="360" w:lineRule="exact"/>
      <w:outlineLvl w:val="1"/>
    </w:pPr>
    <w:rPr>
      <w:color w:val="FF0000"/>
    </w:rPr>
  </w:style>
  <w:style w:type="character" w:customStyle="1" w:styleId="17Char">
    <w:name w:val="17 Char"/>
    <w:link w:val="17"/>
    <w:rPr>
      <w:b/>
      <w:color w:val="FF0000"/>
      <w:sz w:val="26"/>
      <w:szCs w:val="26"/>
      <w:lang w:val="fr-FR"/>
    </w:rPr>
  </w:style>
  <w:style w:type="paragraph" w:customStyle="1" w:styleId="-">
    <w:name w:val="-"/>
    <w:basedOn w:val="Normal"/>
    <w:uiPriority w:val="99"/>
    <w:pPr>
      <w:tabs>
        <w:tab w:val="center" w:pos="4320"/>
        <w:tab w:val="right" w:pos="8640"/>
      </w:tabs>
      <w:spacing w:before="40" w:after="40" w:line="240" w:lineRule="auto"/>
      <w:ind w:firstLine="680"/>
      <w:jc w:val="both"/>
    </w:pPr>
    <w:rPr>
      <w:rFonts w:ascii="VNtimes new roman" w:hAnsi="VNtimes new roman" w:cs="VNtimes new roman"/>
      <w:szCs w:val="20"/>
    </w:rPr>
  </w:style>
  <w:style w:type="paragraph" w:customStyle="1" w:styleId="m5">
    <w:name w:val="m5"/>
    <w:basedOn w:val="Normal"/>
    <w:autoRedefine/>
    <w:uiPriority w:val="99"/>
    <w:qFormat/>
    <w:pPr>
      <w:spacing w:before="120" w:line="360" w:lineRule="exact"/>
      <w:jc w:val="both"/>
      <w:outlineLvl w:val="3"/>
    </w:pPr>
    <w:rPr>
      <w:rFonts w:eastAsia="Calibri"/>
      <w:b/>
      <w:i/>
      <w:sz w:val="26"/>
      <w:lang w:val="vi-VN"/>
    </w:rPr>
  </w:style>
  <w:style w:type="character" w:customStyle="1" w:styleId="ListParagraphChar">
    <w:name w:val="List Paragraph Char"/>
    <w:aliases w:val="ADB paragraph numbering Char,Numbered List Paragraph Char,numbered para Char,bullet Char,List Paragraph11 Char,tieu de phu 1 Char,Bullet paras Char,Medium Grid 1 - Accent 21 Char,References Char,List Paragraph (numbered (a)) Char"/>
    <w:link w:val="ListParagraph"/>
    <w:qFormat/>
    <w:locked/>
    <w:rPr>
      <w:rFonts w:ascii="Calibri" w:hAnsi="Calibri"/>
      <w:sz w:val="22"/>
      <w:szCs w:val="22"/>
    </w:rPr>
  </w:style>
  <w:style w:type="paragraph" w:customStyle="1" w:styleId="-CharChar">
    <w:name w:val="- Char Char"/>
    <w:basedOn w:val="Normal"/>
    <w:uiPriority w:val="99"/>
    <w:pPr>
      <w:tabs>
        <w:tab w:val="center" w:pos="4320"/>
        <w:tab w:val="right" w:pos="8640"/>
      </w:tabs>
      <w:spacing w:before="60" w:after="60" w:line="240" w:lineRule="auto"/>
      <w:ind w:firstLine="680"/>
      <w:jc w:val="both"/>
    </w:pPr>
    <w:rPr>
      <w:szCs w:val="20"/>
    </w:rPr>
  </w:style>
  <w:style w:type="paragraph" w:customStyle="1" w:styleId="4I11">
    <w:name w:val="4 I.1.1"/>
    <w:basedOn w:val="Normal"/>
    <w:qFormat/>
    <w:pPr>
      <w:widowControl w:val="0"/>
      <w:spacing w:before="80" w:after="80" w:line="340" w:lineRule="exact"/>
      <w:jc w:val="both"/>
    </w:pPr>
    <w:rPr>
      <w:rFonts w:cs="VNtimes new roman"/>
      <w:bCs/>
      <w:i/>
      <w:lang w:val="it-IT"/>
    </w:rPr>
  </w:style>
  <w:style w:type="character" w:customStyle="1" w:styleId="m2Char">
    <w:name w:val="m2 Char"/>
    <w:link w:val="m2"/>
    <w:rPr>
      <w:rFonts w:cs="VNtimes new roman"/>
      <w:b/>
      <w:iCs/>
      <w:sz w:val="24"/>
      <w:szCs w:val="24"/>
    </w:rPr>
  </w:style>
  <w:style w:type="character" w:customStyle="1" w:styleId="3Char">
    <w:name w:val="3 Char"/>
    <w:link w:val="3"/>
    <w:rPr>
      <w:rFonts w:ascii="VNtimes new roman" w:hAnsi="VNtimes new roman" w:cs="VNtimes new roman"/>
      <w:b/>
      <w:sz w:val="28"/>
      <w:szCs w:val="28"/>
    </w:rPr>
  </w:style>
  <w:style w:type="paragraph" w:customStyle="1" w:styleId="Heading122">
    <w:name w:val="Heading 122"/>
    <w:basedOn w:val="Normal"/>
    <w:autoRedefine/>
    <w:pPr>
      <w:spacing w:after="160" w:line="240" w:lineRule="exact"/>
      <w:jc w:val="center"/>
    </w:pPr>
    <w:rPr>
      <w:rFonts w:ascii=".VnTimeH" w:eastAsia="MS Mincho" w:hAnsi=".VnTimeH"/>
      <w:b/>
      <w:sz w:val="32"/>
      <w:szCs w:val="20"/>
    </w:rPr>
  </w:style>
  <w:style w:type="character" w:customStyle="1" w:styleId="m1Char">
    <w:name w:val="m1 Char"/>
    <w:link w:val="m1"/>
    <w:rPr>
      <w:b/>
      <w:sz w:val="26"/>
      <w:szCs w:val="28"/>
      <w:lang w:val="fr-FR"/>
    </w:rPr>
  </w:style>
  <w:style w:type="character" w:customStyle="1" w:styleId="B1Char">
    <w:name w:val="B1 Char"/>
    <w:link w:val="B1"/>
    <w:rPr>
      <w:b/>
      <w:sz w:val="26"/>
      <w:szCs w:val="26"/>
      <w:lang w:val="fr-FR"/>
    </w:rPr>
  </w:style>
  <w:style w:type="paragraph" w:customStyle="1" w:styleId="Heading151">
    <w:name w:val="Heading 151"/>
    <w:basedOn w:val="Normal"/>
    <w:autoRedefine/>
    <w:uiPriority w:val="99"/>
    <w:pPr>
      <w:spacing w:after="160" w:line="240" w:lineRule="exact"/>
      <w:jc w:val="center"/>
    </w:pPr>
    <w:rPr>
      <w:rFonts w:ascii=".VnTimeH" w:eastAsia="MS Mincho" w:hAnsi=".VnTimeH"/>
      <w:b/>
      <w:sz w:val="32"/>
      <w:szCs w:val="20"/>
    </w:rPr>
  </w:style>
  <w:style w:type="paragraph" w:customStyle="1" w:styleId="Heading421">
    <w:name w:val="Heading 421"/>
    <w:basedOn w:val="Normal"/>
    <w:autoRedefine/>
    <w:uiPriority w:val="99"/>
    <w:pPr>
      <w:tabs>
        <w:tab w:val="left" w:pos="540"/>
      </w:tabs>
      <w:spacing w:before="120" w:after="80" w:line="380" w:lineRule="exact"/>
      <w:jc w:val="both"/>
    </w:pPr>
    <w:rPr>
      <w:rFonts w:ascii=".VnTime" w:hAnsi=".VnTime" w:cs="Arial"/>
      <w:b/>
      <w:bCs/>
      <w:i/>
      <w:lang w:eastAsia="vi-VN"/>
    </w:rPr>
  </w:style>
  <w:style w:type="paragraph" w:customStyle="1" w:styleId="Heading241">
    <w:name w:val="Heading 241"/>
    <w:basedOn w:val="TOC2"/>
    <w:autoRedefine/>
    <w:uiPriority w:val="99"/>
    <w:pPr>
      <w:tabs>
        <w:tab w:val="left" w:pos="1000"/>
        <w:tab w:val="right" w:leader="hyphen" w:pos="9110"/>
      </w:tabs>
      <w:spacing w:after="120" w:line="380" w:lineRule="exact"/>
    </w:pPr>
    <w:rPr>
      <w:rFonts w:ascii=".VnTimeH" w:eastAsia="MS Mincho" w:hAnsi=".VnTimeH" w:cs="Calibri"/>
      <w:bCs/>
    </w:rPr>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fn,fn Char,single space,ft,C,FOOTNOTES"/>
    <w:basedOn w:val="Normal"/>
    <w:link w:val="FootnoteTextChar"/>
    <w:unhideWhenUsed/>
    <w:qFormat/>
    <w:pPr>
      <w:spacing w:line="240" w:lineRule="auto"/>
    </w:pPr>
    <w:rPr>
      <w:sz w:val="20"/>
      <w:szCs w:val="20"/>
      <w:lang w:bidi="en-US"/>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ootnote Text Char Char Char Char Char Char Ch Char1,fn Char1"/>
    <w:link w:val="FootnoteText"/>
    <w:qFormat/>
    <w:rPr>
      <w:lang w:bidi="en-US"/>
    </w:rPr>
  </w:style>
  <w:style w:type="character" w:styleId="FootnoteReference">
    <w:name w:val="footnote reference"/>
    <w:aliases w:val="Footnote text,Ref,de nota al pie,Footnote,ftref,BearingPoint,16 Point,Superscript 6 Point,fr,Footnote Text1,f,(NECG) Footnote Reference, BVI fnr,footnote ref,BVI fnr,Footnote + Arial,10 pt,Black,Footnote Text11,SUPERS,Footnote dich,R"/>
    <w:link w:val="CharChar1CharCharCharChar1CharCharCharCharCharCharCharChar"/>
    <w:uiPriority w:val="99"/>
    <w:unhideWhenUsed/>
    <w:qFormat/>
    <w:rPr>
      <w:vertAlign w:val="superscript"/>
    </w:rPr>
  </w:style>
  <w:style w:type="paragraph" w:customStyle="1" w:styleId="Tieude2">
    <w:name w:val="Tieu de 2"/>
    <w:basedOn w:val="Heading2"/>
    <w:uiPriority w:val="99"/>
    <w:qFormat/>
    <w:pPr>
      <w:keepNext w:val="0"/>
      <w:pBdr>
        <w:top w:val="single" w:sz="24" w:space="0" w:color="DBE5F1"/>
        <w:left w:val="single" w:sz="24" w:space="0" w:color="DBE5F1"/>
        <w:bottom w:val="single" w:sz="24" w:space="0" w:color="DBE5F1"/>
        <w:right w:val="single" w:sz="24" w:space="0" w:color="DBE5F1"/>
      </w:pBdr>
      <w:shd w:val="clear" w:color="auto" w:fill="DBE5F1"/>
      <w:tabs>
        <w:tab w:val="num" w:pos="360"/>
      </w:tabs>
      <w:spacing w:after="120" w:line="240" w:lineRule="auto"/>
      <w:jc w:val="left"/>
    </w:pPr>
    <w:rPr>
      <w:rFonts w:ascii="Calibri" w:hAnsi="Calibri"/>
      <w:spacing w:val="15"/>
      <w:sz w:val="26"/>
    </w:rPr>
  </w:style>
  <w:style w:type="paragraph" w:customStyle="1" w:styleId="daude1">
    <w:name w:val="daude1"/>
    <w:basedOn w:val="Heading1"/>
    <w:pPr>
      <w:autoSpaceDE w:val="0"/>
      <w:autoSpaceDN w:val="0"/>
      <w:spacing w:before="120" w:after="60" w:line="240" w:lineRule="exact"/>
      <w:jc w:val="left"/>
      <w:outlineLvl w:val="9"/>
    </w:pPr>
    <w:rPr>
      <w:rFonts w:cs=".VnArial"/>
      <w:bCs/>
      <w:kern w:val="28"/>
      <w:sz w:val="28"/>
      <w:szCs w:val="28"/>
    </w:rPr>
  </w:style>
  <w:style w:type="character" w:customStyle="1" w:styleId="mw-headline">
    <w:name w:val="mw-headline"/>
    <w:basedOn w:val="DefaultParagraphFont"/>
  </w:style>
  <w:style w:type="character" w:customStyle="1" w:styleId="mw-editsection">
    <w:name w:val="mw-editsection"/>
    <w:basedOn w:val="DefaultParagraphFont"/>
  </w:style>
  <w:style w:type="character" w:customStyle="1" w:styleId="mw-editsection-bracket">
    <w:name w:val="mw-editsection-bracket"/>
    <w:basedOn w:val="DefaultParagraphFont"/>
  </w:style>
  <w:style w:type="character" w:customStyle="1" w:styleId="mw-editsection-divider">
    <w:name w:val="mw-editsection-divider"/>
    <w:basedOn w:val="DefaultParagraphFont"/>
  </w:style>
  <w:style w:type="paragraph" w:customStyle="1" w:styleId="v3">
    <w:name w:val="v3"/>
    <w:basedOn w:val="Normal"/>
    <w:qFormat/>
    <w:pPr>
      <w:spacing w:line="360" w:lineRule="exact"/>
      <w:jc w:val="center"/>
    </w:pPr>
    <w:rPr>
      <w:rFonts w:cs="VNtimes new roman"/>
      <w:b/>
      <w:sz w:val="26"/>
    </w:rPr>
  </w:style>
  <w:style w:type="paragraph" w:customStyle="1" w:styleId="222">
    <w:name w:val="222"/>
    <w:basedOn w:val="Normal"/>
    <w:qFormat/>
    <w:pPr>
      <w:widowControl w:val="0"/>
      <w:spacing w:line="360" w:lineRule="exact"/>
      <w:jc w:val="both"/>
    </w:pPr>
    <w:rPr>
      <w:b/>
      <w:lang w:val="nb-NO"/>
    </w:rPr>
  </w:style>
  <w:style w:type="paragraph" w:customStyle="1" w:styleId="v1">
    <w:name w:val="v1"/>
    <w:basedOn w:val="m1"/>
    <w:qFormat/>
  </w:style>
  <w:style w:type="paragraph" w:styleId="HTMLAddress">
    <w:name w:val="HTML Address"/>
    <w:basedOn w:val="Normal"/>
    <w:link w:val="HTMLAddressChar"/>
    <w:uiPriority w:val="99"/>
    <w:unhideWhenUsed/>
    <w:pPr>
      <w:spacing w:line="240" w:lineRule="auto"/>
    </w:pPr>
    <w:rPr>
      <w:i/>
      <w:iCs/>
      <w:sz w:val="24"/>
      <w:szCs w:val="24"/>
    </w:rPr>
  </w:style>
  <w:style w:type="character" w:customStyle="1" w:styleId="HTMLAddressChar">
    <w:name w:val="HTML Address Char"/>
    <w:link w:val="HTMLAddress"/>
    <w:uiPriority w:val="99"/>
    <w:rPr>
      <w:i/>
      <w:iCs/>
      <w:sz w:val="24"/>
      <w:szCs w:val="24"/>
    </w:rPr>
  </w:style>
  <w:style w:type="paragraph" w:customStyle="1" w:styleId="pbody">
    <w:name w:val="pbody"/>
    <w:basedOn w:val="Normal"/>
    <w:pPr>
      <w:spacing w:before="100" w:beforeAutospacing="1" w:after="100" w:afterAutospacing="1" w:line="240" w:lineRule="auto"/>
    </w:pPr>
    <w:rPr>
      <w:sz w:val="24"/>
      <w:szCs w:val="24"/>
    </w:rPr>
  </w:style>
  <w:style w:type="paragraph" w:customStyle="1" w:styleId="BANG10">
    <w:name w:val="BANG1"/>
    <w:basedOn w:val="Normal"/>
    <w:uiPriority w:val="99"/>
    <w:qFormat/>
    <w:pPr>
      <w:spacing w:before="60" w:after="60" w:line="340" w:lineRule="exact"/>
      <w:jc w:val="center"/>
    </w:pPr>
    <w:rPr>
      <w:rFonts w:eastAsia="Calibri"/>
      <w:i/>
      <w:sz w:val="26"/>
      <w:szCs w:val="26"/>
    </w:rPr>
  </w:style>
  <w:style w:type="paragraph" w:customStyle="1" w:styleId="md4">
    <w:name w:val="md4"/>
    <w:basedOn w:val="Normal"/>
    <w:qFormat/>
    <w:pPr>
      <w:widowControl w:val="0"/>
      <w:spacing w:before="120" w:line="360" w:lineRule="exact"/>
      <w:outlineLvl w:val="3"/>
    </w:pPr>
    <w:rPr>
      <w:b/>
      <w:i/>
      <w:iCs/>
      <w:sz w:val="26"/>
      <w:szCs w:val="24"/>
      <w:lang w:val="pt-BR"/>
    </w:rPr>
  </w:style>
  <w:style w:type="character" w:customStyle="1" w:styleId="mucconChar">
    <w:name w:val="muccon Char"/>
    <w:link w:val="muccon"/>
    <w:locked/>
    <w:rPr>
      <w:rFonts w:ascii=".VnTime" w:eastAsia=".VnTime" w:hAnsi=".VnTime"/>
      <w:b/>
      <w:i/>
      <w:sz w:val="28"/>
      <w:szCs w:val="28"/>
    </w:rPr>
  </w:style>
  <w:style w:type="paragraph" w:customStyle="1" w:styleId="muccon">
    <w:name w:val="muccon"/>
    <w:basedOn w:val="Normal"/>
    <w:link w:val="mucconChar"/>
    <w:pPr>
      <w:tabs>
        <w:tab w:val="left" w:pos="540"/>
      </w:tabs>
      <w:spacing w:before="120" w:line="380" w:lineRule="exact"/>
      <w:jc w:val="both"/>
    </w:pPr>
    <w:rPr>
      <w:rFonts w:ascii=".VnTime" w:eastAsia=".VnTime" w:hAnsi=".VnTime"/>
      <w:b/>
      <w:i/>
    </w:rPr>
  </w:style>
  <w:style w:type="paragraph" w:customStyle="1" w:styleId="para">
    <w:name w:val="para"/>
    <w:basedOn w:val="Normal"/>
    <w:pPr>
      <w:spacing w:before="100" w:beforeAutospacing="1" w:after="100" w:afterAutospacing="1" w:line="240" w:lineRule="auto"/>
    </w:pPr>
    <w:rPr>
      <w:sz w:val="24"/>
      <w:szCs w:val="24"/>
    </w:rPr>
  </w:style>
  <w:style w:type="paragraph" w:customStyle="1" w:styleId="v4">
    <w:name w:val="v4"/>
    <w:basedOn w:val="Normal"/>
    <w:qFormat/>
    <w:pPr>
      <w:spacing w:before="60" w:after="60" w:line="340" w:lineRule="exact"/>
      <w:jc w:val="center"/>
    </w:pPr>
    <w:rPr>
      <w:b/>
      <w:iCs/>
      <w:sz w:val="26"/>
      <w:szCs w:val="24"/>
    </w:rPr>
  </w:style>
  <w:style w:type="paragraph" w:styleId="DocumentMap">
    <w:name w:val="Document Map"/>
    <w:basedOn w:val="Normal"/>
    <w:link w:val="DocumentMapChar"/>
    <w:pPr>
      <w:spacing w:line="240" w:lineRule="auto"/>
    </w:pPr>
    <w:rPr>
      <w:rFonts w:ascii="Tahoma" w:hAnsi="Tahoma"/>
      <w:sz w:val="16"/>
      <w:szCs w:val="16"/>
    </w:rPr>
  </w:style>
  <w:style w:type="character" w:customStyle="1" w:styleId="DocumentMapChar">
    <w:name w:val="Document Map Char"/>
    <w:link w:val="DocumentMap"/>
    <w:rPr>
      <w:rFonts w:ascii="Tahoma" w:hAnsi="Tahoma"/>
      <w:sz w:val="16"/>
      <w:szCs w:val="16"/>
    </w:rPr>
  </w:style>
  <w:style w:type="paragraph" w:customStyle="1" w:styleId="Style19">
    <w:name w:val="Style19"/>
    <w:basedOn w:val="Normal"/>
    <w:link w:val="Style19Char"/>
    <w:pPr>
      <w:tabs>
        <w:tab w:val="left" w:pos="540"/>
      </w:tabs>
      <w:spacing w:before="80" w:after="60" w:line="340" w:lineRule="exact"/>
      <w:jc w:val="center"/>
    </w:pPr>
    <w:rPr>
      <w:sz w:val="26"/>
      <w:u w:val="single"/>
    </w:rPr>
  </w:style>
  <w:style w:type="character" w:customStyle="1" w:styleId="Style19Char">
    <w:name w:val="Style19 Char"/>
    <w:link w:val="Style19"/>
    <w:rPr>
      <w:sz w:val="26"/>
      <w:szCs w:val="28"/>
      <w:u w:val="single"/>
    </w:rPr>
  </w:style>
  <w:style w:type="paragraph" w:customStyle="1" w:styleId="Style17">
    <w:name w:val="Style17"/>
    <w:basedOn w:val="m4"/>
    <w:pPr>
      <w:spacing w:before="80"/>
    </w:pPr>
    <w:rPr>
      <w:iCs/>
      <w:sz w:val="26"/>
      <w:szCs w:val="24"/>
    </w:rPr>
  </w:style>
  <w:style w:type="paragraph" w:customStyle="1" w:styleId="Style14">
    <w:name w:val="Style14"/>
    <w:basedOn w:val="m2"/>
  </w:style>
  <w:style w:type="paragraph" w:customStyle="1" w:styleId="Style16">
    <w:name w:val="Style16"/>
    <w:basedOn w:val="m3"/>
    <w:pPr>
      <w:jc w:val="both"/>
    </w:pPr>
  </w:style>
  <w:style w:type="paragraph" w:customStyle="1" w:styleId="zz3">
    <w:name w:val="zz3"/>
    <w:basedOn w:val="Normal"/>
    <w:autoRedefine/>
    <w:qFormat/>
    <w:pPr>
      <w:spacing w:line="400" w:lineRule="exact"/>
    </w:pPr>
    <w:rPr>
      <w:b/>
      <w:i/>
      <w:color w:val="000000"/>
      <w:sz w:val="26"/>
      <w:lang w:val="vi-VN"/>
    </w:rPr>
  </w:style>
  <w:style w:type="paragraph" w:customStyle="1" w:styleId="zzb">
    <w:name w:val="zzb"/>
    <w:basedOn w:val="Normal"/>
    <w:autoRedefine/>
    <w:qFormat/>
    <w:pPr>
      <w:spacing w:line="360" w:lineRule="exact"/>
      <w:jc w:val="center"/>
    </w:pPr>
    <w:rPr>
      <w:b/>
      <w:sz w:val="26"/>
    </w:rPr>
  </w:style>
  <w:style w:type="paragraph" w:customStyle="1" w:styleId="Text">
    <w:name w:val="Text"/>
    <w:basedOn w:val="Normal"/>
    <w:link w:val="TextChar"/>
    <w:pPr>
      <w:spacing w:after="60" w:line="288" w:lineRule="auto"/>
      <w:ind w:firstLine="425"/>
      <w:jc w:val="both"/>
    </w:pPr>
    <w:rPr>
      <w:color w:val="000000"/>
      <w:sz w:val="26"/>
      <w:szCs w:val="20"/>
      <w:lang w:val="vi-VN"/>
    </w:rPr>
  </w:style>
  <w:style w:type="character" w:customStyle="1" w:styleId="TextChar">
    <w:name w:val="Text Char"/>
    <w:link w:val="Text"/>
    <w:rPr>
      <w:color w:val="000000"/>
      <w:sz w:val="26"/>
      <w:lang w:val="vi-VN"/>
    </w:rPr>
  </w:style>
  <w:style w:type="paragraph" w:customStyle="1" w:styleId="333">
    <w:name w:val="333"/>
    <w:basedOn w:val="Heading3"/>
    <w:autoRedefine/>
    <w:qFormat/>
    <w:pPr>
      <w:widowControl/>
      <w:spacing w:line="340" w:lineRule="exact"/>
    </w:pPr>
    <w:rPr>
      <w:b/>
      <w:spacing w:val="0"/>
    </w:rPr>
  </w:style>
  <w:style w:type="paragraph" w:customStyle="1" w:styleId="C31">
    <w:name w:val="C31"/>
    <w:basedOn w:val="Normal"/>
    <w:pPr>
      <w:spacing w:before="60" w:after="60" w:line="360" w:lineRule="exact"/>
      <w:jc w:val="center"/>
    </w:pPr>
    <w:rPr>
      <w:b/>
      <w:sz w:val="26"/>
      <w:szCs w:val="26"/>
      <w:lang w:val="fr-FR"/>
    </w:rPr>
  </w:style>
  <w:style w:type="character" w:customStyle="1" w:styleId="BodyTextIndentChar1">
    <w:name w:val="Body Text Indent Char1"/>
    <w:rPr>
      <w:sz w:val="28"/>
      <w:szCs w:val="28"/>
      <w:lang w:val="en-US" w:eastAsia="en-US" w:bidi="ar-SA"/>
    </w:rPr>
  </w:style>
  <w:style w:type="paragraph" w:customStyle="1" w:styleId="C21">
    <w:name w:val="C21"/>
    <w:basedOn w:val="Normal"/>
    <w:link w:val="C21Char"/>
    <w:qFormat/>
    <w:pPr>
      <w:spacing w:line="380" w:lineRule="exact"/>
    </w:pPr>
    <w:rPr>
      <w:b/>
      <w:sz w:val="26"/>
    </w:rPr>
  </w:style>
  <w:style w:type="character" w:customStyle="1" w:styleId="C21Char">
    <w:name w:val="C21 Char"/>
    <w:link w:val="C21"/>
    <w:rPr>
      <w:rFonts w:cs="VNtimes new roman"/>
      <w:b/>
      <w:sz w:val="26"/>
      <w:szCs w:val="28"/>
    </w:rPr>
  </w:style>
  <w:style w:type="paragraph" w:customStyle="1" w:styleId="V30">
    <w:name w:val="V3"/>
    <w:basedOn w:val="d3"/>
    <w:pPr>
      <w:widowControl w:val="0"/>
      <w:spacing w:before="60" w:line="360" w:lineRule="exact"/>
      <w:jc w:val="center"/>
      <w:outlineLvl w:val="2"/>
    </w:pPr>
    <w:rPr>
      <w:rFonts w:cs="Times New Roman"/>
      <w:color w:val="000000"/>
      <w:sz w:val="26"/>
      <w:lang w:val="en-US"/>
    </w:rPr>
  </w:style>
  <w:style w:type="character" w:customStyle="1" w:styleId="fontstyle01">
    <w:name w:val="fontstyle01"/>
    <w:rPr>
      <w:rFonts w:ascii="Arial" w:hAnsi="Arial" w:cs="Arial" w:hint="default"/>
      <w:b w:val="0"/>
      <w:bCs w:val="0"/>
      <w:i w:val="0"/>
      <w:iCs w:val="0"/>
      <w:color w:val="000000"/>
      <w:sz w:val="26"/>
      <w:szCs w:val="26"/>
    </w:rPr>
  </w:style>
  <w:style w:type="paragraph" w:customStyle="1" w:styleId="c1">
    <w:name w:val="c1"/>
    <w:basedOn w:val="TOC1"/>
    <w:qFormat/>
    <w:pPr>
      <w:spacing w:before="60" w:after="60"/>
    </w:pPr>
    <w:rPr>
      <w:rFonts w:eastAsia="Calibri" w:cs="Calibri"/>
      <w:b w:val="0"/>
      <w:caps/>
    </w:rPr>
  </w:style>
  <w:style w:type="character" w:customStyle="1" w:styleId="BodyTextIndent3Char1">
    <w:name w:val="Body Text Indent 3 Char1"/>
    <w:rPr>
      <w:sz w:val="16"/>
      <w:szCs w:val="16"/>
      <w:lang w:val="en-US" w:eastAsia="en-US" w:bidi="ar-SA"/>
    </w:rPr>
  </w:style>
  <w:style w:type="paragraph" w:customStyle="1" w:styleId="110">
    <w:name w:val="11"/>
    <w:basedOn w:val="m1"/>
    <w:link w:val="11Char"/>
    <w:autoRedefine/>
    <w:qFormat/>
    <w:pPr>
      <w:spacing w:before="0" w:after="60"/>
      <w:outlineLvl w:val="2"/>
    </w:pPr>
    <w:rPr>
      <w:sz w:val="24"/>
      <w:szCs w:val="24"/>
      <w:lang w:val="en-US"/>
    </w:rPr>
  </w:style>
  <w:style w:type="character" w:customStyle="1" w:styleId="11Char">
    <w:name w:val="11 Char"/>
    <w:basedOn w:val="m1Char"/>
    <w:link w:val="110"/>
    <w:rPr>
      <w:b/>
      <w:sz w:val="24"/>
      <w:szCs w:val="24"/>
      <w:lang w:val="fr-FR"/>
    </w:rPr>
  </w:style>
  <w:style w:type="paragraph" w:customStyle="1" w:styleId="12">
    <w:name w:val="12"/>
    <w:basedOn w:val="m2"/>
    <w:link w:val="12Char"/>
    <w:autoRedefine/>
    <w:qFormat/>
    <w:pPr>
      <w:spacing w:before="60" w:after="0" w:line="340" w:lineRule="exact"/>
      <w:outlineLvl w:val="1"/>
    </w:pPr>
  </w:style>
  <w:style w:type="character" w:customStyle="1" w:styleId="12Char">
    <w:name w:val="12 Char"/>
    <w:basedOn w:val="m2Char"/>
    <w:link w:val="12"/>
    <w:rPr>
      <w:rFonts w:cs="VNtimes new roman"/>
      <w:b/>
      <w:iCs/>
      <w:sz w:val="24"/>
      <w:szCs w:val="24"/>
    </w:rPr>
  </w:style>
  <w:style w:type="paragraph" w:customStyle="1" w:styleId="13">
    <w:name w:val="13"/>
    <w:basedOn w:val="C21"/>
    <w:link w:val="13Char"/>
    <w:autoRedefine/>
    <w:qFormat/>
    <w:pPr>
      <w:spacing w:before="60" w:line="340" w:lineRule="exact"/>
      <w:jc w:val="both"/>
      <w:outlineLvl w:val="2"/>
    </w:pPr>
  </w:style>
  <w:style w:type="character" w:customStyle="1" w:styleId="13Char">
    <w:name w:val="13 Char"/>
    <w:basedOn w:val="C21Char"/>
    <w:link w:val="13"/>
    <w:rPr>
      <w:rFonts w:cs="VNtimes new roman"/>
      <w:b/>
      <w:sz w:val="26"/>
      <w:szCs w:val="28"/>
    </w:rPr>
  </w:style>
  <w:style w:type="paragraph" w:customStyle="1" w:styleId="hd1">
    <w:name w:val="hd1"/>
    <w:basedOn w:val="TOC2"/>
    <w:qFormat/>
    <w:pPr>
      <w:widowControl w:val="0"/>
      <w:spacing w:before="60" w:after="60" w:line="360" w:lineRule="exact"/>
      <w:ind w:left="0"/>
      <w:jc w:val="both"/>
    </w:pPr>
    <w:rPr>
      <w:rFonts w:ascii="Times New Roman Bold" w:hAnsi="Times New Roman Bold"/>
      <w:b/>
      <w:smallCaps w:val="0"/>
      <w:color w:val="000000"/>
      <w:spacing w:val="-4"/>
      <w:sz w:val="28"/>
    </w:rPr>
  </w:style>
  <w:style w:type="paragraph" w:customStyle="1" w:styleId="b11">
    <w:name w:val="b11"/>
    <w:basedOn w:val="Normal"/>
    <w:link w:val="b11Char"/>
    <w:qFormat/>
    <w:pPr>
      <w:spacing w:before="120"/>
      <w:jc w:val="center"/>
    </w:pPr>
    <w:rPr>
      <w:b/>
      <w:sz w:val="26"/>
      <w:szCs w:val="26"/>
      <w:lang w:val="fr-FR"/>
    </w:rPr>
  </w:style>
  <w:style w:type="paragraph" w:customStyle="1" w:styleId="-BangHinh">
    <w:name w:val="- Bang Hinh"/>
    <w:basedOn w:val="Normal"/>
    <w:next w:val="Normal"/>
    <w:autoRedefine/>
    <w:pPr>
      <w:spacing w:before="60" w:after="60" w:line="360" w:lineRule="exact"/>
      <w:jc w:val="center"/>
      <w:outlineLvl w:val="4"/>
    </w:pPr>
    <w:rPr>
      <w:rFonts w:ascii="Times New Roman Bold" w:eastAsia="MS Mincho" w:hAnsi="Times New Roman Bold"/>
      <w:b/>
      <w:noProof/>
      <w:color w:val="000000" w:themeColor="text1"/>
      <w:sz w:val="26"/>
      <w:szCs w:val="26"/>
      <w:lang w:val="pt-BR"/>
    </w:rPr>
  </w:style>
  <w:style w:type="character" w:customStyle="1" w:styleId="b11Char">
    <w:name w:val="b11 Char"/>
    <w:link w:val="b11"/>
    <w:rPr>
      <w:b/>
      <w:sz w:val="26"/>
      <w:szCs w:val="26"/>
      <w:lang w:val="fr-FR"/>
    </w:rPr>
  </w:style>
  <w:style w:type="paragraph" w:customStyle="1" w:styleId="text-justify">
    <w:name w:val="text-justify"/>
    <w:basedOn w:val="Normal"/>
    <w:pPr>
      <w:spacing w:before="100" w:beforeAutospacing="1" w:after="100" w:afterAutospacing="1" w:line="240" w:lineRule="auto"/>
    </w:pPr>
    <w:rPr>
      <w:sz w:val="24"/>
      <w:szCs w:val="24"/>
      <w:lang w:eastAsia="ja-JP"/>
    </w:rPr>
  </w:style>
  <w:style w:type="paragraph" w:customStyle="1" w:styleId="-bac3">
    <w:name w:val="- bac 3"/>
    <w:basedOn w:val="Normal"/>
    <w:qFormat/>
    <w:pPr>
      <w:tabs>
        <w:tab w:val="center" w:pos="4320"/>
        <w:tab w:val="right" w:pos="8640"/>
      </w:tabs>
      <w:spacing w:before="60" w:after="60" w:line="360" w:lineRule="exact"/>
      <w:ind w:firstLine="720"/>
      <w:jc w:val="both"/>
    </w:pPr>
    <w:rPr>
      <w:b/>
      <w:i/>
      <w:sz w:val="26"/>
      <w:szCs w:val="24"/>
    </w:rPr>
  </w:style>
  <w:style w:type="paragraph" w:customStyle="1" w:styleId="T5">
    <w:name w:val="T5"/>
    <w:basedOn w:val="Heading2"/>
    <w:qFormat/>
    <w:pPr>
      <w:keepNext w:val="0"/>
      <w:widowControl w:val="0"/>
      <w:spacing w:before="60" w:after="60" w:line="360" w:lineRule="exact"/>
    </w:pPr>
    <w:rPr>
      <w:rFonts w:ascii="Times New Roman" w:hAnsi="Times New Roman"/>
      <w:bCs/>
      <w:i/>
      <w:sz w:val="28"/>
      <w:szCs w:val="28"/>
    </w:rPr>
  </w:style>
  <w:style w:type="paragraph" w:customStyle="1" w:styleId="AA2">
    <w:name w:val="AA2"/>
    <w:basedOn w:val="Normal"/>
    <w:qFormat/>
    <w:pPr>
      <w:tabs>
        <w:tab w:val="left" w:pos="3279"/>
      </w:tabs>
      <w:spacing w:before="60" w:after="60" w:line="240" w:lineRule="auto"/>
      <w:jc w:val="center"/>
    </w:pPr>
    <w:rPr>
      <w:b/>
      <w:sz w:val="26"/>
      <w:szCs w:val="26"/>
    </w:rPr>
  </w:style>
  <w:style w:type="paragraph" w:customStyle="1" w:styleId="nnhinh">
    <w:name w:val="nn hinh"/>
    <w:basedOn w:val="Normal"/>
    <w:qFormat/>
    <w:pPr>
      <w:widowControl w:val="0"/>
      <w:spacing w:before="60" w:after="60" w:line="360" w:lineRule="exact"/>
      <w:jc w:val="center"/>
      <w:outlineLvl w:val="2"/>
    </w:pPr>
    <w:rPr>
      <w:b/>
      <w:iCs/>
      <w:color w:val="000000"/>
      <w:sz w:val="26"/>
      <w:lang w:val="it-IT"/>
    </w:rPr>
  </w:style>
  <w:style w:type="paragraph" w:customStyle="1" w:styleId="10">
    <w:name w:val="1"/>
    <w:basedOn w:val="Normal"/>
    <w:qFormat/>
    <w:pPr>
      <w:widowControl w:val="0"/>
      <w:spacing w:before="60" w:after="120" w:line="360" w:lineRule="exact"/>
      <w:jc w:val="center"/>
    </w:pPr>
    <w:rPr>
      <w:rFonts w:cs="VNtimes new roman"/>
      <w:b/>
      <w:sz w:val="26"/>
      <w:szCs w:val="24"/>
      <w:lang w:val="fr-FR"/>
    </w:rPr>
  </w:style>
  <w:style w:type="paragraph" w:customStyle="1" w:styleId="-bac1">
    <w:name w:val="- bac 1"/>
    <w:basedOn w:val="Normal"/>
    <w:qFormat/>
    <w:pPr>
      <w:tabs>
        <w:tab w:val="center" w:pos="4320"/>
        <w:tab w:val="right" w:pos="8640"/>
      </w:tabs>
      <w:spacing w:before="60" w:after="60" w:line="360" w:lineRule="exact"/>
      <w:jc w:val="center"/>
    </w:pPr>
    <w:rPr>
      <w:rFonts w:cs="VNtimes new roman"/>
      <w:b/>
      <w:sz w:val="26"/>
      <w:szCs w:val="20"/>
    </w:rPr>
  </w:style>
  <w:style w:type="numbering" w:customStyle="1" w:styleId="Tmc2121821">
    <w:name w:val="Tmc2121821"/>
    <w:pPr>
      <w:numPr>
        <w:numId w:val="15"/>
      </w:numPr>
    </w:pPr>
  </w:style>
  <w:style w:type="paragraph" w:customStyle="1" w:styleId="-bac2">
    <w:name w:val="- bac 2"/>
    <w:basedOn w:val="Normal"/>
    <w:uiPriority w:val="99"/>
    <w:qFormat/>
    <w:pPr>
      <w:tabs>
        <w:tab w:val="center" w:pos="4320"/>
        <w:tab w:val="right" w:pos="8640"/>
      </w:tabs>
      <w:spacing w:before="60" w:line="340" w:lineRule="exact"/>
      <w:jc w:val="both"/>
    </w:pPr>
    <w:rPr>
      <w:b/>
      <w:sz w:val="26"/>
      <w:szCs w:val="20"/>
    </w:rPr>
  </w:style>
  <w:style w:type="paragraph" w:customStyle="1" w:styleId="b">
    <w:name w:val="b"/>
    <w:basedOn w:val="Normal"/>
    <w:uiPriority w:val="99"/>
    <w:pPr>
      <w:spacing w:before="120" w:line="320" w:lineRule="exact"/>
      <w:jc w:val="both"/>
    </w:pPr>
  </w:style>
  <w:style w:type="paragraph" w:customStyle="1" w:styleId="t1">
    <w:name w:val="t1"/>
    <w:basedOn w:val="Title"/>
    <w:uiPriority w:val="99"/>
    <w:qFormat/>
    <w:pPr>
      <w:widowControl w:val="0"/>
      <w:pBdr>
        <w:bottom w:val="none" w:sz="0" w:space="0" w:color="auto"/>
      </w:pBdr>
      <w:spacing w:before="120" w:after="120" w:line="340" w:lineRule="exact"/>
      <w:contextualSpacing w:val="0"/>
      <w:jc w:val="center"/>
    </w:pPr>
    <w:rPr>
      <w:rFonts w:ascii=".VnTimeH" w:eastAsia="Times New Roman" w:hAnsi=".VnTimeH" w:cs="Times New Roman"/>
      <w:b/>
      <w:bCs/>
      <w:color w:val="auto"/>
      <w:spacing w:val="0"/>
      <w:kern w:val="0"/>
      <w:sz w:val="24"/>
      <w:szCs w:val="20"/>
    </w:rPr>
  </w:style>
  <w:style w:type="paragraph" w:customStyle="1" w:styleId="04">
    <w:name w:val="04"/>
    <w:basedOn w:val="Normal"/>
    <w:link w:val="04Char"/>
    <w:qFormat/>
    <w:pPr>
      <w:spacing w:before="60" w:line="360" w:lineRule="exact"/>
      <w:jc w:val="both"/>
    </w:pPr>
    <w:rPr>
      <w:rFonts w:ascii="Times New Roman Bold Italic" w:hAnsi="Times New Roman Bold Italic"/>
      <w:b/>
      <w:i/>
      <w:sz w:val="26"/>
      <w:szCs w:val="26"/>
    </w:rPr>
  </w:style>
  <w:style w:type="character" w:customStyle="1" w:styleId="04Char">
    <w:name w:val="04 Char"/>
    <w:link w:val="04"/>
    <w:rPr>
      <w:rFonts w:ascii="Times New Roman Bold Italic" w:hAnsi="Times New Roman Bold Italic"/>
      <w:b/>
      <w:i/>
      <w:sz w:val="26"/>
      <w:szCs w:val="26"/>
    </w:rPr>
  </w:style>
  <w:style w:type="paragraph" w:styleId="Title">
    <w:name w:val="Title"/>
    <w:basedOn w:val="Normal"/>
    <w:next w:val="Normal"/>
    <w:link w:val="TitleChar"/>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qFormat/>
    <w:rPr>
      <w:rFonts w:asciiTheme="majorHAnsi" w:eastAsiaTheme="majorEastAsia" w:hAnsiTheme="majorHAnsi" w:cstheme="majorBidi"/>
      <w:color w:val="17365D" w:themeColor="text2" w:themeShade="BF"/>
      <w:spacing w:val="5"/>
      <w:kern w:val="28"/>
      <w:sz w:val="52"/>
      <w:szCs w:val="52"/>
    </w:rPr>
  </w:style>
  <w:style w:type="paragraph" w:customStyle="1" w:styleId="Stylev5TimesNewRomanJustified">
    <w:name w:val="Style v5 + Times New Roman Justified"/>
    <w:basedOn w:val="v5"/>
    <w:pPr>
      <w:spacing w:before="60" w:after="60" w:line="360" w:lineRule="exact"/>
      <w:jc w:val="both"/>
    </w:pPr>
    <w:rPr>
      <w:rFonts w:ascii="Times New Roman" w:hAnsi="Times New Roman" w:cs="Times New Roman"/>
      <w:bCs/>
      <w:szCs w:val="20"/>
    </w:rPr>
  </w:style>
  <w:style w:type="paragraph" w:customStyle="1" w:styleId="L3">
    <w:name w:val="L3"/>
    <w:basedOn w:val="Normal"/>
    <w:qFormat/>
    <w:pPr>
      <w:spacing w:before="60" w:after="60" w:line="360" w:lineRule="exact"/>
      <w:ind w:firstLine="567"/>
      <w:jc w:val="center"/>
    </w:pPr>
    <w:rPr>
      <w:rFonts w:eastAsia="Calibri"/>
      <w:b/>
      <w:color w:val="000000"/>
      <w:sz w:val="26"/>
      <w:szCs w:val="26"/>
      <w:lang w:val="nb-NO"/>
    </w:rPr>
  </w:style>
  <w:style w:type="paragraph" w:customStyle="1" w:styleId="-CharCharChar">
    <w:name w:val="- Char Char Char"/>
    <w:basedOn w:val="Normal"/>
    <w:pPr>
      <w:tabs>
        <w:tab w:val="center" w:pos="4320"/>
        <w:tab w:val="right" w:pos="8640"/>
      </w:tabs>
      <w:spacing w:before="60" w:after="60" w:line="240" w:lineRule="auto"/>
      <w:ind w:firstLine="680"/>
      <w:jc w:val="both"/>
    </w:pPr>
    <w:rPr>
      <w:szCs w:val="24"/>
    </w:rPr>
  </w:style>
  <w:style w:type="paragraph" w:customStyle="1" w:styleId="T10">
    <w:name w:val="T1"/>
    <w:basedOn w:val="m2"/>
    <w:qFormat/>
    <w:pPr>
      <w:widowControl w:val="0"/>
      <w:spacing w:after="60"/>
    </w:pPr>
    <w:rPr>
      <w:rFonts w:cs="VNtimes new roman"/>
      <w:sz w:val="26"/>
    </w:rPr>
  </w:style>
  <w:style w:type="paragraph" w:customStyle="1" w:styleId="C10">
    <w:name w:val="C1"/>
    <w:basedOn w:val="Normal"/>
    <w:pPr>
      <w:tabs>
        <w:tab w:val="left" w:pos="567"/>
      </w:tabs>
      <w:spacing w:before="240" w:line="360" w:lineRule="auto"/>
      <w:jc w:val="both"/>
    </w:pPr>
    <w:rPr>
      <w:b/>
      <w:sz w:val="26"/>
    </w:rPr>
  </w:style>
  <w:style w:type="character" w:customStyle="1" w:styleId="d2Char">
    <w:name w:val="d2 Char"/>
    <w:link w:val="d2"/>
    <w:rPr>
      <w:rFonts w:cs="VNtimes new roman"/>
      <w:b/>
      <w:iCs/>
      <w:sz w:val="28"/>
      <w:szCs w:val="24"/>
      <w:lang w:val="pt-BR"/>
    </w:rPr>
  </w:style>
  <w:style w:type="paragraph" w:customStyle="1" w:styleId="V20">
    <w:name w:val="V2"/>
    <w:basedOn w:val="m3"/>
    <w:qFormat/>
    <w:pPr>
      <w:spacing w:before="60" w:after="60"/>
      <w:jc w:val="both"/>
    </w:pPr>
    <w:rPr>
      <w:color w:val="000000"/>
      <w:szCs w:val="26"/>
    </w:rPr>
  </w:style>
  <w:style w:type="paragraph" w:customStyle="1" w:styleId="Thuong0">
    <w:name w:val="Thuong"/>
    <w:basedOn w:val="Normal"/>
    <w:uiPriority w:val="99"/>
    <w:qFormat/>
    <w:pPr>
      <w:spacing w:before="60" w:after="60" w:line="300" w:lineRule="auto"/>
      <w:ind w:firstLine="567"/>
      <w:jc w:val="both"/>
    </w:pPr>
    <w:rPr>
      <w:sz w:val="26"/>
      <w:szCs w:val="26"/>
      <w:lang w:val="fr-FR"/>
    </w:rPr>
  </w:style>
  <w:style w:type="paragraph" w:customStyle="1" w:styleId="bngvn">
    <w:name w:val="bảng vân"/>
    <w:basedOn w:val="Normal"/>
    <w:qFormat/>
    <w:pPr>
      <w:spacing w:line="312" w:lineRule="auto"/>
      <w:ind w:left="284" w:hanging="284"/>
      <w:contextualSpacing/>
      <w:jc w:val="center"/>
    </w:pPr>
    <w:rPr>
      <w:b/>
    </w:rPr>
  </w:style>
  <w:style w:type="paragraph" w:customStyle="1" w:styleId="HINH1">
    <w:name w:val="HINH1"/>
    <w:basedOn w:val="Normal"/>
    <w:uiPriority w:val="99"/>
    <w:qFormat/>
    <w:pPr>
      <w:spacing w:before="60" w:after="60" w:line="320" w:lineRule="exact"/>
      <w:jc w:val="center"/>
    </w:pPr>
    <w:rPr>
      <w:i/>
      <w:noProof/>
      <w:sz w:val="26"/>
      <w:szCs w:val="26"/>
    </w:rPr>
  </w:style>
  <w:style w:type="paragraph" w:customStyle="1" w:styleId="T40">
    <w:name w:val="T4"/>
    <w:basedOn w:val="Normal"/>
    <w:qFormat/>
    <w:pPr>
      <w:widowControl w:val="0"/>
      <w:spacing w:before="60" w:after="60" w:line="360" w:lineRule="exact"/>
      <w:jc w:val="center"/>
    </w:pPr>
    <w:rPr>
      <w:b/>
      <w:iCs/>
      <w:lang w:val="it-IT"/>
    </w:rPr>
  </w:style>
  <w:style w:type="paragraph" w:customStyle="1" w:styleId="Numberedpara">
    <w:name w:val="Numbered para"/>
    <w:basedOn w:val="Normal"/>
    <w:link w:val="NumberedparaChar"/>
    <w:qFormat/>
    <w:pPr>
      <w:numPr>
        <w:numId w:val="16"/>
      </w:numPr>
      <w:spacing w:after="120" w:line="240" w:lineRule="auto"/>
      <w:jc w:val="both"/>
    </w:pPr>
    <w:rPr>
      <w:rFonts w:ascii="Calibri" w:eastAsia="Calibri" w:hAnsi="Calibri"/>
      <w:sz w:val="20"/>
      <w:szCs w:val="20"/>
      <w:lang w:val="vi-VN" w:eastAsia="vi-VN"/>
    </w:rPr>
  </w:style>
  <w:style w:type="character" w:customStyle="1" w:styleId="NumberedparaChar">
    <w:name w:val="Numbered para Char"/>
    <w:link w:val="Numberedpara"/>
    <w:rPr>
      <w:rFonts w:ascii="Calibri" w:eastAsia="Calibri" w:hAnsi="Calibri"/>
      <w:lang w:val="vi-VN" w:eastAsia="vi-VN"/>
    </w:rPr>
  </w:style>
  <w:style w:type="paragraph" w:customStyle="1" w:styleId="ListParagraph6">
    <w:name w:val="List Paragraph6"/>
    <w:aliases w:val="body bullets,Light Grid - Accent 31,6 List Paragraph,List Paragraph61"/>
    <w:basedOn w:val="Normal"/>
    <w:qFormat/>
    <w:pPr>
      <w:spacing w:after="120" w:line="240" w:lineRule="auto"/>
      <w:ind w:left="720"/>
      <w:jc w:val="both"/>
    </w:pPr>
    <w:rPr>
      <w:rFonts w:ascii="Calibri" w:eastAsia="Calibri" w:hAnsi="Calibri"/>
      <w:sz w:val="20"/>
      <w:szCs w:val="20"/>
      <w:lang w:val="vi-VN" w:eastAsia="vi-VN"/>
    </w:rPr>
  </w:style>
  <w:style w:type="paragraph" w:customStyle="1" w:styleId="TableParagraph">
    <w:name w:val="Table Paragraph"/>
    <w:basedOn w:val="Normal"/>
    <w:uiPriority w:val="1"/>
    <w:qFormat/>
    <w:pPr>
      <w:widowControl w:val="0"/>
      <w:autoSpaceDE w:val="0"/>
      <w:autoSpaceDN w:val="0"/>
      <w:spacing w:line="240" w:lineRule="auto"/>
    </w:pPr>
    <w:rPr>
      <w:sz w:val="22"/>
      <w:szCs w:val="22"/>
    </w:rPr>
  </w:style>
  <w:style w:type="numbering" w:customStyle="1" w:styleId="Thuyetminhchung62222221">
    <w:name w:val="Thuyet minh chung62222221"/>
  </w:style>
  <w:style w:type="paragraph" w:customStyle="1" w:styleId="b5">
    <w:name w:val="b5"/>
    <w:basedOn w:val="Normal"/>
    <w:link w:val="b5Char"/>
    <w:qFormat/>
    <w:pPr>
      <w:spacing w:before="60" w:after="60" w:line="360" w:lineRule="exact"/>
    </w:pPr>
    <w:rPr>
      <w:rFonts w:eastAsia="Batang"/>
      <w:b/>
      <w:i/>
      <w:color w:val="000000"/>
      <w:sz w:val="26"/>
      <w:szCs w:val="20"/>
    </w:rPr>
  </w:style>
  <w:style w:type="character" w:customStyle="1" w:styleId="b5Char">
    <w:name w:val="b5 Char"/>
    <w:link w:val="b5"/>
    <w:locked/>
    <w:rPr>
      <w:rFonts w:eastAsia="Batang"/>
      <w:b/>
      <w:i/>
      <w:color w:val="000000"/>
      <w:sz w:val="26"/>
    </w:rPr>
  </w:style>
  <w:style w:type="paragraph" w:customStyle="1" w:styleId="a10">
    <w:name w:val="a1"/>
    <w:basedOn w:val="Heading2"/>
    <w:qFormat/>
    <w:pPr>
      <w:spacing w:before="120" w:after="60" w:line="288" w:lineRule="auto"/>
      <w:jc w:val="left"/>
    </w:pPr>
    <w:rPr>
      <w:rFonts w:ascii="Times New Roman" w:hAnsi="Times New Roman"/>
      <w:iCs/>
      <w:sz w:val="26"/>
      <w:szCs w:val="26"/>
      <w:lang w:val="nl-NL"/>
    </w:rPr>
  </w:style>
  <w:style w:type="paragraph" w:customStyle="1" w:styleId="a21">
    <w:name w:val="a2"/>
    <w:basedOn w:val="Heading3"/>
    <w:qFormat/>
    <w:pPr>
      <w:widowControl/>
      <w:shd w:val="clear" w:color="auto" w:fill="auto"/>
      <w:spacing w:before="120" w:after="60" w:line="264" w:lineRule="auto"/>
      <w:jc w:val="left"/>
    </w:pPr>
    <w:rPr>
      <w:bCs/>
      <w:iCs w:val="0"/>
      <w:spacing w:val="0"/>
      <w:lang w:val="nl-NL"/>
    </w:rPr>
  </w:style>
  <w:style w:type="character" w:customStyle="1" w:styleId="05Char">
    <w:name w:val="05 Char"/>
    <w:link w:val="05"/>
    <w:locked/>
    <w:rPr>
      <w:b/>
      <w:sz w:val="26"/>
      <w:szCs w:val="26"/>
    </w:rPr>
  </w:style>
  <w:style w:type="paragraph" w:customStyle="1" w:styleId="05">
    <w:name w:val="05"/>
    <w:basedOn w:val="Normal"/>
    <w:link w:val="05Char"/>
    <w:qFormat/>
    <w:pPr>
      <w:spacing w:before="60" w:after="60" w:line="360" w:lineRule="exact"/>
      <w:jc w:val="center"/>
    </w:pPr>
    <w:rPr>
      <w:b/>
      <w:sz w:val="26"/>
      <w:szCs w:val="26"/>
    </w:rPr>
  </w:style>
  <w:style w:type="paragraph" w:customStyle="1" w:styleId="m6-hinh">
    <w:name w:val="m6-hinh"/>
    <w:basedOn w:val="Normal"/>
    <w:qFormat/>
    <w:pPr>
      <w:widowControl w:val="0"/>
      <w:spacing w:before="60" w:after="60" w:line="340" w:lineRule="exact"/>
      <w:ind w:firstLine="567"/>
      <w:jc w:val="center"/>
    </w:pPr>
    <w:rPr>
      <w:rFonts w:eastAsia="Calibri"/>
      <w:b/>
      <w:sz w:val="26"/>
      <w:szCs w:val="26"/>
      <w:lang w:val="nl-NL"/>
    </w:rPr>
  </w:style>
  <w:style w:type="character" w:customStyle="1" w:styleId="text0">
    <w:name w:val="text"/>
  </w:style>
  <w:style w:type="character" w:customStyle="1" w:styleId="emoji-sizer">
    <w:name w:val="emoji-sizer"/>
  </w:style>
  <w:style w:type="character" w:customStyle="1" w:styleId="fontstyle21">
    <w:name w:val="fontstyle21"/>
    <w:rPr>
      <w:rFonts w:ascii="Times New Roman Italic" w:hAnsi="Times New Roman Italic" w:hint="default"/>
      <w:b w:val="0"/>
      <w:bCs w:val="0"/>
      <w:i/>
      <w:iCs/>
      <w:color w:val="000000"/>
      <w:sz w:val="24"/>
      <w:szCs w:val="24"/>
    </w:rPr>
  </w:style>
  <w:style w:type="character" w:customStyle="1" w:styleId="fontstyle31">
    <w:name w:val="fontstyle31"/>
    <w:rPr>
      <w:rFonts w:ascii="Times New Roman Bold Italic" w:hAnsi="Times New Roman Bold Italic" w:hint="default"/>
      <w:b/>
      <w:bCs/>
      <w:i/>
      <w:iCs/>
      <w:color w:val="000000"/>
      <w:sz w:val="24"/>
      <w:szCs w:val="24"/>
    </w:rPr>
  </w:style>
  <w:style w:type="paragraph" w:customStyle="1" w:styleId="DTM2">
    <w:name w:val="DTM 2"/>
    <w:basedOn w:val="Normal"/>
    <w:pPr>
      <w:widowControl w:val="0"/>
      <w:spacing w:after="120" w:line="320" w:lineRule="exact"/>
      <w:jc w:val="both"/>
    </w:pPr>
    <w:rPr>
      <w:b/>
      <w:sz w:val="26"/>
      <w:szCs w:val="26"/>
      <w:lang w:val="vi-VN"/>
    </w:rPr>
  </w:style>
  <w:style w:type="character" w:customStyle="1" w:styleId="fontstyle41">
    <w:name w:val="fontstyle41"/>
    <w:rPr>
      <w:rFonts w:ascii="Times New Roman Bold Italic" w:hAnsi="Times New Roman Bold Italic" w:hint="default"/>
      <w:b/>
      <w:bCs/>
      <w:i/>
      <w:iCs/>
      <w:color w:val="000000"/>
      <w:sz w:val="24"/>
      <w:szCs w:val="24"/>
    </w:rPr>
  </w:style>
  <w:style w:type="numbering" w:customStyle="1" w:styleId="NoList4">
    <w:name w:val="No List4"/>
    <w:next w:val="NoList"/>
    <w:uiPriority w:val="99"/>
    <w:semiHidden/>
    <w:unhideWhenUsed/>
  </w:style>
  <w:style w:type="character" w:customStyle="1" w:styleId="Level2Char">
    <w:name w:val="Level 2 Char"/>
    <w:uiPriority w:val="9"/>
    <w:rPr>
      <w:rFonts w:eastAsia="Times New Roman" w:cs="Times New Roman"/>
      <w:b/>
      <w:szCs w:val="26"/>
    </w:rPr>
  </w:style>
  <w:style w:type="table" w:customStyle="1" w:styleId="TableGrid3">
    <w:name w:val="Table Grid3"/>
    <w:basedOn w:val="TableNormal"/>
    <w:next w:val="TableGrid"/>
    <w:uiPriority w:val="39"/>
    <w:rPr>
      <w:rFonts w:eastAsia="Calibri"/>
      <w:sz w:val="28"/>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1CharChar2">
    <w:name w:val="Char Char Char Char Char1 Char Char2"/>
    <w:basedOn w:val="Normal"/>
    <w:semiHidden/>
    <w:pPr>
      <w:autoSpaceDE w:val="0"/>
      <w:autoSpaceDN w:val="0"/>
      <w:adjustRightInd w:val="0"/>
      <w:spacing w:before="120" w:after="160" w:line="240" w:lineRule="exact"/>
    </w:pPr>
    <w:rPr>
      <w:rFonts w:ascii="Verdana" w:hAnsi="Verdana"/>
      <w:sz w:val="20"/>
      <w:szCs w:val="20"/>
    </w:rPr>
  </w:style>
  <w:style w:type="paragraph" w:customStyle="1" w:styleId="bac2">
    <w:name w:val="bac 2"/>
    <w:basedOn w:val="Normal"/>
    <w:qFormat/>
    <w:pPr>
      <w:spacing w:before="60" w:after="60" w:line="360" w:lineRule="exact"/>
      <w:ind w:firstLine="720"/>
      <w:jc w:val="both"/>
    </w:pPr>
    <w:rPr>
      <w:rFonts w:ascii="Times New Roman Bold" w:hAnsi="Times New Roman Bold"/>
      <w:b/>
      <w:spacing w:val="-4"/>
      <w:sz w:val="26"/>
    </w:rPr>
  </w:style>
  <w:style w:type="paragraph" w:customStyle="1" w:styleId="1111">
    <w:name w:val="1.1.1.1"/>
    <w:basedOn w:val="Normal"/>
    <w:qFormat/>
    <w:pPr>
      <w:shd w:val="clear" w:color="auto" w:fill="FFFFFF"/>
      <w:spacing w:line="360" w:lineRule="exact"/>
      <w:jc w:val="both"/>
    </w:pPr>
    <w:rPr>
      <w:bCs/>
      <w:i/>
      <w:color w:val="000000"/>
      <w:spacing w:val="-2"/>
      <w:lang w:eastAsia="ja-JP"/>
    </w:rPr>
  </w:style>
  <w:style w:type="paragraph" w:customStyle="1" w:styleId="11A">
    <w:name w:val="1.1.A"/>
    <w:basedOn w:val="Normal"/>
    <w:qFormat/>
    <w:pPr>
      <w:spacing w:line="360" w:lineRule="exact"/>
      <w:ind w:firstLine="720"/>
      <w:jc w:val="center"/>
    </w:pPr>
    <w:rPr>
      <w:b/>
      <w:bCs/>
      <w:iCs/>
      <w:lang w:val="pt-BR"/>
    </w:rPr>
  </w:style>
  <w:style w:type="paragraph" w:customStyle="1" w:styleId="CharChar1CharCharCharChar1CharCharCharCharCharCharCharChar">
    <w:name w:val="Char Char1 Char Char Char Char1 Char Char Char Char Char Char Char Char"/>
    <w:aliases w:val="Char Char1 Char Char Char Char1 Char Char Char Char Char Char Char Char Char Char Char Char"/>
    <w:basedOn w:val="Normal"/>
    <w:next w:val="Normal"/>
    <w:link w:val="FootnoteReference"/>
    <w:uiPriority w:val="99"/>
    <w:qFormat/>
    <w:pPr>
      <w:spacing w:after="160" w:line="240" w:lineRule="exact"/>
    </w:pPr>
    <w:rPr>
      <w:sz w:val="20"/>
      <w:szCs w:val="20"/>
      <w:vertAlign w:val="superscript"/>
    </w:rPr>
  </w:style>
  <w:style w:type="paragraph" w:customStyle="1" w:styleId="Bang11">
    <w:name w:val="Bang11"/>
    <w:basedOn w:val="Normal"/>
    <w:autoRedefine/>
    <w:qFormat/>
    <w:pPr>
      <w:spacing w:line="240" w:lineRule="auto"/>
      <w:jc w:val="center"/>
    </w:pPr>
    <w:rPr>
      <w:sz w:val="22"/>
      <w:lang w:val="de-DE"/>
    </w:rPr>
  </w:style>
  <w:style w:type="character" w:customStyle="1" w:styleId="CaptionChar1">
    <w:name w:val="Caption Char1"/>
    <w:aliases w:val="Caption Char Char,Caption Char1 Char Char,Caption Char Char Char Char,Caption Char Char Char Char Char Char Char Char Char,Caption Char Char Char Char Char Char1 Char Char,Caption Char Char Char Char Char Char,Caption (tab Char Char Char"/>
    <w:link w:val="Caption"/>
    <w:uiPriority w:val="35"/>
    <w:rPr>
      <w:i/>
      <w:iCs/>
      <w:sz w:val="24"/>
      <w:szCs w:val="24"/>
    </w:rPr>
  </w:style>
  <w:style w:type="paragraph" w:customStyle="1" w:styleId="ftrefCharCharChar">
    <w:name w:val="ftref Char Char Char"/>
    <w:aliases w:val="Footnote Char Char Char,16 Point Char Char Char,Superscript 6 Point Char Char Char,Superscript 6 Point + 11 pt Char Char Char,(NECG) Footnote Reference Char Char Char,Fußnotenzeichen DISS Char Char Char"/>
    <w:basedOn w:val="Normal"/>
    <w:uiPriority w:val="99"/>
    <w:pPr>
      <w:spacing w:before="100" w:line="240" w:lineRule="exact"/>
    </w:pPr>
    <w:rPr>
      <w:rFonts w:ascii="Calibri" w:eastAsia="Calibri" w:hAnsi="Calibri"/>
      <w:sz w:val="20"/>
      <w:szCs w:val="20"/>
      <w:vertAlign w:val="superscript"/>
    </w:rPr>
  </w:style>
  <w:style w:type="paragraph" w:customStyle="1" w:styleId="Bc21">
    <w:name w:val="Bậc 2.1"/>
    <w:basedOn w:val="Normal"/>
    <w:pPr>
      <w:tabs>
        <w:tab w:val="center" w:pos="4320"/>
        <w:tab w:val="right" w:pos="8640"/>
      </w:tabs>
      <w:spacing w:before="60" w:after="60" w:line="360" w:lineRule="exact"/>
      <w:jc w:val="both"/>
    </w:pPr>
    <w:rPr>
      <w:b/>
      <w:i/>
      <w:szCs w:val="20"/>
    </w:rPr>
  </w:style>
  <w:style w:type="paragraph" w:customStyle="1" w:styleId="BAC4">
    <w:name w:val="BAC 4"/>
    <w:basedOn w:val="Normal"/>
    <w:link w:val="BAC4Char"/>
    <w:qFormat/>
    <w:pPr>
      <w:spacing w:before="60" w:after="60" w:line="360" w:lineRule="exact"/>
      <w:jc w:val="center"/>
    </w:pPr>
    <w:rPr>
      <w:rFonts w:ascii="Times New Roman Bold" w:eastAsia="Batang" w:hAnsi="Times New Roman Bold"/>
      <w:b/>
      <w:color w:val="000000"/>
      <w:szCs w:val="20"/>
    </w:rPr>
  </w:style>
  <w:style w:type="character" w:customStyle="1" w:styleId="BAC4Char">
    <w:name w:val="BAC 4 Char"/>
    <w:link w:val="BAC4"/>
    <w:locked/>
    <w:rPr>
      <w:rFonts w:ascii="Times New Roman Bold" w:eastAsia="Batang" w:hAnsi="Times New Roman Bold"/>
      <w:b/>
      <w:color w:val="000000"/>
      <w:sz w:val="28"/>
    </w:rPr>
  </w:style>
  <w:style w:type="numbering" w:customStyle="1" w:styleId="1111114">
    <w:name w:val="1 / 1.1 / 1.1.14"/>
    <w:basedOn w:val="NoList"/>
    <w:next w:val="111111"/>
    <w:unhideWhenUsed/>
  </w:style>
  <w:style w:type="numbering" w:customStyle="1" w:styleId="Tmc212184">
    <w:name w:val="Tmc212184"/>
  </w:style>
  <w:style w:type="numbering" w:customStyle="1" w:styleId="11111111">
    <w:name w:val="1 / 1.1 / 1.1.111"/>
    <w:basedOn w:val="NoList"/>
    <w:next w:val="111111"/>
    <w:unhideWhenUsed/>
  </w:style>
  <w:style w:type="numbering" w:customStyle="1" w:styleId="11111121">
    <w:name w:val="1 / 1.1 / 1.1.121"/>
    <w:basedOn w:val="NoList"/>
    <w:next w:val="111111"/>
    <w:uiPriority w:val="99"/>
    <w:semiHidden/>
    <w:unhideWhenUsed/>
  </w:style>
  <w:style w:type="numbering" w:customStyle="1" w:styleId="Tmc2121822">
    <w:name w:val="Tmc2121822"/>
  </w:style>
  <w:style w:type="numbering" w:customStyle="1" w:styleId="11111131">
    <w:name w:val="1 / 1.1 / 1.1.131"/>
    <w:basedOn w:val="NoList"/>
    <w:next w:val="111111"/>
    <w:uiPriority w:val="99"/>
    <w:semiHidden/>
    <w:unhideWhenUsed/>
  </w:style>
  <w:style w:type="numbering" w:customStyle="1" w:styleId="Tmc2121831">
    <w:name w:val="Tmc2121831"/>
  </w:style>
  <w:style w:type="numbering" w:customStyle="1" w:styleId="Tmc21218211">
    <w:name w:val="Tmc21218211"/>
  </w:style>
  <w:style w:type="numbering" w:customStyle="1" w:styleId="Thuyetminhchung622222211">
    <w:name w:val="Thuyet minh chung622222211"/>
  </w:style>
  <w:style w:type="paragraph" w:customStyle="1" w:styleId="CharCharCharCharChar1CharChar1">
    <w:name w:val="Char Char Char Char Char1 Char Char1"/>
    <w:basedOn w:val="Normal"/>
    <w:semiHidden/>
    <w:pPr>
      <w:autoSpaceDE w:val="0"/>
      <w:autoSpaceDN w:val="0"/>
      <w:adjustRightInd w:val="0"/>
      <w:spacing w:before="120" w:after="160" w:line="240" w:lineRule="exact"/>
    </w:pPr>
    <w:rPr>
      <w:rFonts w:ascii="Verdana" w:hAnsi="Verdana"/>
      <w:sz w:val="20"/>
      <w:szCs w:val="20"/>
    </w:rPr>
  </w:style>
  <w:style w:type="paragraph" w:customStyle="1" w:styleId="DoanParagraph">
    <w:name w:val="Doan (Paragraph)"/>
    <w:basedOn w:val="Normal"/>
    <w:pPr>
      <w:overflowPunct w:val="0"/>
      <w:autoSpaceDE w:val="0"/>
      <w:autoSpaceDN w:val="0"/>
      <w:adjustRightInd w:val="0"/>
      <w:spacing w:before="120" w:after="120" w:line="320" w:lineRule="exact"/>
      <w:jc w:val="both"/>
      <w:textAlignment w:val="baseline"/>
    </w:pPr>
    <w:rPr>
      <w:rFonts w:ascii=".VnTime" w:hAnsi=".VnTime"/>
      <w:sz w:val="26"/>
      <w:szCs w:val="20"/>
      <w:lang w:val="en-GB"/>
    </w:rPr>
  </w:style>
  <w:style w:type="paragraph" w:customStyle="1" w:styleId="BNG0">
    <w:name w:val="BẢNG"/>
    <w:basedOn w:val="Normal"/>
    <w:link w:val="BNGChar0"/>
    <w:qFormat/>
    <w:pPr>
      <w:spacing w:before="120"/>
      <w:jc w:val="center"/>
    </w:pPr>
    <w:rPr>
      <w:b/>
      <w:color w:val="000000"/>
      <w:sz w:val="26"/>
      <w:szCs w:val="26"/>
      <w:lang w:val="fr-FR"/>
    </w:rPr>
  </w:style>
  <w:style w:type="character" w:customStyle="1" w:styleId="BNGChar0">
    <w:name w:val="BẢNG Char"/>
    <w:link w:val="BNG0"/>
    <w:rPr>
      <w:b/>
      <w:color w:val="000000"/>
      <w:sz w:val="26"/>
      <w:szCs w:val="26"/>
      <w:lang w:val="fr-FR"/>
    </w:rPr>
  </w:style>
  <w:style w:type="character" w:customStyle="1" w:styleId="BngBoCoChar">
    <w:name w:val="Bảng Báo Cáo Char"/>
    <w:uiPriority w:val="35"/>
    <w:locked/>
    <w:rPr>
      <w:b/>
      <w:noProof/>
      <w:sz w:val="26"/>
    </w:rPr>
  </w:style>
  <w:style w:type="numbering" w:customStyle="1" w:styleId="NoList5">
    <w:name w:val="No List5"/>
    <w:next w:val="NoList"/>
    <w:uiPriority w:val="99"/>
    <w:semiHidden/>
    <w:unhideWhenUsed/>
  </w:style>
  <w:style w:type="paragraph" w:customStyle="1" w:styleId="msonormal0">
    <w:name w:val="msonormal"/>
    <w:basedOn w:val="Normal"/>
    <w:uiPriority w:val="99"/>
    <w:pPr>
      <w:spacing w:before="120" w:after="240" w:line="360" w:lineRule="atLeast"/>
    </w:pPr>
    <w:rPr>
      <w:rFonts w:ascii="Verdana" w:hAnsi="Verdana"/>
      <w:sz w:val="24"/>
      <w:szCs w:val="24"/>
    </w:rPr>
  </w:style>
  <w:style w:type="character" w:customStyle="1" w:styleId="FootnoteTextChar1">
    <w:name w:val="Footnote Text Char1"/>
    <w:aliases w:val="Footnote Text Char Tegn Char Char1,Footnote Text Char Char Char Char Char Char1,Footnote Text Char Char Char Char Char Char Ch Char Char1,Footnote Text Char Char Char Char Char Char Ch Char Char Char Char1,single sp Char"/>
    <w:uiPriority w:val="99"/>
    <w:semiHidden/>
    <w:rPr>
      <w:rFonts w:ascii=".VnTime" w:hAnsi=".VnTime"/>
      <w:noProof/>
    </w:rPr>
  </w:style>
  <w:style w:type="character" w:customStyle="1" w:styleId="FootnoteTextChar11">
    <w:name w:val="Footnote Text Char11"/>
    <w:aliases w:val="Footnote Text Char Tegn Char Char11,Footnote Text Char Char Char Char Char Char11,Footnote Text Char Char Char Char Char Char Ch Char Char11,Footnote Text Char Char Char Char Char Char Ch Char Char Char Char11,single spa Char1"/>
    <w:uiPriority w:val="99"/>
    <w:semiHidden/>
    <w:rPr>
      <w:rFonts w:ascii=".VnTime" w:hAnsi=".VnTime" w:cs="Times New Roman"/>
      <w:noProof/>
      <w:sz w:val="20"/>
      <w:szCs w:val="20"/>
    </w:rPr>
  </w:style>
  <w:style w:type="paragraph" w:customStyle="1" w:styleId="CharCharCharCharCharChar">
    <w:name w:val="Char Char Char Char Char Char"/>
    <w:basedOn w:val="Normal"/>
    <w:uiPriority w:val="99"/>
    <w:pPr>
      <w:spacing w:after="160" w:line="240" w:lineRule="exact"/>
    </w:pPr>
    <w:rPr>
      <w:rFonts w:ascii="Verdana" w:eastAsia="SimSun" w:hAnsi="Verdana"/>
      <w:sz w:val="20"/>
      <w:szCs w:val="20"/>
    </w:rPr>
  </w:style>
  <w:style w:type="paragraph" w:customStyle="1" w:styleId="03">
    <w:name w:val="03"/>
    <w:basedOn w:val="Normal"/>
    <w:uiPriority w:val="99"/>
    <w:pPr>
      <w:spacing w:before="60" w:after="60" w:line="312" w:lineRule="auto"/>
      <w:jc w:val="both"/>
    </w:pPr>
    <w:rPr>
      <w:b/>
      <w:bCs/>
      <w:sz w:val="26"/>
      <w:szCs w:val="26"/>
    </w:rPr>
  </w:style>
  <w:style w:type="paragraph" w:customStyle="1" w:styleId="Filenameandpath">
    <w:name w:val="Filename and path"/>
    <w:uiPriority w:val="99"/>
    <w:rPr>
      <w:sz w:val="24"/>
      <w:szCs w:val="24"/>
    </w:rPr>
  </w:style>
  <w:style w:type="paragraph" w:customStyle="1" w:styleId="BngThy">
    <w:name w:val="Bảng Thủy"/>
    <w:basedOn w:val="Normal"/>
    <w:uiPriority w:val="99"/>
    <w:qFormat/>
    <w:pPr>
      <w:spacing w:line="360" w:lineRule="auto"/>
      <w:ind w:left="113" w:firstLine="567"/>
      <w:jc w:val="center"/>
    </w:pPr>
    <w:rPr>
      <w:sz w:val="26"/>
      <w:szCs w:val="26"/>
    </w:rPr>
  </w:style>
  <w:style w:type="paragraph" w:customStyle="1" w:styleId="bodytext20">
    <w:name w:val="bodytext2"/>
    <w:basedOn w:val="Normal"/>
    <w:uiPriority w:val="99"/>
    <w:pPr>
      <w:spacing w:before="100" w:beforeAutospacing="1" w:after="100" w:afterAutospacing="1" w:line="240" w:lineRule="auto"/>
    </w:pPr>
    <w:rPr>
      <w:sz w:val="24"/>
      <w:szCs w:val="24"/>
    </w:rPr>
  </w:style>
  <w:style w:type="paragraph" w:customStyle="1" w:styleId="ftrefCharChar">
    <w:name w:val="ftref Char Char"/>
    <w:aliases w:val="Footnote Char Char,16 Point Char Char,Superscript 6 Point Char Char,Superscript 6 Point + 11 pt Char Char,(NECG) Footnote Reference Char Char,Fußnotenzeichen DISS Char Char,fr Char Char,Footnote Ref in FtNote Char Char"/>
    <w:basedOn w:val="Normal"/>
    <w:uiPriority w:val="99"/>
    <w:pPr>
      <w:spacing w:before="100" w:after="120" w:line="240" w:lineRule="exact"/>
      <w:ind w:firstLine="567"/>
      <w:jc w:val="both"/>
    </w:pPr>
    <w:rPr>
      <w:sz w:val="20"/>
      <w:szCs w:val="20"/>
      <w:vertAlign w:val="superscript"/>
    </w:rPr>
  </w:style>
  <w:style w:type="paragraph" w:customStyle="1" w:styleId="giua-p">
    <w:name w:val="giua-p"/>
    <w:basedOn w:val="Normal"/>
    <w:uiPriority w:val="99"/>
    <w:pPr>
      <w:spacing w:line="240" w:lineRule="auto"/>
      <w:jc w:val="center"/>
    </w:pPr>
    <w:rPr>
      <w:sz w:val="20"/>
      <w:szCs w:val="20"/>
    </w:rPr>
  </w:style>
  <w:style w:type="paragraph" w:customStyle="1" w:styleId="Title2">
    <w:name w:val="Title 2"/>
    <w:basedOn w:val="Normal"/>
    <w:pPr>
      <w:spacing w:before="120" w:after="120" w:line="360" w:lineRule="auto"/>
    </w:pPr>
    <w:rPr>
      <w:b/>
      <w:lang w:val="es-MX"/>
    </w:rPr>
  </w:style>
  <w:style w:type="character" w:customStyle="1" w:styleId="FollowedHyperlink26">
    <w:name w:val="FollowedHyperlink26"/>
    <w:rPr>
      <w:color w:val="222222"/>
      <w:u w:val="none"/>
      <w:effect w:val="none"/>
    </w:rPr>
  </w:style>
  <w:style w:type="character" w:customStyle="1" w:styleId="bodytextitalic">
    <w:name w:val="bodytextitalic"/>
  </w:style>
  <w:style w:type="character" w:customStyle="1" w:styleId="bodytextbold">
    <w:name w:val="bodytextbold"/>
  </w:style>
  <w:style w:type="character" w:customStyle="1" w:styleId="lblcontent">
    <w:name w:val="lblcontent"/>
  </w:style>
  <w:style w:type="table" w:customStyle="1" w:styleId="TableGrid4">
    <w:name w:val="Table Grid4"/>
    <w:basedOn w:val="TableNormal"/>
    <w:next w:val="TableGrid"/>
    <w:uiPriority w:val="59"/>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h1">
    <w:name w:val="normal-h1"/>
    <w:rPr>
      <w:rFonts w:ascii="Times New Roman" w:hAnsi="Times New Roman"/>
      <w:color w:val="0000FF"/>
      <w:sz w:val="24"/>
    </w:rPr>
  </w:style>
  <w:style w:type="paragraph" w:customStyle="1" w:styleId="HG-Para">
    <w:name w:val="HG-Para"/>
    <w:basedOn w:val="Normal"/>
    <w:link w:val="HG-ParaChar"/>
    <w:autoRedefine/>
    <w:uiPriority w:val="99"/>
    <w:qFormat/>
    <w:pPr>
      <w:widowControl w:val="0"/>
      <w:spacing w:line="312" w:lineRule="auto"/>
      <w:jc w:val="both"/>
    </w:pPr>
    <w:rPr>
      <w:color w:val="000000"/>
      <w:sz w:val="26"/>
      <w:szCs w:val="20"/>
      <w:lang w:val="nl-NL"/>
    </w:rPr>
  </w:style>
  <w:style w:type="character" w:customStyle="1" w:styleId="HG-ParaChar">
    <w:name w:val="HG-Para Char"/>
    <w:link w:val="HG-Para"/>
    <w:uiPriority w:val="99"/>
    <w:locked/>
    <w:rPr>
      <w:color w:val="000000"/>
      <w:sz w:val="26"/>
      <w:lang w:val="nl-NL"/>
    </w:rPr>
  </w:style>
  <w:style w:type="paragraph" w:customStyle="1" w:styleId="StyleLitkBoldItalic">
    <w:name w:val="Style Liệt kê + Bold Italic"/>
    <w:basedOn w:val="Normal"/>
    <w:link w:val="StyleLitkBoldItalicChar"/>
    <w:autoRedefine/>
    <w:pPr>
      <w:numPr>
        <w:numId w:val="17"/>
      </w:numPr>
      <w:spacing w:before="120" w:line="312" w:lineRule="auto"/>
      <w:jc w:val="both"/>
    </w:pPr>
    <w:rPr>
      <w:b/>
      <w:bCs/>
      <w:i/>
      <w:iCs/>
      <w:sz w:val="26"/>
      <w:szCs w:val="20"/>
    </w:rPr>
  </w:style>
  <w:style w:type="paragraph" w:customStyle="1" w:styleId="Bang12">
    <w:name w:val="Bang1"/>
    <w:basedOn w:val="BodyTextIndent"/>
    <w:pPr>
      <w:spacing w:before="60" w:after="60" w:line="360" w:lineRule="exact"/>
      <w:ind w:left="0"/>
      <w:jc w:val="center"/>
    </w:pPr>
    <w:rPr>
      <w:rFonts w:ascii="Times New Roman" w:hAnsi="Times New Roman"/>
      <w:b/>
      <w:sz w:val="28"/>
      <w:szCs w:val="28"/>
      <w:lang w:val="nl-NL"/>
    </w:rPr>
  </w:style>
  <w:style w:type="character" w:customStyle="1" w:styleId="Vnbnnidung">
    <w:name w:val="Văn bản nội dung_"/>
    <w:link w:val="Vnbnnidung0"/>
    <w:uiPriority w:val="99"/>
  </w:style>
  <w:style w:type="paragraph" w:customStyle="1" w:styleId="Vnbnnidung0">
    <w:name w:val="Văn bản nội dung"/>
    <w:basedOn w:val="Normal"/>
    <w:link w:val="Vnbnnidung"/>
    <w:uiPriority w:val="99"/>
    <w:pPr>
      <w:widowControl w:val="0"/>
      <w:spacing w:after="180" w:line="271" w:lineRule="auto"/>
      <w:ind w:firstLine="400"/>
    </w:pPr>
    <w:rPr>
      <w:sz w:val="20"/>
      <w:szCs w:val="20"/>
    </w:rPr>
  </w:style>
  <w:style w:type="numbering" w:customStyle="1" w:styleId="1111115">
    <w:name w:val="1 / 1.1 / 1.1.15"/>
    <w:basedOn w:val="NoList"/>
    <w:next w:val="111111"/>
    <w:unhideWhenUsed/>
    <w:pPr>
      <w:numPr>
        <w:numId w:val="7"/>
      </w:numPr>
    </w:pPr>
  </w:style>
  <w:style w:type="numbering" w:customStyle="1" w:styleId="Tmc212185">
    <w:name w:val="Tmc212185"/>
    <w:pPr>
      <w:numPr>
        <w:numId w:val="6"/>
      </w:numPr>
    </w:pPr>
  </w:style>
  <w:style w:type="numbering" w:customStyle="1" w:styleId="11111112">
    <w:name w:val="1 / 1.1 / 1.1.112"/>
    <w:basedOn w:val="NoList"/>
    <w:next w:val="111111"/>
    <w:unhideWhenUsed/>
    <w:pPr>
      <w:numPr>
        <w:numId w:val="4"/>
      </w:numPr>
    </w:pPr>
  </w:style>
  <w:style w:type="numbering" w:customStyle="1" w:styleId="11111122">
    <w:name w:val="1 / 1.1 / 1.1.122"/>
    <w:basedOn w:val="NoList"/>
    <w:next w:val="111111"/>
    <w:uiPriority w:val="99"/>
    <w:semiHidden/>
    <w:unhideWhenUsed/>
    <w:pPr>
      <w:numPr>
        <w:numId w:val="8"/>
      </w:numPr>
    </w:pPr>
  </w:style>
  <w:style w:type="numbering" w:customStyle="1" w:styleId="Tmc2121823">
    <w:name w:val="Tmc2121823"/>
    <w:pPr>
      <w:numPr>
        <w:numId w:val="5"/>
      </w:numPr>
    </w:pPr>
  </w:style>
  <w:style w:type="numbering" w:customStyle="1" w:styleId="11111132">
    <w:name w:val="1 / 1.1 / 1.1.132"/>
    <w:basedOn w:val="NoList"/>
    <w:next w:val="111111"/>
    <w:uiPriority w:val="99"/>
    <w:semiHidden/>
    <w:unhideWhenUsed/>
    <w:pPr>
      <w:numPr>
        <w:numId w:val="2"/>
      </w:numPr>
    </w:pPr>
  </w:style>
  <w:style w:type="numbering" w:customStyle="1" w:styleId="Tmc2121832">
    <w:name w:val="Tmc2121832"/>
    <w:pPr>
      <w:numPr>
        <w:numId w:val="3"/>
      </w:numPr>
    </w:pPr>
  </w:style>
  <w:style w:type="numbering" w:customStyle="1" w:styleId="Tmc21218212">
    <w:name w:val="Tmc21218212"/>
    <w:pPr>
      <w:numPr>
        <w:numId w:val="14"/>
      </w:numPr>
    </w:pPr>
  </w:style>
  <w:style w:type="numbering" w:customStyle="1" w:styleId="Thuyetminhchung622222212">
    <w:name w:val="Thuyet minh chung622222212"/>
    <w:pPr>
      <w:numPr>
        <w:numId w:val="1"/>
      </w:numPr>
    </w:pPr>
  </w:style>
  <w:style w:type="character" w:customStyle="1" w:styleId="Tablecaption">
    <w:name w:val="Table caption_"/>
    <w:link w:val="Tablecaption0"/>
    <w:locked/>
    <w:rPr>
      <w:sz w:val="35"/>
      <w:szCs w:val="35"/>
      <w:shd w:val="clear" w:color="auto" w:fill="FFFFFF"/>
    </w:rPr>
  </w:style>
  <w:style w:type="paragraph" w:customStyle="1" w:styleId="Tablecaption0">
    <w:name w:val="Table caption"/>
    <w:basedOn w:val="Normal"/>
    <w:link w:val="Tablecaption"/>
    <w:pPr>
      <w:widowControl w:val="0"/>
      <w:shd w:val="clear" w:color="auto" w:fill="FFFFFF"/>
      <w:spacing w:line="240" w:lineRule="atLeast"/>
      <w:ind w:firstLine="567"/>
      <w:jc w:val="both"/>
    </w:pPr>
    <w:rPr>
      <w:sz w:val="35"/>
      <w:szCs w:val="35"/>
    </w:rPr>
  </w:style>
  <w:style w:type="paragraph" w:customStyle="1" w:styleId="J1">
    <w:name w:val="J1"/>
    <w:basedOn w:val="Normal"/>
    <w:link w:val="J1Char"/>
    <w:qFormat/>
    <w:pPr>
      <w:spacing w:before="60" w:after="60" w:line="350" w:lineRule="exact"/>
      <w:outlineLvl w:val="0"/>
    </w:pPr>
    <w:rPr>
      <w:b/>
      <w:color w:val="000000"/>
      <w:sz w:val="26"/>
      <w:szCs w:val="26"/>
    </w:rPr>
  </w:style>
  <w:style w:type="character" w:customStyle="1" w:styleId="J1Char">
    <w:name w:val="J1 Char"/>
    <w:link w:val="J1"/>
    <w:rPr>
      <w:b/>
      <w:color w:val="000000"/>
      <w:sz w:val="26"/>
      <w:szCs w:val="26"/>
    </w:rPr>
  </w:style>
  <w:style w:type="paragraph" w:customStyle="1" w:styleId="V50">
    <w:name w:val="V5"/>
    <w:basedOn w:val="b2"/>
    <w:qFormat/>
    <w:pPr>
      <w:spacing w:before="60" w:after="60" w:line="340" w:lineRule="exact"/>
      <w:jc w:val="center"/>
    </w:pPr>
    <w:rPr>
      <w:rFonts w:eastAsia="Calibri" w:cs="Times New Roman"/>
      <w:sz w:val="26"/>
      <w:szCs w:val="26"/>
    </w:rPr>
  </w:style>
  <w:style w:type="character" w:customStyle="1" w:styleId="Other">
    <w:name w:val="Other_"/>
    <w:link w:val="Other0"/>
    <w:uiPriority w:val="99"/>
    <w:rPr>
      <w:sz w:val="26"/>
      <w:szCs w:val="26"/>
      <w:shd w:val="clear" w:color="auto" w:fill="FFFFFF"/>
    </w:rPr>
  </w:style>
  <w:style w:type="paragraph" w:customStyle="1" w:styleId="Other0">
    <w:name w:val="Other"/>
    <w:basedOn w:val="Normal"/>
    <w:link w:val="Other"/>
    <w:uiPriority w:val="99"/>
    <w:pPr>
      <w:widowControl w:val="0"/>
      <w:shd w:val="clear" w:color="auto" w:fill="FFFFFF"/>
      <w:spacing w:after="220" w:line="259" w:lineRule="auto"/>
      <w:ind w:firstLine="400"/>
    </w:pPr>
    <w:rPr>
      <w:sz w:val="26"/>
      <w:szCs w:val="26"/>
    </w:rPr>
  </w:style>
  <w:style w:type="paragraph" w:customStyle="1" w:styleId="HD4">
    <w:name w:val="HD4"/>
    <w:basedOn w:val="Normal"/>
    <w:qFormat/>
    <w:pPr>
      <w:spacing w:before="60" w:after="60" w:line="360" w:lineRule="exact"/>
      <w:jc w:val="both"/>
    </w:pPr>
    <w:rPr>
      <w:b/>
      <w:i/>
      <w:color w:val="000000" w:themeColor="text1"/>
      <w:szCs w:val="26"/>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Char12">
    <w:name w:val="Char12"/>
    <w:basedOn w:val="Normal"/>
    <w:pPr>
      <w:spacing w:after="160" w:line="240" w:lineRule="exact"/>
    </w:pPr>
    <w:rPr>
      <w:rFonts w:ascii="Verdana" w:hAnsi="Verdana"/>
      <w:sz w:val="20"/>
      <w:szCs w:val="20"/>
    </w:rPr>
  </w:style>
  <w:style w:type="paragraph" w:customStyle="1" w:styleId="FootnoteCharChar1CharChar">
    <w:name w:val="Footnote Char Char1 Char Char"/>
    <w:aliases w:val="Footnote text Char Char1 Char Char,ftref Char Char1 Char Char,BearingPoint Char Char1 Char Char,16 Point Char Char1 Char Char,Superscript 6 Point Char Char1 Char Char,fr Char Char1 Char Char"/>
    <w:basedOn w:val="Normal"/>
    <w:qFormat/>
    <w:pPr>
      <w:spacing w:line="240" w:lineRule="exact"/>
      <w:jc w:val="both"/>
    </w:pPr>
    <w:rPr>
      <w:rFonts w:asciiTheme="minorHAnsi" w:eastAsiaTheme="minorHAnsi" w:hAnsiTheme="minorHAnsi" w:cstheme="minorBidi"/>
      <w:sz w:val="22"/>
      <w:szCs w:val="22"/>
      <w:vertAlign w:val="superscript"/>
    </w:rPr>
  </w:style>
  <w:style w:type="paragraph" w:customStyle="1" w:styleId="Char13">
    <w:name w:val="Char13"/>
    <w:basedOn w:val="Normal"/>
    <w:pPr>
      <w:spacing w:after="160" w:line="240" w:lineRule="exact"/>
    </w:pPr>
    <w:rPr>
      <w:rFonts w:ascii="Verdana" w:hAnsi="Verdana"/>
      <w:sz w:val="20"/>
      <w:szCs w:val="20"/>
    </w:rPr>
  </w:style>
  <w:style w:type="numbering" w:customStyle="1" w:styleId="Style1">
    <w:name w:val="Style1"/>
    <w:uiPriority w:val="99"/>
    <w:pPr>
      <w:numPr>
        <w:numId w:val="22"/>
      </w:numPr>
    </w:pPr>
  </w:style>
  <w:style w:type="character" w:customStyle="1" w:styleId="fontstyle11">
    <w:name w:val="fontstyle11"/>
    <w:basedOn w:val="DefaultParagraphFont"/>
    <w:rPr>
      <w:rFonts w:ascii="TimesNewRoman" w:eastAsia="TimesNewRoman" w:hAnsi="TimesNewRoman" w:hint="eastAsia"/>
      <w:b w:val="0"/>
      <w:bCs w:val="0"/>
      <w:i/>
      <w:iCs/>
      <w:color w:val="000000"/>
      <w:sz w:val="22"/>
      <w:szCs w:val="22"/>
    </w:rPr>
  </w:style>
  <w:style w:type="paragraph" w:customStyle="1" w:styleId="44">
    <w:name w:val="44"/>
    <w:basedOn w:val="Normal"/>
    <w:qFormat/>
    <w:pPr>
      <w:spacing w:after="120" w:line="300" w:lineRule="auto"/>
      <w:ind w:firstLine="562"/>
      <w:jc w:val="both"/>
    </w:pPr>
    <w:rPr>
      <w:rFonts w:eastAsiaTheme="minorHAnsi" w:cstheme="minorBidi"/>
      <w:i/>
      <w:color w:val="000000" w:themeColor="text1"/>
      <w:lang w:val="it-IT"/>
    </w:rPr>
  </w:style>
  <w:style w:type="numbering" w:customStyle="1" w:styleId="NoList6">
    <w:name w:val="No List6"/>
    <w:next w:val="NoList"/>
    <w:uiPriority w:val="99"/>
    <w:semiHidden/>
    <w:unhideWhenUsed/>
  </w:style>
  <w:style w:type="paragraph" w:styleId="HTMLPreformatted">
    <w:name w:val="HTML Preformatted"/>
    <w:basedOn w:val="Normal"/>
    <w:link w:val="HTMLPreformattedChar"/>
    <w:uiPriority w:val="99"/>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sz w:val="20"/>
      <w:szCs w:val="20"/>
    </w:rPr>
  </w:style>
  <w:style w:type="character" w:customStyle="1" w:styleId="HTMLPreformattedChar">
    <w:name w:val="HTML Preformatted Char"/>
    <w:basedOn w:val="DefaultParagraphFont"/>
    <w:link w:val="HTMLPreformatted"/>
    <w:uiPriority w:val="99"/>
    <w:rPr>
      <w:rFonts w:ascii="Courier New" w:hAnsi="Courier New"/>
    </w:rPr>
  </w:style>
  <w:style w:type="paragraph" w:styleId="List">
    <w:name w:val="List"/>
    <w:basedOn w:val="Normal"/>
    <w:pPr>
      <w:spacing w:line="240" w:lineRule="auto"/>
      <w:ind w:left="360" w:hanging="360"/>
    </w:pPr>
    <w:rPr>
      <w:sz w:val="26"/>
      <w:szCs w:val="26"/>
    </w:rPr>
  </w:style>
  <w:style w:type="paragraph" w:styleId="List2">
    <w:name w:val="List 2"/>
    <w:basedOn w:val="Normal"/>
    <w:pPr>
      <w:spacing w:before="120" w:line="240" w:lineRule="auto"/>
      <w:ind w:left="720" w:hanging="360"/>
      <w:jc w:val="both"/>
    </w:pPr>
    <w:rPr>
      <w:rFonts w:ascii=".VnTime" w:hAnsi=".VnTime"/>
      <w:szCs w:val="20"/>
    </w:rPr>
  </w:style>
  <w:style w:type="paragraph" w:styleId="List3">
    <w:name w:val="List 3"/>
    <w:basedOn w:val="Normal"/>
    <w:pPr>
      <w:spacing w:line="240" w:lineRule="auto"/>
      <w:ind w:left="1080" w:hanging="360"/>
    </w:pPr>
    <w:rPr>
      <w:sz w:val="26"/>
      <w:szCs w:val="26"/>
    </w:rPr>
  </w:style>
  <w:style w:type="paragraph" w:styleId="List4">
    <w:name w:val="List 4"/>
    <w:basedOn w:val="Normal"/>
    <w:pPr>
      <w:spacing w:before="120" w:line="240" w:lineRule="auto"/>
      <w:ind w:left="1440" w:hanging="360"/>
      <w:jc w:val="both"/>
    </w:pPr>
    <w:rPr>
      <w:rFonts w:ascii=".VnTime" w:hAnsi=".VnTime"/>
      <w:szCs w:val="20"/>
    </w:rPr>
  </w:style>
  <w:style w:type="paragraph" w:styleId="ListBullet3">
    <w:name w:val="List Bullet 3"/>
    <w:basedOn w:val="Normal"/>
    <w:autoRedefine/>
    <w:pPr>
      <w:tabs>
        <w:tab w:val="left" w:pos="284"/>
        <w:tab w:val="left" w:pos="720"/>
        <w:tab w:val="left" w:pos="936"/>
        <w:tab w:val="left" w:pos="1440"/>
      </w:tabs>
      <w:spacing w:before="60" w:after="60" w:line="240" w:lineRule="auto"/>
      <w:ind w:left="1440" w:hanging="720"/>
      <w:jc w:val="both"/>
    </w:pPr>
    <w:rPr>
      <w:rFonts w:ascii=".VnTime" w:hAnsi=".VnTime"/>
      <w:szCs w:val="20"/>
      <w:lang w:val="en-GB"/>
    </w:rPr>
  </w:style>
  <w:style w:type="paragraph" w:styleId="ListBullet4">
    <w:name w:val="List Bullet 4"/>
    <w:basedOn w:val="Normal"/>
    <w:autoRedefine/>
    <w:pPr>
      <w:tabs>
        <w:tab w:val="left" w:pos="284"/>
        <w:tab w:val="left" w:pos="720"/>
        <w:tab w:val="left" w:pos="1440"/>
      </w:tabs>
      <w:spacing w:before="60" w:after="60" w:line="240" w:lineRule="auto"/>
      <w:ind w:left="1440" w:hanging="720"/>
      <w:jc w:val="both"/>
    </w:pPr>
    <w:rPr>
      <w:rFonts w:ascii=".VnTime" w:hAnsi=".VnTime"/>
      <w:szCs w:val="20"/>
      <w:lang w:val="en-GB"/>
    </w:rPr>
  </w:style>
  <w:style w:type="paragraph" w:styleId="ListBullet5">
    <w:name w:val="List Bullet 5"/>
    <w:basedOn w:val="Normal"/>
    <w:autoRedefine/>
    <w:pPr>
      <w:tabs>
        <w:tab w:val="left" w:pos="284"/>
        <w:tab w:val="left" w:pos="720"/>
        <w:tab w:val="left" w:pos="1800"/>
      </w:tabs>
      <w:spacing w:before="60" w:after="60" w:line="240" w:lineRule="auto"/>
      <w:ind w:left="1800" w:hanging="720"/>
      <w:jc w:val="both"/>
    </w:pPr>
    <w:rPr>
      <w:rFonts w:ascii=".VnTime" w:hAnsi=".VnTime"/>
      <w:szCs w:val="20"/>
      <w:lang w:val="en-GB"/>
    </w:rPr>
  </w:style>
  <w:style w:type="paragraph" w:styleId="ListContinue3">
    <w:name w:val="List Continue 3"/>
    <w:basedOn w:val="Normal"/>
    <w:pPr>
      <w:spacing w:after="120" w:line="240" w:lineRule="auto"/>
      <w:ind w:left="1080"/>
    </w:pPr>
    <w:rPr>
      <w:rFonts w:ascii=".VnTime" w:eastAsia="MS Mincho" w:hAnsi=".VnTime" w:cs="Arial"/>
      <w:lang w:eastAsia="ja-JP"/>
    </w:rPr>
  </w:style>
  <w:style w:type="paragraph" w:styleId="ListNumber">
    <w:name w:val="List Number"/>
    <w:basedOn w:val="Normal"/>
    <w:pPr>
      <w:tabs>
        <w:tab w:val="left" w:pos="360"/>
        <w:tab w:val="left" w:pos="1440"/>
      </w:tabs>
      <w:spacing w:before="60" w:line="340" w:lineRule="exact"/>
      <w:ind w:left="360" w:hanging="360"/>
      <w:jc w:val="both"/>
    </w:pPr>
    <w:rPr>
      <w:rFonts w:ascii=".VnTime" w:hAnsi=".VnTime"/>
      <w:szCs w:val="20"/>
    </w:rPr>
  </w:style>
  <w:style w:type="paragraph" w:styleId="ListNumber2">
    <w:name w:val="List Number 2"/>
    <w:basedOn w:val="Normal"/>
    <w:pPr>
      <w:tabs>
        <w:tab w:val="left" w:pos="720"/>
      </w:tabs>
      <w:spacing w:before="60" w:after="60" w:line="240" w:lineRule="auto"/>
      <w:ind w:left="720" w:hanging="720"/>
      <w:jc w:val="both"/>
    </w:pPr>
    <w:rPr>
      <w:rFonts w:ascii=".VnTime" w:hAnsi=".VnTime"/>
      <w:szCs w:val="20"/>
    </w:rPr>
  </w:style>
  <w:style w:type="paragraph" w:styleId="ListNumber3">
    <w:name w:val="List Number 3"/>
    <w:basedOn w:val="Normal"/>
    <w:pPr>
      <w:tabs>
        <w:tab w:val="left" w:pos="720"/>
      </w:tabs>
      <w:spacing w:before="60" w:after="60" w:line="240" w:lineRule="auto"/>
      <w:ind w:left="709" w:hanging="720"/>
      <w:jc w:val="both"/>
    </w:pPr>
    <w:rPr>
      <w:rFonts w:ascii=".VnTime" w:hAnsi=".VnTime"/>
      <w:szCs w:val="20"/>
    </w:rPr>
  </w:style>
  <w:style w:type="paragraph" w:styleId="ListNumber4">
    <w:name w:val="List Number 4"/>
    <w:basedOn w:val="Normal"/>
    <w:pPr>
      <w:tabs>
        <w:tab w:val="left" w:pos="1080"/>
      </w:tabs>
      <w:spacing w:before="60" w:after="60" w:line="240" w:lineRule="auto"/>
      <w:ind w:left="1080" w:hanging="360"/>
      <w:jc w:val="both"/>
    </w:pPr>
    <w:rPr>
      <w:rFonts w:ascii=".VnTime" w:hAnsi=".VnTime"/>
      <w:szCs w:val="20"/>
    </w:rPr>
  </w:style>
  <w:style w:type="paragraph" w:styleId="ListNumber5">
    <w:name w:val="List Number 5"/>
    <w:basedOn w:val="Normal"/>
    <w:pPr>
      <w:framePr w:hSpace="181" w:vSpace="181" w:wrap="around" w:vAnchor="text" w:hAnchor="text" w:y="1"/>
      <w:tabs>
        <w:tab w:val="left" w:pos="1800"/>
      </w:tabs>
      <w:spacing w:before="60" w:after="60" w:line="240" w:lineRule="auto"/>
      <w:ind w:left="1800" w:hanging="360"/>
      <w:jc w:val="both"/>
    </w:pPr>
    <w:rPr>
      <w:rFonts w:ascii=".VnTime" w:hAnsi=".VnTime"/>
      <w:szCs w:val="20"/>
    </w:rPr>
  </w:style>
  <w:style w:type="paragraph" w:styleId="NormalIndent">
    <w:name w:val="Normal Indent"/>
    <w:basedOn w:val="Normal"/>
    <w:pPr>
      <w:spacing w:line="240" w:lineRule="auto"/>
      <w:ind w:left="720"/>
    </w:pPr>
    <w:rPr>
      <w:sz w:val="24"/>
      <w:szCs w:val="24"/>
    </w:rPr>
  </w:style>
  <w:style w:type="paragraph" w:customStyle="1" w:styleId="Mc111">
    <w:name w:val="Mục 1.1.1"/>
    <w:basedOn w:val="Normal"/>
    <w:link w:val="Mc111Char"/>
    <w:pPr>
      <w:tabs>
        <w:tab w:val="left" w:pos="1080"/>
      </w:tabs>
      <w:spacing w:before="240" w:after="120" w:line="312" w:lineRule="auto"/>
      <w:ind w:left="1080"/>
      <w:jc w:val="both"/>
    </w:pPr>
    <w:rPr>
      <w:b/>
      <w:szCs w:val="20"/>
    </w:rPr>
  </w:style>
  <w:style w:type="character" w:customStyle="1" w:styleId="Mc111Char">
    <w:name w:val="Mục 1.1.1 Char"/>
    <w:link w:val="Mc111"/>
    <w:rPr>
      <w:b/>
      <w:sz w:val="28"/>
    </w:rPr>
  </w:style>
  <w:style w:type="paragraph" w:customStyle="1" w:styleId="Mc11">
    <w:name w:val="Mục 1.1"/>
    <w:basedOn w:val="Normal"/>
    <w:qFormat/>
    <w:pPr>
      <w:numPr>
        <w:ilvl w:val="1"/>
        <w:numId w:val="24"/>
      </w:numPr>
      <w:tabs>
        <w:tab w:val="clear" w:pos="1440"/>
      </w:tabs>
      <w:spacing w:before="240" w:after="120" w:line="312" w:lineRule="auto"/>
      <w:ind w:left="0" w:firstLine="0"/>
      <w:jc w:val="both"/>
    </w:pPr>
    <w:rPr>
      <w:b/>
      <w:sz w:val="32"/>
      <w:szCs w:val="20"/>
    </w:rPr>
  </w:style>
  <w:style w:type="paragraph" w:customStyle="1" w:styleId="Nidung">
    <w:name w:val="Nội dung"/>
    <w:basedOn w:val="Normal"/>
    <w:link w:val="NidungChar"/>
    <w:pPr>
      <w:spacing w:before="120" w:line="312" w:lineRule="auto"/>
      <w:ind w:firstLine="720"/>
      <w:jc w:val="both"/>
    </w:pPr>
    <w:rPr>
      <w:sz w:val="26"/>
      <w:szCs w:val="20"/>
    </w:rPr>
  </w:style>
  <w:style w:type="character" w:customStyle="1" w:styleId="NidungChar">
    <w:name w:val="Nội dung Char"/>
    <w:link w:val="Nidung"/>
    <w:rPr>
      <w:sz w:val="26"/>
    </w:rPr>
  </w:style>
  <w:style w:type="paragraph" w:customStyle="1" w:styleId="Litk">
    <w:name w:val="Liệt kê"/>
    <w:basedOn w:val="Normal"/>
    <w:link w:val="LitkChar"/>
    <w:pPr>
      <w:numPr>
        <w:numId w:val="24"/>
      </w:numPr>
      <w:tabs>
        <w:tab w:val="clear" w:pos="720"/>
      </w:tabs>
      <w:spacing w:before="120" w:line="312" w:lineRule="auto"/>
      <w:ind w:left="0" w:firstLine="0"/>
      <w:jc w:val="both"/>
    </w:pPr>
    <w:rPr>
      <w:sz w:val="26"/>
      <w:szCs w:val="20"/>
    </w:rPr>
  </w:style>
  <w:style w:type="character" w:customStyle="1" w:styleId="LitkChar">
    <w:name w:val="Liệt kê Char"/>
    <w:link w:val="Litk"/>
    <w:rPr>
      <w:sz w:val="26"/>
    </w:rPr>
  </w:style>
  <w:style w:type="paragraph" w:customStyle="1" w:styleId="Ngun">
    <w:name w:val="Nguồn"/>
    <w:basedOn w:val="Hnh"/>
    <w:link w:val="NgunChar"/>
    <w:pPr>
      <w:tabs>
        <w:tab w:val="left" w:leader="dot" w:pos="8618"/>
      </w:tabs>
      <w:spacing w:line="264" w:lineRule="auto"/>
      <w:jc w:val="right"/>
      <w:outlineLvl w:val="0"/>
    </w:pPr>
    <w:rPr>
      <w:rFonts w:ascii="Tahoma" w:hAnsi="Tahoma"/>
      <w:b/>
      <w:sz w:val="20"/>
      <w:szCs w:val="26"/>
      <w:lang w:val="nl-NL"/>
    </w:rPr>
  </w:style>
  <w:style w:type="character" w:customStyle="1" w:styleId="NgunChar">
    <w:name w:val="Nguồn Char"/>
    <w:link w:val="Ngun"/>
    <w:qFormat/>
    <w:rPr>
      <w:rFonts w:ascii="Tahoma" w:hAnsi="Tahoma"/>
      <w:b/>
      <w:i/>
      <w:szCs w:val="26"/>
      <w:lang w:val="nl-NL"/>
    </w:rPr>
  </w:style>
  <w:style w:type="paragraph" w:customStyle="1" w:styleId="Mc1111">
    <w:name w:val="Mục 1.1.1.1"/>
    <w:basedOn w:val="Normal"/>
    <w:link w:val="Mc1111Char"/>
    <w:pPr>
      <w:numPr>
        <w:ilvl w:val="3"/>
        <w:numId w:val="24"/>
      </w:numPr>
      <w:tabs>
        <w:tab w:val="clear" w:pos="2880"/>
      </w:tabs>
      <w:spacing w:before="120" w:after="120" w:line="312" w:lineRule="auto"/>
      <w:ind w:left="0" w:firstLine="0"/>
      <w:jc w:val="both"/>
    </w:pPr>
    <w:rPr>
      <w:b/>
      <w:i/>
      <w:sz w:val="26"/>
      <w:szCs w:val="20"/>
    </w:rPr>
  </w:style>
  <w:style w:type="character" w:customStyle="1" w:styleId="Mc1111Char">
    <w:name w:val="Mục 1.1.1.1 Char"/>
    <w:link w:val="Mc1111"/>
    <w:rPr>
      <w:b/>
      <w:i/>
      <w:sz w:val="26"/>
    </w:rPr>
  </w:style>
  <w:style w:type="character" w:customStyle="1" w:styleId="StyleLitkBoldItalicChar">
    <w:name w:val="Style Liệt kê + Bold Italic Char"/>
    <w:link w:val="StyleLitkBoldItalic"/>
    <w:rPr>
      <w:b/>
      <w:bCs/>
      <w:i/>
      <w:iCs/>
      <w:sz w:val="26"/>
    </w:rPr>
  </w:style>
  <w:style w:type="paragraph" w:customStyle="1" w:styleId="1Char">
    <w:name w:val="1 Char"/>
    <w:basedOn w:val="DocumentMap"/>
    <w:autoRedefine/>
    <w:pPr>
      <w:widowControl w:val="0"/>
      <w:shd w:val="clear" w:color="auto" w:fill="000080"/>
      <w:jc w:val="both"/>
    </w:pPr>
    <w:rPr>
      <w:rFonts w:eastAsia="SimSun"/>
      <w:kern w:val="2"/>
      <w:sz w:val="24"/>
      <w:szCs w:val="24"/>
      <w:lang w:eastAsia="zh-CN"/>
    </w:rPr>
  </w:style>
  <w:style w:type="paragraph" w:customStyle="1" w:styleId="1a">
    <w:name w:val="1.a"/>
    <w:basedOn w:val="Normal"/>
    <w:pPr>
      <w:spacing w:line="240" w:lineRule="auto"/>
      <w:jc w:val="center"/>
    </w:pPr>
    <w:rPr>
      <w:rFonts w:ascii=".VnTimeH" w:hAnsi=".VnTimeH"/>
      <w:b/>
      <w:szCs w:val="20"/>
    </w:rPr>
  </w:style>
  <w:style w:type="paragraph" w:customStyle="1" w:styleId="112">
    <w:name w:val="1.1."/>
    <w:basedOn w:val="Normal"/>
    <w:link w:val="11Char0"/>
    <w:pPr>
      <w:spacing w:before="120" w:line="240" w:lineRule="auto"/>
      <w:jc w:val="both"/>
    </w:pPr>
    <w:rPr>
      <w:rFonts w:ascii=".VnTimeH" w:hAnsi=".VnTimeH"/>
      <w:b/>
      <w:sz w:val="26"/>
      <w:szCs w:val="20"/>
    </w:rPr>
  </w:style>
  <w:style w:type="character" w:customStyle="1" w:styleId="11Char0">
    <w:name w:val="1.1. Char"/>
    <w:link w:val="112"/>
    <w:rPr>
      <w:rFonts w:ascii=".VnTimeH" w:hAnsi=".VnTimeH"/>
      <w:b/>
      <w:sz w:val="26"/>
    </w:rPr>
  </w:style>
  <w:style w:type="paragraph" w:customStyle="1" w:styleId="1120">
    <w:name w:val="1.1.2."/>
    <w:basedOn w:val="Normal"/>
    <w:pPr>
      <w:spacing w:before="240" w:line="240" w:lineRule="auto"/>
      <w:jc w:val="both"/>
    </w:pPr>
    <w:rPr>
      <w:rFonts w:ascii=".VnTime" w:hAnsi=".VnTime"/>
      <w:b/>
      <w:sz w:val="30"/>
      <w:szCs w:val="20"/>
    </w:rPr>
  </w:style>
  <w:style w:type="paragraph" w:customStyle="1" w:styleId="StyleRightFirstline127cmBefore6ptLinespacingMu1">
    <w:name w:val="Style Right First line:  127 cm Before:  6 pt Line spacing:  Mu...1"/>
    <w:basedOn w:val="Normal"/>
    <w:autoRedefine/>
    <w:pPr>
      <w:spacing w:after="120" w:line="360" w:lineRule="exact"/>
      <w:ind w:firstLine="720"/>
      <w:jc w:val="both"/>
    </w:pPr>
    <w:rPr>
      <w:rFonts w:ascii=".VnTime" w:hAnsi=".VnTime"/>
      <w:b/>
      <w:i/>
      <w:color w:val="0000FF"/>
      <w:szCs w:val="20"/>
    </w:rPr>
  </w:style>
  <w:style w:type="paragraph" w:customStyle="1" w:styleId="T30">
    <w:name w:val="T3"/>
    <w:basedOn w:val="Normal"/>
    <w:pPr>
      <w:spacing w:before="60" w:after="60" w:line="360" w:lineRule="exact"/>
      <w:ind w:firstLine="720"/>
      <w:jc w:val="both"/>
      <w:outlineLvl w:val="0"/>
    </w:pPr>
    <w:rPr>
      <w:b/>
      <w:bCs/>
      <w:color w:val="000000"/>
      <w:szCs w:val="20"/>
    </w:rPr>
  </w:style>
  <w:style w:type="paragraph" w:customStyle="1" w:styleId="font5">
    <w:name w:val="font5"/>
    <w:basedOn w:val="Normal"/>
    <w:pPr>
      <w:spacing w:before="100" w:beforeAutospacing="1" w:after="100" w:afterAutospacing="1" w:line="240" w:lineRule="auto"/>
    </w:pPr>
    <w:rPr>
      <w:rFonts w:ascii=".VnArial" w:hAnsi=".VnArial"/>
      <w:sz w:val="16"/>
      <w:szCs w:val="16"/>
    </w:rPr>
  </w:style>
  <w:style w:type="paragraph" w:customStyle="1" w:styleId="b10">
    <w:name w:val="b1"/>
    <w:basedOn w:val="Normal"/>
    <w:qFormat/>
    <w:pPr>
      <w:widowControl w:val="0"/>
      <w:spacing w:before="60" w:after="60" w:line="280" w:lineRule="exact"/>
    </w:pPr>
    <w:rPr>
      <w:rFonts w:ascii=".VnArial" w:hAnsi=".VnArial"/>
      <w:sz w:val="20"/>
      <w:szCs w:val="24"/>
    </w:rPr>
  </w:style>
  <w:style w:type="paragraph" w:customStyle="1" w:styleId="BodyText22">
    <w:name w:val="Body Text 22"/>
    <w:basedOn w:val="Normal"/>
    <w:pPr>
      <w:widowControl w:val="0"/>
      <w:spacing w:before="120" w:line="240" w:lineRule="auto"/>
      <w:ind w:firstLine="720"/>
      <w:jc w:val="both"/>
    </w:pPr>
    <w:rPr>
      <w:rFonts w:ascii=".VnTime" w:hAnsi=".VnTime"/>
      <w:snapToGrid w:val="0"/>
      <w:szCs w:val="20"/>
    </w:rPr>
  </w:style>
  <w:style w:type="paragraph" w:customStyle="1" w:styleId="Macdinh">
    <w:name w:val="Mac dinh"/>
    <w:basedOn w:val="Heading1"/>
    <w:pPr>
      <w:keepNext w:val="0"/>
      <w:spacing w:before="60" w:after="60" w:line="360" w:lineRule="auto"/>
      <w:ind w:firstLine="680"/>
      <w:jc w:val="center"/>
      <w:outlineLvl w:val="9"/>
    </w:pPr>
    <w:rPr>
      <w:rFonts w:ascii=".VnTimeH" w:hAnsi=".VnTimeH"/>
      <w:b w:val="0"/>
      <w:kern w:val="28"/>
      <w:sz w:val="27"/>
      <w:szCs w:val="28"/>
    </w:rPr>
  </w:style>
  <w:style w:type="paragraph" w:customStyle="1" w:styleId="xl75">
    <w:name w:val="xl75"/>
    <w:basedOn w:val="Normal"/>
    <w:pPr>
      <w:pBdr>
        <w:left w:val="single" w:sz="4" w:space="0" w:color="auto"/>
        <w:right w:val="single" w:sz="4" w:space="0" w:color="auto"/>
      </w:pBdr>
      <w:spacing w:before="100" w:beforeAutospacing="1" w:after="100" w:afterAutospacing="1" w:line="240" w:lineRule="auto"/>
      <w:ind w:firstLine="720"/>
      <w:jc w:val="center"/>
      <w:textAlignment w:val="center"/>
    </w:pPr>
    <w:rPr>
      <w:rFonts w:ascii=".VnTime" w:hAnsi=".VnTime"/>
      <w:b/>
      <w:bCs/>
    </w:rPr>
  </w:style>
  <w:style w:type="paragraph" w:customStyle="1" w:styleId="xl62">
    <w:name w:val="xl62"/>
    <w:basedOn w:val="Normal"/>
    <w:pPr>
      <w:pBdr>
        <w:left w:val="single" w:sz="4" w:space="0" w:color="auto"/>
        <w:bottom w:val="single" w:sz="4" w:space="0" w:color="auto"/>
        <w:right w:val="single" w:sz="4" w:space="0" w:color="auto"/>
      </w:pBdr>
      <w:spacing w:before="100" w:beforeAutospacing="1" w:after="100" w:afterAutospacing="1" w:line="240" w:lineRule="auto"/>
      <w:ind w:firstLine="720"/>
      <w:jc w:val="center"/>
    </w:pPr>
    <w:rPr>
      <w:rFonts w:ascii=".VnTime" w:hAnsi=".VnTime"/>
    </w:rPr>
  </w:style>
  <w:style w:type="paragraph" w:customStyle="1" w:styleId="xl63">
    <w:name w:val="xl63"/>
    <w:basedOn w:val="Normal"/>
    <w:pPr>
      <w:pBdr>
        <w:left w:val="single" w:sz="4" w:space="0" w:color="auto"/>
        <w:right w:val="single" w:sz="4" w:space="0" w:color="auto"/>
      </w:pBdr>
      <w:spacing w:before="100" w:beforeAutospacing="1" w:after="100" w:afterAutospacing="1" w:line="240" w:lineRule="auto"/>
      <w:ind w:firstLine="720"/>
      <w:jc w:val="both"/>
    </w:pPr>
    <w:rPr>
      <w:rFonts w:ascii=".VnTime" w:hAnsi=".VnTime"/>
    </w:rPr>
  </w:style>
  <w:style w:type="paragraph" w:customStyle="1" w:styleId="StyleHeading2VnTimeH12pt">
    <w:name w:val="Style Heading 2 + .VnTimeH 12 pt"/>
    <w:basedOn w:val="Heading2"/>
    <w:pPr>
      <w:keepNext w:val="0"/>
      <w:widowControl w:val="0"/>
      <w:spacing w:before="120" w:line="240" w:lineRule="auto"/>
    </w:pPr>
    <w:rPr>
      <w:rFonts w:ascii=".VnArialH" w:hAnsi=".VnArialH"/>
      <w:bCs/>
      <w:szCs w:val="24"/>
    </w:rPr>
  </w:style>
  <w:style w:type="paragraph" w:customStyle="1" w:styleId="StyleHeading3Firstline0cm">
    <w:name w:val="Style Heading 3 + First line:  0 cm"/>
    <w:basedOn w:val="Heading3"/>
    <w:pPr>
      <w:keepNext/>
      <w:widowControl/>
      <w:shd w:val="clear" w:color="auto" w:fill="auto"/>
      <w:spacing w:before="120"/>
      <w:ind w:firstLine="0"/>
    </w:pPr>
    <w:rPr>
      <w:rFonts w:ascii=".VnTime" w:hAnsi=".VnTime"/>
      <w:b/>
      <w:bCs/>
      <w:i w:val="0"/>
      <w:iCs w:val="0"/>
      <w:noProof w:val="0"/>
      <w:color w:val="auto"/>
      <w:spacing w:val="0"/>
      <w:sz w:val="28"/>
      <w:szCs w:val="20"/>
      <w:lang w:val="en-US"/>
    </w:rPr>
  </w:style>
  <w:style w:type="paragraph" w:customStyle="1" w:styleId="Caption1">
    <w:name w:val="Caption1"/>
    <w:basedOn w:val="Normal"/>
    <w:next w:val="BodyText"/>
    <w:pPr>
      <w:keepNext/>
      <w:keepLines/>
      <w:spacing w:before="120" w:line="360" w:lineRule="auto"/>
      <w:ind w:firstLine="720"/>
      <w:jc w:val="both"/>
    </w:pPr>
    <w:rPr>
      <w:rFonts w:ascii=".VnTime" w:hAnsi=".VnTime"/>
      <w:b/>
      <w:i/>
    </w:rPr>
  </w:style>
  <w:style w:type="paragraph" w:customStyle="1" w:styleId="BodyText21">
    <w:name w:val="Body Text 21"/>
    <w:basedOn w:val="Normal"/>
    <w:pPr>
      <w:widowControl w:val="0"/>
      <w:spacing w:before="120" w:line="240" w:lineRule="auto"/>
      <w:ind w:firstLine="720"/>
      <w:jc w:val="both"/>
    </w:pPr>
    <w:rPr>
      <w:rFonts w:ascii=".VnTime" w:hAnsi=".VnTime"/>
      <w:snapToGrid w:val="0"/>
      <w:szCs w:val="20"/>
    </w:rPr>
  </w:style>
  <w:style w:type="paragraph" w:customStyle="1" w:styleId="TOAHeading1">
    <w:name w:val="TOA Heading1"/>
    <w:basedOn w:val="Normal"/>
    <w:next w:val="Normal"/>
    <w:pPr>
      <w:spacing w:before="120" w:after="60" w:line="360" w:lineRule="atLeast"/>
      <w:ind w:firstLine="720"/>
      <w:jc w:val="both"/>
    </w:pPr>
    <w:rPr>
      <w:rFonts w:ascii=".VnArial" w:hAnsi=".VnArial"/>
      <w:b/>
      <w:szCs w:val="20"/>
    </w:rPr>
  </w:style>
  <w:style w:type="paragraph" w:customStyle="1" w:styleId="MacroText1">
    <w:name w:val="Macro Text1"/>
    <w:basedOn w:val="BodyText"/>
    <w:pPr>
      <w:spacing w:before="120" w:after="60" w:line="360" w:lineRule="atLeast"/>
      <w:ind w:firstLine="720"/>
    </w:pPr>
    <w:rPr>
      <w:rFonts w:ascii="Courier New" w:hAnsi="Courier New"/>
      <w:b w:val="0"/>
      <w:sz w:val="28"/>
      <w:lang w:val="en-GB"/>
    </w:rPr>
  </w:style>
  <w:style w:type="paragraph" w:customStyle="1" w:styleId="Heading43">
    <w:name w:val="Heading4"/>
    <w:basedOn w:val="Normal"/>
    <w:pPr>
      <w:tabs>
        <w:tab w:val="left" w:pos="504"/>
      </w:tabs>
      <w:spacing w:before="240" w:line="240" w:lineRule="auto"/>
      <w:ind w:left="504" w:hanging="504"/>
      <w:jc w:val="both"/>
    </w:pPr>
    <w:rPr>
      <w:rFonts w:ascii=".VnArial Narrow" w:hAnsi=".VnArial Narrow"/>
      <w:b/>
      <w:i/>
      <w:szCs w:val="20"/>
    </w:rPr>
  </w:style>
  <w:style w:type="paragraph" w:customStyle="1" w:styleId="Cutrc3">
    <w:name w:val="CÊu tróc3"/>
    <w:basedOn w:val="Normal"/>
    <w:pPr>
      <w:tabs>
        <w:tab w:val="left" w:pos="576"/>
      </w:tabs>
      <w:spacing w:before="240" w:line="360" w:lineRule="atLeast"/>
      <w:ind w:left="573" w:hanging="431"/>
      <w:jc w:val="both"/>
    </w:pPr>
    <w:rPr>
      <w:rFonts w:ascii=".VnTime" w:hAnsi=".VnTime"/>
      <w:sz w:val="26"/>
      <w:szCs w:val="20"/>
    </w:rPr>
  </w:style>
  <w:style w:type="paragraph" w:customStyle="1" w:styleId="Cutruc1">
    <w:name w:val="C©utruc1"/>
    <w:basedOn w:val="Normal"/>
    <w:pPr>
      <w:numPr>
        <w:numId w:val="25"/>
      </w:numPr>
      <w:tabs>
        <w:tab w:val="clear" w:pos="1080"/>
      </w:tabs>
      <w:spacing w:before="240" w:line="360" w:lineRule="atLeast"/>
      <w:ind w:left="0" w:firstLine="0"/>
      <w:jc w:val="both"/>
    </w:pPr>
    <w:rPr>
      <w:rFonts w:ascii=".VnTime" w:hAnsi=".VnTime"/>
      <w:sz w:val="26"/>
      <w:szCs w:val="20"/>
    </w:rPr>
  </w:style>
  <w:style w:type="paragraph" w:customStyle="1" w:styleId="Cutrc2">
    <w:name w:val="CÊu tróc2"/>
    <w:basedOn w:val="Normal"/>
    <w:pPr>
      <w:tabs>
        <w:tab w:val="left" w:pos="578"/>
        <w:tab w:val="left" w:pos="720"/>
      </w:tabs>
      <w:spacing w:before="240" w:line="360" w:lineRule="atLeast"/>
      <w:ind w:left="720" w:hanging="360"/>
      <w:jc w:val="both"/>
    </w:pPr>
    <w:rPr>
      <w:rFonts w:ascii=".VnTime" w:hAnsi=".VnTime"/>
      <w:sz w:val="26"/>
      <w:szCs w:val="20"/>
    </w:rPr>
  </w:style>
  <w:style w:type="paragraph" w:customStyle="1" w:styleId="cvbody">
    <w:name w:val="cvbody"/>
    <w:basedOn w:val="Normal"/>
    <w:pPr>
      <w:spacing w:before="120" w:after="120" w:line="288" w:lineRule="auto"/>
      <w:jc w:val="both"/>
    </w:pPr>
    <w:rPr>
      <w:rFonts w:ascii=".VnTime" w:hAnsi=".VnTime"/>
      <w:snapToGrid w:val="0"/>
      <w:szCs w:val="20"/>
    </w:rPr>
  </w:style>
  <w:style w:type="character" w:customStyle="1" w:styleId="StyleHeading1BlackChar">
    <w:name w:val="Style Heading 1 + Black Char"/>
    <w:rPr>
      <w:rFonts w:ascii=".VnArialH" w:hAnsi=".VnArialH"/>
      <w:b/>
      <w:bCs/>
      <w:color w:val="000000"/>
      <w:kern w:val="28"/>
      <w:sz w:val="28"/>
      <w:szCs w:val="28"/>
      <w:lang w:val="en-US" w:eastAsia="en-US" w:bidi="ar-SA"/>
    </w:rPr>
  </w:style>
  <w:style w:type="paragraph" w:customStyle="1" w:styleId="Baocao">
    <w:name w:val="Baocao"/>
    <w:basedOn w:val="Normal"/>
    <w:pPr>
      <w:widowControl w:val="0"/>
      <w:spacing w:before="120" w:after="120" w:line="240" w:lineRule="auto"/>
      <w:ind w:firstLine="720"/>
      <w:jc w:val="both"/>
    </w:pPr>
    <w:rPr>
      <w:rFonts w:ascii=".VnTime" w:hAnsi=".VnTime"/>
    </w:rPr>
  </w:style>
  <w:style w:type="paragraph" w:customStyle="1" w:styleId="xl93">
    <w:name w:val="xl93"/>
    <w:basedOn w:val="Normal"/>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eastAsia="Arial Unicode MS" w:hAnsi=".VnTime" w:cs=".VnArialH"/>
      <w:sz w:val="24"/>
      <w:szCs w:val="24"/>
    </w:rPr>
  </w:style>
  <w:style w:type="paragraph" w:customStyle="1" w:styleId="xl24">
    <w:name w:val="xl24"/>
    <w:basedOn w:val="Normal"/>
    <w:pPr>
      <w:spacing w:before="100" w:beforeAutospacing="1" w:after="100" w:afterAutospacing="1" w:line="240" w:lineRule="auto"/>
    </w:pPr>
    <w:rPr>
      <w:rFonts w:ascii=".VnTime" w:hAnsi=".VnTime"/>
      <w:sz w:val="24"/>
      <w:szCs w:val="24"/>
    </w:rPr>
  </w:style>
  <w:style w:type="paragraph" w:customStyle="1" w:styleId="xl37">
    <w:name w:val="xl37"/>
    <w:basedOn w:val="Normal"/>
    <w:pPr>
      <w:pBdr>
        <w:left w:val="single" w:sz="4" w:space="0" w:color="auto"/>
        <w:bottom w:val="double" w:sz="6" w:space="0" w:color="auto"/>
        <w:right w:val="single" w:sz="4" w:space="0" w:color="auto"/>
      </w:pBdr>
      <w:spacing w:before="100" w:beforeAutospacing="1" w:after="100" w:afterAutospacing="1" w:line="240" w:lineRule="auto"/>
      <w:jc w:val="center"/>
    </w:pPr>
    <w:rPr>
      <w:rFonts w:ascii=".VnTime" w:hAnsi=".VnTime"/>
      <w:b/>
      <w:bCs/>
      <w:sz w:val="24"/>
      <w:szCs w:val="24"/>
    </w:rPr>
  </w:style>
  <w:style w:type="paragraph" w:customStyle="1" w:styleId="nCharChar">
    <w:name w:val="n Char Char"/>
    <w:basedOn w:val="Normal"/>
    <w:link w:val="nCharCharChar"/>
    <w:pPr>
      <w:spacing w:before="120" w:line="360" w:lineRule="auto"/>
      <w:ind w:firstLine="567"/>
      <w:jc w:val="both"/>
    </w:pPr>
    <w:rPr>
      <w:rFonts w:ascii=".VnTime" w:hAnsi=".VnTime"/>
    </w:rPr>
  </w:style>
  <w:style w:type="character" w:customStyle="1" w:styleId="nCharCharChar">
    <w:name w:val="n Char Char Char"/>
    <w:link w:val="nCharChar"/>
    <w:rPr>
      <w:rFonts w:ascii=".VnTime" w:hAnsi=".VnTime"/>
      <w:sz w:val="28"/>
      <w:szCs w:val="28"/>
    </w:rPr>
  </w:style>
  <w:style w:type="paragraph" w:customStyle="1" w:styleId="xl64">
    <w:name w:val="xl64"/>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VnTime" w:hAnsi=".VnTime"/>
      <w:sz w:val="26"/>
      <w:szCs w:val="26"/>
    </w:rPr>
  </w:style>
  <w:style w:type="paragraph" w:customStyle="1" w:styleId="xl65">
    <w:name w:val="xl65"/>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66">
    <w:name w:val="xl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sz w:val="26"/>
      <w:szCs w:val="26"/>
    </w:rPr>
  </w:style>
  <w:style w:type="paragraph" w:customStyle="1" w:styleId="xl67">
    <w:name w:val="xl67"/>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VnTime" w:hAnsi=".VnTime"/>
      <w:sz w:val="26"/>
      <w:szCs w:val="26"/>
    </w:rPr>
  </w:style>
  <w:style w:type="paragraph" w:customStyle="1" w:styleId="xl68">
    <w:name w:val="xl68"/>
    <w:basedOn w:val="Normal"/>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VnTime" w:hAnsi=".VnTime"/>
      <w:sz w:val="26"/>
      <w:szCs w:val="26"/>
    </w:rPr>
  </w:style>
  <w:style w:type="paragraph" w:customStyle="1" w:styleId="xl69">
    <w:name w:val="xl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i/>
      <w:iCs/>
      <w:sz w:val="26"/>
      <w:szCs w:val="26"/>
    </w:rPr>
  </w:style>
  <w:style w:type="paragraph" w:customStyle="1" w:styleId="xl70">
    <w:name w:val="xl70"/>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71">
    <w:name w:val="xl71"/>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72">
    <w:name w:val="xl72"/>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VnTime" w:hAnsi=".VnTime"/>
      <w:i/>
      <w:iCs/>
      <w:sz w:val="26"/>
      <w:szCs w:val="26"/>
    </w:rPr>
  </w:style>
  <w:style w:type="paragraph" w:customStyle="1" w:styleId="xl73">
    <w:name w:val="xl7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sz w:val="26"/>
      <w:szCs w:val="26"/>
    </w:rPr>
  </w:style>
  <w:style w:type="paragraph" w:customStyle="1" w:styleId="xl74">
    <w:name w:val="xl74"/>
    <w:basedOn w:val="Normal"/>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VnTime" w:hAnsi=".VnTime"/>
      <w:sz w:val="26"/>
      <w:szCs w:val="26"/>
    </w:rPr>
  </w:style>
  <w:style w:type="paragraph" w:customStyle="1" w:styleId="xl76">
    <w:name w:val="xl76"/>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Unicode MS" w:hAnsi="Arial Unicode MS"/>
      <w:b/>
      <w:bCs/>
      <w:i/>
      <w:iCs/>
      <w:sz w:val="26"/>
      <w:szCs w:val="26"/>
    </w:rPr>
  </w:style>
  <w:style w:type="paragraph" w:customStyle="1" w:styleId="xl77">
    <w:name w:val="xl77"/>
    <w:basedOn w:val="Normal"/>
    <w:pPr>
      <w:pBdr>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Unicode MS" w:hAnsi="Arial Unicode MS"/>
      <w:b/>
      <w:bCs/>
      <w:i/>
      <w:iCs/>
      <w:sz w:val="26"/>
      <w:szCs w:val="26"/>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Unicode MS" w:hAnsi="Arial Unicode MS"/>
      <w:sz w:val="26"/>
      <w:szCs w:val="26"/>
    </w:rPr>
  </w:style>
  <w:style w:type="paragraph" w:customStyle="1" w:styleId="xl79">
    <w:name w:val="xl79"/>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Unicode MS" w:hAnsi="Arial Unicode MS"/>
      <w:sz w:val="26"/>
      <w:szCs w:val="26"/>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hAnsi="Arial Unicode MS"/>
      <w:sz w:val="26"/>
      <w:szCs w:val="26"/>
    </w:rPr>
  </w:style>
  <w:style w:type="paragraph" w:customStyle="1" w:styleId="xl81">
    <w:name w:val="xl81"/>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Arial Unicode MS" w:hAnsi="Arial Unicode MS"/>
      <w:sz w:val="26"/>
      <w:szCs w:val="26"/>
    </w:rPr>
  </w:style>
  <w:style w:type="paragraph" w:customStyle="1" w:styleId="xl82">
    <w:name w:val="xl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hAnsi="Arial" w:cs="Arial"/>
      <w:sz w:val="26"/>
      <w:szCs w:val="26"/>
    </w:rPr>
  </w:style>
  <w:style w:type="paragraph" w:customStyle="1" w:styleId="xl83">
    <w:name w:val="xl83"/>
    <w:basedOn w:val="Normal"/>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w:hAnsi="Arial" w:cs="Arial"/>
      <w:sz w:val="26"/>
      <w:szCs w:val="26"/>
    </w:rPr>
  </w:style>
  <w:style w:type="paragraph" w:customStyle="1" w:styleId="xl84">
    <w:name w:val="xl84"/>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85">
    <w:name w:val="xl85"/>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i/>
      <w:iCs/>
      <w:sz w:val="26"/>
      <w:szCs w:val="26"/>
    </w:rPr>
  </w:style>
  <w:style w:type="paragraph" w:customStyle="1" w:styleId="xl86">
    <w:name w:val="xl86"/>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87">
    <w:name w:val="xl87"/>
    <w:basedOn w:val="Normal"/>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88">
    <w:name w:val="xl8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b/>
      <w:bCs/>
      <w:sz w:val="26"/>
      <w:szCs w:val="26"/>
    </w:rPr>
  </w:style>
  <w:style w:type="paragraph" w:customStyle="1" w:styleId="xl89">
    <w:name w:val="xl89"/>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90">
    <w:name w:val="xl90"/>
    <w:basedOn w:val="Normal"/>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VnTime" w:hAnsi=".VnTime"/>
      <w:sz w:val="26"/>
      <w:szCs w:val="26"/>
    </w:rPr>
  </w:style>
  <w:style w:type="paragraph" w:customStyle="1" w:styleId="xl91">
    <w:name w:val="xl91"/>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i/>
      <w:iCs/>
      <w:sz w:val="26"/>
      <w:szCs w:val="26"/>
    </w:rPr>
  </w:style>
  <w:style w:type="paragraph" w:customStyle="1" w:styleId="xl92">
    <w:name w:val="xl92"/>
    <w:basedOn w:val="Normal"/>
    <w:pPr>
      <w:pBdr>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b/>
      <w:bCs/>
      <w:i/>
      <w:iCs/>
      <w:sz w:val="26"/>
      <w:szCs w:val="26"/>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96">
    <w:name w:val="xl96"/>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Unicode MS" w:hAnsi="Arial Unicode MS"/>
      <w:sz w:val="26"/>
      <w:szCs w:val="26"/>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Time" w:hAnsi=".VnTime"/>
      <w:b/>
      <w:bCs/>
      <w:i/>
      <w:iCs/>
      <w:sz w:val="26"/>
      <w:szCs w:val="26"/>
    </w:rPr>
  </w:style>
  <w:style w:type="paragraph" w:customStyle="1" w:styleId="xl98">
    <w:name w:val="xl98"/>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99">
    <w:name w:val="xl99"/>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0">
    <w:name w:val="xl100"/>
    <w:basedOn w:val="Normal"/>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VnTime" w:hAnsi=".VnTime"/>
      <w:b/>
      <w:bCs/>
      <w:sz w:val="26"/>
      <w:szCs w:val="26"/>
    </w:rPr>
  </w:style>
  <w:style w:type="paragraph" w:customStyle="1" w:styleId="xl101">
    <w:name w:val="xl101"/>
    <w:basedOn w:val="Normal"/>
    <w:pPr>
      <w:pBdr>
        <w:left w:val="single" w:sz="8" w:space="0" w:color="auto"/>
        <w:right w:val="single" w:sz="4" w:space="0" w:color="auto"/>
      </w:pBdr>
      <w:spacing w:before="100" w:beforeAutospacing="1" w:after="100" w:afterAutospacing="1" w:line="240" w:lineRule="auto"/>
    </w:pPr>
    <w:rPr>
      <w:rFonts w:ascii=".VnTime" w:hAnsi=".VnTime"/>
      <w:b/>
      <w:bCs/>
      <w:sz w:val="26"/>
      <w:szCs w:val="26"/>
    </w:rPr>
  </w:style>
  <w:style w:type="paragraph" w:customStyle="1" w:styleId="xl102">
    <w:name w:val="xl102"/>
    <w:basedOn w:val="Normal"/>
    <w:pPr>
      <w:pBdr>
        <w:left w:val="single" w:sz="4"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103">
    <w:name w:val="xl103"/>
    <w:basedOn w:val="Normal"/>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VnTime" w:hAnsi=".VnTime"/>
      <w:sz w:val="26"/>
      <w:szCs w:val="26"/>
    </w:rPr>
  </w:style>
  <w:style w:type="paragraph" w:customStyle="1" w:styleId="xl104">
    <w:name w:val="xl104"/>
    <w:basedOn w:val="Normal"/>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5">
    <w:name w:val="xl105"/>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6">
    <w:name w:val="xl106"/>
    <w:basedOn w:val="Normal"/>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VnTime" w:hAnsi=".VnTime"/>
      <w:b/>
      <w:bCs/>
      <w:sz w:val="26"/>
      <w:szCs w:val="26"/>
    </w:rPr>
  </w:style>
  <w:style w:type="paragraph" w:customStyle="1" w:styleId="xl107">
    <w:name w:val="xl107"/>
    <w:basedOn w:val="Normal"/>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108">
    <w:name w:val="xl108"/>
    <w:basedOn w:val="Normal"/>
    <w:pPr>
      <w:pBdr>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VnTime" w:hAnsi=".VnTime"/>
      <w:sz w:val="26"/>
      <w:szCs w:val="26"/>
    </w:rPr>
  </w:style>
  <w:style w:type="paragraph" w:customStyle="1" w:styleId="xl109">
    <w:name w:val="xl109"/>
    <w:basedOn w:val="Normal"/>
    <w:pPr>
      <w:pBdr>
        <w:top w:val="single" w:sz="8" w:space="0" w:color="auto"/>
        <w:left w:val="single" w:sz="4" w:space="0" w:color="auto"/>
      </w:pBdr>
      <w:spacing w:before="100" w:beforeAutospacing="1" w:after="100" w:afterAutospacing="1" w:line="240" w:lineRule="auto"/>
      <w:jc w:val="center"/>
    </w:pPr>
    <w:rPr>
      <w:rFonts w:ascii=".VnTime" w:hAnsi=".VnTime"/>
      <w:sz w:val="26"/>
      <w:szCs w:val="26"/>
    </w:rPr>
  </w:style>
  <w:style w:type="paragraph" w:customStyle="1" w:styleId="xl110">
    <w:name w:val="xl110"/>
    <w:basedOn w:val="Normal"/>
    <w:pPr>
      <w:pBdr>
        <w:top w:val="single" w:sz="8" w:space="0" w:color="auto"/>
      </w:pBdr>
      <w:spacing w:before="100" w:beforeAutospacing="1" w:after="100" w:afterAutospacing="1" w:line="240" w:lineRule="auto"/>
      <w:jc w:val="center"/>
    </w:pPr>
    <w:rPr>
      <w:rFonts w:ascii=".VnTime" w:hAnsi=".VnTime"/>
      <w:sz w:val="26"/>
      <w:szCs w:val="26"/>
    </w:rPr>
  </w:style>
  <w:style w:type="paragraph" w:customStyle="1" w:styleId="xl111">
    <w:name w:val="xl111"/>
    <w:basedOn w:val="Normal"/>
    <w:pPr>
      <w:pBdr>
        <w:top w:val="single" w:sz="8" w:space="0" w:color="auto"/>
        <w:right w:val="single" w:sz="8" w:space="0" w:color="auto"/>
      </w:pBdr>
      <w:spacing w:before="100" w:beforeAutospacing="1" w:after="100" w:afterAutospacing="1" w:line="240" w:lineRule="auto"/>
      <w:jc w:val="center"/>
    </w:pPr>
    <w:rPr>
      <w:rFonts w:ascii=".VnTime" w:hAnsi=".VnTime"/>
      <w:sz w:val="26"/>
      <w:szCs w:val="26"/>
    </w:rPr>
  </w:style>
  <w:style w:type="paragraph" w:customStyle="1" w:styleId="font6">
    <w:name w:val="font6"/>
    <w:basedOn w:val="Normal"/>
    <w:pPr>
      <w:spacing w:before="100" w:beforeAutospacing="1" w:after="100" w:afterAutospacing="1" w:line="240" w:lineRule="auto"/>
    </w:pPr>
    <w:rPr>
      <w:rFonts w:ascii="Tahoma" w:eastAsia="Arial Unicode MS" w:hAnsi="Tahoma" w:cs="Wingdings"/>
      <w:b/>
      <w:bCs/>
      <w:color w:val="000000"/>
      <w:sz w:val="16"/>
      <w:szCs w:val="16"/>
    </w:rPr>
  </w:style>
  <w:style w:type="paragraph" w:customStyle="1" w:styleId="CVbody0">
    <w:name w:val="CVbody"/>
    <w:basedOn w:val="Normal"/>
    <w:pPr>
      <w:spacing w:before="120" w:after="120" w:line="288" w:lineRule="auto"/>
      <w:ind w:firstLine="720"/>
      <w:jc w:val="both"/>
    </w:pPr>
    <w:rPr>
      <w:rFonts w:ascii=".VnTime" w:hAnsi=".VnTime"/>
      <w:szCs w:val="20"/>
    </w:rPr>
  </w:style>
  <w:style w:type="paragraph" w:customStyle="1" w:styleId="StyleVnTime14ptJustifiedFirstline1cmBefore3pt">
    <w:name w:val="Style .VnTime 14 pt Justified First line:  1 cm Before:  3 pt"/>
    <w:basedOn w:val="Normal"/>
    <w:pPr>
      <w:spacing w:before="120" w:line="240" w:lineRule="auto"/>
      <w:ind w:firstLine="567"/>
      <w:jc w:val="both"/>
    </w:pPr>
    <w:rPr>
      <w:rFonts w:ascii=".VnTime" w:hAnsi=".VnTime"/>
      <w:szCs w:val="20"/>
    </w:rPr>
  </w:style>
  <w:style w:type="paragraph" w:customStyle="1" w:styleId="StyleItalic">
    <w:name w:val="Style Italic"/>
    <w:basedOn w:val="Normal"/>
    <w:pPr>
      <w:snapToGrid w:val="0"/>
      <w:spacing w:before="120" w:line="240" w:lineRule="auto"/>
      <w:ind w:firstLine="567"/>
      <w:jc w:val="both"/>
    </w:pPr>
    <w:rPr>
      <w:rFonts w:ascii=".VnTime" w:hAnsi=".VnTime"/>
      <w:i/>
      <w:szCs w:val="24"/>
      <w:lang w:val="pt-BR"/>
    </w:rPr>
  </w:style>
  <w:style w:type="paragraph" w:customStyle="1" w:styleId="n">
    <w:name w:val="n"/>
    <w:basedOn w:val="Normal"/>
    <w:pPr>
      <w:spacing w:before="120" w:line="360" w:lineRule="auto"/>
      <w:ind w:firstLine="567"/>
      <w:jc w:val="both"/>
    </w:pPr>
    <w:rPr>
      <w:rFonts w:ascii=".VnTime" w:hAnsi=".VnTime"/>
    </w:rPr>
  </w:style>
  <w:style w:type="paragraph" w:customStyle="1" w:styleId="nChar">
    <w:name w:val="n Char"/>
    <w:basedOn w:val="Normal"/>
    <w:pPr>
      <w:spacing w:before="120" w:line="360" w:lineRule="auto"/>
      <w:ind w:firstLine="567"/>
      <w:jc w:val="both"/>
    </w:pPr>
    <w:rPr>
      <w:rFonts w:ascii=".VnTime" w:eastAsia="Batang" w:hAnsi=".VnTime"/>
    </w:rPr>
  </w:style>
  <w:style w:type="paragraph" w:customStyle="1" w:styleId="TitB">
    <w:name w:val="TitB"/>
    <w:pPr>
      <w:numPr>
        <w:numId w:val="26"/>
      </w:numPr>
      <w:tabs>
        <w:tab w:val="clear" w:pos="720"/>
        <w:tab w:val="left" w:pos="360"/>
      </w:tabs>
      <w:spacing w:before="240"/>
      <w:ind w:left="0" w:firstLine="0"/>
      <w:jc w:val="center"/>
      <w:outlineLvl w:val="6"/>
    </w:pPr>
    <w:rPr>
      <w:rFonts w:ascii=".VnArial Narrow" w:hAnsi=".VnArial Narrow"/>
      <w:b/>
      <w:sz w:val="26"/>
    </w:rPr>
  </w:style>
  <w:style w:type="paragraph" w:customStyle="1" w:styleId="Normal14pt">
    <w:name w:val="Normal + 14 pt"/>
    <w:basedOn w:val="Normal"/>
    <w:pPr>
      <w:spacing w:before="120" w:line="312" w:lineRule="auto"/>
      <w:jc w:val="both"/>
    </w:pPr>
    <w:rPr>
      <w:rFonts w:ascii=".VnTime" w:hAnsi=".VnTime"/>
    </w:rPr>
  </w:style>
  <w:style w:type="paragraph" w:customStyle="1" w:styleId="1">
    <w:name w:val="1."/>
    <w:basedOn w:val="Normal"/>
    <w:pPr>
      <w:numPr>
        <w:numId w:val="27"/>
      </w:numPr>
      <w:tabs>
        <w:tab w:val="clear" w:pos="284"/>
      </w:tabs>
      <w:spacing w:line="240" w:lineRule="auto"/>
      <w:ind w:left="0" w:firstLine="0"/>
      <w:jc w:val="both"/>
    </w:pPr>
    <w:rPr>
      <w:rFonts w:ascii=".VnTime" w:hAnsi=".VnTime"/>
      <w:sz w:val="30"/>
      <w:szCs w:val="20"/>
    </w:rPr>
  </w:style>
  <w:style w:type="paragraph" w:customStyle="1" w:styleId="TD3">
    <w:name w:val="TD3"/>
    <w:basedOn w:val="Normal"/>
    <w:pPr>
      <w:widowControl w:val="0"/>
      <w:spacing w:before="120" w:after="120" w:line="400" w:lineRule="atLeast"/>
      <w:jc w:val="both"/>
    </w:pPr>
    <w:rPr>
      <w:rFonts w:ascii="Arial" w:hAnsi="Arial" w:cs="Arial"/>
      <w:b/>
      <w:sz w:val="24"/>
      <w:szCs w:val="24"/>
      <w:lang w:val="fr-FR"/>
    </w:rPr>
  </w:style>
  <w:style w:type="paragraph" w:customStyle="1" w:styleId="cv">
    <w:name w:val="cv"/>
    <w:basedOn w:val="Normal"/>
    <w:link w:val="cvChar"/>
    <w:pPr>
      <w:widowControl w:val="0"/>
      <w:spacing w:before="120" w:after="120" w:line="360" w:lineRule="exact"/>
      <w:ind w:firstLine="720"/>
      <w:jc w:val="both"/>
    </w:pPr>
    <w:rPr>
      <w:rFonts w:ascii="Arial" w:hAnsi="Arial"/>
      <w:sz w:val="24"/>
      <w:szCs w:val="24"/>
      <w:lang w:val="fr-FR"/>
    </w:rPr>
  </w:style>
  <w:style w:type="character" w:customStyle="1" w:styleId="cvChar">
    <w:name w:val="cv Char"/>
    <w:link w:val="cv"/>
    <w:rPr>
      <w:rFonts w:ascii="Arial" w:hAnsi="Arial"/>
      <w:sz w:val="24"/>
      <w:szCs w:val="24"/>
      <w:lang w:val="fr-FR"/>
    </w:rPr>
  </w:style>
  <w:style w:type="paragraph" w:customStyle="1" w:styleId="1111110">
    <w:name w:val="111111"/>
    <w:basedOn w:val="Normal"/>
    <w:pPr>
      <w:autoSpaceDE w:val="0"/>
      <w:autoSpaceDN w:val="0"/>
      <w:spacing w:before="120" w:after="120" w:line="420" w:lineRule="exact"/>
      <w:ind w:firstLine="425"/>
    </w:pPr>
    <w:rPr>
      <w:b/>
      <w:bCs/>
      <w:sz w:val="26"/>
      <w:szCs w:val="26"/>
    </w:rPr>
  </w:style>
  <w:style w:type="paragraph" w:customStyle="1" w:styleId="222222">
    <w:name w:val="222222"/>
    <w:basedOn w:val="Normal"/>
    <w:pPr>
      <w:autoSpaceDE w:val="0"/>
      <w:autoSpaceDN w:val="0"/>
      <w:spacing w:before="120" w:after="120" w:line="420" w:lineRule="exact"/>
      <w:ind w:firstLine="431"/>
    </w:pPr>
    <w:rPr>
      <w:b/>
      <w:bCs/>
    </w:rPr>
  </w:style>
  <w:style w:type="paragraph" w:customStyle="1" w:styleId="xl44">
    <w:name w:val="xl44"/>
    <w:basedOn w:val="Normal"/>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VnArial Narrow" w:eastAsia="Arial Unicode MS" w:hAnsi=".VnArial Narrow" w:cs=".VnArial Narrow"/>
      <w:b/>
      <w:bCs/>
      <w:sz w:val="24"/>
      <w:szCs w:val="26"/>
    </w:rPr>
  </w:style>
  <w:style w:type="paragraph" w:customStyle="1" w:styleId="xl40">
    <w:name w:val="xl40"/>
    <w:basedOn w:val="Normal"/>
    <w:pPr>
      <w:spacing w:before="100" w:beforeAutospacing="1" w:after="100" w:afterAutospacing="1" w:line="240" w:lineRule="auto"/>
    </w:pPr>
    <w:rPr>
      <w:rFonts w:ascii=".VnArial Narrow" w:eastAsia="Arial Unicode MS" w:hAnsi=".VnArial Narrow" w:cs=".VnArial Narrow"/>
      <w:sz w:val="24"/>
      <w:szCs w:val="26"/>
    </w:rPr>
  </w:style>
  <w:style w:type="paragraph" w:customStyle="1" w:styleId="CcList">
    <w:name w:val="Cc List"/>
    <w:basedOn w:val="Normal"/>
    <w:pPr>
      <w:spacing w:line="240" w:lineRule="auto"/>
    </w:pPr>
    <w:rPr>
      <w:sz w:val="26"/>
      <w:szCs w:val="26"/>
    </w:rPr>
  </w:style>
  <w:style w:type="paragraph" w:customStyle="1" w:styleId="2-Ndphan">
    <w:name w:val="2-Nd phan"/>
    <w:basedOn w:val="Normal"/>
    <w:qFormat/>
    <w:pPr>
      <w:widowControl w:val="0"/>
      <w:spacing w:after="240" w:line="360" w:lineRule="exact"/>
      <w:jc w:val="center"/>
      <w:outlineLvl w:val="0"/>
    </w:pPr>
    <w:rPr>
      <w:rFonts w:cs=".VnTime"/>
      <w:b/>
      <w:sz w:val="26"/>
      <w:lang w:val="nl-NL"/>
    </w:rPr>
  </w:style>
  <w:style w:type="paragraph" w:customStyle="1" w:styleId="1-Phan">
    <w:name w:val="1-Phan"/>
    <w:basedOn w:val="Normal"/>
    <w:qFormat/>
    <w:pPr>
      <w:widowControl w:val="0"/>
      <w:spacing w:after="80" w:line="340" w:lineRule="exact"/>
      <w:jc w:val="center"/>
    </w:pPr>
    <w:rPr>
      <w:rFonts w:cs=".VnTime"/>
      <w:b/>
      <w:i/>
      <w:lang w:val="nl-NL"/>
    </w:rPr>
  </w:style>
  <w:style w:type="paragraph" w:customStyle="1" w:styleId="3-PI">
    <w:name w:val="3-P I"/>
    <w:basedOn w:val="Normal"/>
    <w:qFormat/>
    <w:pPr>
      <w:widowControl w:val="0"/>
      <w:spacing w:before="60" w:after="40" w:line="340" w:lineRule="exact"/>
      <w:jc w:val="both"/>
      <w:outlineLvl w:val="0"/>
    </w:pPr>
    <w:rPr>
      <w:rFonts w:cs=".VnTime"/>
      <w:b/>
      <w:sz w:val="24"/>
      <w:lang w:val="nl-NL"/>
    </w:rPr>
  </w:style>
  <w:style w:type="paragraph" w:customStyle="1" w:styleId="4-P1">
    <w:name w:val="4-P 1"/>
    <w:basedOn w:val="Normal"/>
    <w:link w:val="4-P1Char"/>
    <w:qFormat/>
    <w:pPr>
      <w:widowControl w:val="0"/>
      <w:spacing w:before="60" w:after="80" w:line="340" w:lineRule="exact"/>
      <w:jc w:val="both"/>
      <w:outlineLvl w:val="0"/>
    </w:pPr>
    <w:rPr>
      <w:b/>
      <w:lang w:val="nl-NL"/>
    </w:rPr>
  </w:style>
  <w:style w:type="character" w:customStyle="1" w:styleId="4-P1Char">
    <w:name w:val="4-P 1 Char"/>
    <w:link w:val="4-P1"/>
    <w:rPr>
      <w:b/>
      <w:sz w:val="28"/>
      <w:szCs w:val="28"/>
      <w:lang w:val="nl-NL"/>
    </w:rPr>
  </w:style>
  <w:style w:type="paragraph" w:customStyle="1" w:styleId="55">
    <w:name w:val="55"/>
    <w:basedOn w:val="Normal"/>
    <w:link w:val="55Char"/>
    <w:qFormat/>
    <w:pPr>
      <w:widowControl w:val="0"/>
      <w:spacing w:before="60" w:after="60" w:line="340" w:lineRule="exact"/>
      <w:ind w:firstLine="720"/>
      <w:jc w:val="both"/>
      <w:outlineLvl w:val="0"/>
    </w:pPr>
    <w:rPr>
      <w:b/>
      <w:i/>
      <w:lang w:val="nl-NL"/>
    </w:rPr>
  </w:style>
  <w:style w:type="character" w:customStyle="1" w:styleId="55Char">
    <w:name w:val="55 Char"/>
    <w:link w:val="55"/>
    <w:rPr>
      <w:b/>
      <w:i/>
      <w:sz w:val="28"/>
      <w:szCs w:val="28"/>
      <w:lang w:val="nl-NL"/>
    </w:rPr>
  </w:style>
  <w:style w:type="paragraph" w:customStyle="1" w:styleId="mucabc">
    <w:name w:val="muc_abc"/>
    <w:basedOn w:val="Normal"/>
    <w:autoRedefine/>
    <w:pPr>
      <w:spacing w:line="312" w:lineRule="auto"/>
      <w:jc w:val="both"/>
    </w:pPr>
    <w:rPr>
      <w:b/>
      <w:bCs/>
      <w:color w:val="000000"/>
      <w:sz w:val="26"/>
      <w:szCs w:val="20"/>
    </w:rPr>
  </w:style>
  <w:style w:type="paragraph" w:customStyle="1" w:styleId="1-noidung">
    <w:name w:val="1-noidung"/>
    <w:basedOn w:val="Normal"/>
    <w:link w:val="1-noidungChar"/>
    <w:pPr>
      <w:spacing w:before="120" w:after="120" w:line="288" w:lineRule="auto"/>
      <w:ind w:firstLine="720"/>
      <w:jc w:val="both"/>
    </w:pPr>
    <w:rPr>
      <w:color w:val="000000"/>
      <w:sz w:val="26"/>
      <w:szCs w:val="26"/>
      <w:lang w:val="pt-BR"/>
    </w:rPr>
  </w:style>
  <w:style w:type="character" w:customStyle="1" w:styleId="1-noidungChar">
    <w:name w:val="1-noidung Char"/>
    <w:link w:val="1-noidung"/>
    <w:locked/>
    <w:rPr>
      <w:color w:val="000000"/>
      <w:sz w:val="26"/>
      <w:szCs w:val="26"/>
      <w:lang w:val="pt-BR"/>
    </w:rPr>
  </w:style>
  <w:style w:type="paragraph" w:customStyle="1" w:styleId="tenvb">
    <w:name w:val="tenvb"/>
    <w:basedOn w:val="Normal"/>
    <w:pPr>
      <w:spacing w:before="100" w:beforeAutospacing="1" w:after="100" w:afterAutospacing="1" w:line="240" w:lineRule="auto"/>
    </w:pPr>
    <w:rPr>
      <w:sz w:val="24"/>
      <w:szCs w:val="24"/>
    </w:rPr>
  </w:style>
  <w:style w:type="paragraph" w:customStyle="1" w:styleId="nd">
    <w:name w:val="nd"/>
    <w:basedOn w:val="Normal"/>
    <w:pPr>
      <w:spacing w:before="60" w:after="60" w:line="288" w:lineRule="auto"/>
      <w:ind w:firstLine="720"/>
      <w:jc w:val="both"/>
    </w:pPr>
    <w:rPr>
      <w:rFonts w:ascii=".VnTime" w:hAnsi=".VnTime"/>
      <w:spacing w:val="-6"/>
      <w:szCs w:val="20"/>
      <w:lang w:val="pt-BR"/>
    </w:rPr>
  </w:style>
  <w:style w:type="paragraph" w:customStyle="1" w:styleId="tthnoidungChar">
    <w:name w:val="tth_noidung Char"/>
    <w:basedOn w:val="Normal"/>
    <w:pPr>
      <w:spacing w:before="60" w:after="60" w:line="360" w:lineRule="auto"/>
      <w:jc w:val="both"/>
    </w:pPr>
    <w:rPr>
      <w:rFonts w:ascii=".VnTime" w:eastAsia="Batang" w:hAnsi=".VnTime" w:cs="Arial"/>
      <w:b/>
      <w:color w:val="000080"/>
      <w:sz w:val="26"/>
      <w:szCs w:val="26"/>
      <w:lang w:eastAsia="vi-VN"/>
    </w:rPr>
  </w:style>
  <w:style w:type="character" w:customStyle="1" w:styleId="Muc110">
    <w:name w:val="Muc 1.1"/>
    <w:rPr>
      <w:rFonts w:ascii=".VnTimeH" w:hAnsi=".VnTimeH"/>
    </w:rPr>
  </w:style>
  <w:style w:type="character" w:customStyle="1" w:styleId="NormalChar0">
    <w:name w:val="Normal Char"/>
    <w:rPr>
      <w:sz w:val="26"/>
      <w:szCs w:val="26"/>
      <w:lang w:val="pt-BR" w:eastAsia="en-US" w:bidi="ar-SA"/>
    </w:rPr>
  </w:style>
  <w:style w:type="paragraph" w:customStyle="1" w:styleId="DefaultParagraphFontParaChar">
    <w:name w:val="Default Paragraph Font Para Char"/>
    <w:basedOn w:val="Normal"/>
    <w:autoRedefine/>
    <w:pPr>
      <w:spacing w:before="120" w:after="120" w:line="305" w:lineRule="auto"/>
      <w:ind w:firstLine="720"/>
      <w:jc w:val="both"/>
    </w:pPr>
    <w:rPr>
      <w:rFonts w:eastAsia="MS Mincho"/>
      <w:b/>
      <w:i/>
      <w:szCs w:val="20"/>
    </w:rPr>
  </w:style>
  <w:style w:type="character" w:customStyle="1" w:styleId="NidungCharChar">
    <w:name w:val="Nội dung Char Char"/>
    <w:locked/>
    <w:rPr>
      <w:sz w:val="26"/>
      <w:szCs w:val="26"/>
      <w:lang w:val="en-US" w:eastAsia="en-US" w:bidi="ar-SA"/>
    </w:rPr>
  </w:style>
  <w:style w:type="character" w:customStyle="1" w:styleId="dnnalignleft">
    <w:name w:val="dnnalignleft"/>
  </w:style>
  <w:style w:type="character" w:customStyle="1" w:styleId="LitkCharChar">
    <w:name w:val="Liệt kê Char Char"/>
    <w:rPr>
      <w:sz w:val="26"/>
      <w:lang w:val="en-US" w:eastAsia="en-US" w:bidi="ar-SA"/>
    </w:rPr>
  </w:style>
  <w:style w:type="paragraph" w:customStyle="1" w:styleId="Mu">
    <w:name w:val="Mở đầu"/>
    <w:basedOn w:val="Normal"/>
    <w:autoRedefine/>
    <w:pPr>
      <w:spacing w:before="120" w:after="120" w:line="312" w:lineRule="auto"/>
      <w:jc w:val="center"/>
    </w:pPr>
    <w:rPr>
      <w:b/>
      <w:sz w:val="32"/>
      <w:szCs w:val="20"/>
    </w:rPr>
  </w:style>
  <w:style w:type="paragraph" w:customStyle="1" w:styleId="Heading4NotItalicLinespacingMultiple12li">
    <w:name w:val="Heading 4 + Not Italic Line spacing:  Multiple 1.2 li"/>
    <w:basedOn w:val="Heading4"/>
    <w:pPr>
      <w:widowControl w:val="0"/>
      <w:tabs>
        <w:tab w:val="left" w:pos="360"/>
      </w:tabs>
      <w:autoSpaceDE w:val="0"/>
      <w:autoSpaceDN w:val="0"/>
      <w:adjustRightInd w:val="0"/>
      <w:spacing w:before="60" w:line="288" w:lineRule="auto"/>
      <w:jc w:val="both"/>
    </w:pPr>
    <w:rPr>
      <w:rFonts w:ascii="Times New Roman" w:hAnsi="Times New Roman"/>
      <w:bCs/>
      <w:i/>
      <w:sz w:val="26"/>
      <w:szCs w:val="26"/>
    </w:rPr>
  </w:style>
  <w:style w:type="paragraph" w:customStyle="1" w:styleId="documentdescription">
    <w:name w:val="documentdescription"/>
    <w:basedOn w:val="Normal"/>
    <w:pPr>
      <w:spacing w:before="100" w:beforeAutospacing="1" w:after="100" w:afterAutospacing="1" w:line="240" w:lineRule="auto"/>
    </w:pPr>
    <w:rPr>
      <w:rFonts w:eastAsia="MS Mincho"/>
      <w:sz w:val="24"/>
      <w:szCs w:val="24"/>
      <w:lang w:eastAsia="ja-JP"/>
    </w:rPr>
  </w:style>
  <w:style w:type="paragraph" w:customStyle="1" w:styleId="Char1CharCharChar1CharCharChar">
    <w:name w:val="Char1 Char Char Char1 Char Char Char"/>
    <w:basedOn w:val="Normal"/>
    <w:pPr>
      <w:pageBreakBefore/>
      <w:spacing w:before="100" w:beforeAutospacing="1" w:after="100" w:afterAutospacing="1" w:line="240" w:lineRule="auto"/>
      <w:jc w:val="both"/>
    </w:pPr>
    <w:rPr>
      <w:rFonts w:ascii=".VnArial" w:eastAsia=".VnTime" w:hAnsi=".VnArial" w:cs=".VnArial"/>
      <w:sz w:val="20"/>
      <w:szCs w:val="20"/>
    </w:rPr>
  </w:style>
  <w:style w:type="paragraph" w:customStyle="1" w:styleId="thuy2">
    <w:name w:val="thuy 2"/>
    <w:basedOn w:val="Normal"/>
    <w:qFormat/>
    <w:pPr>
      <w:keepNext/>
      <w:spacing w:before="120" w:after="120" w:line="340" w:lineRule="exact"/>
      <w:outlineLvl w:val="0"/>
    </w:pPr>
    <w:rPr>
      <w:b/>
      <w:sz w:val="26"/>
      <w:szCs w:val="26"/>
      <w:lang w:val="de-DE"/>
    </w:rPr>
  </w:style>
  <w:style w:type="paragraph" w:customStyle="1" w:styleId="Style14ptJustifiedFirstline1">
    <w:name w:val="Style 14 pt Justified First line:  1"/>
    <w:basedOn w:val="Normal"/>
    <w:pPr>
      <w:spacing w:line="360" w:lineRule="exact"/>
      <w:ind w:firstLine="680"/>
      <w:jc w:val="both"/>
    </w:pPr>
    <w:rPr>
      <w:sz w:val="26"/>
      <w:szCs w:val="26"/>
    </w:rPr>
  </w:style>
  <w:style w:type="paragraph" w:customStyle="1" w:styleId="nidung0">
    <w:name w:val="nidung"/>
    <w:basedOn w:val="Normal"/>
    <w:pPr>
      <w:spacing w:before="100" w:beforeAutospacing="1" w:after="100" w:afterAutospacing="1" w:line="240" w:lineRule="auto"/>
    </w:pPr>
    <w:rPr>
      <w:sz w:val="24"/>
      <w:szCs w:val="24"/>
    </w:rPr>
  </w:style>
  <w:style w:type="paragraph" w:customStyle="1" w:styleId="Normal0">
    <w:name w:val="[Normal]"/>
    <w:rPr>
      <w:rFonts w:ascii="Arial" w:eastAsia="Arial" w:hAnsi="Arial"/>
      <w:sz w:val="24"/>
    </w:rPr>
  </w:style>
  <w:style w:type="paragraph" w:customStyle="1" w:styleId="aa">
    <w:name w:val="aa"/>
    <w:basedOn w:val="a0"/>
    <w:qFormat/>
    <w:pPr>
      <w:keepNext/>
      <w:tabs>
        <w:tab w:val="clear" w:pos="4320"/>
        <w:tab w:val="clear" w:pos="8640"/>
      </w:tabs>
      <w:spacing w:before="60" w:after="60" w:line="360" w:lineRule="exact"/>
      <w:ind w:firstLine="0"/>
      <w:jc w:val="center"/>
      <w:outlineLvl w:val="0"/>
    </w:pPr>
    <w:rPr>
      <w:b/>
      <w:kern w:val="32"/>
      <w:sz w:val="26"/>
      <w:szCs w:val="26"/>
      <w:lang w:val="nl-NL"/>
    </w:rPr>
  </w:style>
  <w:style w:type="paragraph" w:customStyle="1" w:styleId="Hnh1">
    <w:name w:val="Hình1"/>
    <w:basedOn w:val="Hnh"/>
    <w:qFormat/>
    <w:pPr>
      <w:tabs>
        <w:tab w:val="left" w:leader="dot" w:pos="8618"/>
      </w:tabs>
      <w:spacing w:line="264" w:lineRule="auto"/>
      <w:outlineLvl w:val="0"/>
    </w:pPr>
    <w:rPr>
      <w:b/>
      <w:sz w:val="20"/>
      <w:szCs w:val="28"/>
      <w:lang w:val="nl-NL"/>
    </w:rPr>
  </w:style>
  <w:style w:type="paragraph" w:customStyle="1" w:styleId="Hnh2">
    <w:name w:val="Hình2"/>
    <w:basedOn w:val="Normal"/>
    <w:qFormat/>
    <w:pPr>
      <w:spacing w:line="240" w:lineRule="auto"/>
      <w:jc w:val="center"/>
    </w:pPr>
    <w:rPr>
      <w:b/>
      <w:i/>
      <w:sz w:val="20"/>
      <w:szCs w:val="22"/>
      <w:lang w:val="nl-NL"/>
    </w:rPr>
  </w:style>
  <w:style w:type="paragraph" w:customStyle="1" w:styleId="Bibliography1">
    <w:name w:val="Bibliography1"/>
    <w:basedOn w:val="Normal"/>
    <w:next w:val="Normal"/>
    <w:uiPriority w:val="37"/>
    <w:unhideWhenUsed/>
    <w:pPr>
      <w:spacing w:line="240" w:lineRule="auto"/>
    </w:pPr>
  </w:style>
  <w:style w:type="character" w:customStyle="1" w:styleId="Heading6Char1">
    <w:name w:val="Heading 6 Char1"/>
    <w:semiHidden/>
    <w:rPr>
      <w:rFonts w:ascii="Cambria" w:eastAsia="Times New Roman" w:hAnsi="Cambria" w:cs="Times New Roman"/>
      <w:i/>
      <w:iCs/>
      <w:color w:val="243F60"/>
      <w:sz w:val="28"/>
      <w:szCs w:val="28"/>
    </w:rPr>
  </w:style>
  <w:style w:type="paragraph" w:customStyle="1" w:styleId="TOCHeading1">
    <w:name w:val="TOC Heading1"/>
    <w:basedOn w:val="Heading1"/>
    <w:next w:val="Normal"/>
    <w:uiPriority w:val="39"/>
    <w:unhideWhenUsed/>
    <w:qFormat/>
    <w:pPr>
      <w:keepLines/>
      <w:spacing w:before="480" w:line="276" w:lineRule="auto"/>
      <w:jc w:val="left"/>
      <w:outlineLvl w:val="9"/>
    </w:pPr>
    <w:rPr>
      <w:rFonts w:ascii="Cambria" w:eastAsia="MS Gothic" w:hAnsi="Cambria"/>
      <w:bCs/>
      <w:color w:val="365F91"/>
      <w:sz w:val="28"/>
      <w:szCs w:val="28"/>
      <w:lang w:eastAsia="ja-JP"/>
    </w:rPr>
  </w:style>
  <w:style w:type="character" w:customStyle="1" w:styleId="BngCharChar">
    <w:name w:val="Bảng Char Char"/>
    <w:rPr>
      <w:sz w:val="27"/>
      <w:lang w:val="en-US" w:eastAsia="en-US" w:bidi="ar-SA"/>
    </w:rPr>
  </w:style>
  <w:style w:type="paragraph" w:customStyle="1" w:styleId="Body1">
    <w:name w:val="Body 1"/>
    <w:pPr>
      <w:outlineLvl w:val="0"/>
    </w:pPr>
    <w:rPr>
      <w:rFonts w:eastAsia="Arial Unicode MS"/>
      <w:color w:val="000000"/>
      <w:sz w:val="24"/>
      <w:u w:color="000000"/>
      <w:lang w:val="vi-VN" w:eastAsia="vi-VN"/>
    </w:rPr>
  </w:style>
  <w:style w:type="paragraph" w:customStyle="1" w:styleId="ColorfulList-Accent11">
    <w:name w:val="Colorful List - Accent 11"/>
    <w:basedOn w:val="Normal"/>
    <w:uiPriority w:val="34"/>
    <w:qFormat/>
    <w:pPr>
      <w:spacing w:before="120" w:after="120" w:line="276" w:lineRule="auto"/>
      <w:ind w:left="720"/>
      <w:contextualSpacing/>
      <w:jc w:val="both"/>
    </w:pPr>
    <w:rPr>
      <w:rFonts w:eastAsia="Calibri"/>
      <w:sz w:val="26"/>
      <w:szCs w:val="20"/>
    </w:rPr>
  </w:style>
  <w:style w:type="paragraph" w:customStyle="1" w:styleId="thuy20">
    <w:name w:val="thuy2"/>
    <w:basedOn w:val="Normal"/>
    <w:qFormat/>
    <w:pPr>
      <w:spacing w:before="120" w:after="120" w:line="380" w:lineRule="exact"/>
      <w:ind w:right="-43"/>
      <w:jc w:val="both"/>
      <w:outlineLvl w:val="0"/>
    </w:pPr>
    <w:rPr>
      <w:rFonts w:eastAsia="MS Mincho"/>
      <w:b/>
      <w:bCs/>
      <w:iCs/>
      <w:sz w:val="26"/>
      <w:szCs w:val="24"/>
      <w:lang w:val="nl-NL"/>
    </w:rPr>
  </w:style>
  <w:style w:type="paragraph" w:customStyle="1" w:styleId="xl112">
    <w:name w:val="xl11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rPr>
  </w:style>
  <w:style w:type="paragraph" w:customStyle="1" w:styleId="xl113">
    <w:name w:val="xl11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4">
    <w:name w:val="xl1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5">
    <w:name w:val="xl11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6">
    <w:name w:val="xl1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7">
    <w:name w:val="xl1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18">
    <w:name w:val="xl1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4"/>
      <w:szCs w:val="24"/>
    </w:rPr>
  </w:style>
  <w:style w:type="paragraph" w:customStyle="1" w:styleId="xl119">
    <w:name w:val="xl1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4"/>
      <w:szCs w:val="24"/>
    </w:rPr>
  </w:style>
  <w:style w:type="paragraph" w:customStyle="1" w:styleId="xl120">
    <w:name w:val="xl120"/>
    <w:basedOn w:val="Normal"/>
    <w:pPr>
      <w:pBdr>
        <w:top w:val="single" w:sz="4" w:space="0" w:color="auto"/>
        <w:left w:val="single" w:sz="4" w:space="0" w:color="auto"/>
        <w:bottom w:val="single" w:sz="4" w:space="0" w:color="auto"/>
        <w:right w:val="double" w:sz="6" w:space="0" w:color="auto"/>
      </w:pBdr>
      <w:spacing w:before="100" w:beforeAutospacing="1" w:after="100" w:afterAutospacing="1" w:line="240" w:lineRule="auto"/>
      <w:jc w:val="center"/>
      <w:textAlignment w:val="center"/>
    </w:pPr>
    <w:rPr>
      <w:sz w:val="24"/>
      <w:szCs w:val="24"/>
    </w:rPr>
  </w:style>
  <w:style w:type="paragraph" w:customStyle="1" w:styleId="xl121">
    <w:name w:val="xl121"/>
    <w:basedOn w:val="Normal"/>
    <w:pPr>
      <w:pBdr>
        <w:top w:val="single" w:sz="4" w:space="0" w:color="auto"/>
        <w:left w:val="double" w:sz="6"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2">
    <w:name w:val="xl122"/>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3">
    <w:name w:val="xl123"/>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4">
    <w:name w:val="xl124"/>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125">
    <w:name w:val="xl125"/>
    <w:basedOn w:val="Normal"/>
    <w:pPr>
      <w:pBdr>
        <w:top w:val="single" w:sz="4" w:space="0" w:color="auto"/>
        <w:left w:val="single" w:sz="4" w:space="0" w:color="auto"/>
        <w:bottom w:val="double" w:sz="6" w:space="0" w:color="auto"/>
        <w:right w:val="single" w:sz="4" w:space="0" w:color="auto"/>
      </w:pBdr>
      <w:spacing w:before="100" w:beforeAutospacing="1" w:after="100" w:afterAutospacing="1" w:line="240" w:lineRule="auto"/>
      <w:textAlignment w:val="center"/>
    </w:pPr>
    <w:rPr>
      <w:b/>
      <w:bCs/>
      <w:sz w:val="24"/>
      <w:szCs w:val="24"/>
    </w:rPr>
  </w:style>
  <w:style w:type="paragraph" w:customStyle="1" w:styleId="xl126">
    <w:name w:val="xl126"/>
    <w:basedOn w:val="Normal"/>
    <w:pPr>
      <w:pBdr>
        <w:top w:val="single" w:sz="4" w:space="0" w:color="auto"/>
        <w:left w:val="single" w:sz="4" w:space="0" w:color="auto"/>
        <w:bottom w:val="double" w:sz="6" w:space="0" w:color="auto"/>
        <w:right w:val="double" w:sz="6" w:space="0" w:color="auto"/>
      </w:pBdr>
      <w:spacing w:before="100" w:beforeAutospacing="1" w:after="100" w:afterAutospacing="1" w:line="240" w:lineRule="auto"/>
      <w:textAlignment w:val="center"/>
    </w:pPr>
    <w:rPr>
      <w:b/>
      <w:bCs/>
      <w:sz w:val="24"/>
      <w:szCs w:val="24"/>
    </w:rPr>
  </w:style>
  <w:style w:type="paragraph" w:customStyle="1" w:styleId="xl161">
    <w:name w:val="xl16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62">
    <w:name w:val="xl16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63">
    <w:name w:val="xl163"/>
    <w:basedOn w:val="Normal"/>
    <w:pPr>
      <w:spacing w:before="100" w:beforeAutospacing="1" w:after="100" w:afterAutospacing="1" w:line="240" w:lineRule="auto"/>
      <w:jc w:val="center"/>
    </w:pPr>
    <w:rPr>
      <w:sz w:val="22"/>
      <w:szCs w:val="22"/>
    </w:rPr>
  </w:style>
  <w:style w:type="paragraph" w:customStyle="1" w:styleId="xl164">
    <w:name w:val="xl164"/>
    <w:basedOn w:val="Normal"/>
    <w:pPr>
      <w:spacing w:before="100" w:beforeAutospacing="1" w:after="100" w:afterAutospacing="1" w:line="240" w:lineRule="auto"/>
    </w:pPr>
    <w:rPr>
      <w:sz w:val="22"/>
      <w:szCs w:val="22"/>
    </w:rPr>
  </w:style>
  <w:style w:type="paragraph" w:customStyle="1" w:styleId="xl165">
    <w:name w:val="xl16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66">
    <w:name w:val="xl1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67">
    <w:name w:val="xl1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68">
    <w:name w:val="xl1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69">
    <w:name w:val="xl1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70">
    <w:name w:val="xl1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71">
    <w:name w:val="xl171"/>
    <w:basedOn w:val="Normal"/>
    <w:pPr>
      <w:spacing w:before="100" w:beforeAutospacing="1" w:after="100" w:afterAutospacing="1" w:line="240" w:lineRule="auto"/>
      <w:jc w:val="center"/>
      <w:textAlignment w:val="center"/>
    </w:pPr>
    <w:rPr>
      <w:sz w:val="22"/>
      <w:szCs w:val="22"/>
    </w:rPr>
  </w:style>
  <w:style w:type="paragraph" w:customStyle="1" w:styleId="xl172">
    <w:name w:val="xl172"/>
    <w:basedOn w:val="Normal"/>
    <w:pPr>
      <w:spacing w:before="100" w:beforeAutospacing="1" w:after="100" w:afterAutospacing="1" w:line="240" w:lineRule="auto"/>
      <w:textAlignment w:val="center"/>
    </w:pPr>
    <w:rPr>
      <w:sz w:val="22"/>
      <w:szCs w:val="22"/>
    </w:rPr>
  </w:style>
  <w:style w:type="paragraph" w:customStyle="1" w:styleId="xl173">
    <w:name w:val="xl17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74">
    <w:name w:val="xl17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75">
    <w:name w:val="xl17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76">
    <w:name w:val="xl17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77">
    <w:name w:val="xl17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178">
    <w:name w:val="xl178"/>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79">
    <w:name w:val="xl179"/>
    <w:basedOn w:val="Normal"/>
    <w:pPr>
      <w:shd w:val="clear" w:color="000000" w:fill="FFFF00"/>
      <w:spacing w:before="100" w:beforeAutospacing="1" w:after="100" w:afterAutospacing="1" w:line="240" w:lineRule="auto"/>
      <w:textAlignment w:val="center"/>
    </w:pPr>
    <w:rPr>
      <w:sz w:val="22"/>
      <w:szCs w:val="22"/>
    </w:rPr>
  </w:style>
  <w:style w:type="paragraph" w:customStyle="1" w:styleId="xl180">
    <w:name w:val="xl18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1">
    <w:name w:val="xl18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182">
    <w:name w:val="xl18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83">
    <w:name w:val="xl18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4">
    <w:name w:val="xl18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5">
    <w:name w:val="xl18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86">
    <w:name w:val="xl18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87">
    <w:name w:val="xl187"/>
    <w:basedOn w:val="Normal"/>
    <w:pPr>
      <w:spacing w:before="100" w:beforeAutospacing="1" w:after="100" w:afterAutospacing="1" w:line="240" w:lineRule="auto"/>
      <w:textAlignment w:val="center"/>
    </w:pPr>
    <w:rPr>
      <w:b/>
      <w:bCs/>
      <w:sz w:val="22"/>
      <w:szCs w:val="22"/>
    </w:rPr>
  </w:style>
  <w:style w:type="paragraph" w:customStyle="1" w:styleId="xl188">
    <w:name w:val="xl18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89">
    <w:name w:val="xl18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90">
    <w:name w:val="xl19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91">
    <w:name w:val="xl19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92">
    <w:name w:val="xl19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193">
    <w:name w:val="xl19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194">
    <w:name w:val="xl194"/>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b/>
      <w:bCs/>
      <w:sz w:val="22"/>
      <w:szCs w:val="22"/>
    </w:rPr>
  </w:style>
  <w:style w:type="paragraph" w:customStyle="1" w:styleId="xl195">
    <w:name w:val="xl19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196">
    <w:name w:val="xl196"/>
    <w:basedOn w:val="Normal"/>
    <w:pPr>
      <w:shd w:val="clear" w:color="000000" w:fill="FFFF00"/>
      <w:spacing w:before="100" w:beforeAutospacing="1" w:after="100" w:afterAutospacing="1" w:line="240" w:lineRule="auto"/>
      <w:textAlignment w:val="center"/>
    </w:pPr>
    <w:rPr>
      <w:b/>
      <w:bCs/>
      <w:sz w:val="22"/>
      <w:szCs w:val="22"/>
    </w:rPr>
  </w:style>
  <w:style w:type="paragraph" w:customStyle="1" w:styleId="xl197">
    <w:name w:val="xl19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198">
    <w:name w:val="xl19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199">
    <w:name w:val="xl19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200">
    <w:name w:val="xl20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201">
    <w:name w:val="xl20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02">
    <w:name w:val="xl20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b/>
      <w:bCs/>
      <w:sz w:val="22"/>
      <w:szCs w:val="22"/>
    </w:rPr>
  </w:style>
  <w:style w:type="paragraph" w:customStyle="1" w:styleId="xl203">
    <w:name w:val="xl20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4">
    <w:name w:val="xl20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5">
    <w:name w:val="xl20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06">
    <w:name w:val="xl20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7">
    <w:name w:val="xl20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08">
    <w:name w:val="xl20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09">
    <w:name w:val="xl20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10">
    <w:name w:val="xl21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211">
    <w:name w:val="xl211"/>
    <w:basedOn w:val="Normal"/>
    <w:pPr>
      <w:spacing w:before="100" w:beforeAutospacing="1" w:after="100" w:afterAutospacing="1" w:line="240" w:lineRule="auto"/>
      <w:jc w:val="center"/>
    </w:pPr>
    <w:rPr>
      <w:sz w:val="22"/>
      <w:szCs w:val="22"/>
    </w:rPr>
  </w:style>
  <w:style w:type="paragraph" w:customStyle="1" w:styleId="xl212">
    <w:name w:val="xl212"/>
    <w:basedOn w:val="Normal"/>
    <w:pPr>
      <w:spacing w:before="100" w:beforeAutospacing="1" w:after="100" w:afterAutospacing="1" w:line="240" w:lineRule="auto"/>
      <w:jc w:val="center"/>
      <w:textAlignment w:val="center"/>
    </w:pPr>
    <w:rPr>
      <w:sz w:val="22"/>
      <w:szCs w:val="22"/>
    </w:rPr>
  </w:style>
  <w:style w:type="paragraph" w:customStyle="1" w:styleId="xl213">
    <w:name w:val="xl213"/>
    <w:basedOn w:val="Normal"/>
    <w:pPr>
      <w:spacing w:before="100" w:beforeAutospacing="1" w:after="100" w:afterAutospacing="1" w:line="240" w:lineRule="auto"/>
      <w:jc w:val="center"/>
      <w:textAlignment w:val="center"/>
    </w:pPr>
    <w:rPr>
      <w:sz w:val="22"/>
      <w:szCs w:val="22"/>
    </w:rPr>
  </w:style>
  <w:style w:type="paragraph" w:customStyle="1" w:styleId="xl214">
    <w:name w:val="xl214"/>
    <w:basedOn w:val="Normal"/>
    <w:pPr>
      <w:spacing w:before="100" w:beforeAutospacing="1" w:after="100" w:afterAutospacing="1" w:line="240" w:lineRule="auto"/>
    </w:pPr>
    <w:rPr>
      <w:sz w:val="22"/>
      <w:szCs w:val="22"/>
    </w:rPr>
  </w:style>
  <w:style w:type="paragraph" w:customStyle="1" w:styleId="xl215">
    <w:name w:val="xl215"/>
    <w:basedOn w:val="Normal"/>
    <w:pPr>
      <w:spacing w:before="100" w:beforeAutospacing="1" w:after="100" w:afterAutospacing="1" w:line="240" w:lineRule="auto"/>
    </w:pPr>
    <w:rPr>
      <w:sz w:val="22"/>
      <w:szCs w:val="22"/>
    </w:rPr>
  </w:style>
  <w:style w:type="paragraph" w:customStyle="1" w:styleId="xl216">
    <w:name w:val="xl21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17">
    <w:name w:val="xl2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18">
    <w:name w:val="xl2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19">
    <w:name w:val="xl2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20">
    <w:name w:val="xl2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1">
    <w:name w:val="xl22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2">
    <w:name w:val="xl2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3">
    <w:name w:val="xl2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sz w:val="22"/>
      <w:szCs w:val="22"/>
    </w:rPr>
  </w:style>
  <w:style w:type="paragraph" w:customStyle="1" w:styleId="xl224">
    <w:name w:val="xl2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25">
    <w:name w:val="xl22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26">
    <w:name w:val="xl226"/>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27">
    <w:name w:val="xl227"/>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28">
    <w:name w:val="xl228"/>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29">
    <w:name w:val="xl22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30">
    <w:name w:val="xl230"/>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1">
    <w:name w:val="xl23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2">
    <w:name w:val="xl23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33">
    <w:name w:val="xl233"/>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34">
    <w:name w:val="xl234"/>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35">
    <w:name w:val="xl23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36">
    <w:name w:val="xl236"/>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7">
    <w:name w:val="xl237"/>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38">
    <w:name w:val="xl238"/>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39">
    <w:name w:val="xl239"/>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40">
    <w:name w:val="xl240"/>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sz w:val="22"/>
      <w:szCs w:val="22"/>
    </w:rPr>
  </w:style>
  <w:style w:type="paragraph" w:customStyle="1" w:styleId="xl241">
    <w:name w:val="xl241"/>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sz w:val="22"/>
      <w:szCs w:val="22"/>
    </w:rPr>
  </w:style>
  <w:style w:type="paragraph" w:customStyle="1" w:styleId="xl242">
    <w:name w:val="xl242"/>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sz w:val="22"/>
      <w:szCs w:val="22"/>
    </w:rPr>
  </w:style>
  <w:style w:type="paragraph" w:customStyle="1" w:styleId="xl243">
    <w:name w:val="xl243"/>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color w:val="000000"/>
      <w:sz w:val="22"/>
      <w:szCs w:val="22"/>
    </w:rPr>
  </w:style>
  <w:style w:type="paragraph" w:customStyle="1" w:styleId="xl244">
    <w:name w:val="xl244"/>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b/>
      <w:bCs/>
      <w:sz w:val="22"/>
      <w:szCs w:val="22"/>
    </w:rPr>
  </w:style>
  <w:style w:type="paragraph" w:customStyle="1" w:styleId="xl245">
    <w:name w:val="xl245"/>
    <w:basedOn w:val="Normal"/>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b/>
      <w:bCs/>
      <w:sz w:val="22"/>
      <w:szCs w:val="22"/>
    </w:rPr>
  </w:style>
  <w:style w:type="paragraph" w:customStyle="1" w:styleId="xl246">
    <w:name w:val="xl246"/>
    <w:basedOn w:val="Normal"/>
    <w:pPr>
      <w:shd w:val="clear" w:color="000000" w:fill="FFFFFF"/>
      <w:spacing w:before="100" w:beforeAutospacing="1" w:after="100" w:afterAutospacing="1" w:line="240" w:lineRule="auto"/>
      <w:textAlignment w:val="center"/>
    </w:pPr>
    <w:rPr>
      <w:b/>
      <w:bCs/>
      <w:sz w:val="22"/>
      <w:szCs w:val="22"/>
    </w:rPr>
  </w:style>
  <w:style w:type="paragraph" w:customStyle="1" w:styleId="xl247">
    <w:name w:val="xl24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48">
    <w:name w:val="xl24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249">
    <w:name w:val="xl24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0">
    <w:name w:val="xl250"/>
    <w:basedOn w:val="Normal"/>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1">
    <w:name w:val="xl251"/>
    <w:basedOn w:val="Normal"/>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2">
    <w:name w:val="xl252"/>
    <w:basedOn w:val="Normal"/>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b/>
      <w:bCs/>
      <w:sz w:val="22"/>
      <w:szCs w:val="22"/>
    </w:rPr>
  </w:style>
  <w:style w:type="paragraph" w:customStyle="1" w:styleId="xl253">
    <w:name w:val="xl253"/>
    <w:basedOn w:val="Normal"/>
    <w:pPr>
      <w:pBdr>
        <w:top w:val="single" w:sz="4" w:space="0" w:color="auto"/>
        <w:bottom w:val="single" w:sz="4" w:space="0" w:color="auto"/>
      </w:pBdr>
      <w:spacing w:before="100" w:beforeAutospacing="1" w:after="100" w:afterAutospacing="1" w:line="240" w:lineRule="auto"/>
      <w:jc w:val="center"/>
      <w:textAlignment w:val="center"/>
    </w:pPr>
    <w:rPr>
      <w:b/>
      <w:bCs/>
      <w:sz w:val="22"/>
      <w:szCs w:val="22"/>
    </w:rPr>
  </w:style>
  <w:style w:type="paragraph" w:customStyle="1" w:styleId="xl254">
    <w:name w:val="xl254"/>
    <w:basedOn w:val="Normal"/>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5">
    <w:name w:val="xl25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256">
    <w:name w:val="xl25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b/>
      <w:bCs/>
      <w:sz w:val="22"/>
      <w:szCs w:val="22"/>
    </w:rPr>
  </w:style>
  <w:style w:type="paragraph" w:customStyle="1" w:styleId="xl257">
    <w:name w:val="xl25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258">
    <w:name w:val="xl25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259">
    <w:name w:val="xl259"/>
    <w:basedOn w:val="Normal"/>
    <w:pPr>
      <w:spacing w:before="100" w:beforeAutospacing="1" w:after="100" w:afterAutospacing="1" w:line="240" w:lineRule="auto"/>
    </w:pPr>
    <w:rPr>
      <w:sz w:val="16"/>
      <w:szCs w:val="16"/>
    </w:rPr>
  </w:style>
  <w:style w:type="paragraph" w:customStyle="1" w:styleId="xl313">
    <w:name w:val="xl313"/>
    <w:basedOn w:val="Normal"/>
    <w:pPr>
      <w:spacing w:before="100" w:beforeAutospacing="1" w:after="100" w:afterAutospacing="1" w:line="240" w:lineRule="auto"/>
    </w:pPr>
    <w:rPr>
      <w:rFonts w:ascii="Arial" w:hAnsi="Arial" w:cs="Arial"/>
      <w:sz w:val="16"/>
      <w:szCs w:val="16"/>
    </w:rPr>
  </w:style>
  <w:style w:type="paragraph" w:customStyle="1" w:styleId="xl314">
    <w:name w:val="xl31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15">
    <w:name w:val="xl315"/>
    <w:basedOn w:val="Normal"/>
    <w:pPr>
      <w:spacing w:before="100" w:beforeAutospacing="1" w:after="100" w:afterAutospacing="1" w:line="240" w:lineRule="auto"/>
    </w:pPr>
    <w:rPr>
      <w:rFonts w:ascii="Arial" w:hAnsi="Arial" w:cs="Arial"/>
      <w:sz w:val="20"/>
      <w:szCs w:val="20"/>
    </w:rPr>
  </w:style>
  <w:style w:type="paragraph" w:customStyle="1" w:styleId="xl316">
    <w:name w:val="xl316"/>
    <w:basedOn w:val="Normal"/>
    <w:pPr>
      <w:spacing w:before="100" w:beforeAutospacing="1" w:after="100" w:afterAutospacing="1" w:line="240" w:lineRule="auto"/>
    </w:pPr>
    <w:rPr>
      <w:rFonts w:ascii="Arial" w:hAnsi="Arial" w:cs="Arial"/>
      <w:sz w:val="20"/>
      <w:szCs w:val="20"/>
    </w:rPr>
  </w:style>
  <w:style w:type="paragraph" w:customStyle="1" w:styleId="xl317">
    <w:name w:val="xl31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18">
    <w:name w:val="xl31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19">
    <w:name w:val="xl31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20">
    <w:name w:val="xl32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21">
    <w:name w:val="xl321"/>
    <w:basedOn w:val="Normal"/>
    <w:pPr>
      <w:spacing w:before="100" w:beforeAutospacing="1" w:after="100" w:afterAutospacing="1" w:line="240" w:lineRule="auto"/>
    </w:pPr>
    <w:rPr>
      <w:b/>
      <w:bCs/>
      <w:i/>
      <w:iCs/>
      <w:sz w:val="22"/>
      <w:szCs w:val="22"/>
    </w:rPr>
  </w:style>
  <w:style w:type="paragraph" w:customStyle="1" w:styleId="xl322">
    <w:name w:val="xl32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23">
    <w:name w:val="xl32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324">
    <w:name w:val="xl32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325">
    <w:name w:val="xl32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4"/>
      <w:szCs w:val="24"/>
    </w:rPr>
  </w:style>
  <w:style w:type="paragraph" w:customStyle="1" w:styleId="xl326">
    <w:name w:val="xl32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16"/>
      <w:szCs w:val="16"/>
    </w:rPr>
  </w:style>
  <w:style w:type="paragraph" w:customStyle="1" w:styleId="xl327">
    <w:name w:val="xl32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28">
    <w:name w:val="xl32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29">
    <w:name w:val="xl32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30">
    <w:name w:val="xl33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31">
    <w:name w:val="xl33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2"/>
      <w:szCs w:val="22"/>
    </w:rPr>
  </w:style>
  <w:style w:type="paragraph" w:customStyle="1" w:styleId="xl332">
    <w:name w:val="xl332"/>
    <w:basedOn w:val="Normal"/>
    <w:pPr>
      <w:spacing w:before="100" w:beforeAutospacing="1" w:after="100" w:afterAutospacing="1" w:line="240" w:lineRule="auto"/>
    </w:pPr>
    <w:rPr>
      <w:sz w:val="22"/>
      <w:szCs w:val="22"/>
    </w:rPr>
  </w:style>
  <w:style w:type="paragraph" w:customStyle="1" w:styleId="xl333">
    <w:name w:val="xl33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i/>
      <w:iCs/>
      <w:sz w:val="22"/>
      <w:szCs w:val="22"/>
    </w:rPr>
  </w:style>
  <w:style w:type="paragraph" w:customStyle="1" w:styleId="xl334">
    <w:name w:val="xl33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i/>
      <w:iCs/>
      <w:sz w:val="22"/>
      <w:szCs w:val="22"/>
    </w:rPr>
  </w:style>
  <w:style w:type="paragraph" w:customStyle="1" w:styleId="xl335">
    <w:name w:val="xl33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36">
    <w:name w:val="xl33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37">
    <w:name w:val="xl33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38">
    <w:name w:val="xl33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39">
    <w:name w:val="xl33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2"/>
      <w:szCs w:val="22"/>
    </w:rPr>
  </w:style>
  <w:style w:type="paragraph" w:customStyle="1" w:styleId="xl340">
    <w:name w:val="xl34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1">
    <w:name w:val="xl34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b/>
      <w:bCs/>
      <w:i/>
      <w:iCs/>
      <w:sz w:val="22"/>
      <w:szCs w:val="22"/>
    </w:rPr>
  </w:style>
  <w:style w:type="paragraph" w:customStyle="1" w:styleId="xl342">
    <w:name w:val="xl34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3">
    <w:name w:val="xl34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44">
    <w:name w:val="xl34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45">
    <w:name w:val="xl34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6">
    <w:name w:val="xl34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7">
    <w:name w:val="xl34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48">
    <w:name w:val="xl34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49">
    <w:name w:val="xl34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0">
    <w:name w:val="xl35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1">
    <w:name w:val="xl35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2">
    <w:name w:val="xl35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53">
    <w:name w:val="xl35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4">
    <w:name w:val="xl35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55">
    <w:name w:val="xl35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6">
    <w:name w:val="xl35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2"/>
      <w:szCs w:val="22"/>
    </w:rPr>
  </w:style>
  <w:style w:type="paragraph" w:customStyle="1" w:styleId="xl357">
    <w:name w:val="xl35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58">
    <w:name w:val="xl35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59">
    <w:name w:val="xl359"/>
    <w:basedOn w:val="Normal"/>
    <w:pPr>
      <w:spacing w:before="100" w:beforeAutospacing="1" w:after="100" w:afterAutospacing="1" w:line="240" w:lineRule="auto"/>
    </w:pPr>
    <w:rPr>
      <w:i/>
      <w:iCs/>
      <w:sz w:val="22"/>
      <w:szCs w:val="22"/>
    </w:rPr>
  </w:style>
  <w:style w:type="paragraph" w:customStyle="1" w:styleId="xl360">
    <w:name w:val="xl36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1">
    <w:name w:val="xl36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2">
    <w:name w:val="xl36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63">
    <w:name w:val="xl363"/>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64">
    <w:name w:val="xl364"/>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65">
    <w:name w:val="xl365"/>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sz w:val="22"/>
      <w:szCs w:val="22"/>
    </w:rPr>
  </w:style>
  <w:style w:type="paragraph" w:customStyle="1" w:styleId="xl366">
    <w:name w:val="xl366"/>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7">
    <w:name w:val="xl367"/>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sz w:val="22"/>
      <w:szCs w:val="22"/>
    </w:rPr>
  </w:style>
  <w:style w:type="paragraph" w:customStyle="1" w:styleId="xl368">
    <w:name w:val="xl368"/>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sz w:val="22"/>
      <w:szCs w:val="22"/>
    </w:rPr>
  </w:style>
  <w:style w:type="paragraph" w:customStyle="1" w:styleId="xl369">
    <w:name w:val="xl369"/>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b/>
      <w:bCs/>
      <w:sz w:val="22"/>
      <w:szCs w:val="22"/>
    </w:rPr>
  </w:style>
  <w:style w:type="paragraph" w:customStyle="1" w:styleId="xl370">
    <w:name w:val="xl370"/>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sz w:val="22"/>
      <w:szCs w:val="22"/>
    </w:rPr>
  </w:style>
  <w:style w:type="paragraph" w:customStyle="1" w:styleId="xl371">
    <w:name w:val="xl371"/>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b/>
      <w:bCs/>
      <w:sz w:val="22"/>
      <w:szCs w:val="22"/>
    </w:rPr>
  </w:style>
  <w:style w:type="paragraph" w:customStyle="1" w:styleId="xl372">
    <w:name w:val="xl372"/>
    <w:basedOn w:val="Normal"/>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sz w:val="22"/>
      <w:szCs w:val="22"/>
    </w:rPr>
  </w:style>
  <w:style w:type="paragraph" w:customStyle="1" w:styleId="xl373">
    <w:name w:val="xl373"/>
    <w:basedOn w:val="Normal"/>
    <w:pPr>
      <w:spacing w:before="100" w:beforeAutospacing="1" w:after="100" w:afterAutospacing="1" w:line="240" w:lineRule="auto"/>
    </w:pPr>
    <w:rPr>
      <w:b/>
      <w:bCs/>
      <w:sz w:val="22"/>
      <w:szCs w:val="22"/>
    </w:rPr>
  </w:style>
  <w:style w:type="paragraph" w:customStyle="1" w:styleId="NMTHEPDAY2">
    <w:name w:val="NM THEP DAY 2"/>
    <w:basedOn w:val="Normal"/>
    <w:qFormat/>
    <w:pPr>
      <w:spacing w:line="360" w:lineRule="exact"/>
      <w:outlineLvl w:val="1"/>
    </w:pPr>
    <w:rPr>
      <w:rFonts w:eastAsia="MS Mincho"/>
      <w:b/>
      <w:iCs/>
      <w:sz w:val="26"/>
      <w:lang w:val="nb-NO"/>
    </w:rPr>
  </w:style>
  <w:style w:type="paragraph" w:customStyle="1" w:styleId="bieudoML1">
    <w:name w:val="bieu do ML 1"/>
    <w:basedOn w:val="Normal"/>
    <w:qFormat/>
    <w:pPr>
      <w:spacing w:line="240" w:lineRule="auto"/>
      <w:jc w:val="center"/>
    </w:pPr>
    <w:rPr>
      <w:rFonts w:eastAsia="MS Mincho"/>
      <w:b/>
      <w:bCs/>
      <w:i/>
      <w:iCs/>
      <w:sz w:val="26"/>
      <w:szCs w:val="26"/>
    </w:rPr>
  </w:style>
  <w:style w:type="paragraph" w:customStyle="1" w:styleId="4B">
    <w:name w:val="4B"/>
    <w:basedOn w:val="Normal"/>
    <w:qFormat/>
    <w:pPr>
      <w:spacing w:line="360" w:lineRule="atLeast"/>
      <w:ind w:firstLine="540"/>
      <w:jc w:val="both"/>
    </w:pPr>
    <w:rPr>
      <w:b/>
      <w:i/>
      <w:sz w:val="26"/>
      <w:szCs w:val="26"/>
      <w:lang w:val="pt-BR"/>
    </w:rPr>
  </w:style>
  <w:style w:type="paragraph" w:customStyle="1" w:styleId="bb">
    <w:name w:val="bb"/>
    <w:basedOn w:val="Normal"/>
    <w:qFormat/>
    <w:pPr>
      <w:spacing w:before="120" w:after="120" w:line="240" w:lineRule="auto"/>
      <w:jc w:val="center"/>
    </w:pPr>
    <w:rPr>
      <w:rFonts w:eastAsia="Calibri"/>
      <w:b/>
      <w:sz w:val="26"/>
      <w:szCs w:val="26"/>
      <w:lang w:val="vi-VN"/>
    </w:rPr>
  </w:style>
  <w:style w:type="paragraph" w:customStyle="1" w:styleId="normal-p">
    <w:name w:val="normal-p"/>
    <w:basedOn w:val="Normal"/>
    <w:pPr>
      <w:spacing w:line="240" w:lineRule="auto"/>
      <w:jc w:val="both"/>
    </w:pPr>
    <w:rPr>
      <w:sz w:val="20"/>
      <w:szCs w:val="20"/>
    </w:rPr>
  </w:style>
  <w:style w:type="paragraph" w:customStyle="1" w:styleId="AA5">
    <w:name w:val="AA5"/>
    <w:basedOn w:val="Heading6"/>
    <w:qFormat/>
    <w:pPr>
      <w:widowControl w:val="0"/>
      <w:spacing w:before="0" w:after="0" w:line="360" w:lineRule="exact"/>
      <w:jc w:val="center"/>
    </w:pPr>
    <w:rPr>
      <w:bCs/>
      <w:sz w:val="26"/>
      <w:szCs w:val="26"/>
    </w:rPr>
  </w:style>
  <w:style w:type="character" w:customStyle="1" w:styleId="relative">
    <w:name w:val="relative"/>
    <w:basedOn w:val="DefaultParagraphFont"/>
  </w:style>
  <w:style w:type="paragraph" w:customStyle="1" w:styleId="leading-29px">
    <w:name w:val="leading-[29px]"/>
    <w:basedOn w:val="Normal"/>
    <w:pPr>
      <w:spacing w:before="100" w:beforeAutospacing="1" w:after="100" w:afterAutospacing="1" w:line="240" w:lineRule="auto"/>
    </w:pPr>
    <w:rPr>
      <w:sz w:val="24"/>
      <w:szCs w:val="24"/>
    </w:rPr>
  </w:style>
  <w:style w:type="character" w:customStyle="1" w:styleId="ms-1">
    <w:name w:val="ms-1"/>
    <w:basedOn w:val="DefaultParagraphFont"/>
  </w:style>
  <w:style w:type="character" w:customStyle="1" w:styleId="max-w-full">
    <w:name w:val="max-w-full"/>
    <w:basedOn w:val="DefaultParagraphFont"/>
  </w:style>
  <w:style w:type="character" w:customStyle="1" w:styleId="-me-1">
    <w:name w:val="-me-1"/>
    <w:basedOn w:val="DefaultParagraphFont"/>
  </w:style>
  <w:style w:type="paragraph" w:customStyle="1" w:styleId="aa1">
    <w:name w:val="aa1"/>
    <w:basedOn w:val="s1"/>
    <w:qFormat/>
  </w:style>
  <w:style w:type="paragraph" w:customStyle="1" w:styleId="-bac4">
    <w:name w:val="-bac 4"/>
    <w:basedOn w:val="-bac3"/>
    <w:qFormat/>
    <w:pPr>
      <w:ind w:firstLine="0"/>
      <w:jc w:val="center"/>
    </w:pPr>
    <w:rPr>
      <w:i w:val="0"/>
    </w:rPr>
  </w:style>
  <w:style w:type="paragraph" w:customStyle="1" w:styleId="Stylebac2Firstline125cm">
    <w:name w:val="Style bac 2 + First line:  1.25 cm"/>
    <w:basedOn w:val="bac2"/>
    <w:pPr>
      <w:ind w:firstLine="709"/>
    </w:pPr>
    <w:rPr>
      <w:bCs/>
      <w:szCs w:val="20"/>
    </w:rPr>
  </w:style>
  <w:style w:type="paragraph" w:customStyle="1" w:styleId="Stylebac2Firstline1cm">
    <w:name w:val="Style bac 2 + First line:  1 cm"/>
    <w:basedOn w:val="bac2"/>
    <w:rPr>
      <w:bCs/>
      <w:szCs w:val="20"/>
    </w:rPr>
  </w:style>
  <w:style w:type="paragraph" w:customStyle="1" w:styleId="StyleHeading4Char1Char11Char11CharHeading4CharCharCharC">
    <w:name w:val="Style Heading 4Char1Char11Char11 CharHeading 4 Char Char CharC..."/>
    <w:basedOn w:val="Heading4"/>
    <w:pPr>
      <w:spacing w:before="120" w:line="340" w:lineRule="exact"/>
      <w:ind w:firstLine="720"/>
    </w:pPr>
    <w:rPr>
      <w:rFonts w:asciiTheme="majorHAnsi" w:hAnsiTheme="majorHAnsi"/>
      <w:bCs/>
      <w:i/>
      <w:iCs/>
      <w:sz w:val="26"/>
    </w:rPr>
  </w:style>
  <w:style w:type="paragraph" w:customStyle="1" w:styleId="Style13ptBoldJustifiedBefore6ptCondensedby01pt">
    <w:name w:val="Style 13 pt Bold Justified Before:  6 pt Condensed by  0.1 pt ..."/>
    <w:basedOn w:val="Normal"/>
    <w:pPr>
      <w:spacing w:before="120" w:line="320" w:lineRule="exact"/>
      <w:ind w:firstLine="720"/>
      <w:jc w:val="both"/>
    </w:pPr>
    <w:rPr>
      <w:b/>
      <w:bCs/>
      <w:spacing w:val="-2"/>
      <w:sz w:val="26"/>
      <w:szCs w:val="20"/>
    </w:rPr>
  </w:style>
  <w:style w:type="paragraph" w:customStyle="1" w:styleId="StyleHeading4Char1Char11Char11CharHeading4CharCharCharC1">
    <w:name w:val="Style Heading 4Char1Char11Char11 CharHeading 4 Char Char CharC...1"/>
    <w:basedOn w:val="Heading4"/>
    <w:pPr>
      <w:spacing w:before="120" w:line="360" w:lineRule="exact"/>
      <w:ind w:firstLine="720"/>
    </w:pPr>
    <w:rPr>
      <w:rFonts w:asciiTheme="majorHAnsi" w:hAnsiTheme="majorHAnsi"/>
      <w:b w:val="0"/>
      <w:i/>
      <w:iCs/>
      <w:sz w:val="26"/>
    </w:rPr>
  </w:style>
  <w:style w:type="paragraph" w:customStyle="1" w:styleId="Style13ptBoldJustifiedCondensedby01ptLinespacing">
    <w:name w:val="Style 13 pt Bold Justified Condensed by  0.1 pt Line spacing:  ..."/>
    <w:basedOn w:val="Normal"/>
    <w:pPr>
      <w:spacing w:line="350" w:lineRule="exact"/>
      <w:ind w:firstLine="720"/>
      <w:jc w:val="both"/>
    </w:pPr>
    <w:rPr>
      <w:b/>
      <w:bCs/>
      <w:spacing w:val="-2"/>
      <w:sz w:val="26"/>
      <w:szCs w:val="20"/>
    </w:rPr>
  </w:style>
  <w:style w:type="paragraph" w:customStyle="1" w:styleId="Stylehd113ptAuto">
    <w:name w:val="Style hd1 + 13 pt Auto"/>
    <w:basedOn w:val="hd1"/>
    <w:pPr>
      <w:ind w:firstLine="720"/>
    </w:pPr>
    <w:rPr>
      <w:bCs/>
      <w:color w:val="auto"/>
      <w:sz w:val="26"/>
    </w:rPr>
  </w:style>
  <w:style w:type="character" w:customStyle="1" w:styleId="UnresolvedMention2">
    <w:name w:val="Unresolved Mention2"/>
    <w:basedOn w:val="DefaultParagraphFont"/>
    <w:uiPriority w:val="99"/>
    <w:semiHidden/>
    <w:unhideWhenUsed/>
    <w:rPr>
      <w:color w:val="605E5C"/>
      <w:shd w:val="clear" w:color="auto" w:fill="E1DFDD"/>
    </w:rPr>
  </w:style>
  <w:style w:type="character" w:customStyle="1" w:styleId="UnresolvedMention3">
    <w:name w:val="Unresolved Mention3"/>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0305">
      <w:bodyDiv w:val="1"/>
      <w:marLeft w:val="0"/>
      <w:marRight w:val="0"/>
      <w:marTop w:val="0"/>
      <w:marBottom w:val="0"/>
      <w:divBdr>
        <w:top w:val="none" w:sz="0" w:space="0" w:color="auto"/>
        <w:left w:val="none" w:sz="0" w:space="0" w:color="auto"/>
        <w:bottom w:val="none" w:sz="0" w:space="0" w:color="auto"/>
        <w:right w:val="none" w:sz="0" w:space="0" w:color="auto"/>
      </w:divBdr>
    </w:div>
    <w:div w:id="7292402">
      <w:bodyDiv w:val="1"/>
      <w:marLeft w:val="0"/>
      <w:marRight w:val="0"/>
      <w:marTop w:val="0"/>
      <w:marBottom w:val="0"/>
      <w:divBdr>
        <w:top w:val="none" w:sz="0" w:space="0" w:color="auto"/>
        <w:left w:val="none" w:sz="0" w:space="0" w:color="auto"/>
        <w:bottom w:val="none" w:sz="0" w:space="0" w:color="auto"/>
        <w:right w:val="none" w:sz="0" w:space="0" w:color="auto"/>
      </w:divBdr>
    </w:div>
    <w:div w:id="7831303">
      <w:bodyDiv w:val="1"/>
      <w:marLeft w:val="0"/>
      <w:marRight w:val="0"/>
      <w:marTop w:val="0"/>
      <w:marBottom w:val="0"/>
      <w:divBdr>
        <w:top w:val="none" w:sz="0" w:space="0" w:color="auto"/>
        <w:left w:val="none" w:sz="0" w:space="0" w:color="auto"/>
        <w:bottom w:val="none" w:sz="0" w:space="0" w:color="auto"/>
        <w:right w:val="none" w:sz="0" w:space="0" w:color="auto"/>
      </w:divBdr>
    </w:div>
    <w:div w:id="9452262">
      <w:bodyDiv w:val="1"/>
      <w:marLeft w:val="0"/>
      <w:marRight w:val="0"/>
      <w:marTop w:val="0"/>
      <w:marBottom w:val="0"/>
      <w:divBdr>
        <w:top w:val="none" w:sz="0" w:space="0" w:color="auto"/>
        <w:left w:val="none" w:sz="0" w:space="0" w:color="auto"/>
        <w:bottom w:val="none" w:sz="0" w:space="0" w:color="auto"/>
        <w:right w:val="none" w:sz="0" w:space="0" w:color="auto"/>
      </w:divBdr>
    </w:div>
    <w:div w:id="32076731">
      <w:bodyDiv w:val="1"/>
      <w:marLeft w:val="0"/>
      <w:marRight w:val="0"/>
      <w:marTop w:val="0"/>
      <w:marBottom w:val="0"/>
      <w:divBdr>
        <w:top w:val="none" w:sz="0" w:space="0" w:color="auto"/>
        <w:left w:val="none" w:sz="0" w:space="0" w:color="auto"/>
        <w:bottom w:val="none" w:sz="0" w:space="0" w:color="auto"/>
        <w:right w:val="none" w:sz="0" w:space="0" w:color="auto"/>
      </w:divBdr>
    </w:div>
    <w:div w:id="36050425">
      <w:bodyDiv w:val="1"/>
      <w:marLeft w:val="0"/>
      <w:marRight w:val="0"/>
      <w:marTop w:val="0"/>
      <w:marBottom w:val="0"/>
      <w:divBdr>
        <w:top w:val="none" w:sz="0" w:space="0" w:color="auto"/>
        <w:left w:val="none" w:sz="0" w:space="0" w:color="auto"/>
        <w:bottom w:val="none" w:sz="0" w:space="0" w:color="auto"/>
        <w:right w:val="none" w:sz="0" w:space="0" w:color="auto"/>
      </w:divBdr>
    </w:div>
    <w:div w:id="39868536">
      <w:bodyDiv w:val="1"/>
      <w:marLeft w:val="0"/>
      <w:marRight w:val="0"/>
      <w:marTop w:val="0"/>
      <w:marBottom w:val="0"/>
      <w:divBdr>
        <w:top w:val="none" w:sz="0" w:space="0" w:color="auto"/>
        <w:left w:val="none" w:sz="0" w:space="0" w:color="auto"/>
        <w:bottom w:val="none" w:sz="0" w:space="0" w:color="auto"/>
        <w:right w:val="none" w:sz="0" w:space="0" w:color="auto"/>
      </w:divBdr>
    </w:div>
    <w:div w:id="40788713">
      <w:bodyDiv w:val="1"/>
      <w:marLeft w:val="0"/>
      <w:marRight w:val="0"/>
      <w:marTop w:val="0"/>
      <w:marBottom w:val="0"/>
      <w:divBdr>
        <w:top w:val="none" w:sz="0" w:space="0" w:color="auto"/>
        <w:left w:val="none" w:sz="0" w:space="0" w:color="auto"/>
        <w:bottom w:val="none" w:sz="0" w:space="0" w:color="auto"/>
        <w:right w:val="none" w:sz="0" w:space="0" w:color="auto"/>
      </w:divBdr>
    </w:div>
    <w:div w:id="47727512">
      <w:bodyDiv w:val="1"/>
      <w:marLeft w:val="0"/>
      <w:marRight w:val="0"/>
      <w:marTop w:val="0"/>
      <w:marBottom w:val="0"/>
      <w:divBdr>
        <w:top w:val="none" w:sz="0" w:space="0" w:color="auto"/>
        <w:left w:val="none" w:sz="0" w:space="0" w:color="auto"/>
        <w:bottom w:val="none" w:sz="0" w:space="0" w:color="auto"/>
        <w:right w:val="none" w:sz="0" w:space="0" w:color="auto"/>
      </w:divBdr>
    </w:div>
    <w:div w:id="51199602">
      <w:bodyDiv w:val="1"/>
      <w:marLeft w:val="0"/>
      <w:marRight w:val="0"/>
      <w:marTop w:val="0"/>
      <w:marBottom w:val="0"/>
      <w:divBdr>
        <w:top w:val="none" w:sz="0" w:space="0" w:color="auto"/>
        <w:left w:val="none" w:sz="0" w:space="0" w:color="auto"/>
        <w:bottom w:val="none" w:sz="0" w:space="0" w:color="auto"/>
        <w:right w:val="none" w:sz="0" w:space="0" w:color="auto"/>
      </w:divBdr>
    </w:div>
    <w:div w:id="54479185">
      <w:bodyDiv w:val="1"/>
      <w:marLeft w:val="0"/>
      <w:marRight w:val="0"/>
      <w:marTop w:val="0"/>
      <w:marBottom w:val="0"/>
      <w:divBdr>
        <w:top w:val="none" w:sz="0" w:space="0" w:color="auto"/>
        <w:left w:val="none" w:sz="0" w:space="0" w:color="auto"/>
        <w:bottom w:val="none" w:sz="0" w:space="0" w:color="auto"/>
        <w:right w:val="none" w:sz="0" w:space="0" w:color="auto"/>
      </w:divBdr>
    </w:div>
    <w:div w:id="54741715">
      <w:bodyDiv w:val="1"/>
      <w:marLeft w:val="0"/>
      <w:marRight w:val="0"/>
      <w:marTop w:val="0"/>
      <w:marBottom w:val="0"/>
      <w:divBdr>
        <w:top w:val="none" w:sz="0" w:space="0" w:color="auto"/>
        <w:left w:val="none" w:sz="0" w:space="0" w:color="auto"/>
        <w:bottom w:val="none" w:sz="0" w:space="0" w:color="auto"/>
        <w:right w:val="none" w:sz="0" w:space="0" w:color="auto"/>
      </w:divBdr>
    </w:div>
    <w:div w:id="54937467">
      <w:bodyDiv w:val="1"/>
      <w:marLeft w:val="0"/>
      <w:marRight w:val="0"/>
      <w:marTop w:val="0"/>
      <w:marBottom w:val="0"/>
      <w:divBdr>
        <w:top w:val="none" w:sz="0" w:space="0" w:color="auto"/>
        <w:left w:val="none" w:sz="0" w:space="0" w:color="auto"/>
        <w:bottom w:val="none" w:sz="0" w:space="0" w:color="auto"/>
        <w:right w:val="none" w:sz="0" w:space="0" w:color="auto"/>
      </w:divBdr>
    </w:div>
    <w:div w:id="57483484">
      <w:bodyDiv w:val="1"/>
      <w:marLeft w:val="0"/>
      <w:marRight w:val="0"/>
      <w:marTop w:val="0"/>
      <w:marBottom w:val="0"/>
      <w:divBdr>
        <w:top w:val="none" w:sz="0" w:space="0" w:color="auto"/>
        <w:left w:val="none" w:sz="0" w:space="0" w:color="auto"/>
        <w:bottom w:val="none" w:sz="0" w:space="0" w:color="auto"/>
        <w:right w:val="none" w:sz="0" w:space="0" w:color="auto"/>
      </w:divBdr>
    </w:div>
    <w:div w:id="58330781">
      <w:bodyDiv w:val="1"/>
      <w:marLeft w:val="0"/>
      <w:marRight w:val="0"/>
      <w:marTop w:val="0"/>
      <w:marBottom w:val="0"/>
      <w:divBdr>
        <w:top w:val="none" w:sz="0" w:space="0" w:color="auto"/>
        <w:left w:val="none" w:sz="0" w:space="0" w:color="auto"/>
        <w:bottom w:val="none" w:sz="0" w:space="0" w:color="auto"/>
        <w:right w:val="none" w:sz="0" w:space="0" w:color="auto"/>
      </w:divBdr>
    </w:div>
    <w:div w:id="61105736">
      <w:bodyDiv w:val="1"/>
      <w:marLeft w:val="0"/>
      <w:marRight w:val="0"/>
      <w:marTop w:val="0"/>
      <w:marBottom w:val="0"/>
      <w:divBdr>
        <w:top w:val="none" w:sz="0" w:space="0" w:color="auto"/>
        <w:left w:val="none" w:sz="0" w:space="0" w:color="auto"/>
        <w:bottom w:val="none" w:sz="0" w:space="0" w:color="auto"/>
        <w:right w:val="none" w:sz="0" w:space="0" w:color="auto"/>
      </w:divBdr>
    </w:div>
    <w:div w:id="65422141">
      <w:bodyDiv w:val="1"/>
      <w:marLeft w:val="0"/>
      <w:marRight w:val="0"/>
      <w:marTop w:val="0"/>
      <w:marBottom w:val="0"/>
      <w:divBdr>
        <w:top w:val="none" w:sz="0" w:space="0" w:color="auto"/>
        <w:left w:val="none" w:sz="0" w:space="0" w:color="auto"/>
        <w:bottom w:val="none" w:sz="0" w:space="0" w:color="auto"/>
        <w:right w:val="none" w:sz="0" w:space="0" w:color="auto"/>
      </w:divBdr>
    </w:div>
    <w:div w:id="73095407">
      <w:bodyDiv w:val="1"/>
      <w:marLeft w:val="0"/>
      <w:marRight w:val="0"/>
      <w:marTop w:val="0"/>
      <w:marBottom w:val="0"/>
      <w:divBdr>
        <w:top w:val="none" w:sz="0" w:space="0" w:color="auto"/>
        <w:left w:val="none" w:sz="0" w:space="0" w:color="auto"/>
        <w:bottom w:val="none" w:sz="0" w:space="0" w:color="auto"/>
        <w:right w:val="none" w:sz="0" w:space="0" w:color="auto"/>
      </w:divBdr>
    </w:div>
    <w:div w:id="74473591">
      <w:bodyDiv w:val="1"/>
      <w:marLeft w:val="0"/>
      <w:marRight w:val="0"/>
      <w:marTop w:val="0"/>
      <w:marBottom w:val="0"/>
      <w:divBdr>
        <w:top w:val="none" w:sz="0" w:space="0" w:color="auto"/>
        <w:left w:val="none" w:sz="0" w:space="0" w:color="auto"/>
        <w:bottom w:val="none" w:sz="0" w:space="0" w:color="auto"/>
        <w:right w:val="none" w:sz="0" w:space="0" w:color="auto"/>
      </w:divBdr>
    </w:div>
    <w:div w:id="78521278">
      <w:bodyDiv w:val="1"/>
      <w:marLeft w:val="0"/>
      <w:marRight w:val="0"/>
      <w:marTop w:val="0"/>
      <w:marBottom w:val="0"/>
      <w:divBdr>
        <w:top w:val="none" w:sz="0" w:space="0" w:color="auto"/>
        <w:left w:val="none" w:sz="0" w:space="0" w:color="auto"/>
        <w:bottom w:val="none" w:sz="0" w:space="0" w:color="auto"/>
        <w:right w:val="none" w:sz="0" w:space="0" w:color="auto"/>
      </w:divBdr>
    </w:div>
    <w:div w:id="82650247">
      <w:bodyDiv w:val="1"/>
      <w:marLeft w:val="0"/>
      <w:marRight w:val="0"/>
      <w:marTop w:val="0"/>
      <w:marBottom w:val="0"/>
      <w:divBdr>
        <w:top w:val="none" w:sz="0" w:space="0" w:color="auto"/>
        <w:left w:val="none" w:sz="0" w:space="0" w:color="auto"/>
        <w:bottom w:val="none" w:sz="0" w:space="0" w:color="auto"/>
        <w:right w:val="none" w:sz="0" w:space="0" w:color="auto"/>
      </w:divBdr>
    </w:div>
    <w:div w:id="87428771">
      <w:bodyDiv w:val="1"/>
      <w:marLeft w:val="0"/>
      <w:marRight w:val="0"/>
      <w:marTop w:val="0"/>
      <w:marBottom w:val="0"/>
      <w:divBdr>
        <w:top w:val="none" w:sz="0" w:space="0" w:color="auto"/>
        <w:left w:val="none" w:sz="0" w:space="0" w:color="auto"/>
        <w:bottom w:val="none" w:sz="0" w:space="0" w:color="auto"/>
        <w:right w:val="none" w:sz="0" w:space="0" w:color="auto"/>
      </w:divBdr>
    </w:div>
    <w:div w:id="90273840">
      <w:bodyDiv w:val="1"/>
      <w:marLeft w:val="0"/>
      <w:marRight w:val="0"/>
      <w:marTop w:val="0"/>
      <w:marBottom w:val="0"/>
      <w:divBdr>
        <w:top w:val="none" w:sz="0" w:space="0" w:color="auto"/>
        <w:left w:val="none" w:sz="0" w:space="0" w:color="auto"/>
        <w:bottom w:val="none" w:sz="0" w:space="0" w:color="auto"/>
        <w:right w:val="none" w:sz="0" w:space="0" w:color="auto"/>
      </w:divBdr>
    </w:div>
    <w:div w:id="94056534">
      <w:bodyDiv w:val="1"/>
      <w:marLeft w:val="0"/>
      <w:marRight w:val="0"/>
      <w:marTop w:val="0"/>
      <w:marBottom w:val="0"/>
      <w:divBdr>
        <w:top w:val="none" w:sz="0" w:space="0" w:color="auto"/>
        <w:left w:val="none" w:sz="0" w:space="0" w:color="auto"/>
        <w:bottom w:val="none" w:sz="0" w:space="0" w:color="auto"/>
        <w:right w:val="none" w:sz="0" w:space="0" w:color="auto"/>
      </w:divBdr>
    </w:div>
    <w:div w:id="95053994">
      <w:bodyDiv w:val="1"/>
      <w:marLeft w:val="0"/>
      <w:marRight w:val="0"/>
      <w:marTop w:val="0"/>
      <w:marBottom w:val="0"/>
      <w:divBdr>
        <w:top w:val="none" w:sz="0" w:space="0" w:color="auto"/>
        <w:left w:val="none" w:sz="0" w:space="0" w:color="auto"/>
        <w:bottom w:val="none" w:sz="0" w:space="0" w:color="auto"/>
        <w:right w:val="none" w:sz="0" w:space="0" w:color="auto"/>
      </w:divBdr>
    </w:div>
    <w:div w:id="100491946">
      <w:bodyDiv w:val="1"/>
      <w:marLeft w:val="0"/>
      <w:marRight w:val="0"/>
      <w:marTop w:val="0"/>
      <w:marBottom w:val="0"/>
      <w:divBdr>
        <w:top w:val="none" w:sz="0" w:space="0" w:color="auto"/>
        <w:left w:val="none" w:sz="0" w:space="0" w:color="auto"/>
        <w:bottom w:val="none" w:sz="0" w:space="0" w:color="auto"/>
        <w:right w:val="none" w:sz="0" w:space="0" w:color="auto"/>
      </w:divBdr>
    </w:div>
    <w:div w:id="101849959">
      <w:bodyDiv w:val="1"/>
      <w:marLeft w:val="0"/>
      <w:marRight w:val="0"/>
      <w:marTop w:val="0"/>
      <w:marBottom w:val="0"/>
      <w:divBdr>
        <w:top w:val="none" w:sz="0" w:space="0" w:color="auto"/>
        <w:left w:val="none" w:sz="0" w:space="0" w:color="auto"/>
        <w:bottom w:val="none" w:sz="0" w:space="0" w:color="auto"/>
        <w:right w:val="none" w:sz="0" w:space="0" w:color="auto"/>
      </w:divBdr>
    </w:div>
    <w:div w:id="104234790">
      <w:bodyDiv w:val="1"/>
      <w:marLeft w:val="0"/>
      <w:marRight w:val="0"/>
      <w:marTop w:val="0"/>
      <w:marBottom w:val="0"/>
      <w:divBdr>
        <w:top w:val="none" w:sz="0" w:space="0" w:color="auto"/>
        <w:left w:val="none" w:sz="0" w:space="0" w:color="auto"/>
        <w:bottom w:val="none" w:sz="0" w:space="0" w:color="auto"/>
        <w:right w:val="none" w:sz="0" w:space="0" w:color="auto"/>
      </w:divBdr>
    </w:div>
    <w:div w:id="106314528">
      <w:bodyDiv w:val="1"/>
      <w:marLeft w:val="0"/>
      <w:marRight w:val="0"/>
      <w:marTop w:val="0"/>
      <w:marBottom w:val="0"/>
      <w:divBdr>
        <w:top w:val="none" w:sz="0" w:space="0" w:color="auto"/>
        <w:left w:val="none" w:sz="0" w:space="0" w:color="auto"/>
        <w:bottom w:val="none" w:sz="0" w:space="0" w:color="auto"/>
        <w:right w:val="none" w:sz="0" w:space="0" w:color="auto"/>
      </w:divBdr>
    </w:div>
    <w:div w:id="109473596">
      <w:bodyDiv w:val="1"/>
      <w:marLeft w:val="0"/>
      <w:marRight w:val="0"/>
      <w:marTop w:val="0"/>
      <w:marBottom w:val="0"/>
      <w:divBdr>
        <w:top w:val="none" w:sz="0" w:space="0" w:color="auto"/>
        <w:left w:val="none" w:sz="0" w:space="0" w:color="auto"/>
        <w:bottom w:val="none" w:sz="0" w:space="0" w:color="auto"/>
        <w:right w:val="none" w:sz="0" w:space="0" w:color="auto"/>
      </w:divBdr>
    </w:div>
    <w:div w:id="123013177">
      <w:bodyDiv w:val="1"/>
      <w:marLeft w:val="0"/>
      <w:marRight w:val="0"/>
      <w:marTop w:val="0"/>
      <w:marBottom w:val="0"/>
      <w:divBdr>
        <w:top w:val="none" w:sz="0" w:space="0" w:color="auto"/>
        <w:left w:val="none" w:sz="0" w:space="0" w:color="auto"/>
        <w:bottom w:val="none" w:sz="0" w:space="0" w:color="auto"/>
        <w:right w:val="none" w:sz="0" w:space="0" w:color="auto"/>
      </w:divBdr>
    </w:div>
    <w:div w:id="129521083">
      <w:bodyDiv w:val="1"/>
      <w:marLeft w:val="0"/>
      <w:marRight w:val="0"/>
      <w:marTop w:val="0"/>
      <w:marBottom w:val="0"/>
      <w:divBdr>
        <w:top w:val="none" w:sz="0" w:space="0" w:color="auto"/>
        <w:left w:val="none" w:sz="0" w:space="0" w:color="auto"/>
        <w:bottom w:val="none" w:sz="0" w:space="0" w:color="auto"/>
        <w:right w:val="none" w:sz="0" w:space="0" w:color="auto"/>
      </w:divBdr>
    </w:div>
    <w:div w:id="134227685">
      <w:bodyDiv w:val="1"/>
      <w:marLeft w:val="0"/>
      <w:marRight w:val="0"/>
      <w:marTop w:val="0"/>
      <w:marBottom w:val="0"/>
      <w:divBdr>
        <w:top w:val="none" w:sz="0" w:space="0" w:color="auto"/>
        <w:left w:val="none" w:sz="0" w:space="0" w:color="auto"/>
        <w:bottom w:val="none" w:sz="0" w:space="0" w:color="auto"/>
        <w:right w:val="none" w:sz="0" w:space="0" w:color="auto"/>
      </w:divBdr>
    </w:div>
    <w:div w:id="136535438">
      <w:bodyDiv w:val="1"/>
      <w:marLeft w:val="0"/>
      <w:marRight w:val="0"/>
      <w:marTop w:val="0"/>
      <w:marBottom w:val="0"/>
      <w:divBdr>
        <w:top w:val="none" w:sz="0" w:space="0" w:color="auto"/>
        <w:left w:val="none" w:sz="0" w:space="0" w:color="auto"/>
        <w:bottom w:val="none" w:sz="0" w:space="0" w:color="auto"/>
        <w:right w:val="none" w:sz="0" w:space="0" w:color="auto"/>
      </w:divBdr>
    </w:div>
    <w:div w:id="142084298">
      <w:bodyDiv w:val="1"/>
      <w:marLeft w:val="0"/>
      <w:marRight w:val="0"/>
      <w:marTop w:val="0"/>
      <w:marBottom w:val="0"/>
      <w:divBdr>
        <w:top w:val="none" w:sz="0" w:space="0" w:color="auto"/>
        <w:left w:val="none" w:sz="0" w:space="0" w:color="auto"/>
        <w:bottom w:val="none" w:sz="0" w:space="0" w:color="auto"/>
        <w:right w:val="none" w:sz="0" w:space="0" w:color="auto"/>
      </w:divBdr>
    </w:div>
    <w:div w:id="143934412">
      <w:bodyDiv w:val="1"/>
      <w:marLeft w:val="0"/>
      <w:marRight w:val="0"/>
      <w:marTop w:val="0"/>
      <w:marBottom w:val="0"/>
      <w:divBdr>
        <w:top w:val="none" w:sz="0" w:space="0" w:color="auto"/>
        <w:left w:val="none" w:sz="0" w:space="0" w:color="auto"/>
        <w:bottom w:val="none" w:sz="0" w:space="0" w:color="auto"/>
        <w:right w:val="none" w:sz="0" w:space="0" w:color="auto"/>
      </w:divBdr>
    </w:div>
    <w:div w:id="146439192">
      <w:bodyDiv w:val="1"/>
      <w:marLeft w:val="0"/>
      <w:marRight w:val="0"/>
      <w:marTop w:val="0"/>
      <w:marBottom w:val="0"/>
      <w:divBdr>
        <w:top w:val="none" w:sz="0" w:space="0" w:color="auto"/>
        <w:left w:val="none" w:sz="0" w:space="0" w:color="auto"/>
        <w:bottom w:val="none" w:sz="0" w:space="0" w:color="auto"/>
        <w:right w:val="none" w:sz="0" w:space="0" w:color="auto"/>
      </w:divBdr>
    </w:div>
    <w:div w:id="151797409">
      <w:bodyDiv w:val="1"/>
      <w:marLeft w:val="0"/>
      <w:marRight w:val="0"/>
      <w:marTop w:val="0"/>
      <w:marBottom w:val="0"/>
      <w:divBdr>
        <w:top w:val="none" w:sz="0" w:space="0" w:color="auto"/>
        <w:left w:val="none" w:sz="0" w:space="0" w:color="auto"/>
        <w:bottom w:val="none" w:sz="0" w:space="0" w:color="auto"/>
        <w:right w:val="none" w:sz="0" w:space="0" w:color="auto"/>
      </w:divBdr>
    </w:div>
    <w:div w:id="152333867">
      <w:bodyDiv w:val="1"/>
      <w:marLeft w:val="0"/>
      <w:marRight w:val="0"/>
      <w:marTop w:val="0"/>
      <w:marBottom w:val="0"/>
      <w:divBdr>
        <w:top w:val="none" w:sz="0" w:space="0" w:color="auto"/>
        <w:left w:val="none" w:sz="0" w:space="0" w:color="auto"/>
        <w:bottom w:val="none" w:sz="0" w:space="0" w:color="auto"/>
        <w:right w:val="none" w:sz="0" w:space="0" w:color="auto"/>
      </w:divBdr>
    </w:div>
    <w:div w:id="153684079">
      <w:bodyDiv w:val="1"/>
      <w:marLeft w:val="0"/>
      <w:marRight w:val="0"/>
      <w:marTop w:val="0"/>
      <w:marBottom w:val="0"/>
      <w:divBdr>
        <w:top w:val="none" w:sz="0" w:space="0" w:color="auto"/>
        <w:left w:val="none" w:sz="0" w:space="0" w:color="auto"/>
        <w:bottom w:val="none" w:sz="0" w:space="0" w:color="auto"/>
        <w:right w:val="none" w:sz="0" w:space="0" w:color="auto"/>
      </w:divBdr>
    </w:div>
    <w:div w:id="155077501">
      <w:bodyDiv w:val="1"/>
      <w:marLeft w:val="0"/>
      <w:marRight w:val="0"/>
      <w:marTop w:val="0"/>
      <w:marBottom w:val="0"/>
      <w:divBdr>
        <w:top w:val="none" w:sz="0" w:space="0" w:color="auto"/>
        <w:left w:val="none" w:sz="0" w:space="0" w:color="auto"/>
        <w:bottom w:val="none" w:sz="0" w:space="0" w:color="auto"/>
        <w:right w:val="none" w:sz="0" w:space="0" w:color="auto"/>
      </w:divBdr>
    </w:div>
    <w:div w:id="159856031">
      <w:bodyDiv w:val="1"/>
      <w:marLeft w:val="0"/>
      <w:marRight w:val="0"/>
      <w:marTop w:val="0"/>
      <w:marBottom w:val="0"/>
      <w:divBdr>
        <w:top w:val="none" w:sz="0" w:space="0" w:color="auto"/>
        <w:left w:val="none" w:sz="0" w:space="0" w:color="auto"/>
        <w:bottom w:val="none" w:sz="0" w:space="0" w:color="auto"/>
        <w:right w:val="none" w:sz="0" w:space="0" w:color="auto"/>
      </w:divBdr>
    </w:div>
    <w:div w:id="172033314">
      <w:bodyDiv w:val="1"/>
      <w:marLeft w:val="0"/>
      <w:marRight w:val="0"/>
      <w:marTop w:val="0"/>
      <w:marBottom w:val="0"/>
      <w:divBdr>
        <w:top w:val="none" w:sz="0" w:space="0" w:color="auto"/>
        <w:left w:val="none" w:sz="0" w:space="0" w:color="auto"/>
        <w:bottom w:val="none" w:sz="0" w:space="0" w:color="auto"/>
        <w:right w:val="none" w:sz="0" w:space="0" w:color="auto"/>
      </w:divBdr>
    </w:div>
    <w:div w:id="174541831">
      <w:bodyDiv w:val="1"/>
      <w:marLeft w:val="0"/>
      <w:marRight w:val="0"/>
      <w:marTop w:val="0"/>
      <w:marBottom w:val="0"/>
      <w:divBdr>
        <w:top w:val="none" w:sz="0" w:space="0" w:color="auto"/>
        <w:left w:val="none" w:sz="0" w:space="0" w:color="auto"/>
        <w:bottom w:val="none" w:sz="0" w:space="0" w:color="auto"/>
        <w:right w:val="none" w:sz="0" w:space="0" w:color="auto"/>
      </w:divBdr>
    </w:div>
    <w:div w:id="184712617">
      <w:bodyDiv w:val="1"/>
      <w:marLeft w:val="0"/>
      <w:marRight w:val="0"/>
      <w:marTop w:val="0"/>
      <w:marBottom w:val="0"/>
      <w:divBdr>
        <w:top w:val="none" w:sz="0" w:space="0" w:color="auto"/>
        <w:left w:val="none" w:sz="0" w:space="0" w:color="auto"/>
        <w:bottom w:val="none" w:sz="0" w:space="0" w:color="auto"/>
        <w:right w:val="none" w:sz="0" w:space="0" w:color="auto"/>
      </w:divBdr>
    </w:div>
    <w:div w:id="198711222">
      <w:bodyDiv w:val="1"/>
      <w:marLeft w:val="0"/>
      <w:marRight w:val="0"/>
      <w:marTop w:val="0"/>
      <w:marBottom w:val="0"/>
      <w:divBdr>
        <w:top w:val="none" w:sz="0" w:space="0" w:color="auto"/>
        <w:left w:val="none" w:sz="0" w:space="0" w:color="auto"/>
        <w:bottom w:val="none" w:sz="0" w:space="0" w:color="auto"/>
        <w:right w:val="none" w:sz="0" w:space="0" w:color="auto"/>
      </w:divBdr>
    </w:div>
    <w:div w:id="200018919">
      <w:bodyDiv w:val="1"/>
      <w:marLeft w:val="0"/>
      <w:marRight w:val="0"/>
      <w:marTop w:val="0"/>
      <w:marBottom w:val="0"/>
      <w:divBdr>
        <w:top w:val="none" w:sz="0" w:space="0" w:color="auto"/>
        <w:left w:val="none" w:sz="0" w:space="0" w:color="auto"/>
        <w:bottom w:val="none" w:sz="0" w:space="0" w:color="auto"/>
        <w:right w:val="none" w:sz="0" w:space="0" w:color="auto"/>
      </w:divBdr>
    </w:div>
    <w:div w:id="204029474">
      <w:bodyDiv w:val="1"/>
      <w:marLeft w:val="0"/>
      <w:marRight w:val="0"/>
      <w:marTop w:val="0"/>
      <w:marBottom w:val="0"/>
      <w:divBdr>
        <w:top w:val="none" w:sz="0" w:space="0" w:color="auto"/>
        <w:left w:val="none" w:sz="0" w:space="0" w:color="auto"/>
        <w:bottom w:val="none" w:sz="0" w:space="0" w:color="auto"/>
        <w:right w:val="none" w:sz="0" w:space="0" w:color="auto"/>
      </w:divBdr>
    </w:div>
    <w:div w:id="207766535">
      <w:marLeft w:val="0"/>
      <w:marRight w:val="0"/>
      <w:marTop w:val="0"/>
      <w:marBottom w:val="0"/>
      <w:divBdr>
        <w:top w:val="none" w:sz="0" w:space="0" w:color="auto"/>
        <w:left w:val="none" w:sz="0" w:space="0" w:color="auto"/>
        <w:bottom w:val="none" w:sz="0" w:space="0" w:color="auto"/>
        <w:right w:val="none" w:sz="0" w:space="0" w:color="auto"/>
      </w:divBdr>
    </w:div>
    <w:div w:id="207766536">
      <w:marLeft w:val="0"/>
      <w:marRight w:val="0"/>
      <w:marTop w:val="0"/>
      <w:marBottom w:val="0"/>
      <w:divBdr>
        <w:top w:val="none" w:sz="0" w:space="0" w:color="auto"/>
        <w:left w:val="none" w:sz="0" w:space="0" w:color="auto"/>
        <w:bottom w:val="none" w:sz="0" w:space="0" w:color="auto"/>
        <w:right w:val="none" w:sz="0" w:space="0" w:color="auto"/>
      </w:divBdr>
    </w:div>
    <w:div w:id="207766537">
      <w:marLeft w:val="0"/>
      <w:marRight w:val="0"/>
      <w:marTop w:val="0"/>
      <w:marBottom w:val="0"/>
      <w:divBdr>
        <w:top w:val="none" w:sz="0" w:space="0" w:color="auto"/>
        <w:left w:val="none" w:sz="0" w:space="0" w:color="auto"/>
        <w:bottom w:val="none" w:sz="0" w:space="0" w:color="auto"/>
        <w:right w:val="none" w:sz="0" w:space="0" w:color="auto"/>
      </w:divBdr>
    </w:div>
    <w:div w:id="207766539">
      <w:marLeft w:val="0"/>
      <w:marRight w:val="0"/>
      <w:marTop w:val="0"/>
      <w:marBottom w:val="0"/>
      <w:divBdr>
        <w:top w:val="none" w:sz="0" w:space="0" w:color="auto"/>
        <w:left w:val="none" w:sz="0" w:space="0" w:color="auto"/>
        <w:bottom w:val="none" w:sz="0" w:space="0" w:color="auto"/>
        <w:right w:val="none" w:sz="0" w:space="0" w:color="auto"/>
      </w:divBdr>
    </w:div>
    <w:div w:id="207766540">
      <w:marLeft w:val="0"/>
      <w:marRight w:val="0"/>
      <w:marTop w:val="0"/>
      <w:marBottom w:val="0"/>
      <w:divBdr>
        <w:top w:val="none" w:sz="0" w:space="0" w:color="auto"/>
        <w:left w:val="none" w:sz="0" w:space="0" w:color="auto"/>
        <w:bottom w:val="none" w:sz="0" w:space="0" w:color="auto"/>
        <w:right w:val="none" w:sz="0" w:space="0" w:color="auto"/>
      </w:divBdr>
    </w:div>
    <w:div w:id="207766541">
      <w:marLeft w:val="0"/>
      <w:marRight w:val="0"/>
      <w:marTop w:val="0"/>
      <w:marBottom w:val="0"/>
      <w:divBdr>
        <w:top w:val="none" w:sz="0" w:space="0" w:color="auto"/>
        <w:left w:val="none" w:sz="0" w:space="0" w:color="auto"/>
        <w:bottom w:val="none" w:sz="0" w:space="0" w:color="auto"/>
        <w:right w:val="none" w:sz="0" w:space="0" w:color="auto"/>
      </w:divBdr>
    </w:div>
    <w:div w:id="207766542">
      <w:marLeft w:val="0"/>
      <w:marRight w:val="0"/>
      <w:marTop w:val="0"/>
      <w:marBottom w:val="0"/>
      <w:divBdr>
        <w:top w:val="none" w:sz="0" w:space="0" w:color="auto"/>
        <w:left w:val="none" w:sz="0" w:space="0" w:color="auto"/>
        <w:bottom w:val="none" w:sz="0" w:space="0" w:color="auto"/>
        <w:right w:val="none" w:sz="0" w:space="0" w:color="auto"/>
      </w:divBdr>
    </w:div>
    <w:div w:id="207766543">
      <w:marLeft w:val="0"/>
      <w:marRight w:val="0"/>
      <w:marTop w:val="0"/>
      <w:marBottom w:val="0"/>
      <w:divBdr>
        <w:top w:val="none" w:sz="0" w:space="0" w:color="auto"/>
        <w:left w:val="none" w:sz="0" w:space="0" w:color="auto"/>
        <w:bottom w:val="none" w:sz="0" w:space="0" w:color="auto"/>
        <w:right w:val="none" w:sz="0" w:space="0" w:color="auto"/>
      </w:divBdr>
    </w:div>
    <w:div w:id="207766544">
      <w:marLeft w:val="0"/>
      <w:marRight w:val="0"/>
      <w:marTop w:val="0"/>
      <w:marBottom w:val="0"/>
      <w:divBdr>
        <w:top w:val="none" w:sz="0" w:space="0" w:color="auto"/>
        <w:left w:val="none" w:sz="0" w:space="0" w:color="auto"/>
        <w:bottom w:val="none" w:sz="0" w:space="0" w:color="auto"/>
        <w:right w:val="none" w:sz="0" w:space="0" w:color="auto"/>
      </w:divBdr>
    </w:div>
    <w:div w:id="207766545">
      <w:marLeft w:val="0"/>
      <w:marRight w:val="0"/>
      <w:marTop w:val="0"/>
      <w:marBottom w:val="0"/>
      <w:divBdr>
        <w:top w:val="none" w:sz="0" w:space="0" w:color="auto"/>
        <w:left w:val="none" w:sz="0" w:space="0" w:color="auto"/>
        <w:bottom w:val="none" w:sz="0" w:space="0" w:color="auto"/>
        <w:right w:val="none" w:sz="0" w:space="0" w:color="auto"/>
      </w:divBdr>
    </w:div>
    <w:div w:id="207766546">
      <w:marLeft w:val="0"/>
      <w:marRight w:val="0"/>
      <w:marTop w:val="0"/>
      <w:marBottom w:val="0"/>
      <w:divBdr>
        <w:top w:val="none" w:sz="0" w:space="0" w:color="auto"/>
        <w:left w:val="none" w:sz="0" w:space="0" w:color="auto"/>
        <w:bottom w:val="none" w:sz="0" w:space="0" w:color="auto"/>
        <w:right w:val="none" w:sz="0" w:space="0" w:color="auto"/>
      </w:divBdr>
    </w:div>
    <w:div w:id="207766547">
      <w:marLeft w:val="0"/>
      <w:marRight w:val="0"/>
      <w:marTop w:val="0"/>
      <w:marBottom w:val="0"/>
      <w:divBdr>
        <w:top w:val="none" w:sz="0" w:space="0" w:color="auto"/>
        <w:left w:val="none" w:sz="0" w:space="0" w:color="auto"/>
        <w:bottom w:val="none" w:sz="0" w:space="0" w:color="auto"/>
        <w:right w:val="none" w:sz="0" w:space="0" w:color="auto"/>
      </w:divBdr>
      <w:divsChild>
        <w:div w:id="207766538">
          <w:marLeft w:val="0"/>
          <w:marRight w:val="0"/>
          <w:marTop w:val="60"/>
          <w:marBottom w:val="0"/>
          <w:divBdr>
            <w:top w:val="none" w:sz="0" w:space="0" w:color="auto"/>
            <w:left w:val="none" w:sz="0" w:space="0" w:color="auto"/>
            <w:bottom w:val="none" w:sz="0" w:space="0" w:color="auto"/>
            <w:right w:val="none" w:sz="0" w:space="0" w:color="auto"/>
          </w:divBdr>
        </w:div>
        <w:div w:id="207766548">
          <w:marLeft w:val="0"/>
          <w:marRight w:val="0"/>
          <w:marTop w:val="60"/>
          <w:marBottom w:val="0"/>
          <w:divBdr>
            <w:top w:val="none" w:sz="0" w:space="0" w:color="auto"/>
            <w:left w:val="none" w:sz="0" w:space="0" w:color="auto"/>
            <w:bottom w:val="none" w:sz="0" w:space="0" w:color="auto"/>
            <w:right w:val="none" w:sz="0" w:space="0" w:color="auto"/>
          </w:divBdr>
        </w:div>
        <w:div w:id="207766552">
          <w:marLeft w:val="0"/>
          <w:marRight w:val="0"/>
          <w:marTop w:val="60"/>
          <w:marBottom w:val="0"/>
          <w:divBdr>
            <w:top w:val="none" w:sz="0" w:space="0" w:color="auto"/>
            <w:left w:val="none" w:sz="0" w:space="0" w:color="auto"/>
            <w:bottom w:val="none" w:sz="0" w:space="0" w:color="auto"/>
            <w:right w:val="none" w:sz="0" w:space="0" w:color="auto"/>
          </w:divBdr>
        </w:div>
        <w:div w:id="207766553">
          <w:marLeft w:val="0"/>
          <w:marRight w:val="0"/>
          <w:marTop w:val="60"/>
          <w:marBottom w:val="0"/>
          <w:divBdr>
            <w:top w:val="none" w:sz="0" w:space="0" w:color="auto"/>
            <w:left w:val="none" w:sz="0" w:space="0" w:color="auto"/>
            <w:bottom w:val="none" w:sz="0" w:space="0" w:color="auto"/>
            <w:right w:val="none" w:sz="0" w:space="0" w:color="auto"/>
          </w:divBdr>
        </w:div>
      </w:divsChild>
    </w:div>
    <w:div w:id="207766549">
      <w:marLeft w:val="0"/>
      <w:marRight w:val="0"/>
      <w:marTop w:val="0"/>
      <w:marBottom w:val="0"/>
      <w:divBdr>
        <w:top w:val="none" w:sz="0" w:space="0" w:color="auto"/>
        <w:left w:val="none" w:sz="0" w:space="0" w:color="auto"/>
        <w:bottom w:val="none" w:sz="0" w:space="0" w:color="auto"/>
        <w:right w:val="none" w:sz="0" w:space="0" w:color="auto"/>
      </w:divBdr>
    </w:div>
    <w:div w:id="207766550">
      <w:marLeft w:val="0"/>
      <w:marRight w:val="0"/>
      <w:marTop w:val="0"/>
      <w:marBottom w:val="0"/>
      <w:divBdr>
        <w:top w:val="none" w:sz="0" w:space="0" w:color="auto"/>
        <w:left w:val="none" w:sz="0" w:space="0" w:color="auto"/>
        <w:bottom w:val="none" w:sz="0" w:space="0" w:color="auto"/>
        <w:right w:val="none" w:sz="0" w:space="0" w:color="auto"/>
      </w:divBdr>
    </w:div>
    <w:div w:id="207766551">
      <w:marLeft w:val="0"/>
      <w:marRight w:val="0"/>
      <w:marTop w:val="0"/>
      <w:marBottom w:val="0"/>
      <w:divBdr>
        <w:top w:val="none" w:sz="0" w:space="0" w:color="auto"/>
        <w:left w:val="none" w:sz="0" w:space="0" w:color="auto"/>
        <w:bottom w:val="none" w:sz="0" w:space="0" w:color="auto"/>
        <w:right w:val="none" w:sz="0" w:space="0" w:color="auto"/>
      </w:divBdr>
    </w:div>
    <w:div w:id="207766554">
      <w:marLeft w:val="0"/>
      <w:marRight w:val="0"/>
      <w:marTop w:val="0"/>
      <w:marBottom w:val="0"/>
      <w:divBdr>
        <w:top w:val="none" w:sz="0" w:space="0" w:color="auto"/>
        <w:left w:val="none" w:sz="0" w:space="0" w:color="auto"/>
        <w:bottom w:val="none" w:sz="0" w:space="0" w:color="auto"/>
        <w:right w:val="none" w:sz="0" w:space="0" w:color="auto"/>
      </w:divBdr>
    </w:div>
    <w:div w:id="207766555">
      <w:marLeft w:val="0"/>
      <w:marRight w:val="0"/>
      <w:marTop w:val="0"/>
      <w:marBottom w:val="0"/>
      <w:divBdr>
        <w:top w:val="none" w:sz="0" w:space="0" w:color="auto"/>
        <w:left w:val="none" w:sz="0" w:space="0" w:color="auto"/>
        <w:bottom w:val="none" w:sz="0" w:space="0" w:color="auto"/>
        <w:right w:val="none" w:sz="0" w:space="0" w:color="auto"/>
      </w:divBdr>
    </w:div>
    <w:div w:id="209004803">
      <w:bodyDiv w:val="1"/>
      <w:marLeft w:val="0"/>
      <w:marRight w:val="0"/>
      <w:marTop w:val="0"/>
      <w:marBottom w:val="0"/>
      <w:divBdr>
        <w:top w:val="none" w:sz="0" w:space="0" w:color="auto"/>
        <w:left w:val="none" w:sz="0" w:space="0" w:color="auto"/>
        <w:bottom w:val="none" w:sz="0" w:space="0" w:color="auto"/>
        <w:right w:val="none" w:sz="0" w:space="0" w:color="auto"/>
      </w:divBdr>
    </w:div>
    <w:div w:id="209655494">
      <w:bodyDiv w:val="1"/>
      <w:marLeft w:val="0"/>
      <w:marRight w:val="0"/>
      <w:marTop w:val="0"/>
      <w:marBottom w:val="0"/>
      <w:divBdr>
        <w:top w:val="none" w:sz="0" w:space="0" w:color="auto"/>
        <w:left w:val="none" w:sz="0" w:space="0" w:color="auto"/>
        <w:bottom w:val="none" w:sz="0" w:space="0" w:color="auto"/>
        <w:right w:val="none" w:sz="0" w:space="0" w:color="auto"/>
      </w:divBdr>
    </w:div>
    <w:div w:id="211112743">
      <w:bodyDiv w:val="1"/>
      <w:marLeft w:val="0"/>
      <w:marRight w:val="0"/>
      <w:marTop w:val="0"/>
      <w:marBottom w:val="0"/>
      <w:divBdr>
        <w:top w:val="none" w:sz="0" w:space="0" w:color="auto"/>
        <w:left w:val="none" w:sz="0" w:space="0" w:color="auto"/>
        <w:bottom w:val="none" w:sz="0" w:space="0" w:color="auto"/>
        <w:right w:val="none" w:sz="0" w:space="0" w:color="auto"/>
      </w:divBdr>
    </w:div>
    <w:div w:id="213083582">
      <w:bodyDiv w:val="1"/>
      <w:marLeft w:val="0"/>
      <w:marRight w:val="0"/>
      <w:marTop w:val="0"/>
      <w:marBottom w:val="0"/>
      <w:divBdr>
        <w:top w:val="none" w:sz="0" w:space="0" w:color="auto"/>
        <w:left w:val="none" w:sz="0" w:space="0" w:color="auto"/>
        <w:bottom w:val="none" w:sz="0" w:space="0" w:color="auto"/>
        <w:right w:val="none" w:sz="0" w:space="0" w:color="auto"/>
      </w:divBdr>
    </w:div>
    <w:div w:id="219757389">
      <w:bodyDiv w:val="1"/>
      <w:marLeft w:val="0"/>
      <w:marRight w:val="0"/>
      <w:marTop w:val="0"/>
      <w:marBottom w:val="0"/>
      <w:divBdr>
        <w:top w:val="none" w:sz="0" w:space="0" w:color="auto"/>
        <w:left w:val="none" w:sz="0" w:space="0" w:color="auto"/>
        <w:bottom w:val="none" w:sz="0" w:space="0" w:color="auto"/>
        <w:right w:val="none" w:sz="0" w:space="0" w:color="auto"/>
      </w:divBdr>
    </w:div>
    <w:div w:id="222133562">
      <w:bodyDiv w:val="1"/>
      <w:marLeft w:val="0"/>
      <w:marRight w:val="0"/>
      <w:marTop w:val="0"/>
      <w:marBottom w:val="0"/>
      <w:divBdr>
        <w:top w:val="none" w:sz="0" w:space="0" w:color="auto"/>
        <w:left w:val="none" w:sz="0" w:space="0" w:color="auto"/>
        <w:bottom w:val="none" w:sz="0" w:space="0" w:color="auto"/>
        <w:right w:val="none" w:sz="0" w:space="0" w:color="auto"/>
      </w:divBdr>
    </w:div>
    <w:div w:id="224412713">
      <w:bodyDiv w:val="1"/>
      <w:marLeft w:val="0"/>
      <w:marRight w:val="0"/>
      <w:marTop w:val="0"/>
      <w:marBottom w:val="0"/>
      <w:divBdr>
        <w:top w:val="none" w:sz="0" w:space="0" w:color="auto"/>
        <w:left w:val="none" w:sz="0" w:space="0" w:color="auto"/>
        <w:bottom w:val="none" w:sz="0" w:space="0" w:color="auto"/>
        <w:right w:val="none" w:sz="0" w:space="0" w:color="auto"/>
      </w:divBdr>
    </w:div>
    <w:div w:id="226261285">
      <w:bodyDiv w:val="1"/>
      <w:marLeft w:val="0"/>
      <w:marRight w:val="0"/>
      <w:marTop w:val="0"/>
      <w:marBottom w:val="0"/>
      <w:divBdr>
        <w:top w:val="none" w:sz="0" w:space="0" w:color="auto"/>
        <w:left w:val="none" w:sz="0" w:space="0" w:color="auto"/>
        <w:bottom w:val="none" w:sz="0" w:space="0" w:color="auto"/>
        <w:right w:val="none" w:sz="0" w:space="0" w:color="auto"/>
      </w:divBdr>
    </w:div>
    <w:div w:id="231892240">
      <w:bodyDiv w:val="1"/>
      <w:marLeft w:val="0"/>
      <w:marRight w:val="0"/>
      <w:marTop w:val="0"/>
      <w:marBottom w:val="0"/>
      <w:divBdr>
        <w:top w:val="none" w:sz="0" w:space="0" w:color="auto"/>
        <w:left w:val="none" w:sz="0" w:space="0" w:color="auto"/>
        <w:bottom w:val="none" w:sz="0" w:space="0" w:color="auto"/>
        <w:right w:val="none" w:sz="0" w:space="0" w:color="auto"/>
      </w:divBdr>
    </w:div>
    <w:div w:id="238444384">
      <w:bodyDiv w:val="1"/>
      <w:marLeft w:val="0"/>
      <w:marRight w:val="0"/>
      <w:marTop w:val="0"/>
      <w:marBottom w:val="0"/>
      <w:divBdr>
        <w:top w:val="none" w:sz="0" w:space="0" w:color="auto"/>
        <w:left w:val="none" w:sz="0" w:space="0" w:color="auto"/>
        <w:bottom w:val="none" w:sz="0" w:space="0" w:color="auto"/>
        <w:right w:val="none" w:sz="0" w:space="0" w:color="auto"/>
      </w:divBdr>
    </w:div>
    <w:div w:id="240801754">
      <w:bodyDiv w:val="1"/>
      <w:marLeft w:val="0"/>
      <w:marRight w:val="0"/>
      <w:marTop w:val="0"/>
      <w:marBottom w:val="0"/>
      <w:divBdr>
        <w:top w:val="none" w:sz="0" w:space="0" w:color="auto"/>
        <w:left w:val="none" w:sz="0" w:space="0" w:color="auto"/>
        <w:bottom w:val="none" w:sz="0" w:space="0" w:color="auto"/>
        <w:right w:val="none" w:sz="0" w:space="0" w:color="auto"/>
      </w:divBdr>
    </w:div>
    <w:div w:id="246840717">
      <w:bodyDiv w:val="1"/>
      <w:marLeft w:val="0"/>
      <w:marRight w:val="0"/>
      <w:marTop w:val="0"/>
      <w:marBottom w:val="0"/>
      <w:divBdr>
        <w:top w:val="none" w:sz="0" w:space="0" w:color="auto"/>
        <w:left w:val="none" w:sz="0" w:space="0" w:color="auto"/>
        <w:bottom w:val="none" w:sz="0" w:space="0" w:color="auto"/>
        <w:right w:val="none" w:sz="0" w:space="0" w:color="auto"/>
      </w:divBdr>
    </w:div>
    <w:div w:id="248201006">
      <w:bodyDiv w:val="1"/>
      <w:marLeft w:val="0"/>
      <w:marRight w:val="0"/>
      <w:marTop w:val="0"/>
      <w:marBottom w:val="0"/>
      <w:divBdr>
        <w:top w:val="none" w:sz="0" w:space="0" w:color="auto"/>
        <w:left w:val="none" w:sz="0" w:space="0" w:color="auto"/>
        <w:bottom w:val="none" w:sz="0" w:space="0" w:color="auto"/>
        <w:right w:val="none" w:sz="0" w:space="0" w:color="auto"/>
      </w:divBdr>
    </w:div>
    <w:div w:id="253707572">
      <w:bodyDiv w:val="1"/>
      <w:marLeft w:val="0"/>
      <w:marRight w:val="0"/>
      <w:marTop w:val="0"/>
      <w:marBottom w:val="0"/>
      <w:divBdr>
        <w:top w:val="none" w:sz="0" w:space="0" w:color="auto"/>
        <w:left w:val="none" w:sz="0" w:space="0" w:color="auto"/>
        <w:bottom w:val="none" w:sz="0" w:space="0" w:color="auto"/>
        <w:right w:val="none" w:sz="0" w:space="0" w:color="auto"/>
      </w:divBdr>
    </w:div>
    <w:div w:id="254360014">
      <w:bodyDiv w:val="1"/>
      <w:marLeft w:val="0"/>
      <w:marRight w:val="0"/>
      <w:marTop w:val="0"/>
      <w:marBottom w:val="0"/>
      <w:divBdr>
        <w:top w:val="none" w:sz="0" w:space="0" w:color="auto"/>
        <w:left w:val="none" w:sz="0" w:space="0" w:color="auto"/>
        <w:bottom w:val="none" w:sz="0" w:space="0" w:color="auto"/>
        <w:right w:val="none" w:sz="0" w:space="0" w:color="auto"/>
      </w:divBdr>
    </w:div>
    <w:div w:id="264851217">
      <w:bodyDiv w:val="1"/>
      <w:marLeft w:val="0"/>
      <w:marRight w:val="0"/>
      <w:marTop w:val="0"/>
      <w:marBottom w:val="0"/>
      <w:divBdr>
        <w:top w:val="none" w:sz="0" w:space="0" w:color="auto"/>
        <w:left w:val="none" w:sz="0" w:space="0" w:color="auto"/>
        <w:bottom w:val="none" w:sz="0" w:space="0" w:color="auto"/>
        <w:right w:val="none" w:sz="0" w:space="0" w:color="auto"/>
      </w:divBdr>
    </w:div>
    <w:div w:id="267009043">
      <w:bodyDiv w:val="1"/>
      <w:marLeft w:val="0"/>
      <w:marRight w:val="0"/>
      <w:marTop w:val="0"/>
      <w:marBottom w:val="0"/>
      <w:divBdr>
        <w:top w:val="none" w:sz="0" w:space="0" w:color="auto"/>
        <w:left w:val="none" w:sz="0" w:space="0" w:color="auto"/>
        <w:bottom w:val="none" w:sz="0" w:space="0" w:color="auto"/>
        <w:right w:val="none" w:sz="0" w:space="0" w:color="auto"/>
      </w:divBdr>
    </w:div>
    <w:div w:id="275791051">
      <w:bodyDiv w:val="1"/>
      <w:marLeft w:val="0"/>
      <w:marRight w:val="0"/>
      <w:marTop w:val="0"/>
      <w:marBottom w:val="0"/>
      <w:divBdr>
        <w:top w:val="none" w:sz="0" w:space="0" w:color="auto"/>
        <w:left w:val="none" w:sz="0" w:space="0" w:color="auto"/>
        <w:bottom w:val="none" w:sz="0" w:space="0" w:color="auto"/>
        <w:right w:val="none" w:sz="0" w:space="0" w:color="auto"/>
      </w:divBdr>
    </w:div>
    <w:div w:id="279190669">
      <w:bodyDiv w:val="1"/>
      <w:marLeft w:val="0"/>
      <w:marRight w:val="0"/>
      <w:marTop w:val="0"/>
      <w:marBottom w:val="0"/>
      <w:divBdr>
        <w:top w:val="none" w:sz="0" w:space="0" w:color="auto"/>
        <w:left w:val="none" w:sz="0" w:space="0" w:color="auto"/>
        <w:bottom w:val="none" w:sz="0" w:space="0" w:color="auto"/>
        <w:right w:val="none" w:sz="0" w:space="0" w:color="auto"/>
      </w:divBdr>
    </w:div>
    <w:div w:id="282347997">
      <w:bodyDiv w:val="1"/>
      <w:marLeft w:val="0"/>
      <w:marRight w:val="0"/>
      <w:marTop w:val="0"/>
      <w:marBottom w:val="0"/>
      <w:divBdr>
        <w:top w:val="none" w:sz="0" w:space="0" w:color="auto"/>
        <w:left w:val="none" w:sz="0" w:space="0" w:color="auto"/>
        <w:bottom w:val="none" w:sz="0" w:space="0" w:color="auto"/>
        <w:right w:val="none" w:sz="0" w:space="0" w:color="auto"/>
      </w:divBdr>
    </w:div>
    <w:div w:id="286475414">
      <w:bodyDiv w:val="1"/>
      <w:marLeft w:val="0"/>
      <w:marRight w:val="0"/>
      <w:marTop w:val="0"/>
      <w:marBottom w:val="0"/>
      <w:divBdr>
        <w:top w:val="none" w:sz="0" w:space="0" w:color="auto"/>
        <w:left w:val="none" w:sz="0" w:space="0" w:color="auto"/>
        <w:bottom w:val="none" w:sz="0" w:space="0" w:color="auto"/>
        <w:right w:val="none" w:sz="0" w:space="0" w:color="auto"/>
      </w:divBdr>
    </w:div>
    <w:div w:id="288976615">
      <w:bodyDiv w:val="1"/>
      <w:marLeft w:val="0"/>
      <w:marRight w:val="0"/>
      <w:marTop w:val="0"/>
      <w:marBottom w:val="0"/>
      <w:divBdr>
        <w:top w:val="none" w:sz="0" w:space="0" w:color="auto"/>
        <w:left w:val="none" w:sz="0" w:space="0" w:color="auto"/>
        <w:bottom w:val="none" w:sz="0" w:space="0" w:color="auto"/>
        <w:right w:val="none" w:sz="0" w:space="0" w:color="auto"/>
      </w:divBdr>
    </w:div>
    <w:div w:id="290287383">
      <w:bodyDiv w:val="1"/>
      <w:marLeft w:val="0"/>
      <w:marRight w:val="0"/>
      <w:marTop w:val="0"/>
      <w:marBottom w:val="0"/>
      <w:divBdr>
        <w:top w:val="none" w:sz="0" w:space="0" w:color="auto"/>
        <w:left w:val="none" w:sz="0" w:space="0" w:color="auto"/>
        <w:bottom w:val="none" w:sz="0" w:space="0" w:color="auto"/>
        <w:right w:val="none" w:sz="0" w:space="0" w:color="auto"/>
      </w:divBdr>
    </w:div>
    <w:div w:id="291446028">
      <w:bodyDiv w:val="1"/>
      <w:marLeft w:val="0"/>
      <w:marRight w:val="0"/>
      <w:marTop w:val="0"/>
      <w:marBottom w:val="0"/>
      <w:divBdr>
        <w:top w:val="none" w:sz="0" w:space="0" w:color="auto"/>
        <w:left w:val="none" w:sz="0" w:space="0" w:color="auto"/>
        <w:bottom w:val="none" w:sz="0" w:space="0" w:color="auto"/>
        <w:right w:val="none" w:sz="0" w:space="0" w:color="auto"/>
      </w:divBdr>
    </w:div>
    <w:div w:id="292517269">
      <w:bodyDiv w:val="1"/>
      <w:marLeft w:val="0"/>
      <w:marRight w:val="0"/>
      <w:marTop w:val="0"/>
      <w:marBottom w:val="0"/>
      <w:divBdr>
        <w:top w:val="none" w:sz="0" w:space="0" w:color="auto"/>
        <w:left w:val="none" w:sz="0" w:space="0" w:color="auto"/>
        <w:bottom w:val="none" w:sz="0" w:space="0" w:color="auto"/>
        <w:right w:val="none" w:sz="0" w:space="0" w:color="auto"/>
      </w:divBdr>
    </w:div>
    <w:div w:id="292831215">
      <w:bodyDiv w:val="1"/>
      <w:marLeft w:val="0"/>
      <w:marRight w:val="0"/>
      <w:marTop w:val="0"/>
      <w:marBottom w:val="0"/>
      <w:divBdr>
        <w:top w:val="none" w:sz="0" w:space="0" w:color="auto"/>
        <w:left w:val="none" w:sz="0" w:space="0" w:color="auto"/>
        <w:bottom w:val="none" w:sz="0" w:space="0" w:color="auto"/>
        <w:right w:val="none" w:sz="0" w:space="0" w:color="auto"/>
      </w:divBdr>
    </w:div>
    <w:div w:id="294139012">
      <w:bodyDiv w:val="1"/>
      <w:marLeft w:val="0"/>
      <w:marRight w:val="0"/>
      <w:marTop w:val="0"/>
      <w:marBottom w:val="0"/>
      <w:divBdr>
        <w:top w:val="none" w:sz="0" w:space="0" w:color="auto"/>
        <w:left w:val="none" w:sz="0" w:space="0" w:color="auto"/>
        <w:bottom w:val="none" w:sz="0" w:space="0" w:color="auto"/>
        <w:right w:val="none" w:sz="0" w:space="0" w:color="auto"/>
      </w:divBdr>
    </w:div>
    <w:div w:id="298727328">
      <w:bodyDiv w:val="1"/>
      <w:marLeft w:val="0"/>
      <w:marRight w:val="0"/>
      <w:marTop w:val="0"/>
      <w:marBottom w:val="0"/>
      <w:divBdr>
        <w:top w:val="none" w:sz="0" w:space="0" w:color="auto"/>
        <w:left w:val="none" w:sz="0" w:space="0" w:color="auto"/>
        <w:bottom w:val="none" w:sz="0" w:space="0" w:color="auto"/>
        <w:right w:val="none" w:sz="0" w:space="0" w:color="auto"/>
      </w:divBdr>
    </w:div>
    <w:div w:id="300043771">
      <w:bodyDiv w:val="1"/>
      <w:marLeft w:val="0"/>
      <w:marRight w:val="0"/>
      <w:marTop w:val="0"/>
      <w:marBottom w:val="0"/>
      <w:divBdr>
        <w:top w:val="none" w:sz="0" w:space="0" w:color="auto"/>
        <w:left w:val="none" w:sz="0" w:space="0" w:color="auto"/>
        <w:bottom w:val="none" w:sz="0" w:space="0" w:color="auto"/>
        <w:right w:val="none" w:sz="0" w:space="0" w:color="auto"/>
      </w:divBdr>
    </w:div>
    <w:div w:id="301159472">
      <w:bodyDiv w:val="1"/>
      <w:marLeft w:val="0"/>
      <w:marRight w:val="0"/>
      <w:marTop w:val="0"/>
      <w:marBottom w:val="0"/>
      <w:divBdr>
        <w:top w:val="none" w:sz="0" w:space="0" w:color="auto"/>
        <w:left w:val="none" w:sz="0" w:space="0" w:color="auto"/>
        <w:bottom w:val="none" w:sz="0" w:space="0" w:color="auto"/>
        <w:right w:val="none" w:sz="0" w:space="0" w:color="auto"/>
      </w:divBdr>
    </w:div>
    <w:div w:id="307907001">
      <w:bodyDiv w:val="1"/>
      <w:marLeft w:val="0"/>
      <w:marRight w:val="0"/>
      <w:marTop w:val="0"/>
      <w:marBottom w:val="0"/>
      <w:divBdr>
        <w:top w:val="none" w:sz="0" w:space="0" w:color="auto"/>
        <w:left w:val="none" w:sz="0" w:space="0" w:color="auto"/>
        <w:bottom w:val="none" w:sz="0" w:space="0" w:color="auto"/>
        <w:right w:val="none" w:sz="0" w:space="0" w:color="auto"/>
      </w:divBdr>
    </w:div>
    <w:div w:id="308245419">
      <w:bodyDiv w:val="1"/>
      <w:marLeft w:val="0"/>
      <w:marRight w:val="0"/>
      <w:marTop w:val="0"/>
      <w:marBottom w:val="0"/>
      <w:divBdr>
        <w:top w:val="none" w:sz="0" w:space="0" w:color="auto"/>
        <w:left w:val="none" w:sz="0" w:space="0" w:color="auto"/>
        <w:bottom w:val="none" w:sz="0" w:space="0" w:color="auto"/>
        <w:right w:val="none" w:sz="0" w:space="0" w:color="auto"/>
      </w:divBdr>
    </w:div>
    <w:div w:id="310064029">
      <w:bodyDiv w:val="1"/>
      <w:marLeft w:val="0"/>
      <w:marRight w:val="0"/>
      <w:marTop w:val="0"/>
      <w:marBottom w:val="0"/>
      <w:divBdr>
        <w:top w:val="none" w:sz="0" w:space="0" w:color="auto"/>
        <w:left w:val="none" w:sz="0" w:space="0" w:color="auto"/>
        <w:bottom w:val="none" w:sz="0" w:space="0" w:color="auto"/>
        <w:right w:val="none" w:sz="0" w:space="0" w:color="auto"/>
      </w:divBdr>
    </w:div>
    <w:div w:id="322241795">
      <w:bodyDiv w:val="1"/>
      <w:marLeft w:val="0"/>
      <w:marRight w:val="0"/>
      <w:marTop w:val="0"/>
      <w:marBottom w:val="0"/>
      <w:divBdr>
        <w:top w:val="none" w:sz="0" w:space="0" w:color="auto"/>
        <w:left w:val="none" w:sz="0" w:space="0" w:color="auto"/>
        <w:bottom w:val="none" w:sz="0" w:space="0" w:color="auto"/>
        <w:right w:val="none" w:sz="0" w:space="0" w:color="auto"/>
      </w:divBdr>
    </w:div>
    <w:div w:id="322977074">
      <w:bodyDiv w:val="1"/>
      <w:marLeft w:val="0"/>
      <w:marRight w:val="0"/>
      <w:marTop w:val="0"/>
      <w:marBottom w:val="0"/>
      <w:divBdr>
        <w:top w:val="none" w:sz="0" w:space="0" w:color="auto"/>
        <w:left w:val="none" w:sz="0" w:space="0" w:color="auto"/>
        <w:bottom w:val="none" w:sz="0" w:space="0" w:color="auto"/>
        <w:right w:val="none" w:sz="0" w:space="0" w:color="auto"/>
      </w:divBdr>
    </w:div>
    <w:div w:id="323243046">
      <w:bodyDiv w:val="1"/>
      <w:marLeft w:val="0"/>
      <w:marRight w:val="0"/>
      <w:marTop w:val="0"/>
      <w:marBottom w:val="0"/>
      <w:divBdr>
        <w:top w:val="none" w:sz="0" w:space="0" w:color="auto"/>
        <w:left w:val="none" w:sz="0" w:space="0" w:color="auto"/>
        <w:bottom w:val="none" w:sz="0" w:space="0" w:color="auto"/>
        <w:right w:val="none" w:sz="0" w:space="0" w:color="auto"/>
      </w:divBdr>
    </w:div>
    <w:div w:id="327438476">
      <w:bodyDiv w:val="1"/>
      <w:marLeft w:val="0"/>
      <w:marRight w:val="0"/>
      <w:marTop w:val="0"/>
      <w:marBottom w:val="0"/>
      <w:divBdr>
        <w:top w:val="none" w:sz="0" w:space="0" w:color="auto"/>
        <w:left w:val="none" w:sz="0" w:space="0" w:color="auto"/>
        <w:bottom w:val="none" w:sz="0" w:space="0" w:color="auto"/>
        <w:right w:val="none" w:sz="0" w:space="0" w:color="auto"/>
      </w:divBdr>
    </w:div>
    <w:div w:id="333337336">
      <w:bodyDiv w:val="1"/>
      <w:marLeft w:val="0"/>
      <w:marRight w:val="0"/>
      <w:marTop w:val="0"/>
      <w:marBottom w:val="0"/>
      <w:divBdr>
        <w:top w:val="none" w:sz="0" w:space="0" w:color="auto"/>
        <w:left w:val="none" w:sz="0" w:space="0" w:color="auto"/>
        <w:bottom w:val="none" w:sz="0" w:space="0" w:color="auto"/>
        <w:right w:val="none" w:sz="0" w:space="0" w:color="auto"/>
      </w:divBdr>
    </w:div>
    <w:div w:id="338316135">
      <w:bodyDiv w:val="1"/>
      <w:marLeft w:val="0"/>
      <w:marRight w:val="0"/>
      <w:marTop w:val="0"/>
      <w:marBottom w:val="0"/>
      <w:divBdr>
        <w:top w:val="none" w:sz="0" w:space="0" w:color="auto"/>
        <w:left w:val="none" w:sz="0" w:space="0" w:color="auto"/>
        <w:bottom w:val="none" w:sz="0" w:space="0" w:color="auto"/>
        <w:right w:val="none" w:sz="0" w:space="0" w:color="auto"/>
      </w:divBdr>
    </w:div>
    <w:div w:id="341663713">
      <w:bodyDiv w:val="1"/>
      <w:marLeft w:val="0"/>
      <w:marRight w:val="0"/>
      <w:marTop w:val="0"/>
      <w:marBottom w:val="0"/>
      <w:divBdr>
        <w:top w:val="none" w:sz="0" w:space="0" w:color="auto"/>
        <w:left w:val="none" w:sz="0" w:space="0" w:color="auto"/>
        <w:bottom w:val="none" w:sz="0" w:space="0" w:color="auto"/>
        <w:right w:val="none" w:sz="0" w:space="0" w:color="auto"/>
      </w:divBdr>
    </w:div>
    <w:div w:id="347372813">
      <w:bodyDiv w:val="1"/>
      <w:marLeft w:val="0"/>
      <w:marRight w:val="0"/>
      <w:marTop w:val="0"/>
      <w:marBottom w:val="0"/>
      <w:divBdr>
        <w:top w:val="none" w:sz="0" w:space="0" w:color="auto"/>
        <w:left w:val="none" w:sz="0" w:space="0" w:color="auto"/>
        <w:bottom w:val="none" w:sz="0" w:space="0" w:color="auto"/>
        <w:right w:val="none" w:sz="0" w:space="0" w:color="auto"/>
      </w:divBdr>
    </w:div>
    <w:div w:id="352070664">
      <w:bodyDiv w:val="1"/>
      <w:marLeft w:val="0"/>
      <w:marRight w:val="0"/>
      <w:marTop w:val="0"/>
      <w:marBottom w:val="0"/>
      <w:divBdr>
        <w:top w:val="none" w:sz="0" w:space="0" w:color="auto"/>
        <w:left w:val="none" w:sz="0" w:space="0" w:color="auto"/>
        <w:bottom w:val="none" w:sz="0" w:space="0" w:color="auto"/>
        <w:right w:val="none" w:sz="0" w:space="0" w:color="auto"/>
      </w:divBdr>
    </w:div>
    <w:div w:id="353967383">
      <w:bodyDiv w:val="1"/>
      <w:marLeft w:val="0"/>
      <w:marRight w:val="0"/>
      <w:marTop w:val="0"/>
      <w:marBottom w:val="0"/>
      <w:divBdr>
        <w:top w:val="none" w:sz="0" w:space="0" w:color="auto"/>
        <w:left w:val="none" w:sz="0" w:space="0" w:color="auto"/>
        <w:bottom w:val="none" w:sz="0" w:space="0" w:color="auto"/>
        <w:right w:val="none" w:sz="0" w:space="0" w:color="auto"/>
      </w:divBdr>
    </w:div>
    <w:div w:id="354113255">
      <w:bodyDiv w:val="1"/>
      <w:marLeft w:val="0"/>
      <w:marRight w:val="0"/>
      <w:marTop w:val="0"/>
      <w:marBottom w:val="0"/>
      <w:divBdr>
        <w:top w:val="none" w:sz="0" w:space="0" w:color="auto"/>
        <w:left w:val="none" w:sz="0" w:space="0" w:color="auto"/>
        <w:bottom w:val="none" w:sz="0" w:space="0" w:color="auto"/>
        <w:right w:val="none" w:sz="0" w:space="0" w:color="auto"/>
      </w:divBdr>
    </w:div>
    <w:div w:id="357702696">
      <w:bodyDiv w:val="1"/>
      <w:marLeft w:val="0"/>
      <w:marRight w:val="0"/>
      <w:marTop w:val="0"/>
      <w:marBottom w:val="0"/>
      <w:divBdr>
        <w:top w:val="none" w:sz="0" w:space="0" w:color="auto"/>
        <w:left w:val="none" w:sz="0" w:space="0" w:color="auto"/>
        <w:bottom w:val="none" w:sz="0" w:space="0" w:color="auto"/>
        <w:right w:val="none" w:sz="0" w:space="0" w:color="auto"/>
      </w:divBdr>
    </w:div>
    <w:div w:id="359938482">
      <w:bodyDiv w:val="1"/>
      <w:marLeft w:val="0"/>
      <w:marRight w:val="0"/>
      <w:marTop w:val="0"/>
      <w:marBottom w:val="0"/>
      <w:divBdr>
        <w:top w:val="none" w:sz="0" w:space="0" w:color="auto"/>
        <w:left w:val="none" w:sz="0" w:space="0" w:color="auto"/>
        <w:bottom w:val="none" w:sz="0" w:space="0" w:color="auto"/>
        <w:right w:val="none" w:sz="0" w:space="0" w:color="auto"/>
      </w:divBdr>
    </w:div>
    <w:div w:id="362022289">
      <w:bodyDiv w:val="1"/>
      <w:marLeft w:val="0"/>
      <w:marRight w:val="0"/>
      <w:marTop w:val="0"/>
      <w:marBottom w:val="0"/>
      <w:divBdr>
        <w:top w:val="none" w:sz="0" w:space="0" w:color="auto"/>
        <w:left w:val="none" w:sz="0" w:space="0" w:color="auto"/>
        <w:bottom w:val="none" w:sz="0" w:space="0" w:color="auto"/>
        <w:right w:val="none" w:sz="0" w:space="0" w:color="auto"/>
      </w:divBdr>
    </w:div>
    <w:div w:id="363217451">
      <w:bodyDiv w:val="1"/>
      <w:marLeft w:val="0"/>
      <w:marRight w:val="0"/>
      <w:marTop w:val="0"/>
      <w:marBottom w:val="0"/>
      <w:divBdr>
        <w:top w:val="none" w:sz="0" w:space="0" w:color="auto"/>
        <w:left w:val="none" w:sz="0" w:space="0" w:color="auto"/>
        <w:bottom w:val="none" w:sz="0" w:space="0" w:color="auto"/>
        <w:right w:val="none" w:sz="0" w:space="0" w:color="auto"/>
      </w:divBdr>
    </w:div>
    <w:div w:id="365832473">
      <w:bodyDiv w:val="1"/>
      <w:marLeft w:val="0"/>
      <w:marRight w:val="0"/>
      <w:marTop w:val="0"/>
      <w:marBottom w:val="0"/>
      <w:divBdr>
        <w:top w:val="none" w:sz="0" w:space="0" w:color="auto"/>
        <w:left w:val="none" w:sz="0" w:space="0" w:color="auto"/>
        <w:bottom w:val="none" w:sz="0" w:space="0" w:color="auto"/>
        <w:right w:val="none" w:sz="0" w:space="0" w:color="auto"/>
      </w:divBdr>
    </w:div>
    <w:div w:id="371923672">
      <w:bodyDiv w:val="1"/>
      <w:marLeft w:val="0"/>
      <w:marRight w:val="0"/>
      <w:marTop w:val="0"/>
      <w:marBottom w:val="0"/>
      <w:divBdr>
        <w:top w:val="none" w:sz="0" w:space="0" w:color="auto"/>
        <w:left w:val="none" w:sz="0" w:space="0" w:color="auto"/>
        <w:bottom w:val="none" w:sz="0" w:space="0" w:color="auto"/>
        <w:right w:val="none" w:sz="0" w:space="0" w:color="auto"/>
      </w:divBdr>
    </w:div>
    <w:div w:id="373887689">
      <w:bodyDiv w:val="1"/>
      <w:marLeft w:val="0"/>
      <w:marRight w:val="0"/>
      <w:marTop w:val="0"/>
      <w:marBottom w:val="0"/>
      <w:divBdr>
        <w:top w:val="none" w:sz="0" w:space="0" w:color="auto"/>
        <w:left w:val="none" w:sz="0" w:space="0" w:color="auto"/>
        <w:bottom w:val="none" w:sz="0" w:space="0" w:color="auto"/>
        <w:right w:val="none" w:sz="0" w:space="0" w:color="auto"/>
      </w:divBdr>
    </w:div>
    <w:div w:id="375857902">
      <w:bodyDiv w:val="1"/>
      <w:marLeft w:val="0"/>
      <w:marRight w:val="0"/>
      <w:marTop w:val="0"/>
      <w:marBottom w:val="0"/>
      <w:divBdr>
        <w:top w:val="none" w:sz="0" w:space="0" w:color="auto"/>
        <w:left w:val="none" w:sz="0" w:space="0" w:color="auto"/>
        <w:bottom w:val="none" w:sz="0" w:space="0" w:color="auto"/>
        <w:right w:val="none" w:sz="0" w:space="0" w:color="auto"/>
      </w:divBdr>
    </w:div>
    <w:div w:id="376395938">
      <w:bodyDiv w:val="1"/>
      <w:marLeft w:val="0"/>
      <w:marRight w:val="0"/>
      <w:marTop w:val="0"/>
      <w:marBottom w:val="0"/>
      <w:divBdr>
        <w:top w:val="none" w:sz="0" w:space="0" w:color="auto"/>
        <w:left w:val="none" w:sz="0" w:space="0" w:color="auto"/>
        <w:bottom w:val="none" w:sz="0" w:space="0" w:color="auto"/>
        <w:right w:val="none" w:sz="0" w:space="0" w:color="auto"/>
      </w:divBdr>
    </w:div>
    <w:div w:id="379670091">
      <w:bodyDiv w:val="1"/>
      <w:marLeft w:val="0"/>
      <w:marRight w:val="0"/>
      <w:marTop w:val="0"/>
      <w:marBottom w:val="0"/>
      <w:divBdr>
        <w:top w:val="none" w:sz="0" w:space="0" w:color="auto"/>
        <w:left w:val="none" w:sz="0" w:space="0" w:color="auto"/>
        <w:bottom w:val="none" w:sz="0" w:space="0" w:color="auto"/>
        <w:right w:val="none" w:sz="0" w:space="0" w:color="auto"/>
      </w:divBdr>
    </w:div>
    <w:div w:id="383411714">
      <w:bodyDiv w:val="1"/>
      <w:marLeft w:val="0"/>
      <w:marRight w:val="0"/>
      <w:marTop w:val="0"/>
      <w:marBottom w:val="0"/>
      <w:divBdr>
        <w:top w:val="none" w:sz="0" w:space="0" w:color="auto"/>
        <w:left w:val="none" w:sz="0" w:space="0" w:color="auto"/>
        <w:bottom w:val="none" w:sz="0" w:space="0" w:color="auto"/>
        <w:right w:val="none" w:sz="0" w:space="0" w:color="auto"/>
      </w:divBdr>
    </w:div>
    <w:div w:id="383453521">
      <w:bodyDiv w:val="1"/>
      <w:marLeft w:val="0"/>
      <w:marRight w:val="0"/>
      <w:marTop w:val="0"/>
      <w:marBottom w:val="0"/>
      <w:divBdr>
        <w:top w:val="none" w:sz="0" w:space="0" w:color="auto"/>
        <w:left w:val="none" w:sz="0" w:space="0" w:color="auto"/>
        <w:bottom w:val="none" w:sz="0" w:space="0" w:color="auto"/>
        <w:right w:val="none" w:sz="0" w:space="0" w:color="auto"/>
      </w:divBdr>
    </w:div>
    <w:div w:id="391662809">
      <w:bodyDiv w:val="1"/>
      <w:marLeft w:val="0"/>
      <w:marRight w:val="0"/>
      <w:marTop w:val="0"/>
      <w:marBottom w:val="0"/>
      <w:divBdr>
        <w:top w:val="none" w:sz="0" w:space="0" w:color="auto"/>
        <w:left w:val="none" w:sz="0" w:space="0" w:color="auto"/>
        <w:bottom w:val="none" w:sz="0" w:space="0" w:color="auto"/>
        <w:right w:val="none" w:sz="0" w:space="0" w:color="auto"/>
      </w:divBdr>
    </w:div>
    <w:div w:id="393161084">
      <w:bodyDiv w:val="1"/>
      <w:marLeft w:val="0"/>
      <w:marRight w:val="0"/>
      <w:marTop w:val="0"/>
      <w:marBottom w:val="0"/>
      <w:divBdr>
        <w:top w:val="none" w:sz="0" w:space="0" w:color="auto"/>
        <w:left w:val="none" w:sz="0" w:space="0" w:color="auto"/>
        <w:bottom w:val="none" w:sz="0" w:space="0" w:color="auto"/>
        <w:right w:val="none" w:sz="0" w:space="0" w:color="auto"/>
      </w:divBdr>
    </w:div>
    <w:div w:id="405955894">
      <w:bodyDiv w:val="1"/>
      <w:marLeft w:val="0"/>
      <w:marRight w:val="0"/>
      <w:marTop w:val="0"/>
      <w:marBottom w:val="0"/>
      <w:divBdr>
        <w:top w:val="none" w:sz="0" w:space="0" w:color="auto"/>
        <w:left w:val="none" w:sz="0" w:space="0" w:color="auto"/>
        <w:bottom w:val="none" w:sz="0" w:space="0" w:color="auto"/>
        <w:right w:val="none" w:sz="0" w:space="0" w:color="auto"/>
      </w:divBdr>
    </w:div>
    <w:div w:id="410469346">
      <w:bodyDiv w:val="1"/>
      <w:marLeft w:val="0"/>
      <w:marRight w:val="0"/>
      <w:marTop w:val="0"/>
      <w:marBottom w:val="0"/>
      <w:divBdr>
        <w:top w:val="none" w:sz="0" w:space="0" w:color="auto"/>
        <w:left w:val="none" w:sz="0" w:space="0" w:color="auto"/>
        <w:bottom w:val="none" w:sz="0" w:space="0" w:color="auto"/>
        <w:right w:val="none" w:sz="0" w:space="0" w:color="auto"/>
      </w:divBdr>
    </w:div>
    <w:div w:id="424694923">
      <w:bodyDiv w:val="1"/>
      <w:marLeft w:val="0"/>
      <w:marRight w:val="0"/>
      <w:marTop w:val="0"/>
      <w:marBottom w:val="0"/>
      <w:divBdr>
        <w:top w:val="none" w:sz="0" w:space="0" w:color="auto"/>
        <w:left w:val="none" w:sz="0" w:space="0" w:color="auto"/>
        <w:bottom w:val="none" w:sz="0" w:space="0" w:color="auto"/>
        <w:right w:val="none" w:sz="0" w:space="0" w:color="auto"/>
      </w:divBdr>
    </w:div>
    <w:div w:id="437603797">
      <w:bodyDiv w:val="1"/>
      <w:marLeft w:val="0"/>
      <w:marRight w:val="0"/>
      <w:marTop w:val="0"/>
      <w:marBottom w:val="0"/>
      <w:divBdr>
        <w:top w:val="none" w:sz="0" w:space="0" w:color="auto"/>
        <w:left w:val="none" w:sz="0" w:space="0" w:color="auto"/>
        <w:bottom w:val="none" w:sz="0" w:space="0" w:color="auto"/>
        <w:right w:val="none" w:sz="0" w:space="0" w:color="auto"/>
      </w:divBdr>
    </w:div>
    <w:div w:id="443037563">
      <w:bodyDiv w:val="1"/>
      <w:marLeft w:val="0"/>
      <w:marRight w:val="0"/>
      <w:marTop w:val="0"/>
      <w:marBottom w:val="0"/>
      <w:divBdr>
        <w:top w:val="none" w:sz="0" w:space="0" w:color="auto"/>
        <w:left w:val="none" w:sz="0" w:space="0" w:color="auto"/>
        <w:bottom w:val="none" w:sz="0" w:space="0" w:color="auto"/>
        <w:right w:val="none" w:sz="0" w:space="0" w:color="auto"/>
      </w:divBdr>
    </w:div>
    <w:div w:id="446509423">
      <w:bodyDiv w:val="1"/>
      <w:marLeft w:val="0"/>
      <w:marRight w:val="0"/>
      <w:marTop w:val="0"/>
      <w:marBottom w:val="0"/>
      <w:divBdr>
        <w:top w:val="none" w:sz="0" w:space="0" w:color="auto"/>
        <w:left w:val="none" w:sz="0" w:space="0" w:color="auto"/>
        <w:bottom w:val="none" w:sz="0" w:space="0" w:color="auto"/>
        <w:right w:val="none" w:sz="0" w:space="0" w:color="auto"/>
      </w:divBdr>
    </w:div>
    <w:div w:id="446849207">
      <w:bodyDiv w:val="1"/>
      <w:marLeft w:val="0"/>
      <w:marRight w:val="0"/>
      <w:marTop w:val="0"/>
      <w:marBottom w:val="0"/>
      <w:divBdr>
        <w:top w:val="none" w:sz="0" w:space="0" w:color="auto"/>
        <w:left w:val="none" w:sz="0" w:space="0" w:color="auto"/>
        <w:bottom w:val="none" w:sz="0" w:space="0" w:color="auto"/>
        <w:right w:val="none" w:sz="0" w:space="0" w:color="auto"/>
      </w:divBdr>
    </w:div>
    <w:div w:id="448595767">
      <w:bodyDiv w:val="1"/>
      <w:marLeft w:val="0"/>
      <w:marRight w:val="0"/>
      <w:marTop w:val="0"/>
      <w:marBottom w:val="0"/>
      <w:divBdr>
        <w:top w:val="none" w:sz="0" w:space="0" w:color="auto"/>
        <w:left w:val="none" w:sz="0" w:space="0" w:color="auto"/>
        <w:bottom w:val="none" w:sz="0" w:space="0" w:color="auto"/>
        <w:right w:val="none" w:sz="0" w:space="0" w:color="auto"/>
      </w:divBdr>
    </w:div>
    <w:div w:id="450175446">
      <w:bodyDiv w:val="1"/>
      <w:marLeft w:val="0"/>
      <w:marRight w:val="0"/>
      <w:marTop w:val="0"/>
      <w:marBottom w:val="0"/>
      <w:divBdr>
        <w:top w:val="none" w:sz="0" w:space="0" w:color="auto"/>
        <w:left w:val="none" w:sz="0" w:space="0" w:color="auto"/>
        <w:bottom w:val="none" w:sz="0" w:space="0" w:color="auto"/>
        <w:right w:val="none" w:sz="0" w:space="0" w:color="auto"/>
      </w:divBdr>
    </w:div>
    <w:div w:id="450444274">
      <w:bodyDiv w:val="1"/>
      <w:marLeft w:val="0"/>
      <w:marRight w:val="0"/>
      <w:marTop w:val="0"/>
      <w:marBottom w:val="0"/>
      <w:divBdr>
        <w:top w:val="none" w:sz="0" w:space="0" w:color="auto"/>
        <w:left w:val="none" w:sz="0" w:space="0" w:color="auto"/>
        <w:bottom w:val="none" w:sz="0" w:space="0" w:color="auto"/>
        <w:right w:val="none" w:sz="0" w:space="0" w:color="auto"/>
      </w:divBdr>
    </w:div>
    <w:div w:id="452748300">
      <w:bodyDiv w:val="1"/>
      <w:marLeft w:val="0"/>
      <w:marRight w:val="0"/>
      <w:marTop w:val="0"/>
      <w:marBottom w:val="0"/>
      <w:divBdr>
        <w:top w:val="none" w:sz="0" w:space="0" w:color="auto"/>
        <w:left w:val="none" w:sz="0" w:space="0" w:color="auto"/>
        <w:bottom w:val="none" w:sz="0" w:space="0" w:color="auto"/>
        <w:right w:val="none" w:sz="0" w:space="0" w:color="auto"/>
      </w:divBdr>
    </w:div>
    <w:div w:id="454057384">
      <w:bodyDiv w:val="1"/>
      <w:marLeft w:val="0"/>
      <w:marRight w:val="0"/>
      <w:marTop w:val="0"/>
      <w:marBottom w:val="0"/>
      <w:divBdr>
        <w:top w:val="none" w:sz="0" w:space="0" w:color="auto"/>
        <w:left w:val="none" w:sz="0" w:space="0" w:color="auto"/>
        <w:bottom w:val="none" w:sz="0" w:space="0" w:color="auto"/>
        <w:right w:val="none" w:sz="0" w:space="0" w:color="auto"/>
      </w:divBdr>
    </w:div>
    <w:div w:id="459879581">
      <w:bodyDiv w:val="1"/>
      <w:marLeft w:val="0"/>
      <w:marRight w:val="0"/>
      <w:marTop w:val="0"/>
      <w:marBottom w:val="0"/>
      <w:divBdr>
        <w:top w:val="none" w:sz="0" w:space="0" w:color="auto"/>
        <w:left w:val="none" w:sz="0" w:space="0" w:color="auto"/>
        <w:bottom w:val="none" w:sz="0" w:space="0" w:color="auto"/>
        <w:right w:val="none" w:sz="0" w:space="0" w:color="auto"/>
      </w:divBdr>
    </w:div>
    <w:div w:id="463809890">
      <w:bodyDiv w:val="1"/>
      <w:marLeft w:val="0"/>
      <w:marRight w:val="0"/>
      <w:marTop w:val="0"/>
      <w:marBottom w:val="0"/>
      <w:divBdr>
        <w:top w:val="none" w:sz="0" w:space="0" w:color="auto"/>
        <w:left w:val="none" w:sz="0" w:space="0" w:color="auto"/>
        <w:bottom w:val="none" w:sz="0" w:space="0" w:color="auto"/>
        <w:right w:val="none" w:sz="0" w:space="0" w:color="auto"/>
      </w:divBdr>
    </w:div>
    <w:div w:id="464279327">
      <w:bodyDiv w:val="1"/>
      <w:marLeft w:val="0"/>
      <w:marRight w:val="0"/>
      <w:marTop w:val="0"/>
      <w:marBottom w:val="0"/>
      <w:divBdr>
        <w:top w:val="none" w:sz="0" w:space="0" w:color="auto"/>
        <w:left w:val="none" w:sz="0" w:space="0" w:color="auto"/>
        <w:bottom w:val="none" w:sz="0" w:space="0" w:color="auto"/>
        <w:right w:val="none" w:sz="0" w:space="0" w:color="auto"/>
      </w:divBdr>
    </w:div>
    <w:div w:id="465970094">
      <w:bodyDiv w:val="1"/>
      <w:marLeft w:val="0"/>
      <w:marRight w:val="0"/>
      <w:marTop w:val="0"/>
      <w:marBottom w:val="0"/>
      <w:divBdr>
        <w:top w:val="none" w:sz="0" w:space="0" w:color="auto"/>
        <w:left w:val="none" w:sz="0" w:space="0" w:color="auto"/>
        <w:bottom w:val="none" w:sz="0" w:space="0" w:color="auto"/>
        <w:right w:val="none" w:sz="0" w:space="0" w:color="auto"/>
      </w:divBdr>
    </w:div>
    <w:div w:id="470876279">
      <w:bodyDiv w:val="1"/>
      <w:marLeft w:val="0"/>
      <w:marRight w:val="0"/>
      <w:marTop w:val="0"/>
      <w:marBottom w:val="0"/>
      <w:divBdr>
        <w:top w:val="none" w:sz="0" w:space="0" w:color="auto"/>
        <w:left w:val="none" w:sz="0" w:space="0" w:color="auto"/>
        <w:bottom w:val="none" w:sz="0" w:space="0" w:color="auto"/>
        <w:right w:val="none" w:sz="0" w:space="0" w:color="auto"/>
      </w:divBdr>
    </w:div>
    <w:div w:id="471141131">
      <w:bodyDiv w:val="1"/>
      <w:marLeft w:val="0"/>
      <w:marRight w:val="0"/>
      <w:marTop w:val="0"/>
      <w:marBottom w:val="0"/>
      <w:divBdr>
        <w:top w:val="none" w:sz="0" w:space="0" w:color="auto"/>
        <w:left w:val="none" w:sz="0" w:space="0" w:color="auto"/>
        <w:bottom w:val="none" w:sz="0" w:space="0" w:color="auto"/>
        <w:right w:val="none" w:sz="0" w:space="0" w:color="auto"/>
      </w:divBdr>
    </w:div>
    <w:div w:id="473451445">
      <w:bodyDiv w:val="1"/>
      <w:marLeft w:val="0"/>
      <w:marRight w:val="0"/>
      <w:marTop w:val="0"/>
      <w:marBottom w:val="0"/>
      <w:divBdr>
        <w:top w:val="none" w:sz="0" w:space="0" w:color="auto"/>
        <w:left w:val="none" w:sz="0" w:space="0" w:color="auto"/>
        <w:bottom w:val="none" w:sz="0" w:space="0" w:color="auto"/>
        <w:right w:val="none" w:sz="0" w:space="0" w:color="auto"/>
      </w:divBdr>
    </w:div>
    <w:div w:id="474762994">
      <w:bodyDiv w:val="1"/>
      <w:marLeft w:val="0"/>
      <w:marRight w:val="0"/>
      <w:marTop w:val="0"/>
      <w:marBottom w:val="0"/>
      <w:divBdr>
        <w:top w:val="none" w:sz="0" w:space="0" w:color="auto"/>
        <w:left w:val="none" w:sz="0" w:space="0" w:color="auto"/>
        <w:bottom w:val="none" w:sz="0" w:space="0" w:color="auto"/>
        <w:right w:val="none" w:sz="0" w:space="0" w:color="auto"/>
      </w:divBdr>
    </w:div>
    <w:div w:id="480080858">
      <w:bodyDiv w:val="1"/>
      <w:marLeft w:val="0"/>
      <w:marRight w:val="0"/>
      <w:marTop w:val="0"/>
      <w:marBottom w:val="0"/>
      <w:divBdr>
        <w:top w:val="none" w:sz="0" w:space="0" w:color="auto"/>
        <w:left w:val="none" w:sz="0" w:space="0" w:color="auto"/>
        <w:bottom w:val="none" w:sz="0" w:space="0" w:color="auto"/>
        <w:right w:val="none" w:sz="0" w:space="0" w:color="auto"/>
      </w:divBdr>
    </w:div>
    <w:div w:id="485783421">
      <w:bodyDiv w:val="1"/>
      <w:marLeft w:val="0"/>
      <w:marRight w:val="0"/>
      <w:marTop w:val="0"/>
      <w:marBottom w:val="0"/>
      <w:divBdr>
        <w:top w:val="none" w:sz="0" w:space="0" w:color="auto"/>
        <w:left w:val="none" w:sz="0" w:space="0" w:color="auto"/>
        <w:bottom w:val="none" w:sz="0" w:space="0" w:color="auto"/>
        <w:right w:val="none" w:sz="0" w:space="0" w:color="auto"/>
      </w:divBdr>
    </w:div>
    <w:div w:id="488250341">
      <w:bodyDiv w:val="1"/>
      <w:marLeft w:val="0"/>
      <w:marRight w:val="0"/>
      <w:marTop w:val="0"/>
      <w:marBottom w:val="0"/>
      <w:divBdr>
        <w:top w:val="none" w:sz="0" w:space="0" w:color="auto"/>
        <w:left w:val="none" w:sz="0" w:space="0" w:color="auto"/>
        <w:bottom w:val="none" w:sz="0" w:space="0" w:color="auto"/>
        <w:right w:val="none" w:sz="0" w:space="0" w:color="auto"/>
      </w:divBdr>
    </w:div>
    <w:div w:id="491918347">
      <w:bodyDiv w:val="1"/>
      <w:marLeft w:val="0"/>
      <w:marRight w:val="0"/>
      <w:marTop w:val="0"/>
      <w:marBottom w:val="0"/>
      <w:divBdr>
        <w:top w:val="none" w:sz="0" w:space="0" w:color="auto"/>
        <w:left w:val="none" w:sz="0" w:space="0" w:color="auto"/>
        <w:bottom w:val="none" w:sz="0" w:space="0" w:color="auto"/>
        <w:right w:val="none" w:sz="0" w:space="0" w:color="auto"/>
      </w:divBdr>
    </w:div>
    <w:div w:id="496193075">
      <w:bodyDiv w:val="1"/>
      <w:marLeft w:val="0"/>
      <w:marRight w:val="0"/>
      <w:marTop w:val="0"/>
      <w:marBottom w:val="0"/>
      <w:divBdr>
        <w:top w:val="none" w:sz="0" w:space="0" w:color="auto"/>
        <w:left w:val="none" w:sz="0" w:space="0" w:color="auto"/>
        <w:bottom w:val="none" w:sz="0" w:space="0" w:color="auto"/>
        <w:right w:val="none" w:sz="0" w:space="0" w:color="auto"/>
      </w:divBdr>
    </w:div>
    <w:div w:id="500895332">
      <w:bodyDiv w:val="1"/>
      <w:marLeft w:val="0"/>
      <w:marRight w:val="0"/>
      <w:marTop w:val="0"/>
      <w:marBottom w:val="0"/>
      <w:divBdr>
        <w:top w:val="none" w:sz="0" w:space="0" w:color="auto"/>
        <w:left w:val="none" w:sz="0" w:space="0" w:color="auto"/>
        <w:bottom w:val="none" w:sz="0" w:space="0" w:color="auto"/>
        <w:right w:val="none" w:sz="0" w:space="0" w:color="auto"/>
      </w:divBdr>
    </w:div>
    <w:div w:id="512384201">
      <w:bodyDiv w:val="1"/>
      <w:marLeft w:val="0"/>
      <w:marRight w:val="0"/>
      <w:marTop w:val="0"/>
      <w:marBottom w:val="0"/>
      <w:divBdr>
        <w:top w:val="none" w:sz="0" w:space="0" w:color="auto"/>
        <w:left w:val="none" w:sz="0" w:space="0" w:color="auto"/>
        <w:bottom w:val="none" w:sz="0" w:space="0" w:color="auto"/>
        <w:right w:val="none" w:sz="0" w:space="0" w:color="auto"/>
      </w:divBdr>
    </w:div>
    <w:div w:id="515581341">
      <w:bodyDiv w:val="1"/>
      <w:marLeft w:val="0"/>
      <w:marRight w:val="0"/>
      <w:marTop w:val="0"/>
      <w:marBottom w:val="0"/>
      <w:divBdr>
        <w:top w:val="none" w:sz="0" w:space="0" w:color="auto"/>
        <w:left w:val="none" w:sz="0" w:space="0" w:color="auto"/>
        <w:bottom w:val="none" w:sz="0" w:space="0" w:color="auto"/>
        <w:right w:val="none" w:sz="0" w:space="0" w:color="auto"/>
      </w:divBdr>
    </w:div>
    <w:div w:id="518617313">
      <w:bodyDiv w:val="1"/>
      <w:marLeft w:val="0"/>
      <w:marRight w:val="0"/>
      <w:marTop w:val="0"/>
      <w:marBottom w:val="0"/>
      <w:divBdr>
        <w:top w:val="none" w:sz="0" w:space="0" w:color="auto"/>
        <w:left w:val="none" w:sz="0" w:space="0" w:color="auto"/>
        <w:bottom w:val="none" w:sz="0" w:space="0" w:color="auto"/>
        <w:right w:val="none" w:sz="0" w:space="0" w:color="auto"/>
      </w:divBdr>
    </w:div>
    <w:div w:id="525018418">
      <w:bodyDiv w:val="1"/>
      <w:marLeft w:val="0"/>
      <w:marRight w:val="0"/>
      <w:marTop w:val="0"/>
      <w:marBottom w:val="0"/>
      <w:divBdr>
        <w:top w:val="none" w:sz="0" w:space="0" w:color="auto"/>
        <w:left w:val="none" w:sz="0" w:space="0" w:color="auto"/>
        <w:bottom w:val="none" w:sz="0" w:space="0" w:color="auto"/>
        <w:right w:val="none" w:sz="0" w:space="0" w:color="auto"/>
      </w:divBdr>
    </w:div>
    <w:div w:id="525480896">
      <w:bodyDiv w:val="1"/>
      <w:marLeft w:val="0"/>
      <w:marRight w:val="0"/>
      <w:marTop w:val="0"/>
      <w:marBottom w:val="0"/>
      <w:divBdr>
        <w:top w:val="none" w:sz="0" w:space="0" w:color="auto"/>
        <w:left w:val="none" w:sz="0" w:space="0" w:color="auto"/>
        <w:bottom w:val="none" w:sz="0" w:space="0" w:color="auto"/>
        <w:right w:val="none" w:sz="0" w:space="0" w:color="auto"/>
      </w:divBdr>
    </w:div>
    <w:div w:id="526332339">
      <w:bodyDiv w:val="1"/>
      <w:marLeft w:val="0"/>
      <w:marRight w:val="0"/>
      <w:marTop w:val="0"/>
      <w:marBottom w:val="0"/>
      <w:divBdr>
        <w:top w:val="none" w:sz="0" w:space="0" w:color="auto"/>
        <w:left w:val="none" w:sz="0" w:space="0" w:color="auto"/>
        <w:bottom w:val="none" w:sz="0" w:space="0" w:color="auto"/>
        <w:right w:val="none" w:sz="0" w:space="0" w:color="auto"/>
      </w:divBdr>
    </w:div>
    <w:div w:id="532035002">
      <w:bodyDiv w:val="1"/>
      <w:marLeft w:val="0"/>
      <w:marRight w:val="0"/>
      <w:marTop w:val="0"/>
      <w:marBottom w:val="0"/>
      <w:divBdr>
        <w:top w:val="none" w:sz="0" w:space="0" w:color="auto"/>
        <w:left w:val="none" w:sz="0" w:space="0" w:color="auto"/>
        <w:bottom w:val="none" w:sz="0" w:space="0" w:color="auto"/>
        <w:right w:val="none" w:sz="0" w:space="0" w:color="auto"/>
      </w:divBdr>
    </w:div>
    <w:div w:id="532958517">
      <w:bodyDiv w:val="1"/>
      <w:marLeft w:val="0"/>
      <w:marRight w:val="0"/>
      <w:marTop w:val="0"/>
      <w:marBottom w:val="0"/>
      <w:divBdr>
        <w:top w:val="none" w:sz="0" w:space="0" w:color="auto"/>
        <w:left w:val="none" w:sz="0" w:space="0" w:color="auto"/>
        <w:bottom w:val="none" w:sz="0" w:space="0" w:color="auto"/>
        <w:right w:val="none" w:sz="0" w:space="0" w:color="auto"/>
      </w:divBdr>
    </w:div>
    <w:div w:id="533201875">
      <w:bodyDiv w:val="1"/>
      <w:marLeft w:val="0"/>
      <w:marRight w:val="0"/>
      <w:marTop w:val="0"/>
      <w:marBottom w:val="0"/>
      <w:divBdr>
        <w:top w:val="none" w:sz="0" w:space="0" w:color="auto"/>
        <w:left w:val="none" w:sz="0" w:space="0" w:color="auto"/>
        <w:bottom w:val="none" w:sz="0" w:space="0" w:color="auto"/>
        <w:right w:val="none" w:sz="0" w:space="0" w:color="auto"/>
      </w:divBdr>
    </w:div>
    <w:div w:id="535234451">
      <w:bodyDiv w:val="1"/>
      <w:marLeft w:val="0"/>
      <w:marRight w:val="0"/>
      <w:marTop w:val="0"/>
      <w:marBottom w:val="0"/>
      <w:divBdr>
        <w:top w:val="none" w:sz="0" w:space="0" w:color="auto"/>
        <w:left w:val="none" w:sz="0" w:space="0" w:color="auto"/>
        <w:bottom w:val="none" w:sz="0" w:space="0" w:color="auto"/>
        <w:right w:val="none" w:sz="0" w:space="0" w:color="auto"/>
      </w:divBdr>
    </w:div>
    <w:div w:id="537089106">
      <w:bodyDiv w:val="1"/>
      <w:marLeft w:val="0"/>
      <w:marRight w:val="0"/>
      <w:marTop w:val="0"/>
      <w:marBottom w:val="0"/>
      <w:divBdr>
        <w:top w:val="none" w:sz="0" w:space="0" w:color="auto"/>
        <w:left w:val="none" w:sz="0" w:space="0" w:color="auto"/>
        <w:bottom w:val="none" w:sz="0" w:space="0" w:color="auto"/>
        <w:right w:val="none" w:sz="0" w:space="0" w:color="auto"/>
      </w:divBdr>
    </w:div>
    <w:div w:id="539705549">
      <w:bodyDiv w:val="1"/>
      <w:marLeft w:val="0"/>
      <w:marRight w:val="0"/>
      <w:marTop w:val="0"/>
      <w:marBottom w:val="0"/>
      <w:divBdr>
        <w:top w:val="none" w:sz="0" w:space="0" w:color="auto"/>
        <w:left w:val="none" w:sz="0" w:space="0" w:color="auto"/>
        <w:bottom w:val="none" w:sz="0" w:space="0" w:color="auto"/>
        <w:right w:val="none" w:sz="0" w:space="0" w:color="auto"/>
      </w:divBdr>
    </w:div>
    <w:div w:id="540215676">
      <w:bodyDiv w:val="1"/>
      <w:marLeft w:val="0"/>
      <w:marRight w:val="0"/>
      <w:marTop w:val="0"/>
      <w:marBottom w:val="0"/>
      <w:divBdr>
        <w:top w:val="none" w:sz="0" w:space="0" w:color="auto"/>
        <w:left w:val="none" w:sz="0" w:space="0" w:color="auto"/>
        <w:bottom w:val="none" w:sz="0" w:space="0" w:color="auto"/>
        <w:right w:val="none" w:sz="0" w:space="0" w:color="auto"/>
      </w:divBdr>
    </w:div>
    <w:div w:id="541943236">
      <w:bodyDiv w:val="1"/>
      <w:marLeft w:val="0"/>
      <w:marRight w:val="0"/>
      <w:marTop w:val="0"/>
      <w:marBottom w:val="0"/>
      <w:divBdr>
        <w:top w:val="none" w:sz="0" w:space="0" w:color="auto"/>
        <w:left w:val="none" w:sz="0" w:space="0" w:color="auto"/>
        <w:bottom w:val="none" w:sz="0" w:space="0" w:color="auto"/>
        <w:right w:val="none" w:sz="0" w:space="0" w:color="auto"/>
      </w:divBdr>
    </w:div>
    <w:div w:id="557591415">
      <w:bodyDiv w:val="1"/>
      <w:marLeft w:val="0"/>
      <w:marRight w:val="0"/>
      <w:marTop w:val="0"/>
      <w:marBottom w:val="0"/>
      <w:divBdr>
        <w:top w:val="none" w:sz="0" w:space="0" w:color="auto"/>
        <w:left w:val="none" w:sz="0" w:space="0" w:color="auto"/>
        <w:bottom w:val="none" w:sz="0" w:space="0" w:color="auto"/>
        <w:right w:val="none" w:sz="0" w:space="0" w:color="auto"/>
      </w:divBdr>
    </w:div>
    <w:div w:id="559439093">
      <w:bodyDiv w:val="1"/>
      <w:marLeft w:val="0"/>
      <w:marRight w:val="0"/>
      <w:marTop w:val="0"/>
      <w:marBottom w:val="0"/>
      <w:divBdr>
        <w:top w:val="none" w:sz="0" w:space="0" w:color="auto"/>
        <w:left w:val="none" w:sz="0" w:space="0" w:color="auto"/>
        <w:bottom w:val="none" w:sz="0" w:space="0" w:color="auto"/>
        <w:right w:val="none" w:sz="0" w:space="0" w:color="auto"/>
      </w:divBdr>
    </w:div>
    <w:div w:id="560290470">
      <w:bodyDiv w:val="1"/>
      <w:marLeft w:val="0"/>
      <w:marRight w:val="0"/>
      <w:marTop w:val="0"/>
      <w:marBottom w:val="0"/>
      <w:divBdr>
        <w:top w:val="none" w:sz="0" w:space="0" w:color="auto"/>
        <w:left w:val="none" w:sz="0" w:space="0" w:color="auto"/>
        <w:bottom w:val="none" w:sz="0" w:space="0" w:color="auto"/>
        <w:right w:val="none" w:sz="0" w:space="0" w:color="auto"/>
      </w:divBdr>
    </w:div>
    <w:div w:id="565922278">
      <w:bodyDiv w:val="1"/>
      <w:marLeft w:val="0"/>
      <w:marRight w:val="0"/>
      <w:marTop w:val="0"/>
      <w:marBottom w:val="0"/>
      <w:divBdr>
        <w:top w:val="none" w:sz="0" w:space="0" w:color="auto"/>
        <w:left w:val="none" w:sz="0" w:space="0" w:color="auto"/>
        <w:bottom w:val="none" w:sz="0" w:space="0" w:color="auto"/>
        <w:right w:val="none" w:sz="0" w:space="0" w:color="auto"/>
      </w:divBdr>
    </w:div>
    <w:div w:id="565922421">
      <w:bodyDiv w:val="1"/>
      <w:marLeft w:val="0"/>
      <w:marRight w:val="0"/>
      <w:marTop w:val="0"/>
      <w:marBottom w:val="0"/>
      <w:divBdr>
        <w:top w:val="none" w:sz="0" w:space="0" w:color="auto"/>
        <w:left w:val="none" w:sz="0" w:space="0" w:color="auto"/>
        <w:bottom w:val="none" w:sz="0" w:space="0" w:color="auto"/>
        <w:right w:val="none" w:sz="0" w:space="0" w:color="auto"/>
      </w:divBdr>
    </w:div>
    <w:div w:id="566188530">
      <w:bodyDiv w:val="1"/>
      <w:marLeft w:val="0"/>
      <w:marRight w:val="0"/>
      <w:marTop w:val="0"/>
      <w:marBottom w:val="0"/>
      <w:divBdr>
        <w:top w:val="none" w:sz="0" w:space="0" w:color="auto"/>
        <w:left w:val="none" w:sz="0" w:space="0" w:color="auto"/>
        <w:bottom w:val="none" w:sz="0" w:space="0" w:color="auto"/>
        <w:right w:val="none" w:sz="0" w:space="0" w:color="auto"/>
      </w:divBdr>
    </w:div>
    <w:div w:id="566914828">
      <w:bodyDiv w:val="1"/>
      <w:marLeft w:val="0"/>
      <w:marRight w:val="0"/>
      <w:marTop w:val="0"/>
      <w:marBottom w:val="0"/>
      <w:divBdr>
        <w:top w:val="none" w:sz="0" w:space="0" w:color="auto"/>
        <w:left w:val="none" w:sz="0" w:space="0" w:color="auto"/>
        <w:bottom w:val="none" w:sz="0" w:space="0" w:color="auto"/>
        <w:right w:val="none" w:sz="0" w:space="0" w:color="auto"/>
      </w:divBdr>
    </w:div>
    <w:div w:id="585193881">
      <w:bodyDiv w:val="1"/>
      <w:marLeft w:val="0"/>
      <w:marRight w:val="0"/>
      <w:marTop w:val="0"/>
      <w:marBottom w:val="0"/>
      <w:divBdr>
        <w:top w:val="none" w:sz="0" w:space="0" w:color="auto"/>
        <w:left w:val="none" w:sz="0" w:space="0" w:color="auto"/>
        <w:bottom w:val="none" w:sz="0" w:space="0" w:color="auto"/>
        <w:right w:val="none" w:sz="0" w:space="0" w:color="auto"/>
      </w:divBdr>
    </w:div>
    <w:div w:id="588391913">
      <w:bodyDiv w:val="1"/>
      <w:marLeft w:val="0"/>
      <w:marRight w:val="0"/>
      <w:marTop w:val="0"/>
      <w:marBottom w:val="0"/>
      <w:divBdr>
        <w:top w:val="none" w:sz="0" w:space="0" w:color="auto"/>
        <w:left w:val="none" w:sz="0" w:space="0" w:color="auto"/>
        <w:bottom w:val="none" w:sz="0" w:space="0" w:color="auto"/>
        <w:right w:val="none" w:sz="0" w:space="0" w:color="auto"/>
      </w:divBdr>
    </w:div>
    <w:div w:id="590241458">
      <w:bodyDiv w:val="1"/>
      <w:marLeft w:val="0"/>
      <w:marRight w:val="0"/>
      <w:marTop w:val="0"/>
      <w:marBottom w:val="0"/>
      <w:divBdr>
        <w:top w:val="none" w:sz="0" w:space="0" w:color="auto"/>
        <w:left w:val="none" w:sz="0" w:space="0" w:color="auto"/>
        <w:bottom w:val="none" w:sz="0" w:space="0" w:color="auto"/>
        <w:right w:val="none" w:sz="0" w:space="0" w:color="auto"/>
      </w:divBdr>
    </w:div>
    <w:div w:id="595870804">
      <w:bodyDiv w:val="1"/>
      <w:marLeft w:val="0"/>
      <w:marRight w:val="0"/>
      <w:marTop w:val="0"/>
      <w:marBottom w:val="0"/>
      <w:divBdr>
        <w:top w:val="none" w:sz="0" w:space="0" w:color="auto"/>
        <w:left w:val="none" w:sz="0" w:space="0" w:color="auto"/>
        <w:bottom w:val="none" w:sz="0" w:space="0" w:color="auto"/>
        <w:right w:val="none" w:sz="0" w:space="0" w:color="auto"/>
      </w:divBdr>
    </w:div>
    <w:div w:id="596449385">
      <w:bodyDiv w:val="1"/>
      <w:marLeft w:val="0"/>
      <w:marRight w:val="0"/>
      <w:marTop w:val="0"/>
      <w:marBottom w:val="0"/>
      <w:divBdr>
        <w:top w:val="none" w:sz="0" w:space="0" w:color="auto"/>
        <w:left w:val="none" w:sz="0" w:space="0" w:color="auto"/>
        <w:bottom w:val="none" w:sz="0" w:space="0" w:color="auto"/>
        <w:right w:val="none" w:sz="0" w:space="0" w:color="auto"/>
      </w:divBdr>
    </w:div>
    <w:div w:id="597835645">
      <w:bodyDiv w:val="1"/>
      <w:marLeft w:val="0"/>
      <w:marRight w:val="0"/>
      <w:marTop w:val="0"/>
      <w:marBottom w:val="0"/>
      <w:divBdr>
        <w:top w:val="none" w:sz="0" w:space="0" w:color="auto"/>
        <w:left w:val="none" w:sz="0" w:space="0" w:color="auto"/>
        <w:bottom w:val="none" w:sz="0" w:space="0" w:color="auto"/>
        <w:right w:val="none" w:sz="0" w:space="0" w:color="auto"/>
      </w:divBdr>
    </w:div>
    <w:div w:id="600647635">
      <w:bodyDiv w:val="1"/>
      <w:marLeft w:val="0"/>
      <w:marRight w:val="0"/>
      <w:marTop w:val="0"/>
      <w:marBottom w:val="0"/>
      <w:divBdr>
        <w:top w:val="none" w:sz="0" w:space="0" w:color="auto"/>
        <w:left w:val="none" w:sz="0" w:space="0" w:color="auto"/>
        <w:bottom w:val="none" w:sz="0" w:space="0" w:color="auto"/>
        <w:right w:val="none" w:sz="0" w:space="0" w:color="auto"/>
      </w:divBdr>
    </w:div>
    <w:div w:id="610207596">
      <w:bodyDiv w:val="1"/>
      <w:marLeft w:val="0"/>
      <w:marRight w:val="0"/>
      <w:marTop w:val="0"/>
      <w:marBottom w:val="0"/>
      <w:divBdr>
        <w:top w:val="none" w:sz="0" w:space="0" w:color="auto"/>
        <w:left w:val="none" w:sz="0" w:space="0" w:color="auto"/>
        <w:bottom w:val="none" w:sz="0" w:space="0" w:color="auto"/>
        <w:right w:val="none" w:sz="0" w:space="0" w:color="auto"/>
      </w:divBdr>
    </w:div>
    <w:div w:id="615330107">
      <w:bodyDiv w:val="1"/>
      <w:marLeft w:val="0"/>
      <w:marRight w:val="0"/>
      <w:marTop w:val="0"/>
      <w:marBottom w:val="0"/>
      <w:divBdr>
        <w:top w:val="none" w:sz="0" w:space="0" w:color="auto"/>
        <w:left w:val="none" w:sz="0" w:space="0" w:color="auto"/>
        <w:bottom w:val="none" w:sz="0" w:space="0" w:color="auto"/>
        <w:right w:val="none" w:sz="0" w:space="0" w:color="auto"/>
      </w:divBdr>
    </w:div>
    <w:div w:id="616522617">
      <w:bodyDiv w:val="1"/>
      <w:marLeft w:val="0"/>
      <w:marRight w:val="0"/>
      <w:marTop w:val="0"/>
      <w:marBottom w:val="0"/>
      <w:divBdr>
        <w:top w:val="none" w:sz="0" w:space="0" w:color="auto"/>
        <w:left w:val="none" w:sz="0" w:space="0" w:color="auto"/>
        <w:bottom w:val="none" w:sz="0" w:space="0" w:color="auto"/>
        <w:right w:val="none" w:sz="0" w:space="0" w:color="auto"/>
      </w:divBdr>
    </w:div>
    <w:div w:id="621572705">
      <w:bodyDiv w:val="1"/>
      <w:marLeft w:val="0"/>
      <w:marRight w:val="0"/>
      <w:marTop w:val="0"/>
      <w:marBottom w:val="0"/>
      <w:divBdr>
        <w:top w:val="none" w:sz="0" w:space="0" w:color="auto"/>
        <w:left w:val="none" w:sz="0" w:space="0" w:color="auto"/>
        <w:bottom w:val="none" w:sz="0" w:space="0" w:color="auto"/>
        <w:right w:val="none" w:sz="0" w:space="0" w:color="auto"/>
      </w:divBdr>
    </w:div>
    <w:div w:id="626622393">
      <w:bodyDiv w:val="1"/>
      <w:marLeft w:val="0"/>
      <w:marRight w:val="0"/>
      <w:marTop w:val="0"/>
      <w:marBottom w:val="0"/>
      <w:divBdr>
        <w:top w:val="none" w:sz="0" w:space="0" w:color="auto"/>
        <w:left w:val="none" w:sz="0" w:space="0" w:color="auto"/>
        <w:bottom w:val="none" w:sz="0" w:space="0" w:color="auto"/>
        <w:right w:val="none" w:sz="0" w:space="0" w:color="auto"/>
      </w:divBdr>
    </w:div>
    <w:div w:id="627514934">
      <w:bodyDiv w:val="1"/>
      <w:marLeft w:val="0"/>
      <w:marRight w:val="0"/>
      <w:marTop w:val="0"/>
      <w:marBottom w:val="0"/>
      <w:divBdr>
        <w:top w:val="none" w:sz="0" w:space="0" w:color="auto"/>
        <w:left w:val="none" w:sz="0" w:space="0" w:color="auto"/>
        <w:bottom w:val="none" w:sz="0" w:space="0" w:color="auto"/>
        <w:right w:val="none" w:sz="0" w:space="0" w:color="auto"/>
      </w:divBdr>
    </w:div>
    <w:div w:id="627859295">
      <w:bodyDiv w:val="1"/>
      <w:marLeft w:val="0"/>
      <w:marRight w:val="0"/>
      <w:marTop w:val="0"/>
      <w:marBottom w:val="0"/>
      <w:divBdr>
        <w:top w:val="none" w:sz="0" w:space="0" w:color="auto"/>
        <w:left w:val="none" w:sz="0" w:space="0" w:color="auto"/>
        <w:bottom w:val="none" w:sz="0" w:space="0" w:color="auto"/>
        <w:right w:val="none" w:sz="0" w:space="0" w:color="auto"/>
      </w:divBdr>
    </w:div>
    <w:div w:id="630405587">
      <w:bodyDiv w:val="1"/>
      <w:marLeft w:val="0"/>
      <w:marRight w:val="0"/>
      <w:marTop w:val="0"/>
      <w:marBottom w:val="0"/>
      <w:divBdr>
        <w:top w:val="none" w:sz="0" w:space="0" w:color="auto"/>
        <w:left w:val="none" w:sz="0" w:space="0" w:color="auto"/>
        <w:bottom w:val="none" w:sz="0" w:space="0" w:color="auto"/>
        <w:right w:val="none" w:sz="0" w:space="0" w:color="auto"/>
      </w:divBdr>
    </w:div>
    <w:div w:id="637997756">
      <w:bodyDiv w:val="1"/>
      <w:marLeft w:val="0"/>
      <w:marRight w:val="0"/>
      <w:marTop w:val="0"/>
      <w:marBottom w:val="0"/>
      <w:divBdr>
        <w:top w:val="none" w:sz="0" w:space="0" w:color="auto"/>
        <w:left w:val="none" w:sz="0" w:space="0" w:color="auto"/>
        <w:bottom w:val="none" w:sz="0" w:space="0" w:color="auto"/>
        <w:right w:val="none" w:sz="0" w:space="0" w:color="auto"/>
      </w:divBdr>
    </w:div>
    <w:div w:id="645859506">
      <w:bodyDiv w:val="1"/>
      <w:marLeft w:val="0"/>
      <w:marRight w:val="0"/>
      <w:marTop w:val="0"/>
      <w:marBottom w:val="0"/>
      <w:divBdr>
        <w:top w:val="none" w:sz="0" w:space="0" w:color="auto"/>
        <w:left w:val="none" w:sz="0" w:space="0" w:color="auto"/>
        <w:bottom w:val="none" w:sz="0" w:space="0" w:color="auto"/>
        <w:right w:val="none" w:sz="0" w:space="0" w:color="auto"/>
      </w:divBdr>
    </w:div>
    <w:div w:id="646133321">
      <w:bodyDiv w:val="1"/>
      <w:marLeft w:val="0"/>
      <w:marRight w:val="0"/>
      <w:marTop w:val="0"/>
      <w:marBottom w:val="0"/>
      <w:divBdr>
        <w:top w:val="none" w:sz="0" w:space="0" w:color="auto"/>
        <w:left w:val="none" w:sz="0" w:space="0" w:color="auto"/>
        <w:bottom w:val="none" w:sz="0" w:space="0" w:color="auto"/>
        <w:right w:val="none" w:sz="0" w:space="0" w:color="auto"/>
      </w:divBdr>
    </w:div>
    <w:div w:id="650908564">
      <w:bodyDiv w:val="1"/>
      <w:marLeft w:val="0"/>
      <w:marRight w:val="0"/>
      <w:marTop w:val="0"/>
      <w:marBottom w:val="0"/>
      <w:divBdr>
        <w:top w:val="none" w:sz="0" w:space="0" w:color="auto"/>
        <w:left w:val="none" w:sz="0" w:space="0" w:color="auto"/>
        <w:bottom w:val="none" w:sz="0" w:space="0" w:color="auto"/>
        <w:right w:val="none" w:sz="0" w:space="0" w:color="auto"/>
      </w:divBdr>
    </w:div>
    <w:div w:id="653601879">
      <w:bodyDiv w:val="1"/>
      <w:marLeft w:val="0"/>
      <w:marRight w:val="0"/>
      <w:marTop w:val="0"/>
      <w:marBottom w:val="0"/>
      <w:divBdr>
        <w:top w:val="none" w:sz="0" w:space="0" w:color="auto"/>
        <w:left w:val="none" w:sz="0" w:space="0" w:color="auto"/>
        <w:bottom w:val="none" w:sz="0" w:space="0" w:color="auto"/>
        <w:right w:val="none" w:sz="0" w:space="0" w:color="auto"/>
      </w:divBdr>
    </w:div>
    <w:div w:id="654839292">
      <w:bodyDiv w:val="1"/>
      <w:marLeft w:val="0"/>
      <w:marRight w:val="0"/>
      <w:marTop w:val="0"/>
      <w:marBottom w:val="0"/>
      <w:divBdr>
        <w:top w:val="none" w:sz="0" w:space="0" w:color="auto"/>
        <w:left w:val="none" w:sz="0" w:space="0" w:color="auto"/>
        <w:bottom w:val="none" w:sz="0" w:space="0" w:color="auto"/>
        <w:right w:val="none" w:sz="0" w:space="0" w:color="auto"/>
      </w:divBdr>
    </w:div>
    <w:div w:id="682053322">
      <w:bodyDiv w:val="1"/>
      <w:marLeft w:val="0"/>
      <w:marRight w:val="0"/>
      <w:marTop w:val="0"/>
      <w:marBottom w:val="0"/>
      <w:divBdr>
        <w:top w:val="none" w:sz="0" w:space="0" w:color="auto"/>
        <w:left w:val="none" w:sz="0" w:space="0" w:color="auto"/>
        <w:bottom w:val="none" w:sz="0" w:space="0" w:color="auto"/>
        <w:right w:val="none" w:sz="0" w:space="0" w:color="auto"/>
      </w:divBdr>
    </w:div>
    <w:div w:id="682628693">
      <w:bodyDiv w:val="1"/>
      <w:marLeft w:val="0"/>
      <w:marRight w:val="0"/>
      <w:marTop w:val="0"/>
      <w:marBottom w:val="0"/>
      <w:divBdr>
        <w:top w:val="none" w:sz="0" w:space="0" w:color="auto"/>
        <w:left w:val="none" w:sz="0" w:space="0" w:color="auto"/>
        <w:bottom w:val="none" w:sz="0" w:space="0" w:color="auto"/>
        <w:right w:val="none" w:sz="0" w:space="0" w:color="auto"/>
      </w:divBdr>
    </w:div>
    <w:div w:id="697895072">
      <w:bodyDiv w:val="1"/>
      <w:marLeft w:val="0"/>
      <w:marRight w:val="0"/>
      <w:marTop w:val="0"/>
      <w:marBottom w:val="0"/>
      <w:divBdr>
        <w:top w:val="none" w:sz="0" w:space="0" w:color="auto"/>
        <w:left w:val="none" w:sz="0" w:space="0" w:color="auto"/>
        <w:bottom w:val="none" w:sz="0" w:space="0" w:color="auto"/>
        <w:right w:val="none" w:sz="0" w:space="0" w:color="auto"/>
      </w:divBdr>
    </w:div>
    <w:div w:id="698895944">
      <w:bodyDiv w:val="1"/>
      <w:marLeft w:val="0"/>
      <w:marRight w:val="0"/>
      <w:marTop w:val="0"/>
      <w:marBottom w:val="0"/>
      <w:divBdr>
        <w:top w:val="none" w:sz="0" w:space="0" w:color="auto"/>
        <w:left w:val="none" w:sz="0" w:space="0" w:color="auto"/>
        <w:bottom w:val="none" w:sz="0" w:space="0" w:color="auto"/>
        <w:right w:val="none" w:sz="0" w:space="0" w:color="auto"/>
      </w:divBdr>
    </w:div>
    <w:div w:id="699941439">
      <w:bodyDiv w:val="1"/>
      <w:marLeft w:val="0"/>
      <w:marRight w:val="0"/>
      <w:marTop w:val="0"/>
      <w:marBottom w:val="0"/>
      <w:divBdr>
        <w:top w:val="none" w:sz="0" w:space="0" w:color="auto"/>
        <w:left w:val="none" w:sz="0" w:space="0" w:color="auto"/>
        <w:bottom w:val="none" w:sz="0" w:space="0" w:color="auto"/>
        <w:right w:val="none" w:sz="0" w:space="0" w:color="auto"/>
      </w:divBdr>
    </w:div>
    <w:div w:id="701630927">
      <w:bodyDiv w:val="1"/>
      <w:marLeft w:val="0"/>
      <w:marRight w:val="0"/>
      <w:marTop w:val="0"/>
      <w:marBottom w:val="0"/>
      <w:divBdr>
        <w:top w:val="none" w:sz="0" w:space="0" w:color="auto"/>
        <w:left w:val="none" w:sz="0" w:space="0" w:color="auto"/>
        <w:bottom w:val="none" w:sz="0" w:space="0" w:color="auto"/>
        <w:right w:val="none" w:sz="0" w:space="0" w:color="auto"/>
      </w:divBdr>
    </w:div>
    <w:div w:id="703022051">
      <w:bodyDiv w:val="1"/>
      <w:marLeft w:val="0"/>
      <w:marRight w:val="0"/>
      <w:marTop w:val="0"/>
      <w:marBottom w:val="0"/>
      <w:divBdr>
        <w:top w:val="none" w:sz="0" w:space="0" w:color="auto"/>
        <w:left w:val="none" w:sz="0" w:space="0" w:color="auto"/>
        <w:bottom w:val="none" w:sz="0" w:space="0" w:color="auto"/>
        <w:right w:val="none" w:sz="0" w:space="0" w:color="auto"/>
      </w:divBdr>
    </w:div>
    <w:div w:id="705718334">
      <w:bodyDiv w:val="1"/>
      <w:marLeft w:val="0"/>
      <w:marRight w:val="0"/>
      <w:marTop w:val="0"/>
      <w:marBottom w:val="0"/>
      <w:divBdr>
        <w:top w:val="none" w:sz="0" w:space="0" w:color="auto"/>
        <w:left w:val="none" w:sz="0" w:space="0" w:color="auto"/>
        <w:bottom w:val="none" w:sz="0" w:space="0" w:color="auto"/>
        <w:right w:val="none" w:sz="0" w:space="0" w:color="auto"/>
      </w:divBdr>
    </w:div>
    <w:div w:id="707683377">
      <w:bodyDiv w:val="1"/>
      <w:marLeft w:val="0"/>
      <w:marRight w:val="0"/>
      <w:marTop w:val="0"/>
      <w:marBottom w:val="0"/>
      <w:divBdr>
        <w:top w:val="none" w:sz="0" w:space="0" w:color="auto"/>
        <w:left w:val="none" w:sz="0" w:space="0" w:color="auto"/>
        <w:bottom w:val="none" w:sz="0" w:space="0" w:color="auto"/>
        <w:right w:val="none" w:sz="0" w:space="0" w:color="auto"/>
      </w:divBdr>
    </w:div>
    <w:div w:id="711074034">
      <w:bodyDiv w:val="1"/>
      <w:marLeft w:val="0"/>
      <w:marRight w:val="0"/>
      <w:marTop w:val="0"/>
      <w:marBottom w:val="0"/>
      <w:divBdr>
        <w:top w:val="none" w:sz="0" w:space="0" w:color="auto"/>
        <w:left w:val="none" w:sz="0" w:space="0" w:color="auto"/>
        <w:bottom w:val="none" w:sz="0" w:space="0" w:color="auto"/>
        <w:right w:val="none" w:sz="0" w:space="0" w:color="auto"/>
      </w:divBdr>
    </w:div>
    <w:div w:id="718437863">
      <w:bodyDiv w:val="1"/>
      <w:marLeft w:val="0"/>
      <w:marRight w:val="0"/>
      <w:marTop w:val="0"/>
      <w:marBottom w:val="0"/>
      <w:divBdr>
        <w:top w:val="none" w:sz="0" w:space="0" w:color="auto"/>
        <w:left w:val="none" w:sz="0" w:space="0" w:color="auto"/>
        <w:bottom w:val="none" w:sz="0" w:space="0" w:color="auto"/>
        <w:right w:val="none" w:sz="0" w:space="0" w:color="auto"/>
      </w:divBdr>
    </w:div>
    <w:div w:id="722141500">
      <w:bodyDiv w:val="1"/>
      <w:marLeft w:val="0"/>
      <w:marRight w:val="0"/>
      <w:marTop w:val="0"/>
      <w:marBottom w:val="0"/>
      <w:divBdr>
        <w:top w:val="none" w:sz="0" w:space="0" w:color="auto"/>
        <w:left w:val="none" w:sz="0" w:space="0" w:color="auto"/>
        <w:bottom w:val="none" w:sz="0" w:space="0" w:color="auto"/>
        <w:right w:val="none" w:sz="0" w:space="0" w:color="auto"/>
      </w:divBdr>
    </w:div>
    <w:div w:id="725643311">
      <w:bodyDiv w:val="1"/>
      <w:marLeft w:val="0"/>
      <w:marRight w:val="0"/>
      <w:marTop w:val="0"/>
      <w:marBottom w:val="0"/>
      <w:divBdr>
        <w:top w:val="none" w:sz="0" w:space="0" w:color="auto"/>
        <w:left w:val="none" w:sz="0" w:space="0" w:color="auto"/>
        <w:bottom w:val="none" w:sz="0" w:space="0" w:color="auto"/>
        <w:right w:val="none" w:sz="0" w:space="0" w:color="auto"/>
      </w:divBdr>
    </w:div>
    <w:div w:id="728696275">
      <w:bodyDiv w:val="1"/>
      <w:marLeft w:val="0"/>
      <w:marRight w:val="0"/>
      <w:marTop w:val="0"/>
      <w:marBottom w:val="0"/>
      <w:divBdr>
        <w:top w:val="none" w:sz="0" w:space="0" w:color="auto"/>
        <w:left w:val="none" w:sz="0" w:space="0" w:color="auto"/>
        <w:bottom w:val="none" w:sz="0" w:space="0" w:color="auto"/>
        <w:right w:val="none" w:sz="0" w:space="0" w:color="auto"/>
      </w:divBdr>
    </w:div>
    <w:div w:id="729502641">
      <w:bodyDiv w:val="1"/>
      <w:marLeft w:val="0"/>
      <w:marRight w:val="0"/>
      <w:marTop w:val="0"/>
      <w:marBottom w:val="0"/>
      <w:divBdr>
        <w:top w:val="none" w:sz="0" w:space="0" w:color="auto"/>
        <w:left w:val="none" w:sz="0" w:space="0" w:color="auto"/>
        <w:bottom w:val="none" w:sz="0" w:space="0" w:color="auto"/>
        <w:right w:val="none" w:sz="0" w:space="0" w:color="auto"/>
      </w:divBdr>
    </w:div>
    <w:div w:id="733623656">
      <w:bodyDiv w:val="1"/>
      <w:marLeft w:val="0"/>
      <w:marRight w:val="0"/>
      <w:marTop w:val="0"/>
      <w:marBottom w:val="0"/>
      <w:divBdr>
        <w:top w:val="none" w:sz="0" w:space="0" w:color="auto"/>
        <w:left w:val="none" w:sz="0" w:space="0" w:color="auto"/>
        <w:bottom w:val="none" w:sz="0" w:space="0" w:color="auto"/>
        <w:right w:val="none" w:sz="0" w:space="0" w:color="auto"/>
      </w:divBdr>
    </w:div>
    <w:div w:id="736711759">
      <w:bodyDiv w:val="1"/>
      <w:marLeft w:val="0"/>
      <w:marRight w:val="0"/>
      <w:marTop w:val="0"/>
      <w:marBottom w:val="0"/>
      <w:divBdr>
        <w:top w:val="none" w:sz="0" w:space="0" w:color="auto"/>
        <w:left w:val="none" w:sz="0" w:space="0" w:color="auto"/>
        <w:bottom w:val="none" w:sz="0" w:space="0" w:color="auto"/>
        <w:right w:val="none" w:sz="0" w:space="0" w:color="auto"/>
      </w:divBdr>
    </w:div>
    <w:div w:id="736827179">
      <w:bodyDiv w:val="1"/>
      <w:marLeft w:val="0"/>
      <w:marRight w:val="0"/>
      <w:marTop w:val="0"/>
      <w:marBottom w:val="0"/>
      <w:divBdr>
        <w:top w:val="none" w:sz="0" w:space="0" w:color="auto"/>
        <w:left w:val="none" w:sz="0" w:space="0" w:color="auto"/>
        <w:bottom w:val="none" w:sz="0" w:space="0" w:color="auto"/>
        <w:right w:val="none" w:sz="0" w:space="0" w:color="auto"/>
      </w:divBdr>
    </w:div>
    <w:div w:id="738938961">
      <w:bodyDiv w:val="1"/>
      <w:marLeft w:val="0"/>
      <w:marRight w:val="0"/>
      <w:marTop w:val="0"/>
      <w:marBottom w:val="0"/>
      <w:divBdr>
        <w:top w:val="none" w:sz="0" w:space="0" w:color="auto"/>
        <w:left w:val="none" w:sz="0" w:space="0" w:color="auto"/>
        <w:bottom w:val="none" w:sz="0" w:space="0" w:color="auto"/>
        <w:right w:val="none" w:sz="0" w:space="0" w:color="auto"/>
      </w:divBdr>
    </w:div>
    <w:div w:id="740835444">
      <w:bodyDiv w:val="1"/>
      <w:marLeft w:val="0"/>
      <w:marRight w:val="0"/>
      <w:marTop w:val="0"/>
      <w:marBottom w:val="0"/>
      <w:divBdr>
        <w:top w:val="none" w:sz="0" w:space="0" w:color="auto"/>
        <w:left w:val="none" w:sz="0" w:space="0" w:color="auto"/>
        <w:bottom w:val="none" w:sz="0" w:space="0" w:color="auto"/>
        <w:right w:val="none" w:sz="0" w:space="0" w:color="auto"/>
      </w:divBdr>
    </w:div>
    <w:div w:id="747651049">
      <w:bodyDiv w:val="1"/>
      <w:marLeft w:val="0"/>
      <w:marRight w:val="0"/>
      <w:marTop w:val="0"/>
      <w:marBottom w:val="0"/>
      <w:divBdr>
        <w:top w:val="none" w:sz="0" w:space="0" w:color="auto"/>
        <w:left w:val="none" w:sz="0" w:space="0" w:color="auto"/>
        <w:bottom w:val="none" w:sz="0" w:space="0" w:color="auto"/>
        <w:right w:val="none" w:sz="0" w:space="0" w:color="auto"/>
      </w:divBdr>
    </w:div>
    <w:div w:id="748120500">
      <w:bodyDiv w:val="1"/>
      <w:marLeft w:val="0"/>
      <w:marRight w:val="0"/>
      <w:marTop w:val="0"/>
      <w:marBottom w:val="0"/>
      <w:divBdr>
        <w:top w:val="none" w:sz="0" w:space="0" w:color="auto"/>
        <w:left w:val="none" w:sz="0" w:space="0" w:color="auto"/>
        <w:bottom w:val="none" w:sz="0" w:space="0" w:color="auto"/>
        <w:right w:val="none" w:sz="0" w:space="0" w:color="auto"/>
      </w:divBdr>
    </w:div>
    <w:div w:id="755250693">
      <w:bodyDiv w:val="1"/>
      <w:marLeft w:val="0"/>
      <w:marRight w:val="0"/>
      <w:marTop w:val="0"/>
      <w:marBottom w:val="0"/>
      <w:divBdr>
        <w:top w:val="none" w:sz="0" w:space="0" w:color="auto"/>
        <w:left w:val="none" w:sz="0" w:space="0" w:color="auto"/>
        <w:bottom w:val="none" w:sz="0" w:space="0" w:color="auto"/>
        <w:right w:val="none" w:sz="0" w:space="0" w:color="auto"/>
      </w:divBdr>
    </w:div>
    <w:div w:id="759301304">
      <w:bodyDiv w:val="1"/>
      <w:marLeft w:val="0"/>
      <w:marRight w:val="0"/>
      <w:marTop w:val="0"/>
      <w:marBottom w:val="0"/>
      <w:divBdr>
        <w:top w:val="none" w:sz="0" w:space="0" w:color="auto"/>
        <w:left w:val="none" w:sz="0" w:space="0" w:color="auto"/>
        <w:bottom w:val="none" w:sz="0" w:space="0" w:color="auto"/>
        <w:right w:val="none" w:sz="0" w:space="0" w:color="auto"/>
      </w:divBdr>
    </w:div>
    <w:div w:id="761726900">
      <w:bodyDiv w:val="1"/>
      <w:marLeft w:val="0"/>
      <w:marRight w:val="0"/>
      <w:marTop w:val="0"/>
      <w:marBottom w:val="0"/>
      <w:divBdr>
        <w:top w:val="none" w:sz="0" w:space="0" w:color="auto"/>
        <w:left w:val="none" w:sz="0" w:space="0" w:color="auto"/>
        <w:bottom w:val="none" w:sz="0" w:space="0" w:color="auto"/>
        <w:right w:val="none" w:sz="0" w:space="0" w:color="auto"/>
      </w:divBdr>
    </w:div>
    <w:div w:id="768351615">
      <w:bodyDiv w:val="1"/>
      <w:marLeft w:val="0"/>
      <w:marRight w:val="0"/>
      <w:marTop w:val="0"/>
      <w:marBottom w:val="0"/>
      <w:divBdr>
        <w:top w:val="none" w:sz="0" w:space="0" w:color="auto"/>
        <w:left w:val="none" w:sz="0" w:space="0" w:color="auto"/>
        <w:bottom w:val="none" w:sz="0" w:space="0" w:color="auto"/>
        <w:right w:val="none" w:sz="0" w:space="0" w:color="auto"/>
      </w:divBdr>
    </w:div>
    <w:div w:id="774403374">
      <w:bodyDiv w:val="1"/>
      <w:marLeft w:val="0"/>
      <w:marRight w:val="0"/>
      <w:marTop w:val="0"/>
      <w:marBottom w:val="0"/>
      <w:divBdr>
        <w:top w:val="none" w:sz="0" w:space="0" w:color="auto"/>
        <w:left w:val="none" w:sz="0" w:space="0" w:color="auto"/>
        <w:bottom w:val="none" w:sz="0" w:space="0" w:color="auto"/>
        <w:right w:val="none" w:sz="0" w:space="0" w:color="auto"/>
      </w:divBdr>
    </w:div>
    <w:div w:id="775097759">
      <w:bodyDiv w:val="1"/>
      <w:marLeft w:val="0"/>
      <w:marRight w:val="0"/>
      <w:marTop w:val="0"/>
      <w:marBottom w:val="0"/>
      <w:divBdr>
        <w:top w:val="none" w:sz="0" w:space="0" w:color="auto"/>
        <w:left w:val="none" w:sz="0" w:space="0" w:color="auto"/>
        <w:bottom w:val="none" w:sz="0" w:space="0" w:color="auto"/>
        <w:right w:val="none" w:sz="0" w:space="0" w:color="auto"/>
      </w:divBdr>
    </w:div>
    <w:div w:id="778258406">
      <w:bodyDiv w:val="1"/>
      <w:marLeft w:val="0"/>
      <w:marRight w:val="0"/>
      <w:marTop w:val="0"/>
      <w:marBottom w:val="0"/>
      <w:divBdr>
        <w:top w:val="none" w:sz="0" w:space="0" w:color="auto"/>
        <w:left w:val="none" w:sz="0" w:space="0" w:color="auto"/>
        <w:bottom w:val="none" w:sz="0" w:space="0" w:color="auto"/>
        <w:right w:val="none" w:sz="0" w:space="0" w:color="auto"/>
      </w:divBdr>
    </w:div>
    <w:div w:id="780686027">
      <w:bodyDiv w:val="1"/>
      <w:marLeft w:val="0"/>
      <w:marRight w:val="0"/>
      <w:marTop w:val="0"/>
      <w:marBottom w:val="0"/>
      <w:divBdr>
        <w:top w:val="none" w:sz="0" w:space="0" w:color="auto"/>
        <w:left w:val="none" w:sz="0" w:space="0" w:color="auto"/>
        <w:bottom w:val="none" w:sz="0" w:space="0" w:color="auto"/>
        <w:right w:val="none" w:sz="0" w:space="0" w:color="auto"/>
      </w:divBdr>
    </w:div>
    <w:div w:id="791628380">
      <w:bodyDiv w:val="1"/>
      <w:marLeft w:val="0"/>
      <w:marRight w:val="0"/>
      <w:marTop w:val="0"/>
      <w:marBottom w:val="0"/>
      <w:divBdr>
        <w:top w:val="none" w:sz="0" w:space="0" w:color="auto"/>
        <w:left w:val="none" w:sz="0" w:space="0" w:color="auto"/>
        <w:bottom w:val="none" w:sz="0" w:space="0" w:color="auto"/>
        <w:right w:val="none" w:sz="0" w:space="0" w:color="auto"/>
      </w:divBdr>
    </w:div>
    <w:div w:id="805313708">
      <w:bodyDiv w:val="1"/>
      <w:marLeft w:val="0"/>
      <w:marRight w:val="0"/>
      <w:marTop w:val="0"/>
      <w:marBottom w:val="0"/>
      <w:divBdr>
        <w:top w:val="none" w:sz="0" w:space="0" w:color="auto"/>
        <w:left w:val="none" w:sz="0" w:space="0" w:color="auto"/>
        <w:bottom w:val="none" w:sz="0" w:space="0" w:color="auto"/>
        <w:right w:val="none" w:sz="0" w:space="0" w:color="auto"/>
      </w:divBdr>
    </w:div>
    <w:div w:id="807436122">
      <w:bodyDiv w:val="1"/>
      <w:marLeft w:val="0"/>
      <w:marRight w:val="0"/>
      <w:marTop w:val="0"/>
      <w:marBottom w:val="0"/>
      <w:divBdr>
        <w:top w:val="none" w:sz="0" w:space="0" w:color="auto"/>
        <w:left w:val="none" w:sz="0" w:space="0" w:color="auto"/>
        <w:bottom w:val="none" w:sz="0" w:space="0" w:color="auto"/>
        <w:right w:val="none" w:sz="0" w:space="0" w:color="auto"/>
      </w:divBdr>
    </w:div>
    <w:div w:id="810175476">
      <w:bodyDiv w:val="1"/>
      <w:marLeft w:val="0"/>
      <w:marRight w:val="0"/>
      <w:marTop w:val="0"/>
      <w:marBottom w:val="0"/>
      <w:divBdr>
        <w:top w:val="none" w:sz="0" w:space="0" w:color="auto"/>
        <w:left w:val="none" w:sz="0" w:space="0" w:color="auto"/>
        <w:bottom w:val="none" w:sz="0" w:space="0" w:color="auto"/>
        <w:right w:val="none" w:sz="0" w:space="0" w:color="auto"/>
      </w:divBdr>
    </w:div>
    <w:div w:id="812329431">
      <w:bodyDiv w:val="1"/>
      <w:marLeft w:val="0"/>
      <w:marRight w:val="0"/>
      <w:marTop w:val="0"/>
      <w:marBottom w:val="0"/>
      <w:divBdr>
        <w:top w:val="none" w:sz="0" w:space="0" w:color="auto"/>
        <w:left w:val="none" w:sz="0" w:space="0" w:color="auto"/>
        <w:bottom w:val="none" w:sz="0" w:space="0" w:color="auto"/>
        <w:right w:val="none" w:sz="0" w:space="0" w:color="auto"/>
      </w:divBdr>
    </w:div>
    <w:div w:id="818035247">
      <w:bodyDiv w:val="1"/>
      <w:marLeft w:val="0"/>
      <w:marRight w:val="0"/>
      <w:marTop w:val="0"/>
      <w:marBottom w:val="0"/>
      <w:divBdr>
        <w:top w:val="none" w:sz="0" w:space="0" w:color="auto"/>
        <w:left w:val="none" w:sz="0" w:space="0" w:color="auto"/>
        <w:bottom w:val="none" w:sz="0" w:space="0" w:color="auto"/>
        <w:right w:val="none" w:sz="0" w:space="0" w:color="auto"/>
      </w:divBdr>
    </w:div>
    <w:div w:id="820120104">
      <w:bodyDiv w:val="1"/>
      <w:marLeft w:val="0"/>
      <w:marRight w:val="0"/>
      <w:marTop w:val="0"/>
      <w:marBottom w:val="0"/>
      <w:divBdr>
        <w:top w:val="none" w:sz="0" w:space="0" w:color="auto"/>
        <w:left w:val="none" w:sz="0" w:space="0" w:color="auto"/>
        <w:bottom w:val="none" w:sz="0" w:space="0" w:color="auto"/>
        <w:right w:val="none" w:sz="0" w:space="0" w:color="auto"/>
      </w:divBdr>
    </w:div>
    <w:div w:id="827286810">
      <w:bodyDiv w:val="1"/>
      <w:marLeft w:val="0"/>
      <w:marRight w:val="0"/>
      <w:marTop w:val="0"/>
      <w:marBottom w:val="0"/>
      <w:divBdr>
        <w:top w:val="none" w:sz="0" w:space="0" w:color="auto"/>
        <w:left w:val="none" w:sz="0" w:space="0" w:color="auto"/>
        <w:bottom w:val="none" w:sz="0" w:space="0" w:color="auto"/>
        <w:right w:val="none" w:sz="0" w:space="0" w:color="auto"/>
      </w:divBdr>
    </w:div>
    <w:div w:id="834304631">
      <w:bodyDiv w:val="1"/>
      <w:marLeft w:val="0"/>
      <w:marRight w:val="0"/>
      <w:marTop w:val="0"/>
      <w:marBottom w:val="0"/>
      <w:divBdr>
        <w:top w:val="none" w:sz="0" w:space="0" w:color="auto"/>
        <w:left w:val="none" w:sz="0" w:space="0" w:color="auto"/>
        <w:bottom w:val="none" w:sz="0" w:space="0" w:color="auto"/>
        <w:right w:val="none" w:sz="0" w:space="0" w:color="auto"/>
      </w:divBdr>
    </w:div>
    <w:div w:id="838814512">
      <w:bodyDiv w:val="1"/>
      <w:marLeft w:val="0"/>
      <w:marRight w:val="0"/>
      <w:marTop w:val="0"/>
      <w:marBottom w:val="0"/>
      <w:divBdr>
        <w:top w:val="none" w:sz="0" w:space="0" w:color="auto"/>
        <w:left w:val="none" w:sz="0" w:space="0" w:color="auto"/>
        <w:bottom w:val="none" w:sz="0" w:space="0" w:color="auto"/>
        <w:right w:val="none" w:sz="0" w:space="0" w:color="auto"/>
      </w:divBdr>
    </w:div>
    <w:div w:id="843325028">
      <w:bodyDiv w:val="1"/>
      <w:marLeft w:val="0"/>
      <w:marRight w:val="0"/>
      <w:marTop w:val="0"/>
      <w:marBottom w:val="0"/>
      <w:divBdr>
        <w:top w:val="none" w:sz="0" w:space="0" w:color="auto"/>
        <w:left w:val="none" w:sz="0" w:space="0" w:color="auto"/>
        <w:bottom w:val="none" w:sz="0" w:space="0" w:color="auto"/>
        <w:right w:val="none" w:sz="0" w:space="0" w:color="auto"/>
      </w:divBdr>
    </w:div>
    <w:div w:id="843740923">
      <w:bodyDiv w:val="1"/>
      <w:marLeft w:val="0"/>
      <w:marRight w:val="0"/>
      <w:marTop w:val="0"/>
      <w:marBottom w:val="0"/>
      <w:divBdr>
        <w:top w:val="none" w:sz="0" w:space="0" w:color="auto"/>
        <w:left w:val="none" w:sz="0" w:space="0" w:color="auto"/>
        <w:bottom w:val="none" w:sz="0" w:space="0" w:color="auto"/>
        <w:right w:val="none" w:sz="0" w:space="0" w:color="auto"/>
      </w:divBdr>
    </w:div>
    <w:div w:id="845218736">
      <w:bodyDiv w:val="1"/>
      <w:marLeft w:val="0"/>
      <w:marRight w:val="0"/>
      <w:marTop w:val="0"/>
      <w:marBottom w:val="0"/>
      <w:divBdr>
        <w:top w:val="none" w:sz="0" w:space="0" w:color="auto"/>
        <w:left w:val="none" w:sz="0" w:space="0" w:color="auto"/>
        <w:bottom w:val="none" w:sz="0" w:space="0" w:color="auto"/>
        <w:right w:val="none" w:sz="0" w:space="0" w:color="auto"/>
      </w:divBdr>
    </w:div>
    <w:div w:id="848101760">
      <w:bodyDiv w:val="1"/>
      <w:marLeft w:val="0"/>
      <w:marRight w:val="0"/>
      <w:marTop w:val="0"/>
      <w:marBottom w:val="0"/>
      <w:divBdr>
        <w:top w:val="none" w:sz="0" w:space="0" w:color="auto"/>
        <w:left w:val="none" w:sz="0" w:space="0" w:color="auto"/>
        <w:bottom w:val="none" w:sz="0" w:space="0" w:color="auto"/>
        <w:right w:val="none" w:sz="0" w:space="0" w:color="auto"/>
      </w:divBdr>
    </w:div>
    <w:div w:id="850802497">
      <w:bodyDiv w:val="1"/>
      <w:marLeft w:val="0"/>
      <w:marRight w:val="0"/>
      <w:marTop w:val="0"/>
      <w:marBottom w:val="0"/>
      <w:divBdr>
        <w:top w:val="none" w:sz="0" w:space="0" w:color="auto"/>
        <w:left w:val="none" w:sz="0" w:space="0" w:color="auto"/>
        <w:bottom w:val="none" w:sz="0" w:space="0" w:color="auto"/>
        <w:right w:val="none" w:sz="0" w:space="0" w:color="auto"/>
      </w:divBdr>
    </w:div>
    <w:div w:id="851602513">
      <w:bodyDiv w:val="1"/>
      <w:marLeft w:val="0"/>
      <w:marRight w:val="0"/>
      <w:marTop w:val="0"/>
      <w:marBottom w:val="0"/>
      <w:divBdr>
        <w:top w:val="none" w:sz="0" w:space="0" w:color="auto"/>
        <w:left w:val="none" w:sz="0" w:space="0" w:color="auto"/>
        <w:bottom w:val="none" w:sz="0" w:space="0" w:color="auto"/>
        <w:right w:val="none" w:sz="0" w:space="0" w:color="auto"/>
      </w:divBdr>
    </w:div>
    <w:div w:id="859701700">
      <w:bodyDiv w:val="1"/>
      <w:marLeft w:val="0"/>
      <w:marRight w:val="0"/>
      <w:marTop w:val="0"/>
      <w:marBottom w:val="0"/>
      <w:divBdr>
        <w:top w:val="none" w:sz="0" w:space="0" w:color="auto"/>
        <w:left w:val="none" w:sz="0" w:space="0" w:color="auto"/>
        <w:bottom w:val="none" w:sz="0" w:space="0" w:color="auto"/>
        <w:right w:val="none" w:sz="0" w:space="0" w:color="auto"/>
      </w:divBdr>
    </w:div>
    <w:div w:id="866019405">
      <w:bodyDiv w:val="1"/>
      <w:marLeft w:val="0"/>
      <w:marRight w:val="0"/>
      <w:marTop w:val="0"/>
      <w:marBottom w:val="0"/>
      <w:divBdr>
        <w:top w:val="none" w:sz="0" w:space="0" w:color="auto"/>
        <w:left w:val="none" w:sz="0" w:space="0" w:color="auto"/>
        <w:bottom w:val="none" w:sz="0" w:space="0" w:color="auto"/>
        <w:right w:val="none" w:sz="0" w:space="0" w:color="auto"/>
      </w:divBdr>
    </w:div>
    <w:div w:id="867451623">
      <w:bodyDiv w:val="1"/>
      <w:marLeft w:val="0"/>
      <w:marRight w:val="0"/>
      <w:marTop w:val="0"/>
      <w:marBottom w:val="0"/>
      <w:divBdr>
        <w:top w:val="none" w:sz="0" w:space="0" w:color="auto"/>
        <w:left w:val="none" w:sz="0" w:space="0" w:color="auto"/>
        <w:bottom w:val="none" w:sz="0" w:space="0" w:color="auto"/>
        <w:right w:val="none" w:sz="0" w:space="0" w:color="auto"/>
      </w:divBdr>
    </w:div>
    <w:div w:id="867833347">
      <w:bodyDiv w:val="1"/>
      <w:marLeft w:val="0"/>
      <w:marRight w:val="0"/>
      <w:marTop w:val="0"/>
      <w:marBottom w:val="0"/>
      <w:divBdr>
        <w:top w:val="none" w:sz="0" w:space="0" w:color="auto"/>
        <w:left w:val="none" w:sz="0" w:space="0" w:color="auto"/>
        <w:bottom w:val="none" w:sz="0" w:space="0" w:color="auto"/>
        <w:right w:val="none" w:sz="0" w:space="0" w:color="auto"/>
      </w:divBdr>
    </w:div>
    <w:div w:id="868907519">
      <w:bodyDiv w:val="1"/>
      <w:marLeft w:val="0"/>
      <w:marRight w:val="0"/>
      <w:marTop w:val="0"/>
      <w:marBottom w:val="0"/>
      <w:divBdr>
        <w:top w:val="none" w:sz="0" w:space="0" w:color="auto"/>
        <w:left w:val="none" w:sz="0" w:space="0" w:color="auto"/>
        <w:bottom w:val="none" w:sz="0" w:space="0" w:color="auto"/>
        <w:right w:val="none" w:sz="0" w:space="0" w:color="auto"/>
      </w:divBdr>
    </w:div>
    <w:div w:id="869993214">
      <w:bodyDiv w:val="1"/>
      <w:marLeft w:val="0"/>
      <w:marRight w:val="0"/>
      <w:marTop w:val="0"/>
      <w:marBottom w:val="0"/>
      <w:divBdr>
        <w:top w:val="none" w:sz="0" w:space="0" w:color="auto"/>
        <w:left w:val="none" w:sz="0" w:space="0" w:color="auto"/>
        <w:bottom w:val="none" w:sz="0" w:space="0" w:color="auto"/>
        <w:right w:val="none" w:sz="0" w:space="0" w:color="auto"/>
      </w:divBdr>
    </w:div>
    <w:div w:id="875502646">
      <w:bodyDiv w:val="1"/>
      <w:marLeft w:val="0"/>
      <w:marRight w:val="0"/>
      <w:marTop w:val="0"/>
      <w:marBottom w:val="0"/>
      <w:divBdr>
        <w:top w:val="none" w:sz="0" w:space="0" w:color="auto"/>
        <w:left w:val="none" w:sz="0" w:space="0" w:color="auto"/>
        <w:bottom w:val="none" w:sz="0" w:space="0" w:color="auto"/>
        <w:right w:val="none" w:sz="0" w:space="0" w:color="auto"/>
      </w:divBdr>
    </w:div>
    <w:div w:id="877355411">
      <w:bodyDiv w:val="1"/>
      <w:marLeft w:val="0"/>
      <w:marRight w:val="0"/>
      <w:marTop w:val="0"/>
      <w:marBottom w:val="0"/>
      <w:divBdr>
        <w:top w:val="none" w:sz="0" w:space="0" w:color="auto"/>
        <w:left w:val="none" w:sz="0" w:space="0" w:color="auto"/>
        <w:bottom w:val="none" w:sz="0" w:space="0" w:color="auto"/>
        <w:right w:val="none" w:sz="0" w:space="0" w:color="auto"/>
      </w:divBdr>
    </w:div>
    <w:div w:id="881328704">
      <w:bodyDiv w:val="1"/>
      <w:marLeft w:val="0"/>
      <w:marRight w:val="0"/>
      <w:marTop w:val="0"/>
      <w:marBottom w:val="0"/>
      <w:divBdr>
        <w:top w:val="none" w:sz="0" w:space="0" w:color="auto"/>
        <w:left w:val="none" w:sz="0" w:space="0" w:color="auto"/>
        <w:bottom w:val="none" w:sz="0" w:space="0" w:color="auto"/>
        <w:right w:val="none" w:sz="0" w:space="0" w:color="auto"/>
      </w:divBdr>
    </w:div>
    <w:div w:id="881408753">
      <w:bodyDiv w:val="1"/>
      <w:marLeft w:val="0"/>
      <w:marRight w:val="0"/>
      <w:marTop w:val="0"/>
      <w:marBottom w:val="0"/>
      <w:divBdr>
        <w:top w:val="none" w:sz="0" w:space="0" w:color="auto"/>
        <w:left w:val="none" w:sz="0" w:space="0" w:color="auto"/>
        <w:bottom w:val="none" w:sz="0" w:space="0" w:color="auto"/>
        <w:right w:val="none" w:sz="0" w:space="0" w:color="auto"/>
      </w:divBdr>
    </w:div>
    <w:div w:id="894314652">
      <w:bodyDiv w:val="1"/>
      <w:marLeft w:val="0"/>
      <w:marRight w:val="0"/>
      <w:marTop w:val="0"/>
      <w:marBottom w:val="0"/>
      <w:divBdr>
        <w:top w:val="none" w:sz="0" w:space="0" w:color="auto"/>
        <w:left w:val="none" w:sz="0" w:space="0" w:color="auto"/>
        <w:bottom w:val="none" w:sz="0" w:space="0" w:color="auto"/>
        <w:right w:val="none" w:sz="0" w:space="0" w:color="auto"/>
      </w:divBdr>
    </w:div>
    <w:div w:id="903217794">
      <w:bodyDiv w:val="1"/>
      <w:marLeft w:val="0"/>
      <w:marRight w:val="0"/>
      <w:marTop w:val="0"/>
      <w:marBottom w:val="0"/>
      <w:divBdr>
        <w:top w:val="none" w:sz="0" w:space="0" w:color="auto"/>
        <w:left w:val="none" w:sz="0" w:space="0" w:color="auto"/>
        <w:bottom w:val="none" w:sz="0" w:space="0" w:color="auto"/>
        <w:right w:val="none" w:sz="0" w:space="0" w:color="auto"/>
      </w:divBdr>
    </w:div>
    <w:div w:id="921330157">
      <w:bodyDiv w:val="1"/>
      <w:marLeft w:val="0"/>
      <w:marRight w:val="0"/>
      <w:marTop w:val="0"/>
      <w:marBottom w:val="0"/>
      <w:divBdr>
        <w:top w:val="none" w:sz="0" w:space="0" w:color="auto"/>
        <w:left w:val="none" w:sz="0" w:space="0" w:color="auto"/>
        <w:bottom w:val="none" w:sz="0" w:space="0" w:color="auto"/>
        <w:right w:val="none" w:sz="0" w:space="0" w:color="auto"/>
      </w:divBdr>
    </w:div>
    <w:div w:id="927006863">
      <w:bodyDiv w:val="1"/>
      <w:marLeft w:val="0"/>
      <w:marRight w:val="0"/>
      <w:marTop w:val="0"/>
      <w:marBottom w:val="0"/>
      <w:divBdr>
        <w:top w:val="none" w:sz="0" w:space="0" w:color="auto"/>
        <w:left w:val="none" w:sz="0" w:space="0" w:color="auto"/>
        <w:bottom w:val="none" w:sz="0" w:space="0" w:color="auto"/>
        <w:right w:val="none" w:sz="0" w:space="0" w:color="auto"/>
      </w:divBdr>
    </w:div>
    <w:div w:id="927278043">
      <w:bodyDiv w:val="1"/>
      <w:marLeft w:val="0"/>
      <w:marRight w:val="0"/>
      <w:marTop w:val="0"/>
      <w:marBottom w:val="0"/>
      <w:divBdr>
        <w:top w:val="none" w:sz="0" w:space="0" w:color="auto"/>
        <w:left w:val="none" w:sz="0" w:space="0" w:color="auto"/>
        <w:bottom w:val="none" w:sz="0" w:space="0" w:color="auto"/>
        <w:right w:val="none" w:sz="0" w:space="0" w:color="auto"/>
      </w:divBdr>
    </w:div>
    <w:div w:id="927421300">
      <w:bodyDiv w:val="1"/>
      <w:marLeft w:val="0"/>
      <w:marRight w:val="0"/>
      <w:marTop w:val="0"/>
      <w:marBottom w:val="0"/>
      <w:divBdr>
        <w:top w:val="none" w:sz="0" w:space="0" w:color="auto"/>
        <w:left w:val="none" w:sz="0" w:space="0" w:color="auto"/>
        <w:bottom w:val="none" w:sz="0" w:space="0" w:color="auto"/>
        <w:right w:val="none" w:sz="0" w:space="0" w:color="auto"/>
      </w:divBdr>
    </w:div>
    <w:div w:id="933509845">
      <w:bodyDiv w:val="1"/>
      <w:marLeft w:val="0"/>
      <w:marRight w:val="0"/>
      <w:marTop w:val="0"/>
      <w:marBottom w:val="0"/>
      <w:divBdr>
        <w:top w:val="none" w:sz="0" w:space="0" w:color="auto"/>
        <w:left w:val="none" w:sz="0" w:space="0" w:color="auto"/>
        <w:bottom w:val="none" w:sz="0" w:space="0" w:color="auto"/>
        <w:right w:val="none" w:sz="0" w:space="0" w:color="auto"/>
      </w:divBdr>
    </w:div>
    <w:div w:id="944078267">
      <w:bodyDiv w:val="1"/>
      <w:marLeft w:val="0"/>
      <w:marRight w:val="0"/>
      <w:marTop w:val="0"/>
      <w:marBottom w:val="0"/>
      <w:divBdr>
        <w:top w:val="none" w:sz="0" w:space="0" w:color="auto"/>
        <w:left w:val="none" w:sz="0" w:space="0" w:color="auto"/>
        <w:bottom w:val="none" w:sz="0" w:space="0" w:color="auto"/>
        <w:right w:val="none" w:sz="0" w:space="0" w:color="auto"/>
      </w:divBdr>
    </w:div>
    <w:div w:id="947850410">
      <w:bodyDiv w:val="1"/>
      <w:marLeft w:val="0"/>
      <w:marRight w:val="0"/>
      <w:marTop w:val="0"/>
      <w:marBottom w:val="0"/>
      <w:divBdr>
        <w:top w:val="none" w:sz="0" w:space="0" w:color="auto"/>
        <w:left w:val="none" w:sz="0" w:space="0" w:color="auto"/>
        <w:bottom w:val="none" w:sz="0" w:space="0" w:color="auto"/>
        <w:right w:val="none" w:sz="0" w:space="0" w:color="auto"/>
      </w:divBdr>
    </w:div>
    <w:div w:id="950821899">
      <w:bodyDiv w:val="1"/>
      <w:marLeft w:val="0"/>
      <w:marRight w:val="0"/>
      <w:marTop w:val="0"/>
      <w:marBottom w:val="0"/>
      <w:divBdr>
        <w:top w:val="none" w:sz="0" w:space="0" w:color="auto"/>
        <w:left w:val="none" w:sz="0" w:space="0" w:color="auto"/>
        <w:bottom w:val="none" w:sz="0" w:space="0" w:color="auto"/>
        <w:right w:val="none" w:sz="0" w:space="0" w:color="auto"/>
      </w:divBdr>
    </w:div>
    <w:div w:id="954404506">
      <w:bodyDiv w:val="1"/>
      <w:marLeft w:val="0"/>
      <w:marRight w:val="0"/>
      <w:marTop w:val="0"/>
      <w:marBottom w:val="0"/>
      <w:divBdr>
        <w:top w:val="none" w:sz="0" w:space="0" w:color="auto"/>
        <w:left w:val="none" w:sz="0" w:space="0" w:color="auto"/>
        <w:bottom w:val="none" w:sz="0" w:space="0" w:color="auto"/>
        <w:right w:val="none" w:sz="0" w:space="0" w:color="auto"/>
      </w:divBdr>
    </w:div>
    <w:div w:id="955528927">
      <w:bodyDiv w:val="1"/>
      <w:marLeft w:val="0"/>
      <w:marRight w:val="0"/>
      <w:marTop w:val="0"/>
      <w:marBottom w:val="0"/>
      <w:divBdr>
        <w:top w:val="none" w:sz="0" w:space="0" w:color="auto"/>
        <w:left w:val="none" w:sz="0" w:space="0" w:color="auto"/>
        <w:bottom w:val="none" w:sz="0" w:space="0" w:color="auto"/>
        <w:right w:val="none" w:sz="0" w:space="0" w:color="auto"/>
      </w:divBdr>
    </w:div>
    <w:div w:id="963461196">
      <w:bodyDiv w:val="1"/>
      <w:marLeft w:val="0"/>
      <w:marRight w:val="0"/>
      <w:marTop w:val="0"/>
      <w:marBottom w:val="0"/>
      <w:divBdr>
        <w:top w:val="none" w:sz="0" w:space="0" w:color="auto"/>
        <w:left w:val="none" w:sz="0" w:space="0" w:color="auto"/>
        <w:bottom w:val="none" w:sz="0" w:space="0" w:color="auto"/>
        <w:right w:val="none" w:sz="0" w:space="0" w:color="auto"/>
      </w:divBdr>
    </w:div>
    <w:div w:id="967248800">
      <w:bodyDiv w:val="1"/>
      <w:marLeft w:val="0"/>
      <w:marRight w:val="0"/>
      <w:marTop w:val="0"/>
      <w:marBottom w:val="0"/>
      <w:divBdr>
        <w:top w:val="none" w:sz="0" w:space="0" w:color="auto"/>
        <w:left w:val="none" w:sz="0" w:space="0" w:color="auto"/>
        <w:bottom w:val="none" w:sz="0" w:space="0" w:color="auto"/>
        <w:right w:val="none" w:sz="0" w:space="0" w:color="auto"/>
      </w:divBdr>
    </w:div>
    <w:div w:id="969016931">
      <w:bodyDiv w:val="1"/>
      <w:marLeft w:val="0"/>
      <w:marRight w:val="0"/>
      <w:marTop w:val="0"/>
      <w:marBottom w:val="0"/>
      <w:divBdr>
        <w:top w:val="none" w:sz="0" w:space="0" w:color="auto"/>
        <w:left w:val="none" w:sz="0" w:space="0" w:color="auto"/>
        <w:bottom w:val="none" w:sz="0" w:space="0" w:color="auto"/>
        <w:right w:val="none" w:sz="0" w:space="0" w:color="auto"/>
      </w:divBdr>
    </w:div>
    <w:div w:id="971206534">
      <w:bodyDiv w:val="1"/>
      <w:marLeft w:val="0"/>
      <w:marRight w:val="0"/>
      <w:marTop w:val="0"/>
      <w:marBottom w:val="0"/>
      <w:divBdr>
        <w:top w:val="none" w:sz="0" w:space="0" w:color="auto"/>
        <w:left w:val="none" w:sz="0" w:space="0" w:color="auto"/>
        <w:bottom w:val="none" w:sz="0" w:space="0" w:color="auto"/>
        <w:right w:val="none" w:sz="0" w:space="0" w:color="auto"/>
      </w:divBdr>
    </w:div>
    <w:div w:id="975913583">
      <w:bodyDiv w:val="1"/>
      <w:marLeft w:val="0"/>
      <w:marRight w:val="0"/>
      <w:marTop w:val="0"/>
      <w:marBottom w:val="0"/>
      <w:divBdr>
        <w:top w:val="none" w:sz="0" w:space="0" w:color="auto"/>
        <w:left w:val="none" w:sz="0" w:space="0" w:color="auto"/>
        <w:bottom w:val="none" w:sz="0" w:space="0" w:color="auto"/>
        <w:right w:val="none" w:sz="0" w:space="0" w:color="auto"/>
      </w:divBdr>
    </w:div>
    <w:div w:id="977299237">
      <w:bodyDiv w:val="1"/>
      <w:marLeft w:val="0"/>
      <w:marRight w:val="0"/>
      <w:marTop w:val="0"/>
      <w:marBottom w:val="0"/>
      <w:divBdr>
        <w:top w:val="none" w:sz="0" w:space="0" w:color="auto"/>
        <w:left w:val="none" w:sz="0" w:space="0" w:color="auto"/>
        <w:bottom w:val="none" w:sz="0" w:space="0" w:color="auto"/>
        <w:right w:val="none" w:sz="0" w:space="0" w:color="auto"/>
      </w:divBdr>
    </w:div>
    <w:div w:id="992680244">
      <w:bodyDiv w:val="1"/>
      <w:marLeft w:val="0"/>
      <w:marRight w:val="0"/>
      <w:marTop w:val="0"/>
      <w:marBottom w:val="0"/>
      <w:divBdr>
        <w:top w:val="none" w:sz="0" w:space="0" w:color="auto"/>
        <w:left w:val="none" w:sz="0" w:space="0" w:color="auto"/>
        <w:bottom w:val="none" w:sz="0" w:space="0" w:color="auto"/>
        <w:right w:val="none" w:sz="0" w:space="0" w:color="auto"/>
      </w:divBdr>
    </w:div>
    <w:div w:id="996347546">
      <w:bodyDiv w:val="1"/>
      <w:marLeft w:val="0"/>
      <w:marRight w:val="0"/>
      <w:marTop w:val="0"/>
      <w:marBottom w:val="0"/>
      <w:divBdr>
        <w:top w:val="none" w:sz="0" w:space="0" w:color="auto"/>
        <w:left w:val="none" w:sz="0" w:space="0" w:color="auto"/>
        <w:bottom w:val="none" w:sz="0" w:space="0" w:color="auto"/>
        <w:right w:val="none" w:sz="0" w:space="0" w:color="auto"/>
      </w:divBdr>
    </w:div>
    <w:div w:id="1005519735">
      <w:bodyDiv w:val="1"/>
      <w:marLeft w:val="0"/>
      <w:marRight w:val="0"/>
      <w:marTop w:val="0"/>
      <w:marBottom w:val="0"/>
      <w:divBdr>
        <w:top w:val="none" w:sz="0" w:space="0" w:color="auto"/>
        <w:left w:val="none" w:sz="0" w:space="0" w:color="auto"/>
        <w:bottom w:val="none" w:sz="0" w:space="0" w:color="auto"/>
        <w:right w:val="none" w:sz="0" w:space="0" w:color="auto"/>
      </w:divBdr>
    </w:div>
    <w:div w:id="1011298772">
      <w:bodyDiv w:val="1"/>
      <w:marLeft w:val="0"/>
      <w:marRight w:val="0"/>
      <w:marTop w:val="0"/>
      <w:marBottom w:val="0"/>
      <w:divBdr>
        <w:top w:val="none" w:sz="0" w:space="0" w:color="auto"/>
        <w:left w:val="none" w:sz="0" w:space="0" w:color="auto"/>
        <w:bottom w:val="none" w:sz="0" w:space="0" w:color="auto"/>
        <w:right w:val="none" w:sz="0" w:space="0" w:color="auto"/>
      </w:divBdr>
    </w:div>
    <w:div w:id="1012336064">
      <w:bodyDiv w:val="1"/>
      <w:marLeft w:val="0"/>
      <w:marRight w:val="0"/>
      <w:marTop w:val="0"/>
      <w:marBottom w:val="0"/>
      <w:divBdr>
        <w:top w:val="none" w:sz="0" w:space="0" w:color="auto"/>
        <w:left w:val="none" w:sz="0" w:space="0" w:color="auto"/>
        <w:bottom w:val="none" w:sz="0" w:space="0" w:color="auto"/>
        <w:right w:val="none" w:sz="0" w:space="0" w:color="auto"/>
      </w:divBdr>
    </w:div>
    <w:div w:id="1012606739">
      <w:bodyDiv w:val="1"/>
      <w:marLeft w:val="0"/>
      <w:marRight w:val="0"/>
      <w:marTop w:val="0"/>
      <w:marBottom w:val="0"/>
      <w:divBdr>
        <w:top w:val="none" w:sz="0" w:space="0" w:color="auto"/>
        <w:left w:val="none" w:sz="0" w:space="0" w:color="auto"/>
        <w:bottom w:val="none" w:sz="0" w:space="0" w:color="auto"/>
        <w:right w:val="none" w:sz="0" w:space="0" w:color="auto"/>
      </w:divBdr>
    </w:div>
    <w:div w:id="1022710521">
      <w:bodyDiv w:val="1"/>
      <w:marLeft w:val="0"/>
      <w:marRight w:val="0"/>
      <w:marTop w:val="0"/>
      <w:marBottom w:val="0"/>
      <w:divBdr>
        <w:top w:val="none" w:sz="0" w:space="0" w:color="auto"/>
        <w:left w:val="none" w:sz="0" w:space="0" w:color="auto"/>
        <w:bottom w:val="none" w:sz="0" w:space="0" w:color="auto"/>
        <w:right w:val="none" w:sz="0" w:space="0" w:color="auto"/>
      </w:divBdr>
    </w:div>
    <w:div w:id="1024747428">
      <w:bodyDiv w:val="1"/>
      <w:marLeft w:val="0"/>
      <w:marRight w:val="0"/>
      <w:marTop w:val="0"/>
      <w:marBottom w:val="0"/>
      <w:divBdr>
        <w:top w:val="none" w:sz="0" w:space="0" w:color="auto"/>
        <w:left w:val="none" w:sz="0" w:space="0" w:color="auto"/>
        <w:bottom w:val="none" w:sz="0" w:space="0" w:color="auto"/>
        <w:right w:val="none" w:sz="0" w:space="0" w:color="auto"/>
      </w:divBdr>
    </w:div>
    <w:div w:id="1026714512">
      <w:bodyDiv w:val="1"/>
      <w:marLeft w:val="0"/>
      <w:marRight w:val="0"/>
      <w:marTop w:val="0"/>
      <w:marBottom w:val="0"/>
      <w:divBdr>
        <w:top w:val="none" w:sz="0" w:space="0" w:color="auto"/>
        <w:left w:val="none" w:sz="0" w:space="0" w:color="auto"/>
        <w:bottom w:val="none" w:sz="0" w:space="0" w:color="auto"/>
        <w:right w:val="none" w:sz="0" w:space="0" w:color="auto"/>
      </w:divBdr>
    </w:div>
    <w:div w:id="1028482501">
      <w:bodyDiv w:val="1"/>
      <w:marLeft w:val="0"/>
      <w:marRight w:val="0"/>
      <w:marTop w:val="0"/>
      <w:marBottom w:val="0"/>
      <w:divBdr>
        <w:top w:val="none" w:sz="0" w:space="0" w:color="auto"/>
        <w:left w:val="none" w:sz="0" w:space="0" w:color="auto"/>
        <w:bottom w:val="none" w:sz="0" w:space="0" w:color="auto"/>
        <w:right w:val="none" w:sz="0" w:space="0" w:color="auto"/>
      </w:divBdr>
    </w:div>
    <w:div w:id="1030297058">
      <w:bodyDiv w:val="1"/>
      <w:marLeft w:val="0"/>
      <w:marRight w:val="0"/>
      <w:marTop w:val="0"/>
      <w:marBottom w:val="0"/>
      <w:divBdr>
        <w:top w:val="none" w:sz="0" w:space="0" w:color="auto"/>
        <w:left w:val="none" w:sz="0" w:space="0" w:color="auto"/>
        <w:bottom w:val="none" w:sz="0" w:space="0" w:color="auto"/>
        <w:right w:val="none" w:sz="0" w:space="0" w:color="auto"/>
      </w:divBdr>
    </w:div>
    <w:div w:id="1035037443">
      <w:bodyDiv w:val="1"/>
      <w:marLeft w:val="0"/>
      <w:marRight w:val="0"/>
      <w:marTop w:val="0"/>
      <w:marBottom w:val="0"/>
      <w:divBdr>
        <w:top w:val="none" w:sz="0" w:space="0" w:color="auto"/>
        <w:left w:val="none" w:sz="0" w:space="0" w:color="auto"/>
        <w:bottom w:val="none" w:sz="0" w:space="0" w:color="auto"/>
        <w:right w:val="none" w:sz="0" w:space="0" w:color="auto"/>
      </w:divBdr>
    </w:div>
    <w:div w:id="1035499926">
      <w:bodyDiv w:val="1"/>
      <w:marLeft w:val="0"/>
      <w:marRight w:val="0"/>
      <w:marTop w:val="0"/>
      <w:marBottom w:val="0"/>
      <w:divBdr>
        <w:top w:val="none" w:sz="0" w:space="0" w:color="auto"/>
        <w:left w:val="none" w:sz="0" w:space="0" w:color="auto"/>
        <w:bottom w:val="none" w:sz="0" w:space="0" w:color="auto"/>
        <w:right w:val="none" w:sz="0" w:space="0" w:color="auto"/>
      </w:divBdr>
    </w:div>
    <w:div w:id="1036613538">
      <w:bodyDiv w:val="1"/>
      <w:marLeft w:val="0"/>
      <w:marRight w:val="0"/>
      <w:marTop w:val="0"/>
      <w:marBottom w:val="0"/>
      <w:divBdr>
        <w:top w:val="none" w:sz="0" w:space="0" w:color="auto"/>
        <w:left w:val="none" w:sz="0" w:space="0" w:color="auto"/>
        <w:bottom w:val="none" w:sz="0" w:space="0" w:color="auto"/>
        <w:right w:val="none" w:sz="0" w:space="0" w:color="auto"/>
      </w:divBdr>
    </w:div>
    <w:div w:id="1039279872">
      <w:bodyDiv w:val="1"/>
      <w:marLeft w:val="0"/>
      <w:marRight w:val="0"/>
      <w:marTop w:val="0"/>
      <w:marBottom w:val="0"/>
      <w:divBdr>
        <w:top w:val="none" w:sz="0" w:space="0" w:color="auto"/>
        <w:left w:val="none" w:sz="0" w:space="0" w:color="auto"/>
        <w:bottom w:val="none" w:sz="0" w:space="0" w:color="auto"/>
        <w:right w:val="none" w:sz="0" w:space="0" w:color="auto"/>
      </w:divBdr>
    </w:div>
    <w:div w:id="1040743339">
      <w:bodyDiv w:val="1"/>
      <w:marLeft w:val="0"/>
      <w:marRight w:val="0"/>
      <w:marTop w:val="0"/>
      <w:marBottom w:val="0"/>
      <w:divBdr>
        <w:top w:val="none" w:sz="0" w:space="0" w:color="auto"/>
        <w:left w:val="none" w:sz="0" w:space="0" w:color="auto"/>
        <w:bottom w:val="none" w:sz="0" w:space="0" w:color="auto"/>
        <w:right w:val="none" w:sz="0" w:space="0" w:color="auto"/>
      </w:divBdr>
    </w:div>
    <w:div w:id="1044603615">
      <w:bodyDiv w:val="1"/>
      <w:marLeft w:val="0"/>
      <w:marRight w:val="0"/>
      <w:marTop w:val="0"/>
      <w:marBottom w:val="0"/>
      <w:divBdr>
        <w:top w:val="none" w:sz="0" w:space="0" w:color="auto"/>
        <w:left w:val="none" w:sz="0" w:space="0" w:color="auto"/>
        <w:bottom w:val="none" w:sz="0" w:space="0" w:color="auto"/>
        <w:right w:val="none" w:sz="0" w:space="0" w:color="auto"/>
      </w:divBdr>
    </w:div>
    <w:div w:id="1045911993">
      <w:bodyDiv w:val="1"/>
      <w:marLeft w:val="0"/>
      <w:marRight w:val="0"/>
      <w:marTop w:val="0"/>
      <w:marBottom w:val="0"/>
      <w:divBdr>
        <w:top w:val="none" w:sz="0" w:space="0" w:color="auto"/>
        <w:left w:val="none" w:sz="0" w:space="0" w:color="auto"/>
        <w:bottom w:val="none" w:sz="0" w:space="0" w:color="auto"/>
        <w:right w:val="none" w:sz="0" w:space="0" w:color="auto"/>
      </w:divBdr>
    </w:div>
    <w:div w:id="1047146524">
      <w:bodyDiv w:val="1"/>
      <w:marLeft w:val="0"/>
      <w:marRight w:val="0"/>
      <w:marTop w:val="0"/>
      <w:marBottom w:val="0"/>
      <w:divBdr>
        <w:top w:val="none" w:sz="0" w:space="0" w:color="auto"/>
        <w:left w:val="none" w:sz="0" w:space="0" w:color="auto"/>
        <w:bottom w:val="none" w:sz="0" w:space="0" w:color="auto"/>
        <w:right w:val="none" w:sz="0" w:space="0" w:color="auto"/>
      </w:divBdr>
    </w:div>
    <w:div w:id="1049114039">
      <w:bodyDiv w:val="1"/>
      <w:marLeft w:val="0"/>
      <w:marRight w:val="0"/>
      <w:marTop w:val="0"/>
      <w:marBottom w:val="0"/>
      <w:divBdr>
        <w:top w:val="none" w:sz="0" w:space="0" w:color="auto"/>
        <w:left w:val="none" w:sz="0" w:space="0" w:color="auto"/>
        <w:bottom w:val="none" w:sz="0" w:space="0" w:color="auto"/>
        <w:right w:val="none" w:sz="0" w:space="0" w:color="auto"/>
      </w:divBdr>
    </w:div>
    <w:div w:id="1058474326">
      <w:bodyDiv w:val="1"/>
      <w:marLeft w:val="0"/>
      <w:marRight w:val="0"/>
      <w:marTop w:val="0"/>
      <w:marBottom w:val="0"/>
      <w:divBdr>
        <w:top w:val="none" w:sz="0" w:space="0" w:color="auto"/>
        <w:left w:val="none" w:sz="0" w:space="0" w:color="auto"/>
        <w:bottom w:val="none" w:sz="0" w:space="0" w:color="auto"/>
        <w:right w:val="none" w:sz="0" w:space="0" w:color="auto"/>
      </w:divBdr>
    </w:div>
    <w:div w:id="1061294109">
      <w:bodyDiv w:val="1"/>
      <w:marLeft w:val="0"/>
      <w:marRight w:val="0"/>
      <w:marTop w:val="0"/>
      <w:marBottom w:val="0"/>
      <w:divBdr>
        <w:top w:val="none" w:sz="0" w:space="0" w:color="auto"/>
        <w:left w:val="none" w:sz="0" w:space="0" w:color="auto"/>
        <w:bottom w:val="none" w:sz="0" w:space="0" w:color="auto"/>
        <w:right w:val="none" w:sz="0" w:space="0" w:color="auto"/>
      </w:divBdr>
    </w:div>
    <w:div w:id="1067458788">
      <w:bodyDiv w:val="1"/>
      <w:marLeft w:val="0"/>
      <w:marRight w:val="0"/>
      <w:marTop w:val="0"/>
      <w:marBottom w:val="0"/>
      <w:divBdr>
        <w:top w:val="none" w:sz="0" w:space="0" w:color="auto"/>
        <w:left w:val="none" w:sz="0" w:space="0" w:color="auto"/>
        <w:bottom w:val="none" w:sz="0" w:space="0" w:color="auto"/>
        <w:right w:val="none" w:sz="0" w:space="0" w:color="auto"/>
      </w:divBdr>
    </w:div>
    <w:div w:id="1067799429">
      <w:bodyDiv w:val="1"/>
      <w:marLeft w:val="0"/>
      <w:marRight w:val="0"/>
      <w:marTop w:val="0"/>
      <w:marBottom w:val="0"/>
      <w:divBdr>
        <w:top w:val="none" w:sz="0" w:space="0" w:color="auto"/>
        <w:left w:val="none" w:sz="0" w:space="0" w:color="auto"/>
        <w:bottom w:val="none" w:sz="0" w:space="0" w:color="auto"/>
        <w:right w:val="none" w:sz="0" w:space="0" w:color="auto"/>
      </w:divBdr>
    </w:div>
    <w:div w:id="1068846629">
      <w:bodyDiv w:val="1"/>
      <w:marLeft w:val="0"/>
      <w:marRight w:val="0"/>
      <w:marTop w:val="0"/>
      <w:marBottom w:val="0"/>
      <w:divBdr>
        <w:top w:val="none" w:sz="0" w:space="0" w:color="auto"/>
        <w:left w:val="none" w:sz="0" w:space="0" w:color="auto"/>
        <w:bottom w:val="none" w:sz="0" w:space="0" w:color="auto"/>
        <w:right w:val="none" w:sz="0" w:space="0" w:color="auto"/>
      </w:divBdr>
    </w:div>
    <w:div w:id="1074355312">
      <w:bodyDiv w:val="1"/>
      <w:marLeft w:val="0"/>
      <w:marRight w:val="0"/>
      <w:marTop w:val="0"/>
      <w:marBottom w:val="0"/>
      <w:divBdr>
        <w:top w:val="none" w:sz="0" w:space="0" w:color="auto"/>
        <w:left w:val="none" w:sz="0" w:space="0" w:color="auto"/>
        <w:bottom w:val="none" w:sz="0" w:space="0" w:color="auto"/>
        <w:right w:val="none" w:sz="0" w:space="0" w:color="auto"/>
      </w:divBdr>
    </w:div>
    <w:div w:id="1085689613">
      <w:bodyDiv w:val="1"/>
      <w:marLeft w:val="0"/>
      <w:marRight w:val="0"/>
      <w:marTop w:val="0"/>
      <w:marBottom w:val="0"/>
      <w:divBdr>
        <w:top w:val="none" w:sz="0" w:space="0" w:color="auto"/>
        <w:left w:val="none" w:sz="0" w:space="0" w:color="auto"/>
        <w:bottom w:val="none" w:sz="0" w:space="0" w:color="auto"/>
        <w:right w:val="none" w:sz="0" w:space="0" w:color="auto"/>
      </w:divBdr>
      <w:divsChild>
        <w:div w:id="1041323270">
          <w:marLeft w:val="0"/>
          <w:marRight w:val="0"/>
          <w:marTop w:val="0"/>
          <w:marBottom w:val="0"/>
          <w:divBdr>
            <w:top w:val="none" w:sz="0" w:space="0" w:color="auto"/>
            <w:left w:val="none" w:sz="0" w:space="0" w:color="auto"/>
            <w:bottom w:val="none" w:sz="0" w:space="0" w:color="auto"/>
            <w:right w:val="none" w:sz="0" w:space="0" w:color="auto"/>
          </w:divBdr>
        </w:div>
        <w:div w:id="1255162259">
          <w:marLeft w:val="0"/>
          <w:marRight w:val="0"/>
          <w:marTop w:val="0"/>
          <w:marBottom w:val="0"/>
          <w:divBdr>
            <w:top w:val="none" w:sz="0" w:space="0" w:color="auto"/>
            <w:left w:val="none" w:sz="0" w:space="0" w:color="auto"/>
            <w:bottom w:val="none" w:sz="0" w:space="0" w:color="auto"/>
            <w:right w:val="none" w:sz="0" w:space="0" w:color="auto"/>
          </w:divBdr>
        </w:div>
        <w:div w:id="1551572112">
          <w:marLeft w:val="0"/>
          <w:marRight w:val="0"/>
          <w:marTop w:val="0"/>
          <w:marBottom w:val="0"/>
          <w:divBdr>
            <w:top w:val="none" w:sz="0" w:space="0" w:color="auto"/>
            <w:left w:val="none" w:sz="0" w:space="0" w:color="auto"/>
            <w:bottom w:val="none" w:sz="0" w:space="0" w:color="auto"/>
            <w:right w:val="none" w:sz="0" w:space="0" w:color="auto"/>
          </w:divBdr>
        </w:div>
        <w:div w:id="1591506267">
          <w:marLeft w:val="0"/>
          <w:marRight w:val="0"/>
          <w:marTop w:val="0"/>
          <w:marBottom w:val="0"/>
          <w:divBdr>
            <w:top w:val="none" w:sz="0" w:space="0" w:color="auto"/>
            <w:left w:val="none" w:sz="0" w:space="0" w:color="auto"/>
            <w:bottom w:val="none" w:sz="0" w:space="0" w:color="auto"/>
            <w:right w:val="none" w:sz="0" w:space="0" w:color="auto"/>
          </w:divBdr>
        </w:div>
        <w:div w:id="1683238801">
          <w:marLeft w:val="0"/>
          <w:marRight w:val="0"/>
          <w:marTop w:val="0"/>
          <w:marBottom w:val="0"/>
          <w:divBdr>
            <w:top w:val="none" w:sz="0" w:space="0" w:color="auto"/>
            <w:left w:val="none" w:sz="0" w:space="0" w:color="auto"/>
            <w:bottom w:val="none" w:sz="0" w:space="0" w:color="auto"/>
            <w:right w:val="none" w:sz="0" w:space="0" w:color="auto"/>
          </w:divBdr>
        </w:div>
      </w:divsChild>
    </w:div>
    <w:div w:id="1088427407">
      <w:bodyDiv w:val="1"/>
      <w:marLeft w:val="0"/>
      <w:marRight w:val="0"/>
      <w:marTop w:val="0"/>
      <w:marBottom w:val="0"/>
      <w:divBdr>
        <w:top w:val="none" w:sz="0" w:space="0" w:color="auto"/>
        <w:left w:val="none" w:sz="0" w:space="0" w:color="auto"/>
        <w:bottom w:val="none" w:sz="0" w:space="0" w:color="auto"/>
        <w:right w:val="none" w:sz="0" w:space="0" w:color="auto"/>
      </w:divBdr>
    </w:div>
    <w:div w:id="1097868737">
      <w:bodyDiv w:val="1"/>
      <w:marLeft w:val="0"/>
      <w:marRight w:val="0"/>
      <w:marTop w:val="0"/>
      <w:marBottom w:val="0"/>
      <w:divBdr>
        <w:top w:val="none" w:sz="0" w:space="0" w:color="auto"/>
        <w:left w:val="none" w:sz="0" w:space="0" w:color="auto"/>
        <w:bottom w:val="none" w:sz="0" w:space="0" w:color="auto"/>
        <w:right w:val="none" w:sz="0" w:space="0" w:color="auto"/>
      </w:divBdr>
    </w:div>
    <w:div w:id="1105199323">
      <w:bodyDiv w:val="1"/>
      <w:marLeft w:val="0"/>
      <w:marRight w:val="0"/>
      <w:marTop w:val="0"/>
      <w:marBottom w:val="0"/>
      <w:divBdr>
        <w:top w:val="none" w:sz="0" w:space="0" w:color="auto"/>
        <w:left w:val="none" w:sz="0" w:space="0" w:color="auto"/>
        <w:bottom w:val="none" w:sz="0" w:space="0" w:color="auto"/>
        <w:right w:val="none" w:sz="0" w:space="0" w:color="auto"/>
      </w:divBdr>
    </w:div>
    <w:div w:id="1106341200">
      <w:bodyDiv w:val="1"/>
      <w:marLeft w:val="0"/>
      <w:marRight w:val="0"/>
      <w:marTop w:val="0"/>
      <w:marBottom w:val="0"/>
      <w:divBdr>
        <w:top w:val="none" w:sz="0" w:space="0" w:color="auto"/>
        <w:left w:val="none" w:sz="0" w:space="0" w:color="auto"/>
        <w:bottom w:val="none" w:sz="0" w:space="0" w:color="auto"/>
        <w:right w:val="none" w:sz="0" w:space="0" w:color="auto"/>
      </w:divBdr>
    </w:div>
    <w:div w:id="1108701231">
      <w:bodyDiv w:val="1"/>
      <w:marLeft w:val="0"/>
      <w:marRight w:val="0"/>
      <w:marTop w:val="0"/>
      <w:marBottom w:val="0"/>
      <w:divBdr>
        <w:top w:val="none" w:sz="0" w:space="0" w:color="auto"/>
        <w:left w:val="none" w:sz="0" w:space="0" w:color="auto"/>
        <w:bottom w:val="none" w:sz="0" w:space="0" w:color="auto"/>
        <w:right w:val="none" w:sz="0" w:space="0" w:color="auto"/>
      </w:divBdr>
    </w:div>
    <w:div w:id="1112700457">
      <w:bodyDiv w:val="1"/>
      <w:marLeft w:val="0"/>
      <w:marRight w:val="0"/>
      <w:marTop w:val="0"/>
      <w:marBottom w:val="0"/>
      <w:divBdr>
        <w:top w:val="none" w:sz="0" w:space="0" w:color="auto"/>
        <w:left w:val="none" w:sz="0" w:space="0" w:color="auto"/>
        <w:bottom w:val="none" w:sz="0" w:space="0" w:color="auto"/>
        <w:right w:val="none" w:sz="0" w:space="0" w:color="auto"/>
      </w:divBdr>
    </w:div>
    <w:div w:id="1115443339">
      <w:bodyDiv w:val="1"/>
      <w:marLeft w:val="0"/>
      <w:marRight w:val="0"/>
      <w:marTop w:val="0"/>
      <w:marBottom w:val="0"/>
      <w:divBdr>
        <w:top w:val="none" w:sz="0" w:space="0" w:color="auto"/>
        <w:left w:val="none" w:sz="0" w:space="0" w:color="auto"/>
        <w:bottom w:val="none" w:sz="0" w:space="0" w:color="auto"/>
        <w:right w:val="none" w:sz="0" w:space="0" w:color="auto"/>
      </w:divBdr>
    </w:div>
    <w:div w:id="1117942266">
      <w:bodyDiv w:val="1"/>
      <w:marLeft w:val="0"/>
      <w:marRight w:val="0"/>
      <w:marTop w:val="0"/>
      <w:marBottom w:val="0"/>
      <w:divBdr>
        <w:top w:val="none" w:sz="0" w:space="0" w:color="auto"/>
        <w:left w:val="none" w:sz="0" w:space="0" w:color="auto"/>
        <w:bottom w:val="none" w:sz="0" w:space="0" w:color="auto"/>
        <w:right w:val="none" w:sz="0" w:space="0" w:color="auto"/>
      </w:divBdr>
    </w:div>
    <w:div w:id="1119567359">
      <w:bodyDiv w:val="1"/>
      <w:marLeft w:val="0"/>
      <w:marRight w:val="0"/>
      <w:marTop w:val="0"/>
      <w:marBottom w:val="0"/>
      <w:divBdr>
        <w:top w:val="none" w:sz="0" w:space="0" w:color="auto"/>
        <w:left w:val="none" w:sz="0" w:space="0" w:color="auto"/>
        <w:bottom w:val="none" w:sz="0" w:space="0" w:color="auto"/>
        <w:right w:val="none" w:sz="0" w:space="0" w:color="auto"/>
      </w:divBdr>
    </w:div>
    <w:div w:id="1121268790">
      <w:bodyDiv w:val="1"/>
      <w:marLeft w:val="0"/>
      <w:marRight w:val="0"/>
      <w:marTop w:val="0"/>
      <w:marBottom w:val="0"/>
      <w:divBdr>
        <w:top w:val="none" w:sz="0" w:space="0" w:color="auto"/>
        <w:left w:val="none" w:sz="0" w:space="0" w:color="auto"/>
        <w:bottom w:val="none" w:sz="0" w:space="0" w:color="auto"/>
        <w:right w:val="none" w:sz="0" w:space="0" w:color="auto"/>
      </w:divBdr>
    </w:div>
    <w:div w:id="1124881160">
      <w:bodyDiv w:val="1"/>
      <w:marLeft w:val="0"/>
      <w:marRight w:val="0"/>
      <w:marTop w:val="0"/>
      <w:marBottom w:val="0"/>
      <w:divBdr>
        <w:top w:val="none" w:sz="0" w:space="0" w:color="auto"/>
        <w:left w:val="none" w:sz="0" w:space="0" w:color="auto"/>
        <w:bottom w:val="none" w:sz="0" w:space="0" w:color="auto"/>
        <w:right w:val="none" w:sz="0" w:space="0" w:color="auto"/>
      </w:divBdr>
    </w:div>
    <w:div w:id="1125851061">
      <w:bodyDiv w:val="1"/>
      <w:marLeft w:val="0"/>
      <w:marRight w:val="0"/>
      <w:marTop w:val="0"/>
      <w:marBottom w:val="0"/>
      <w:divBdr>
        <w:top w:val="none" w:sz="0" w:space="0" w:color="auto"/>
        <w:left w:val="none" w:sz="0" w:space="0" w:color="auto"/>
        <w:bottom w:val="none" w:sz="0" w:space="0" w:color="auto"/>
        <w:right w:val="none" w:sz="0" w:space="0" w:color="auto"/>
      </w:divBdr>
    </w:div>
    <w:div w:id="1126311205">
      <w:bodyDiv w:val="1"/>
      <w:marLeft w:val="0"/>
      <w:marRight w:val="0"/>
      <w:marTop w:val="0"/>
      <w:marBottom w:val="0"/>
      <w:divBdr>
        <w:top w:val="none" w:sz="0" w:space="0" w:color="auto"/>
        <w:left w:val="none" w:sz="0" w:space="0" w:color="auto"/>
        <w:bottom w:val="none" w:sz="0" w:space="0" w:color="auto"/>
        <w:right w:val="none" w:sz="0" w:space="0" w:color="auto"/>
      </w:divBdr>
    </w:div>
    <w:div w:id="1126630461">
      <w:bodyDiv w:val="1"/>
      <w:marLeft w:val="0"/>
      <w:marRight w:val="0"/>
      <w:marTop w:val="0"/>
      <w:marBottom w:val="0"/>
      <w:divBdr>
        <w:top w:val="none" w:sz="0" w:space="0" w:color="auto"/>
        <w:left w:val="none" w:sz="0" w:space="0" w:color="auto"/>
        <w:bottom w:val="none" w:sz="0" w:space="0" w:color="auto"/>
        <w:right w:val="none" w:sz="0" w:space="0" w:color="auto"/>
      </w:divBdr>
    </w:div>
    <w:div w:id="1127896739">
      <w:bodyDiv w:val="1"/>
      <w:marLeft w:val="0"/>
      <w:marRight w:val="0"/>
      <w:marTop w:val="0"/>
      <w:marBottom w:val="0"/>
      <w:divBdr>
        <w:top w:val="none" w:sz="0" w:space="0" w:color="auto"/>
        <w:left w:val="none" w:sz="0" w:space="0" w:color="auto"/>
        <w:bottom w:val="none" w:sz="0" w:space="0" w:color="auto"/>
        <w:right w:val="none" w:sz="0" w:space="0" w:color="auto"/>
      </w:divBdr>
    </w:div>
    <w:div w:id="1135836470">
      <w:bodyDiv w:val="1"/>
      <w:marLeft w:val="0"/>
      <w:marRight w:val="0"/>
      <w:marTop w:val="0"/>
      <w:marBottom w:val="0"/>
      <w:divBdr>
        <w:top w:val="none" w:sz="0" w:space="0" w:color="auto"/>
        <w:left w:val="none" w:sz="0" w:space="0" w:color="auto"/>
        <w:bottom w:val="none" w:sz="0" w:space="0" w:color="auto"/>
        <w:right w:val="none" w:sz="0" w:space="0" w:color="auto"/>
      </w:divBdr>
    </w:div>
    <w:div w:id="1135871849">
      <w:bodyDiv w:val="1"/>
      <w:marLeft w:val="0"/>
      <w:marRight w:val="0"/>
      <w:marTop w:val="0"/>
      <w:marBottom w:val="0"/>
      <w:divBdr>
        <w:top w:val="none" w:sz="0" w:space="0" w:color="auto"/>
        <w:left w:val="none" w:sz="0" w:space="0" w:color="auto"/>
        <w:bottom w:val="none" w:sz="0" w:space="0" w:color="auto"/>
        <w:right w:val="none" w:sz="0" w:space="0" w:color="auto"/>
      </w:divBdr>
    </w:div>
    <w:div w:id="1147235701">
      <w:bodyDiv w:val="1"/>
      <w:marLeft w:val="0"/>
      <w:marRight w:val="0"/>
      <w:marTop w:val="0"/>
      <w:marBottom w:val="0"/>
      <w:divBdr>
        <w:top w:val="none" w:sz="0" w:space="0" w:color="auto"/>
        <w:left w:val="none" w:sz="0" w:space="0" w:color="auto"/>
        <w:bottom w:val="none" w:sz="0" w:space="0" w:color="auto"/>
        <w:right w:val="none" w:sz="0" w:space="0" w:color="auto"/>
      </w:divBdr>
    </w:div>
    <w:div w:id="1153834339">
      <w:bodyDiv w:val="1"/>
      <w:marLeft w:val="0"/>
      <w:marRight w:val="0"/>
      <w:marTop w:val="0"/>
      <w:marBottom w:val="0"/>
      <w:divBdr>
        <w:top w:val="none" w:sz="0" w:space="0" w:color="auto"/>
        <w:left w:val="none" w:sz="0" w:space="0" w:color="auto"/>
        <w:bottom w:val="none" w:sz="0" w:space="0" w:color="auto"/>
        <w:right w:val="none" w:sz="0" w:space="0" w:color="auto"/>
      </w:divBdr>
    </w:div>
    <w:div w:id="1155225216">
      <w:bodyDiv w:val="1"/>
      <w:marLeft w:val="0"/>
      <w:marRight w:val="0"/>
      <w:marTop w:val="0"/>
      <w:marBottom w:val="0"/>
      <w:divBdr>
        <w:top w:val="none" w:sz="0" w:space="0" w:color="auto"/>
        <w:left w:val="none" w:sz="0" w:space="0" w:color="auto"/>
        <w:bottom w:val="none" w:sz="0" w:space="0" w:color="auto"/>
        <w:right w:val="none" w:sz="0" w:space="0" w:color="auto"/>
      </w:divBdr>
    </w:div>
    <w:div w:id="1161196896">
      <w:bodyDiv w:val="1"/>
      <w:marLeft w:val="0"/>
      <w:marRight w:val="0"/>
      <w:marTop w:val="0"/>
      <w:marBottom w:val="0"/>
      <w:divBdr>
        <w:top w:val="none" w:sz="0" w:space="0" w:color="auto"/>
        <w:left w:val="none" w:sz="0" w:space="0" w:color="auto"/>
        <w:bottom w:val="none" w:sz="0" w:space="0" w:color="auto"/>
        <w:right w:val="none" w:sz="0" w:space="0" w:color="auto"/>
      </w:divBdr>
    </w:div>
    <w:div w:id="1164857301">
      <w:bodyDiv w:val="1"/>
      <w:marLeft w:val="0"/>
      <w:marRight w:val="0"/>
      <w:marTop w:val="0"/>
      <w:marBottom w:val="0"/>
      <w:divBdr>
        <w:top w:val="none" w:sz="0" w:space="0" w:color="auto"/>
        <w:left w:val="none" w:sz="0" w:space="0" w:color="auto"/>
        <w:bottom w:val="none" w:sz="0" w:space="0" w:color="auto"/>
        <w:right w:val="none" w:sz="0" w:space="0" w:color="auto"/>
      </w:divBdr>
    </w:div>
    <w:div w:id="1170295323">
      <w:bodyDiv w:val="1"/>
      <w:marLeft w:val="0"/>
      <w:marRight w:val="0"/>
      <w:marTop w:val="0"/>
      <w:marBottom w:val="0"/>
      <w:divBdr>
        <w:top w:val="none" w:sz="0" w:space="0" w:color="auto"/>
        <w:left w:val="none" w:sz="0" w:space="0" w:color="auto"/>
        <w:bottom w:val="none" w:sz="0" w:space="0" w:color="auto"/>
        <w:right w:val="none" w:sz="0" w:space="0" w:color="auto"/>
      </w:divBdr>
    </w:div>
    <w:div w:id="1178041490">
      <w:bodyDiv w:val="1"/>
      <w:marLeft w:val="0"/>
      <w:marRight w:val="0"/>
      <w:marTop w:val="0"/>
      <w:marBottom w:val="0"/>
      <w:divBdr>
        <w:top w:val="none" w:sz="0" w:space="0" w:color="auto"/>
        <w:left w:val="none" w:sz="0" w:space="0" w:color="auto"/>
        <w:bottom w:val="none" w:sz="0" w:space="0" w:color="auto"/>
        <w:right w:val="none" w:sz="0" w:space="0" w:color="auto"/>
      </w:divBdr>
    </w:div>
    <w:div w:id="1183399892">
      <w:bodyDiv w:val="1"/>
      <w:marLeft w:val="0"/>
      <w:marRight w:val="0"/>
      <w:marTop w:val="0"/>
      <w:marBottom w:val="0"/>
      <w:divBdr>
        <w:top w:val="none" w:sz="0" w:space="0" w:color="auto"/>
        <w:left w:val="none" w:sz="0" w:space="0" w:color="auto"/>
        <w:bottom w:val="none" w:sz="0" w:space="0" w:color="auto"/>
        <w:right w:val="none" w:sz="0" w:space="0" w:color="auto"/>
      </w:divBdr>
    </w:div>
    <w:div w:id="1193566717">
      <w:bodyDiv w:val="1"/>
      <w:marLeft w:val="0"/>
      <w:marRight w:val="0"/>
      <w:marTop w:val="0"/>
      <w:marBottom w:val="0"/>
      <w:divBdr>
        <w:top w:val="none" w:sz="0" w:space="0" w:color="auto"/>
        <w:left w:val="none" w:sz="0" w:space="0" w:color="auto"/>
        <w:bottom w:val="none" w:sz="0" w:space="0" w:color="auto"/>
        <w:right w:val="none" w:sz="0" w:space="0" w:color="auto"/>
      </w:divBdr>
    </w:div>
    <w:div w:id="1197620792">
      <w:bodyDiv w:val="1"/>
      <w:marLeft w:val="0"/>
      <w:marRight w:val="0"/>
      <w:marTop w:val="0"/>
      <w:marBottom w:val="0"/>
      <w:divBdr>
        <w:top w:val="none" w:sz="0" w:space="0" w:color="auto"/>
        <w:left w:val="none" w:sz="0" w:space="0" w:color="auto"/>
        <w:bottom w:val="none" w:sz="0" w:space="0" w:color="auto"/>
        <w:right w:val="none" w:sz="0" w:space="0" w:color="auto"/>
      </w:divBdr>
    </w:div>
    <w:div w:id="1199658520">
      <w:bodyDiv w:val="1"/>
      <w:marLeft w:val="0"/>
      <w:marRight w:val="0"/>
      <w:marTop w:val="0"/>
      <w:marBottom w:val="0"/>
      <w:divBdr>
        <w:top w:val="none" w:sz="0" w:space="0" w:color="auto"/>
        <w:left w:val="none" w:sz="0" w:space="0" w:color="auto"/>
        <w:bottom w:val="none" w:sz="0" w:space="0" w:color="auto"/>
        <w:right w:val="none" w:sz="0" w:space="0" w:color="auto"/>
      </w:divBdr>
    </w:div>
    <w:div w:id="1201894984">
      <w:bodyDiv w:val="1"/>
      <w:marLeft w:val="0"/>
      <w:marRight w:val="0"/>
      <w:marTop w:val="0"/>
      <w:marBottom w:val="0"/>
      <w:divBdr>
        <w:top w:val="none" w:sz="0" w:space="0" w:color="auto"/>
        <w:left w:val="none" w:sz="0" w:space="0" w:color="auto"/>
        <w:bottom w:val="none" w:sz="0" w:space="0" w:color="auto"/>
        <w:right w:val="none" w:sz="0" w:space="0" w:color="auto"/>
      </w:divBdr>
    </w:div>
    <w:div w:id="1204097375">
      <w:bodyDiv w:val="1"/>
      <w:marLeft w:val="0"/>
      <w:marRight w:val="0"/>
      <w:marTop w:val="0"/>
      <w:marBottom w:val="0"/>
      <w:divBdr>
        <w:top w:val="none" w:sz="0" w:space="0" w:color="auto"/>
        <w:left w:val="none" w:sz="0" w:space="0" w:color="auto"/>
        <w:bottom w:val="none" w:sz="0" w:space="0" w:color="auto"/>
        <w:right w:val="none" w:sz="0" w:space="0" w:color="auto"/>
      </w:divBdr>
    </w:div>
    <w:div w:id="1214468466">
      <w:bodyDiv w:val="1"/>
      <w:marLeft w:val="0"/>
      <w:marRight w:val="0"/>
      <w:marTop w:val="0"/>
      <w:marBottom w:val="0"/>
      <w:divBdr>
        <w:top w:val="none" w:sz="0" w:space="0" w:color="auto"/>
        <w:left w:val="none" w:sz="0" w:space="0" w:color="auto"/>
        <w:bottom w:val="none" w:sz="0" w:space="0" w:color="auto"/>
        <w:right w:val="none" w:sz="0" w:space="0" w:color="auto"/>
      </w:divBdr>
    </w:div>
    <w:div w:id="1218475054">
      <w:bodyDiv w:val="1"/>
      <w:marLeft w:val="0"/>
      <w:marRight w:val="0"/>
      <w:marTop w:val="0"/>
      <w:marBottom w:val="0"/>
      <w:divBdr>
        <w:top w:val="none" w:sz="0" w:space="0" w:color="auto"/>
        <w:left w:val="none" w:sz="0" w:space="0" w:color="auto"/>
        <w:bottom w:val="none" w:sz="0" w:space="0" w:color="auto"/>
        <w:right w:val="none" w:sz="0" w:space="0" w:color="auto"/>
      </w:divBdr>
    </w:div>
    <w:div w:id="1221015073">
      <w:bodyDiv w:val="1"/>
      <w:marLeft w:val="0"/>
      <w:marRight w:val="0"/>
      <w:marTop w:val="0"/>
      <w:marBottom w:val="0"/>
      <w:divBdr>
        <w:top w:val="none" w:sz="0" w:space="0" w:color="auto"/>
        <w:left w:val="none" w:sz="0" w:space="0" w:color="auto"/>
        <w:bottom w:val="none" w:sz="0" w:space="0" w:color="auto"/>
        <w:right w:val="none" w:sz="0" w:space="0" w:color="auto"/>
      </w:divBdr>
    </w:div>
    <w:div w:id="1224100581">
      <w:bodyDiv w:val="1"/>
      <w:marLeft w:val="0"/>
      <w:marRight w:val="0"/>
      <w:marTop w:val="0"/>
      <w:marBottom w:val="0"/>
      <w:divBdr>
        <w:top w:val="none" w:sz="0" w:space="0" w:color="auto"/>
        <w:left w:val="none" w:sz="0" w:space="0" w:color="auto"/>
        <w:bottom w:val="none" w:sz="0" w:space="0" w:color="auto"/>
        <w:right w:val="none" w:sz="0" w:space="0" w:color="auto"/>
      </w:divBdr>
    </w:div>
    <w:div w:id="1228296172">
      <w:bodyDiv w:val="1"/>
      <w:marLeft w:val="0"/>
      <w:marRight w:val="0"/>
      <w:marTop w:val="0"/>
      <w:marBottom w:val="0"/>
      <w:divBdr>
        <w:top w:val="none" w:sz="0" w:space="0" w:color="auto"/>
        <w:left w:val="none" w:sz="0" w:space="0" w:color="auto"/>
        <w:bottom w:val="none" w:sz="0" w:space="0" w:color="auto"/>
        <w:right w:val="none" w:sz="0" w:space="0" w:color="auto"/>
      </w:divBdr>
    </w:div>
    <w:div w:id="1228345985">
      <w:bodyDiv w:val="1"/>
      <w:marLeft w:val="0"/>
      <w:marRight w:val="0"/>
      <w:marTop w:val="0"/>
      <w:marBottom w:val="0"/>
      <w:divBdr>
        <w:top w:val="none" w:sz="0" w:space="0" w:color="auto"/>
        <w:left w:val="none" w:sz="0" w:space="0" w:color="auto"/>
        <w:bottom w:val="none" w:sz="0" w:space="0" w:color="auto"/>
        <w:right w:val="none" w:sz="0" w:space="0" w:color="auto"/>
      </w:divBdr>
    </w:div>
    <w:div w:id="1235582181">
      <w:bodyDiv w:val="1"/>
      <w:marLeft w:val="0"/>
      <w:marRight w:val="0"/>
      <w:marTop w:val="0"/>
      <w:marBottom w:val="0"/>
      <w:divBdr>
        <w:top w:val="none" w:sz="0" w:space="0" w:color="auto"/>
        <w:left w:val="none" w:sz="0" w:space="0" w:color="auto"/>
        <w:bottom w:val="none" w:sz="0" w:space="0" w:color="auto"/>
        <w:right w:val="none" w:sz="0" w:space="0" w:color="auto"/>
      </w:divBdr>
    </w:div>
    <w:div w:id="1238898689">
      <w:bodyDiv w:val="1"/>
      <w:marLeft w:val="0"/>
      <w:marRight w:val="0"/>
      <w:marTop w:val="0"/>
      <w:marBottom w:val="0"/>
      <w:divBdr>
        <w:top w:val="none" w:sz="0" w:space="0" w:color="auto"/>
        <w:left w:val="none" w:sz="0" w:space="0" w:color="auto"/>
        <w:bottom w:val="none" w:sz="0" w:space="0" w:color="auto"/>
        <w:right w:val="none" w:sz="0" w:space="0" w:color="auto"/>
      </w:divBdr>
    </w:div>
    <w:div w:id="1239093588">
      <w:bodyDiv w:val="1"/>
      <w:marLeft w:val="0"/>
      <w:marRight w:val="0"/>
      <w:marTop w:val="0"/>
      <w:marBottom w:val="0"/>
      <w:divBdr>
        <w:top w:val="none" w:sz="0" w:space="0" w:color="auto"/>
        <w:left w:val="none" w:sz="0" w:space="0" w:color="auto"/>
        <w:bottom w:val="none" w:sz="0" w:space="0" w:color="auto"/>
        <w:right w:val="none" w:sz="0" w:space="0" w:color="auto"/>
      </w:divBdr>
    </w:div>
    <w:div w:id="1243030686">
      <w:bodyDiv w:val="1"/>
      <w:marLeft w:val="0"/>
      <w:marRight w:val="0"/>
      <w:marTop w:val="0"/>
      <w:marBottom w:val="0"/>
      <w:divBdr>
        <w:top w:val="none" w:sz="0" w:space="0" w:color="auto"/>
        <w:left w:val="none" w:sz="0" w:space="0" w:color="auto"/>
        <w:bottom w:val="none" w:sz="0" w:space="0" w:color="auto"/>
        <w:right w:val="none" w:sz="0" w:space="0" w:color="auto"/>
      </w:divBdr>
    </w:div>
    <w:div w:id="1251279004">
      <w:bodyDiv w:val="1"/>
      <w:marLeft w:val="0"/>
      <w:marRight w:val="0"/>
      <w:marTop w:val="0"/>
      <w:marBottom w:val="0"/>
      <w:divBdr>
        <w:top w:val="none" w:sz="0" w:space="0" w:color="auto"/>
        <w:left w:val="none" w:sz="0" w:space="0" w:color="auto"/>
        <w:bottom w:val="none" w:sz="0" w:space="0" w:color="auto"/>
        <w:right w:val="none" w:sz="0" w:space="0" w:color="auto"/>
      </w:divBdr>
    </w:div>
    <w:div w:id="1254783703">
      <w:bodyDiv w:val="1"/>
      <w:marLeft w:val="0"/>
      <w:marRight w:val="0"/>
      <w:marTop w:val="0"/>
      <w:marBottom w:val="0"/>
      <w:divBdr>
        <w:top w:val="none" w:sz="0" w:space="0" w:color="auto"/>
        <w:left w:val="none" w:sz="0" w:space="0" w:color="auto"/>
        <w:bottom w:val="none" w:sz="0" w:space="0" w:color="auto"/>
        <w:right w:val="none" w:sz="0" w:space="0" w:color="auto"/>
      </w:divBdr>
    </w:div>
    <w:div w:id="1257980721">
      <w:bodyDiv w:val="1"/>
      <w:marLeft w:val="0"/>
      <w:marRight w:val="0"/>
      <w:marTop w:val="0"/>
      <w:marBottom w:val="0"/>
      <w:divBdr>
        <w:top w:val="none" w:sz="0" w:space="0" w:color="auto"/>
        <w:left w:val="none" w:sz="0" w:space="0" w:color="auto"/>
        <w:bottom w:val="none" w:sz="0" w:space="0" w:color="auto"/>
        <w:right w:val="none" w:sz="0" w:space="0" w:color="auto"/>
      </w:divBdr>
    </w:div>
    <w:div w:id="1271010225">
      <w:bodyDiv w:val="1"/>
      <w:marLeft w:val="0"/>
      <w:marRight w:val="0"/>
      <w:marTop w:val="0"/>
      <w:marBottom w:val="0"/>
      <w:divBdr>
        <w:top w:val="none" w:sz="0" w:space="0" w:color="auto"/>
        <w:left w:val="none" w:sz="0" w:space="0" w:color="auto"/>
        <w:bottom w:val="none" w:sz="0" w:space="0" w:color="auto"/>
        <w:right w:val="none" w:sz="0" w:space="0" w:color="auto"/>
      </w:divBdr>
    </w:div>
    <w:div w:id="1273124671">
      <w:bodyDiv w:val="1"/>
      <w:marLeft w:val="0"/>
      <w:marRight w:val="0"/>
      <w:marTop w:val="0"/>
      <w:marBottom w:val="0"/>
      <w:divBdr>
        <w:top w:val="none" w:sz="0" w:space="0" w:color="auto"/>
        <w:left w:val="none" w:sz="0" w:space="0" w:color="auto"/>
        <w:bottom w:val="none" w:sz="0" w:space="0" w:color="auto"/>
        <w:right w:val="none" w:sz="0" w:space="0" w:color="auto"/>
      </w:divBdr>
    </w:div>
    <w:div w:id="1278097365">
      <w:bodyDiv w:val="1"/>
      <w:marLeft w:val="0"/>
      <w:marRight w:val="0"/>
      <w:marTop w:val="0"/>
      <w:marBottom w:val="0"/>
      <w:divBdr>
        <w:top w:val="none" w:sz="0" w:space="0" w:color="auto"/>
        <w:left w:val="none" w:sz="0" w:space="0" w:color="auto"/>
        <w:bottom w:val="none" w:sz="0" w:space="0" w:color="auto"/>
        <w:right w:val="none" w:sz="0" w:space="0" w:color="auto"/>
      </w:divBdr>
    </w:div>
    <w:div w:id="1288702297">
      <w:bodyDiv w:val="1"/>
      <w:marLeft w:val="0"/>
      <w:marRight w:val="0"/>
      <w:marTop w:val="0"/>
      <w:marBottom w:val="0"/>
      <w:divBdr>
        <w:top w:val="none" w:sz="0" w:space="0" w:color="auto"/>
        <w:left w:val="none" w:sz="0" w:space="0" w:color="auto"/>
        <w:bottom w:val="none" w:sz="0" w:space="0" w:color="auto"/>
        <w:right w:val="none" w:sz="0" w:space="0" w:color="auto"/>
      </w:divBdr>
    </w:div>
    <w:div w:id="1290086450">
      <w:bodyDiv w:val="1"/>
      <w:marLeft w:val="0"/>
      <w:marRight w:val="0"/>
      <w:marTop w:val="0"/>
      <w:marBottom w:val="0"/>
      <w:divBdr>
        <w:top w:val="none" w:sz="0" w:space="0" w:color="auto"/>
        <w:left w:val="none" w:sz="0" w:space="0" w:color="auto"/>
        <w:bottom w:val="none" w:sz="0" w:space="0" w:color="auto"/>
        <w:right w:val="none" w:sz="0" w:space="0" w:color="auto"/>
      </w:divBdr>
    </w:div>
    <w:div w:id="1293244574">
      <w:bodyDiv w:val="1"/>
      <w:marLeft w:val="0"/>
      <w:marRight w:val="0"/>
      <w:marTop w:val="0"/>
      <w:marBottom w:val="0"/>
      <w:divBdr>
        <w:top w:val="none" w:sz="0" w:space="0" w:color="auto"/>
        <w:left w:val="none" w:sz="0" w:space="0" w:color="auto"/>
        <w:bottom w:val="none" w:sz="0" w:space="0" w:color="auto"/>
        <w:right w:val="none" w:sz="0" w:space="0" w:color="auto"/>
      </w:divBdr>
    </w:div>
    <w:div w:id="1295520123">
      <w:bodyDiv w:val="1"/>
      <w:marLeft w:val="0"/>
      <w:marRight w:val="0"/>
      <w:marTop w:val="0"/>
      <w:marBottom w:val="0"/>
      <w:divBdr>
        <w:top w:val="none" w:sz="0" w:space="0" w:color="auto"/>
        <w:left w:val="none" w:sz="0" w:space="0" w:color="auto"/>
        <w:bottom w:val="none" w:sz="0" w:space="0" w:color="auto"/>
        <w:right w:val="none" w:sz="0" w:space="0" w:color="auto"/>
      </w:divBdr>
    </w:div>
    <w:div w:id="1308315727">
      <w:bodyDiv w:val="1"/>
      <w:marLeft w:val="0"/>
      <w:marRight w:val="0"/>
      <w:marTop w:val="0"/>
      <w:marBottom w:val="0"/>
      <w:divBdr>
        <w:top w:val="none" w:sz="0" w:space="0" w:color="auto"/>
        <w:left w:val="none" w:sz="0" w:space="0" w:color="auto"/>
        <w:bottom w:val="none" w:sz="0" w:space="0" w:color="auto"/>
        <w:right w:val="none" w:sz="0" w:space="0" w:color="auto"/>
      </w:divBdr>
    </w:div>
    <w:div w:id="1309045899">
      <w:bodyDiv w:val="1"/>
      <w:marLeft w:val="0"/>
      <w:marRight w:val="0"/>
      <w:marTop w:val="0"/>
      <w:marBottom w:val="0"/>
      <w:divBdr>
        <w:top w:val="none" w:sz="0" w:space="0" w:color="auto"/>
        <w:left w:val="none" w:sz="0" w:space="0" w:color="auto"/>
        <w:bottom w:val="none" w:sz="0" w:space="0" w:color="auto"/>
        <w:right w:val="none" w:sz="0" w:space="0" w:color="auto"/>
      </w:divBdr>
    </w:div>
    <w:div w:id="1312519763">
      <w:bodyDiv w:val="1"/>
      <w:marLeft w:val="0"/>
      <w:marRight w:val="0"/>
      <w:marTop w:val="0"/>
      <w:marBottom w:val="0"/>
      <w:divBdr>
        <w:top w:val="none" w:sz="0" w:space="0" w:color="auto"/>
        <w:left w:val="none" w:sz="0" w:space="0" w:color="auto"/>
        <w:bottom w:val="none" w:sz="0" w:space="0" w:color="auto"/>
        <w:right w:val="none" w:sz="0" w:space="0" w:color="auto"/>
      </w:divBdr>
    </w:div>
    <w:div w:id="1313832210">
      <w:bodyDiv w:val="1"/>
      <w:marLeft w:val="0"/>
      <w:marRight w:val="0"/>
      <w:marTop w:val="0"/>
      <w:marBottom w:val="0"/>
      <w:divBdr>
        <w:top w:val="none" w:sz="0" w:space="0" w:color="auto"/>
        <w:left w:val="none" w:sz="0" w:space="0" w:color="auto"/>
        <w:bottom w:val="none" w:sz="0" w:space="0" w:color="auto"/>
        <w:right w:val="none" w:sz="0" w:space="0" w:color="auto"/>
      </w:divBdr>
    </w:div>
    <w:div w:id="1317882291">
      <w:bodyDiv w:val="1"/>
      <w:marLeft w:val="0"/>
      <w:marRight w:val="0"/>
      <w:marTop w:val="0"/>
      <w:marBottom w:val="0"/>
      <w:divBdr>
        <w:top w:val="none" w:sz="0" w:space="0" w:color="auto"/>
        <w:left w:val="none" w:sz="0" w:space="0" w:color="auto"/>
        <w:bottom w:val="none" w:sz="0" w:space="0" w:color="auto"/>
        <w:right w:val="none" w:sz="0" w:space="0" w:color="auto"/>
      </w:divBdr>
    </w:div>
    <w:div w:id="1318993534">
      <w:bodyDiv w:val="1"/>
      <w:marLeft w:val="0"/>
      <w:marRight w:val="0"/>
      <w:marTop w:val="0"/>
      <w:marBottom w:val="0"/>
      <w:divBdr>
        <w:top w:val="none" w:sz="0" w:space="0" w:color="auto"/>
        <w:left w:val="none" w:sz="0" w:space="0" w:color="auto"/>
        <w:bottom w:val="none" w:sz="0" w:space="0" w:color="auto"/>
        <w:right w:val="none" w:sz="0" w:space="0" w:color="auto"/>
      </w:divBdr>
    </w:div>
    <w:div w:id="1321620804">
      <w:bodyDiv w:val="1"/>
      <w:marLeft w:val="0"/>
      <w:marRight w:val="0"/>
      <w:marTop w:val="0"/>
      <w:marBottom w:val="0"/>
      <w:divBdr>
        <w:top w:val="none" w:sz="0" w:space="0" w:color="auto"/>
        <w:left w:val="none" w:sz="0" w:space="0" w:color="auto"/>
        <w:bottom w:val="none" w:sz="0" w:space="0" w:color="auto"/>
        <w:right w:val="none" w:sz="0" w:space="0" w:color="auto"/>
      </w:divBdr>
    </w:div>
    <w:div w:id="1326398414">
      <w:bodyDiv w:val="1"/>
      <w:marLeft w:val="0"/>
      <w:marRight w:val="0"/>
      <w:marTop w:val="0"/>
      <w:marBottom w:val="0"/>
      <w:divBdr>
        <w:top w:val="none" w:sz="0" w:space="0" w:color="auto"/>
        <w:left w:val="none" w:sz="0" w:space="0" w:color="auto"/>
        <w:bottom w:val="none" w:sz="0" w:space="0" w:color="auto"/>
        <w:right w:val="none" w:sz="0" w:space="0" w:color="auto"/>
      </w:divBdr>
    </w:div>
    <w:div w:id="1328287589">
      <w:bodyDiv w:val="1"/>
      <w:marLeft w:val="0"/>
      <w:marRight w:val="0"/>
      <w:marTop w:val="0"/>
      <w:marBottom w:val="0"/>
      <w:divBdr>
        <w:top w:val="none" w:sz="0" w:space="0" w:color="auto"/>
        <w:left w:val="none" w:sz="0" w:space="0" w:color="auto"/>
        <w:bottom w:val="none" w:sz="0" w:space="0" w:color="auto"/>
        <w:right w:val="none" w:sz="0" w:space="0" w:color="auto"/>
      </w:divBdr>
    </w:div>
    <w:div w:id="1328825323">
      <w:bodyDiv w:val="1"/>
      <w:marLeft w:val="0"/>
      <w:marRight w:val="0"/>
      <w:marTop w:val="0"/>
      <w:marBottom w:val="0"/>
      <w:divBdr>
        <w:top w:val="none" w:sz="0" w:space="0" w:color="auto"/>
        <w:left w:val="none" w:sz="0" w:space="0" w:color="auto"/>
        <w:bottom w:val="none" w:sz="0" w:space="0" w:color="auto"/>
        <w:right w:val="none" w:sz="0" w:space="0" w:color="auto"/>
      </w:divBdr>
    </w:div>
    <w:div w:id="1330211966">
      <w:bodyDiv w:val="1"/>
      <w:marLeft w:val="0"/>
      <w:marRight w:val="0"/>
      <w:marTop w:val="0"/>
      <w:marBottom w:val="0"/>
      <w:divBdr>
        <w:top w:val="none" w:sz="0" w:space="0" w:color="auto"/>
        <w:left w:val="none" w:sz="0" w:space="0" w:color="auto"/>
        <w:bottom w:val="none" w:sz="0" w:space="0" w:color="auto"/>
        <w:right w:val="none" w:sz="0" w:space="0" w:color="auto"/>
      </w:divBdr>
    </w:div>
    <w:div w:id="1332218569">
      <w:bodyDiv w:val="1"/>
      <w:marLeft w:val="0"/>
      <w:marRight w:val="0"/>
      <w:marTop w:val="0"/>
      <w:marBottom w:val="0"/>
      <w:divBdr>
        <w:top w:val="none" w:sz="0" w:space="0" w:color="auto"/>
        <w:left w:val="none" w:sz="0" w:space="0" w:color="auto"/>
        <w:bottom w:val="none" w:sz="0" w:space="0" w:color="auto"/>
        <w:right w:val="none" w:sz="0" w:space="0" w:color="auto"/>
      </w:divBdr>
    </w:div>
    <w:div w:id="1333217358">
      <w:bodyDiv w:val="1"/>
      <w:marLeft w:val="0"/>
      <w:marRight w:val="0"/>
      <w:marTop w:val="0"/>
      <w:marBottom w:val="0"/>
      <w:divBdr>
        <w:top w:val="none" w:sz="0" w:space="0" w:color="auto"/>
        <w:left w:val="none" w:sz="0" w:space="0" w:color="auto"/>
        <w:bottom w:val="none" w:sz="0" w:space="0" w:color="auto"/>
        <w:right w:val="none" w:sz="0" w:space="0" w:color="auto"/>
      </w:divBdr>
    </w:div>
    <w:div w:id="1333994652">
      <w:bodyDiv w:val="1"/>
      <w:marLeft w:val="0"/>
      <w:marRight w:val="0"/>
      <w:marTop w:val="0"/>
      <w:marBottom w:val="0"/>
      <w:divBdr>
        <w:top w:val="none" w:sz="0" w:space="0" w:color="auto"/>
        <w:left w:val="none" w:sz="0" w:space="0" w:color="auto"/>
        <w:bottom w:val="none" w:sz="0" w:space="0" w:color="auto"/>
        <w:right w:val="none" w:sz="0" w:space="0" w:color="auto"/>
      </w:divBdr>
    </w:div>
    <w:div w:id="1335721069">
      <w:bodyDiv w:val="1"/>
      <w:marLeft w:val="0"/>
      <w:marRight w:val="0"/>
      <w:marTop w:val="0"/>
      <w:marBottom w:val="0"/>
      <w:divBdr>
        <w:top w:val="none" w:sz="0" w:space="0" w:color="auto"/>
        <w:left w:val="none" w:sz="0" w:space="0" w:color="auto"/>
        <w:bottom w:val="none" w:sz="0" w:space="0" w:color="auto"/>
        <w:right w:val="none" w:sz="0" w:space="0" w:color="auto"/>
      </w:divBdr>
    </w:div>
    <w:div w:id="1336686800">
      <w:bodyDiv w:val="1"/>
      <w:marLeft w:val="0"/>
      <w:marRight w:val="0"/>
      <w:marTop w:val="0"/>
      <w:marBottom w:val="0"/>
      <w:divBdr>
        <w:top w:val="none" w:sz="0" w:space="0" w:color="auto"/>
        <w:left w:val="none" w:sz="0" w:space="0" w:color="auto"/>
        <w:bottom w:val="none" w:sz="0" w:space="0" w:color="auto"/>
        <w:right w:val="none" w:sz="0" w:space="0" w:color="auto"/>
      </w:divBdr>
    </w:div>
    <w:div w:id="1337003364">
      <w:bodyDiv w:val="1"/>
      <w:marLeft w:val="0"/>
      <w:marRight w:val="0"/>
      <w:marTop w:val="0"/>
      <w:marBottom w:val="0"/>
      <w:divBdr>
        <w:top w:val="none" w:sz="0" w:space="0" w:color="auto"/>
        <w:left w:val="none" w:sz="0" w:space="0" w:color="auto"/>
        <w:bottom w:val="none" w:sz="0" w:space="0" w:color="auto"/>
        <w:right w:val="none" w:sz="0" w:space="0" w:color="auto"/>
      </w:divBdr>
    </w:div>
    <w:div w:id="1342203805">
      <w:bodyDiv w:val="1"/>
      <w:marLeft w:val="0"/>
      <w:marRight w:val="0"/>
      <w:marTop w:val="0"/>
      <w:marBottom w:val="0"/>
      <w:divBdr>
        <w:top w:val="none" w:sz="0" w:space="0" w:color="auto"/>
        <w:left w:val="none" w:sz="0" w:space="0" w:color="auto"/>
        <w:bottom w:val="none" w:sz="0" w:space="0" w:color="auto"/>
        <w:right w:val="none" w:sz="0" w:space="0" w:color="auto"/>
      </w:divBdr>
    </w:div>
    <w:div w:id="1344436729">
      <w:bodyDiv w:val="1"/>
      <w:marLeft w:val="0"/>
      <w:marRight w:val="0"/>
      <w:marTop w:val="0"/>
      <w:marBottom w:val="0"/>
      <w:divBdr>
        <w:top w:val="none" w:sz="0" w:space="0" w:color="auto"/>
        <w:left w:val="none" w:sz="0" w:space="0" w:color="auto"/>
        <w:bottom w:val="none" w:sz="0" w:space="0" w:color="auto"/>
        <w:right w:val="none" w:sz="0" w:space="0" w:color="auto"/>
      </w:divBdr>
    </w:div>
    <w:div w:id="1349020572">
      <w:bodyDiv w:val="1"/>
      <w:marLeft w:val="0"/>
      <w:marRight w:val="0"/>
      <w:marTop w:val="0"/>
      <w:marBottom w:val="0"/>
      <w:divBdr>
        <w:top w:val="none" w:sz="0" w:space="0" w:color="auto"/>
        <w:left w:val="none" w:sz="0" w:space="0" w:color="auto"/>
        <w:bottom w:val="none" w:sz="0" w:space="0" w:color="auto"/>
        <w:right w:val="none" w:sz="0" w:space="0" w:color="auto"/>
      </w:divBdr>
    </w:div>
    <w:div w:id="1352954041">
      <w:bodyDiv w:val="1"/>
      <w:marLeft w:val="0"/>
      <w:marRight w:val="0"/>
      <w:marTop w:val="0"/>
      <w:marBottom w:val="0"/>
      <w:divBdr>
        <w:top w:val="none" w:sz="0" w:space="0" w:color="auto"/>
        <w:left w:val="none" w:sz="0" w:space="0" w:color="auto"/>
        <w:bottom w:val="none" w:sz="0" w:space="0" w:color="auto"/>
        <w:right w:val="none" w:sz="0" w:space="0" w:color="auto"/>
      </w:divBdr>
    </w:div>
    <w:div w:id="1357849174">
      <w:bodyDiv w:val="1"/>
      <w:marLeft w:val="0"/>
      <w:marRight w:val="0"/>
      <w:marTop w:val="0"/>
      <w:marBottom w:val="0"/>
      <w:divBdr>
        <w:top w:val="none" w:sz="0" w:space="0" w:color="auto"/>
        <w:left w:val="none" w:sz="0" w:space="0" w:color="auto"/>
        <w:bottom w:val="none" w:sz="0" w:space="0" w:color="auto"/>
        <w:right w:val="none" w:sz="0" w:space="0" w:color="auto"/>
      </w:divBdr>
    </w:div>
    <w:div w:id="1358189723">
      <w:bodyDiv w:val="1"/>
      <w:marLeft w:val="0"/>
      <w:marRight w:val="0"/>
      <w:marTop w:val="0"/>
      <w:marBottom w:val="0"/>
      <w:divBdr>
        <w:top w:val="none" w:sz="0" w:space="0" w:color="auto"/>
        <w:left w:val="none" w:sz="0" w:space="0" w:color="auto"/>
        <w:bottom w:val="none" w:sz="0" w:space="0" w:color="auto"/>
        <w:right w:val="none" w:sz="0" w:space="0" w:color="auto"/>
      </w:divBdr>
    </w:div>
    <w:div w:id="1366906912">
      <w:bodyDiv w:val="1"/>
      <w:marLeft w:val="0"/>
      <w:marRight w:val="0"/>
      <w:marTop w:val="0"/>
      <w:marBottom w:val="0"/>
      <w:divBdr>
        <w:top w:val="none" w:sz="0" w:space="0" w:color="auto"/>
        <w:left w:val="none" w:sz="0" w:space="0" w:color="auto"/>
        <w:bottom w:val="none" w:sz="0" w:space="0" w:color="auto"/>
        <w:right w:val="none" w:sz="0" w:space="0" w:color="auto"/>
      </w:divBdr>
    </w:div>
    <w:div w:id="1369718145">
      <w:bodyDiv w:val="1"/>
      <w:marLeft w:val="0"/>
      <w:marRight w:val="0"/>
      <w:marTop w:val="0"/>
      <w:marBottom w:val="0"/>
      <w:divBdr>
        <w:top w:val="none" w:sz="0" w:space="0" w:color="auto"/>
        <w:left w:val="none" w:sz="0" w:space="0" w:color="auto"/>
        <w:bottom w:val="none" w:sz="0" w:space="0" w:color="auto"/>
        <w:right w:val="none" w:sz="0" w:space="0" w:color="auto"/>
      </w:divBdr>
    </w:div>
    <w:div w:id="1383556188">
      <w:bodyDiv w:val="1"/>
      <w:marLeft w:val="0"/>
      <w:marRight w:val="0"/>
      <w:marTop w:val="0"/>
      <w:marBottom w:val="0"/>
      <w:divBdr>
        <w:top w:val="none" w:sz="0" w:space="0" w:color="auto"/>
        <w:left w:val="none" w:sz="0" w:space="0" w:color="auto"/>
        <w:bottom w:val="none" w:sz="0" w:space="0" w:color="auto"/>
        <w:right w:val="none" w:sz="0" w:space="0" w:color="auto"/>
      </w:divBdr>
    </w:div>
    <w:div w:id="1388601082">
      <w:bodyDiv w:val="1"/>
      <w:marLeft w:val="0"/>
      <w:marRight w:val="0"/>
      <w:marTop w:val="0"/>
      <w:marBottom w:val="0"/>
      <w:divBdr>
        <w:top w:val="none" w:sz="0" w:space="0" w:color="auto"/>
        <w:left w:val="none" w:sz="0" w:space="0" w:color="auto"/>
        <w:bottom w:val="none" w:sz="0" w:space="0" w:color="auto"/>
        <w:right w:val="none" w:sz="0" w:space="0" w:color="auto"/>
      </w:divBdr>
    </w:div>
    <w:div w:id="1391660508">
      <w:bodyDiv w:val="1"/>
      <w:marLeft w:val="0"/>
      <w:marRight w:val="0"/>
      <w:marTop w:val="0"/>
      <w:marBottom w:val="0"/>
      <w:divBdr>
        <w:top w:val="none" w:sz="0" w:space="0" w:color="auto"/>
        <w:left w:val="none" w:sz="0" w:space="0" w:color="auto"/>
        <w:bottom w:val="none" w:sz="0" w:space="0" w:color="auto"/>
        <w:right w:val="none" w:sz="0" w:space="0" w:color="auto"/>
      </w:divBdr>
    </w:div>
    <w:div w:id="1393234940">
      <w:bodyDiv w:val="1"/>
      <w:marLeft w:val="0"/>
      <w:marRight w:val="0"/>
      <w:marTop w:val="0"/>
      <w:marBottom w:val="0"/>
      <w:divBdr>
        <w:top w:val="none" w:sz="0" w:space="0" w:color="auto"/>
        <w:left w:val="none" w:sz="0" w:space="0" w:color="auto"/>
        <w:bottom w:val="none" w:sz="0" w:space="0" w:color="auto"/>
        <w:right w:val="none" w:sz="0" w:space="0" w:color="auto"/>
      </w:divBdr>
    </w:div>
    <w:div w:id="1403137708">
      <w:bodyDiv w:val="1"/>
      <w:marLeft w:val="0"/>
      <w:marRight w:val="0"/>
      <w:marTop w:val="0"/>
      <w:marBottom w:val="0"/>
      <w:divBdr>
        <w:top w:val="none" w:sz="0" w:space="0" w:color="auto"/>
        <w:left w:val="none" w:sz="0" w:space="0" w:color="auto"/>
        <w:bottom w:val="none" w:sz="0" w:space="0" w:color="auto"/>
        <w:right w:val="none" w:sz="0" w:space="0" w:color="auto"/>
      </w:divBdr>
    </w:div>
    <w:div w:id="1406151241">
      <w:bodyDiv w:val="1"/>
      <w:marLeft w:val="0"/>
      <w:marRight w:val="0"/>
      <w:marTop w:val="0"/>
      <w:marBottom w:val="0"/>
      <w:divBdr>
        <w:top w:val="none" w:sz="0" w:space="0" w:color="auto"/>
        <w:left w:val="none" w:sz="0" w:space="0" w:color="auto"/>
        <w:bottom w:val="none" w:sz="0" w:space="0" w:color="auto"/>
        <w:right w:val="none" w:sz="0" w:space="0" w:color="auto"/>
      </w:divBdr>
    </w:div>
    <w:div w:id="1406996148">
      <w:bodyDiv w:val="1"/>
      <w:marLeft w:val="0"/>
      <w:marRight w:val="0"/>
      <w:marTop w:val="0"/>
      <w:marBottom w:val="0"/>
      <w:divBdr>
        <w:top w:val="none" w:sz="0" w:space="0" w:color="auto"/>
        <w:left w:val="none" w:sz="0" w:space="0" w:color="auto"/>
        <w:bottom w:val="none" w:sz="0" w:space="0" w:color="auto"/>
        <w:right w:val="none" w:sz="0" w:space="0" w:color="auto"/>
      </w:divBdr>
    </w:div>
    <w:div w:id="1408728844">
      <w:bodyDiv w:val="1"/>
      <w:marLeft w:val="0"/>
      <w:marRight w:val="0"/>
      <w:marTop w:val="0"/>
      <w:marBottom w:val="0"/>
      <w:divBdr>
        <w:top w:val="none" w:sz="0" w:space="0" w:color="auto"/>
        <w:left w:val="none" w:sz="0" w:space="0" w:color="auto"/>
        <w:bottom w:val="none" w:sz="0" w:space="0" w:color="auto"/>
        <w:right w:val="none" w:sz="0" w:space="0" w:color="auto"/>
      </w:divBdr>
    </w:div>
    <w:div w:id="1412652369">
      <w:bodyDiv w:val="1"/>
      <w:marLeft w:val="0"/>
      <w:marRight w:val="0"/>
      <w:marTop w:val="0"/>
      <w:marBottom w:val="0"/>
      <w:divBdr>
        <w:top w:val="none" w:sz="0" w:space="0" w:color="auto"/>
        <w:left w:val="none" w:sz="0" w:space="0" w:color="auto"/>
        <w:bottom w:val="none" w:sz="0" w:space="0" w:color="auto"/>
        <w:right w:val="none" w:sz="0" w:space="0" w:color="auto"/>
      </w:divBdr>
    </w:div>
    <w:div w:id="1414935480">
      <w:bodyDiv w:val="1"/>
      <w:marLeft w:val="0"/>
      <w:marRight w:val="0"/>
      <w:marTop w:val="0"/>
      <w:marBottom w:val="0"/>
      <w:divBdr>
        <w:top w:val="none" w:sz="0" w:space="0" w:color="auto"/>
        <w:left w:val="none" w:sz="0" w:space="0" w:color="auto"/>
        <w:bottom w:val="none" w:sz="0" w:space="0" w:color="auto"/>
        <w:right w:val="none" w:sz="0" w:space="0" w:color="auto"/>
      </w:divBdr>
    </w:div>
    <w:div w:id="1418400924">
      <w:bodyDiv w:val="1"/>
      <w:marLeft w:val="0"/>
      <w:marRight w:val="0"/>
      <w:marTop w:val="0"/>
      <w:marBottom w:val="0"/>
      <w:divBdr>
        <w:top w:val="none" w:sz="0" w:space="0" w:color="auto"/>
        <w:left w:val="none" w:sz="0" w:space="0" w:color="auto"/>
        <w:bottom w:val="none" w:sz="0" w:space="0" w:color="auto"/>
        <w:right w:val="none" w:sz="0" w:space="0" w:color="auto"/>
      </w:divBdr>
    </w:div>
    <w:div w:id="1421290776">
      <w:bodyDiv w:val="1"/>
      <w:marLeft w:val="0"/>
      <w:marRight w:val="0"/>
      <w:marTop w:val="0"/>
      <w:marBottom w:val="0"/>
      <w:divBdr>
        <w:top w:val="none" w:sz="0" w:space="0" w:color="auto"/>
        <w:left w:val="none" w:sz="0" w:space="0" w:color="auto"/>
        <w:bottom w:val="none" w:sz="0" w:space="0" w:color="auto"/>
        <w:right w:val="none" w:sz="0" w:space="0" w:color="auto"/>
      </w:divBdr>
    </w:div>
    <w:div w:id="1424956547">
      <w:bodyDiv w:val="1"/>
      <w:marLeft w:val="0"/>
      <w:marRight w:val="0"/>
      <w:marTop w:val="0"/>
      <w:marBottom w:val="0"/>
      <w:divBdr>
        <w:top w:val="none" w:sz="0" w:space="0" w:color="auto"/>
        <w:left w:val="none" w:sz="0" w:space="0" w:color="auto"/>
        <w:bottom w:val="none" w:sz="0" w:space="0" w:color="auto"/>
        <w:right w:val="none" w:sz="0" w:space="0" w:color="auto"/>
      </w:divBdr>
    </w:div>
    <w:div w:id="1427768648">
      <w:bodyDiv w:val="1"/>
      <w:marLeft w:val="0"/>
      <w:marRight w:val="0"/>
      <w:marTop w:val="0"/>
      <w:marBottom w:val="0"/>
      <w:divBdr>
        <w:top w:val="none" w:sz="0" w:space="0" w:color="auto"/>
        <w:left w:val="none" w:sz="0" w:space="0" w:color="auto"/>
        <w:bottom w:val="none" w:sz="0" w:space="0" w:color="auto"/>
        <w:right w:val="none" w:sz="0" w:space="0" w:color="auto"/>
      </w:divBdr>
    </w:div>
    <w:div w:id="1429041358">
      <w:bodyDiv w:val="1"/>
      <w:marLeft w:val="0"/>
      <w:marRight w:val="0"/>
      <w:marTop w:val="0"/>
      <w:marBottom w:val="0"/>
      <w:divBdr>
        <w:top w:val="none" w:sz="0" w:space="0" w:color="auto"/>
        <w:left w:val="none" w:sz="0" w:space="0" w:color="auto"/>
        <w:bottom w:val="none" w:sz="0" w:space="0" w:color="auto"/>
        <w:right w:val="none" w:sz="0" w:space="0" w:color="auto"/>
      </w:divBdr>
    </w:div>
    <w:div w:id="1429276636">
      <w:bodyDiv w:val="1"/>
      <w:marLeft w:val="0"/>
      <w:marRight w:val="0"/>
      <w:marTop w:val="0"/>
      <w:marBottom w:val="0"/>
      <w:divBdr>
        <w:top w:val="none" w:sz="0" w:space="0" w:color="auto"/>
        <w:left w:val="none" w:sz="0" w:space="0" w:color="auto"/>
        <w:bottom w:val="none" w:sz="0" w:space="0" w:color="auto"/>
        <w:right w:val="none" w:sz="0" w:space="0" w:color="auto"/>
      </w:divBdr>
    </w:div>
    <w:div w:id="1438334402">
      <w:bodyDiv w:val="1"/>
      <w:marLeft w:val="0"/>
      <w:marRight w:val="0"/>
      <w:marTop w:val="0"/>
      <w:marBottom w:val="0"/>
      <w:divBdr>
        <w:top w:val="none" w:sz="0" w:space="0" w:color="auto"/>
        <w:left w:val="none" w:sz="0" w:space="0" w:color="auto"/>
        <w:bottom w:val="none" w:sz="0" w:space="0" w:color="auto"/>
        <w:right w:val="none" w:sz="0" w:space="0" w:color="auto"/>
      </w:divBdr>
    </w:div>
    <w:div w:id="1443649589">
      <w:bodyDiv w:val="1"/>
      <w:marLeft w:val="0"/>
      <w:marRight w:val="0"/>
      <w:marTop w:val="0"/>
      <w:marBottom w:val="0"/>
      <w:divBdr>
        <w:top w:val="none" w:sz="0" w:space="0" w:color="auto"/>
        <w:left w:val="none" w:sz="0" w:space="0" w:color="auto"/>
        <w:bottom w:val="none" w:sz="0" w:space="0" w:color="auto"/>
        <w:right w:val="none" w:sz="0" w:space="0" w:color="auto"/>
      </w:divBdr>
    </w:div>
    <w:div w:id="1444764877">
      <w:bodyDiv w:val="1"/>
      <w:marLeft w:val="0"/>
      <w:marRight w:val="0"/>
      <w:marTop w:val="0"/>
      <w:marBottom w:val="0"/>
      <w:divBdr>
        <w:top w:val="none" w:sz="0" w:space="0" w:color="auto"/>
        <w:left w:val="none" w:sz="0" w:space="0" w:color="auto"/>
        <w:bottom w:val="none" w:sz="0" w:space="0" w:color="auto"/>
        <w:right w:val="none" w:sz="0" w:space="0" w:color="auto"/>
      </w:divBdr>
    </w:div>
    <w:div w:id="1445879480">
      <w:bodyDiv w:val="1"/>
      <w:marLeft w:val="0"/>
      <w:marRight w:val="0"/>
      <w:marTop w:val="0"/>
      <w:marBottom w:val="0"/>
      <w:divBdr>
        <w:top w:val="none" w:sz="0" w:space="0" w:color="auto"/>
        <w:left w:val="none" w:sz="0" w:space="0" w:color="auto"/>
        <w:bottom w:val="none" w:sz="0" w:space="0" w:color="auto"/>
        <w:right w:val="none" w:sz="0" w:space="0" w:color="auto"/>
      </w:divBdr>
    </w:div>
    <w:div w:id="1447769747">
      <w:bodyDiv w:val="1"/>
      <w:marLeft w:val="0"/>
      <w:marRight w:val="0"/>
      <w:marTop w:val="0"/>
      <w:marBottom w:val="0"/>
      <w:divBdr>
        <w:top w:val="none" w:sz="0" w:space="0" w:color="auto"/>
        <w:left w:val="none" w:sz="0" w:space="0" w:color="auto"/>
        <w:bottom w:val="none" w:sz="0" w:space="0" w:color="auto"/>
        <w:right w:val="none" w:sz="0" w:space="0" w:color="auto"/>
      </w:divBdr>
    </w:div>
    <w:div w:id="1448545170">
      <w:bodyDiv w:val="1"/>
      <w:marLeft w:val="0"/>
      <w:marRight w:val="0"/>
      <w:marTop w:val="0"/>
      <w:marBottom w:val="0"/>
      <w:divBdr>
        <w:top w:val="none" w:sz="0" w:space="0" w:color="auto"/>
        <w:left w:val="none" w:sz="0" w:space="0" w:color="auto"/>
        <w:bottom w:val="none" w:sz="0" w:space="0" w:color="auto"/>
        <w:right w:val="none" w:sz="0" w:space="0" w:color="auto"/>
      </w:divBdr>
    </w:div>
    <w:div w:id="1455756207">
      <w:bodyDiv w:val="1"/>
      <w:marLeft w:val="0"/>
      <w:marRight w:val="0"/>
      <w:marTop w:val="0"/>
      <w:marBottom w:val="0"/>
      <w:divBdr>
        <w:top w:val="none" w:sz="0" w:space="0" w:color="auto"/>
        <w:left w:val="none" w:sz="0" w:space="0" w:color="auto"/>
        <w:bottom w:val="none" w:sz="0" w:space="0" w:color="auto"/>
        <w:right w:val="none" w:sz="0" w:space="0" w:color="auto"/>
      </w:divBdr>
    </w:div>
    <w:div w:id="1456291783">
      <w:bodyDiv w:val="1"/>
      <w:marLeft w:val="0"/>
      <w:marRight w:val="0"/>
      <w:marTop w:val="0"/>
      <w:marBottom w:val="0"/>
      <w:divBdr>
        <w:top w:val="none" w:sz="0" w:space="0" w:color="auto"/>
        <w:left w:val="none" w:sz="0" w:space="0" w:color="auto"/>
        <w:bottom w:val="none" w:sz="0" w:space="0" w:color="auto"/>
        <w:right w:val="none" w:sz="0" w:space="0" w:color="auto"/>
      </w:divBdr>
    </w:div>
    <w:div w:id="1457260622">
      <w:bodyDiv w:val="1"/>
      <w:marLeft w:val="0"/>
      <w:marRight w:val="0"/>
      <w:marTop w:val="0"/>
      <w:marBottom w:val="0"/>
      <w:divBdr>
        <w:top w:val="none" w:sz="0" w:space="0" w:color="auto"/>
        <w:left w:val="none" w:sz="0" w:space="0" w:color="auto"/>
        <w:bottom w:val="none" w:sz="0" w:space="0" w:color="auto"/>
        <w:right w:val="none" w:sz="0" w:space="0" w:color="auto"/>
      </w:divBdr>
    </w:div>
    <w:div w:id="1459184199">
      <w:bodyDiv w:val="1"/>
      <w:marLeft w:val="0"/>
      <w:marRight w:val="0"/>
      <w:marTop w:val="0"/>
      <w:marBottom w:val="0"/>
      <w:divBdr>
        <w:top w:val="none" w:sz="0" w:space="0" w:color="auto"/>
        <w:left w:val="none" w:sz="0" w:space="0" w:color="auto"/>
        <w:bottom w:val="none" w:sz="0" w:space="0" w:color="auto"/>
        <w:right w:val="none" w:sz="0" w:space="0" w:color="auto"/>
      </w:divBdr>
    </w:div>
    <w:div w:id="1460227330">
      <w:bodyDiv w:val="1"/>
      <w:marLeft w:val="0"/>
      <w:marRight w:val="0"/>
      <w:marTop w:val="0"/>
      <w:marBottom w:val="0"/>
      <w:divBdr>
        <w:top w:val="none" w:sz="0" w:space="0" w:color="auto"/>
        <w:left w:val="none" w:sz="0" w:space="0" w:color="auto"/>
        <w:bottom w:val="none" w:sz="0" w:space="0" w:color="auto"/>
        <w:right w:val="none" w:sz="0" w:space="0" w:color="auto"/>
      </w:divBdr>
    </w:div>
    <w:div w:id="1461387523">
      <w:bodyDiv w:val="1"/>
      <w:marLeft w:val="0"/>
      <w:marRight w:val="0"/>
      <w:marTop w:val="0"/>
      <w:marBottom w:val="0"/>
      <w:divBdr>
        <w:top w:val="none" w:sz="0" w:space="0" w:color="auto"/>
        <w:left w:val="none" w:sz="0" w:space="0" w:color="auto"/>
        <w:bottom w:val="none" w:sz="0" w:space="0" w:color="auto"/>
        <w:right w:val="none" w:sz="0" w:space="0" w:color="auto"/>
      </w:divBdr>
    </w:div>
    <w:div w:id="1469863702">
      <w:bodyDiv w:val="1"/>
      <w:marLeft w:val="0"/>
      <w:marRight w:val="0"/>
      <w:marTop w:val="0"/>
      <w:marBottom w:val="0"/>
      <w:divBdr>
        <w:top w:val="none" w:sz="0" w:space="0" w:color="auto"/>
        <w:left w:val="none" w:sz="0" w:space="0" w:color="auto"/>
        <w:bottom w:val="none" w:sz="0" w:space="0" w:color="auto"/>
        <w:right w:val="none" w:sz="0" w:space="0" w:color="auto"/>
      </w:divBdr>
    </w:div>
    <w:div w:id="1470440309">
      <w:bodyDiv w:val="1"/>
      <w:marLeft w:val="0"/>
      <w:marRight w:val="0"/>
      <w:marTop w:val="0"/>
      <w:marBottom w:val="0"/>
      <w:divBdr>
        <w:top w:val="none" w:sz="0" w:space="0" w:color="auto"/>
        <w:left w:val="none" w:sz="0" w:space="0" w:color="auto"/>
        <w:bottom w:val="none" w:sz="0" w:space="0" w:color="auto"/>
        <w:right w:val="none" w:sz="0" w:space="0" w:color="auto"/>
      </w:divBdr>
    </w:div>
    <w:div w:id="1473254394">
      <w:bodyDiv w:val="1"/>
      <w:marLeft w:val="0"/>
      <w:marRight w:val="0"/>
      <w:marTop w:val="0"/>
      <w:marBottom w:val="0"/>
      <w:divBdr>
        <w:top w:val="none" w:sz="0" w:space="0" w:color="auto"/>
        <w:left w:val="none" w:sz="0" w:space="0" w:color="auto"/>
        <w:bottom w:val="none" w:sz="0" w:space="0" w:color="auto"/>
        <w:right w:val="none" w:sz="0" w:space="0" w:color="auto"/>
      </w:divBdr>
    </w:div>
    <w:div w:id="1483765942">
      <w:bodyDiv w:val="1"/>
      <w:marLeft w:val="0"/>
      <w:marRight w:val="0"/>
      <w:marTop w:val="0"/>
      <w:marBottom w:val="0"/>
      <w:divBdr>
        <w:top w:val="none" w:sz="0" w:space="0" w:color="auto"/>
        <w:left w:val="none" w:sz="0" w:space="0" w:color="auto"/>
        <w:bottom w:val="none" w:sz="0" w:space="0" w:color="auto"/>
        <w:right w:val="none" w:sz="0" w:space="0" w:color="auto"/>
      </w:divBdr>
    </w:div>
    <w:div w:id="1489665674">
      <w:bodyDiv w:val="1"/>
      <w:marLeft w:val="0"/>
      <w:marRight w:val="0"/>
      <w:marTop w:val="0"/>
      <w:marBottom w:val="0"/>
      <w:divBdr>
        <w:top w:val="none" w:sz="0" w:space="0" w:color="auto"/>
        <w:left w:val="none" w:sz="0" w:space="0" w:color="auto"/>
        <w:bottom w:val="none" w:sz="0" w:space="0" w:color="auto"/>
        <w:right w:val="none" w:sz="0" w:space="0" w:color="auto"/>
      </w:divBdr>
    </w:div>
    <w:div w:id="1497114523">
      <w:bodyDiv w:val="1"/>
      <w:marLeft w:val="0"/>
      <w:marRight w:val="0"/>
      <w:marTop w:val="0"/>
      <w:marBottom w:val="0"/>
      <w:divBdr>
        <w:top w:val="none" w:sz="0" w:space="0" w:color="auto"/>
        <w:left w:val="none" w:sz="0" w:space="0" w:color="auto"/>
        <w:bottom w:val="none" w:sz="0" w:space="0" w:color="auto"/>
        <w:right w:val="none" w:sz="0" w:space="0" w:color="auto"/>
      </w:divBdr>
    </w:div>
    <w:div w:id="1499271599">
      <w:bodyDiv w:val="1"/>
      <w:marLeft w:val="0"/>
      <w:marRight w:val="0"/>
      <w:marTop w:val="0"/>
      <w:marBottom w:val="0"/>
      <w:divBdr>
        <w:top w:val="none" w:sz="0" w:space="0" w:color="auto"/>
        <w:left w:val="none" w:sz="0" w:space="0" w:color="auto"/>
        <w:bottom w:val="none" w:sz="0" w:space="0" w:color="auto"/>
        <w:right w:val="none" w:sz="0" w:space="0" w:color="auto"/>
      </w:divBdr>
    </w:div>
    <w:div w:id="1500271992">
      <w:bodyDiv w:val="1"/>
      <w:marLeft w:val="0"/>
      <w:marRight w:val="0"/>
      <w:marTop w:val="0"/>
      <w:marBottom w:val="0"/>
      <w:divBdr>
        <w:top w:val="none" w:sz="0" w:space="0" w:color="auto"/>
        <w:left w:val="none" w:sz="0" w:space="0" w:color="auto"/>
        <w:bottom w:val="none" w:sz="0" w:space="0" w:color="auto"/>
        <w:right w:val="none" w:sz="0" w:space="0" w:color="auto"/>
      </w:divBdr>
    </w:div>
    <w:div w:id="1509248654">
      <w:bodyDiv w:val="1"/>
      <w:marLeft w:val="0"/>
      <w:marRight w:val="0"/>
      <w:marTop w:val="0"/>
      <w:marBottom w:val="0"/>
      <w:divBdr>
        <w:top w:val="none" w:sz="0" w:space="0" w:color="auto"/>
        <w:left w:val="none" w:sz="0" w:space="0" w:color="auto"/>
        <w:bottom w:val="none" w:sz="0" w:space="0" w:color="auto"/>
        <w:right w:val="none" w:sz="0" w:space="0" w:color="auto"/>
      </w:divBdr>
    </w:div>
    <w:div w:id="1511338870">
      <w:bodyDiv w:val="1"/>
      <w:marLeft w:val="0"/>
      <w:marRight w:val="0"/>
      <w:marTop w:val="0"/>
      <w:marBottom w:val="0"/>
      <w:divBdr>
        <w:top w:val="none" w:sz="0" w:space="0" w:color="auto"/>
        <w:left w:val="none" w:sz="0" w:space="0" w:color="auto"/>
        <w:bottom w:val="none" w:sz="0" w:space="0" w:color="auto"/>
        <w:right w:val="none" w:sz="0" w:space="0" w:color="auto"/>
      </w:divBdr>
    </w:div>
    <w:div w:id="1522476851">
      <w:bodyDiv w:val="1"/>
      <w:marLeft w:val="0"/>
      <w:marRight w:val="0"/>
      <w:marTop w:val="0"/>
      <w:marBottom w:val="0"/>
      <w:divBdr>
        <w:top w:val="none" w:sz="0" w:space="0" w:color="auto"/>
        <w:left w:val="none" w:sz="0" w:space="0" w:color="auto"/>
        <w:bottom w:val="none" w:sz="0" w:space="0" w:color="auto"/>
        <w:right w:val="none" w:sz="0" w:space="0" w:color="auto"/>
      </w:divBdr>
    </w:div>
    <w:div w:id="1533348212">
      <w:bodyDiv w:val="1"/>
      <w:marLeft w:val="0"/>
      <w:marRight w:val="0"/>
      <w:marTop w:val="0"/>
      <w:marBottom w:val="0"/>
      <w:divBdr>
        <w:top w:val="none" w:sz="0" w:space="0" w:color="auto"/>
        <w:left w:val="none" w:sz="0" w:space="0" w:color="auto"/>
        <w:bottom w:val="none" w:sz="0" w:space="0" w:color="auto"/>
        <w:right w:val="none" w:sz="0" w:space="0" w:color="auto"/>
      </w:divBdr>
    </w:div>
    <w:div w:id="1542666626">
      <w:bodyDiv w:val="1"/>
      <w:marLeft w:val="0"/>
      <w:marRight w:val="0"/>
      <w:marTop w:val="0"/>
      <w:marBottom w:val="0"/>
      <w:divBdr>
        <w:top w:val="none" w:sz="0" w:space="0" w:color="auto"/>
        <w:left w:val="none" w:sz="0" w:space="0" w:color="auto"/>
        <w:bottom w:val="none" w:sz="0" w:space="0" w:color="auto"/>
        <w:right w:val="none" w:sz="0" w:space="0" w:color="auto"/>
      </w:divBdr>
    </w:div>
    <w:div w:id="1544832540">
      <w:bodyDiv w:val="1"/>
      <w:marLeft w:val="0"/>
      <w:marRight w:val="0"/>
      <w:marTop w:val="0"/>
      <w:marBottom w:val="0"/>
      <w:divBdr>
        <w:top w:val="none" w:sz="0" w:space="0" w:color="auto"/>
        <w:left w:val="none" w:sz="0" w:space="0" w:color="auto"/>
        <w:bottom w:val="none" w:sz="0" w:space="0" w:color="auto"/>
        <w:right w:val="none" w:sz="0" w:space="0" w:color="auto"/>
      </w:divBdr>
    </w:div>
    <w:div w:id="1547335731">
      <w:bodyDiv w:val="1"/>
      <w:marLeft w:val="0"/>
      <w:marRight w:val="0"/>
      <w:marTop w:val="0"/>
      <w:marBottom w:val="0"/>
      <w:divBdr>
        <w:top w:val="none" w:sz="0" w:space="0" w:color="auto"/>
        <w:left w:val="none" w:sz="0" w:space="0" w:color="auto"/>
        <w:bottom w:val="none" w:sz="0" w:space="0" w:color="auto"/>
        <w:right w:val="none" w:sz="0" w:space="0" w:color="auto"/>
      </w:divBdr>
    </w:div>
    <w:div w:id="1547789046">
      <w:bodyDiv w:val="1"/>
      <w:marLeft w:val="0"/>
      <w:marRight w:val="0"/>
      <w:marTop w:val="0"/>
      <w:marBottom w:val="0"/>
      <w:divBdr>
        <w:top w:val="none" w:sz="0" w:space="0" w:color="auto"/>
        <w:left w:val="none" w:sz="0" w:space="0" w:color="auto"/>
        <w:bottom w:val="none" w:sz="0" w:space="0" w:color="auto"/>
        <w:right w:val="none" w:sz="0" w:space="0" w:color="auto"/>
      </w:divBdr>
    </w:div>
    <w:div w:id="1552306796">
      <w:bodyDiv w:val="1"/>
      <w:marLeft w:val="0"/>
      <w:marRight w:val="0"/>
      <w:marTop w:val="0"/>
      <w:marBottom w:val="0"/>
      <w:divBdr>
        <w:top w:val="none" w:sz="0" w:space="0" w:color="auto"/>
        <w:left w:val="none" w:sz="0" w:space="0" w:color="auto"/>
        <w:bottom w:val="none" w:sz="0" w:space="0" w:color="auto"/>
        <w:right w:val="none" w:sz="0" w:space="0" w:color="auto"/>
      </w:divBdr>
    </w:div>
    <w:div w:id="1553494086">
      <w:bodyDiv w:val="1"/>
      <w:marLeft w:val="0"/>
      <w:marRight w:val="0"/>
      <w:marTop w:val="0"/>
      <w:marBottom w:val="0"/>
      <w:divBdr>
        <w:top w:val="none" w:sz="0" w:space="0" w:color="auto"/>
        <w:left w:val="none" w:sz="0" w:space="0" w:color="auto"/>
        <w:bottom w:val="none" w:sz="0" w:space="0" w:color="auto"/>
        <w:right w:val="none" w:sz="0" w:space="0" w:color="auto"/>
      </w:divBdr>
    </w:div>
    <w:div w:id="1556811743">
      <w:bodyDiv w:val="1"/>
      <w:marLeft w:val="0"/>
      <w:marRight w:val="0"/>
      <w:marTop w:val="0"/>
      <w:marBottom w:val="0"/>
      <w:divBdr>
        <w:top w:val="none" w:sz="0" w:space="0" w:color="auto"/>
        <w:left w:val="none" w:sz="0" w:space="0" w:color="auto"/>
        <w:bottom w:val="none" w:sz="0" w:space="0" w:color="auto"/>
        <w:right w:val="none" w:sz="0" w:space="0" w:color="auto"/>
      </w:divBdr>
    </w:div>
    <w:div w:id="1556970963">
      <w:bodyDiv w:val="1"/>
      <w:marLeft w:val="0"/>
      <w:marRight w:val="0"/>
      <w:marTop w:val="0"/>
      <w:marBottom w:val="0"/>
      <w:divBdr>
        <w:top w:val="none" w:sz="0" w:space="0" w:color="auto"/>
        <w:left w:val="none" w:sz="0" w:space="0" w:color="auto"/>
        <w:bottom w:val="none" w:sz="0" w:space="0" w:color="auto"/>
        <w:right w:val="none" w:sz="0" w:space="0" w:color="auto"/>
      </w:divBdr>
    </w:div>
    <w:div w:id="1558665724">
      <w:bodyDiv w:val="1"/>
      <w:marLeft w:val="0"/>
      <w:marRight w:val="0"/>
      <w:marTop w:val="0"/>
      <w:marBottom w:val="0"/>
      <w:divBdr>
        <w:top w:val="none" w:sz="0" w:space="0" w:color="auto"/>
        <w:left w:val="none" w:sz="0" w:space="0" w:color="auto"/>
        <w:bottom w:val="none" w:sz="0" w:space="0" w:color="auto"/>
        <w:right w:val="none" w:sz="0" w:space="0" w:color="auto"/>
      </w:divBdr>
    </w:div>
    <w:div w:id="1563253294">
      <w:bodyDiv w:val="1"/>
      <w:marLeft w:val="0"/>
      <w:marRight w:val="0"/>
      <w:marTop w:val="0"/>
      <w:marBottom w:val="0"/>
      <w:divBdr>
        <w:top w:val="none" w:sz="0" w:space="0" w:color="auto"/>
        <w:left w:val="none" w:sz="0" w:space="0" w:color="auto"/>
        <w:bottom w:val="none" w:sz="0" w:space="0" w:color="auto"/>
        <w:right w:val="none" w:sz="0" w:space="0" w:color="auto"/>
      </w:divBdr>
    </w:div>
    <w:div w:id="1565066193">
      <w:bodyDiv w:val="1"/>
      <w:marLeft w:val="0"/>
      <w:marRight w:val="0"/>
      <w:marTop w:val="0"/>
      <w:marBottom w:val="0"/>
      <w:divBdr>
        <w:top w:val="none" w:sz="0" w:space="0" w:color="auto"/>
        <w:left w:val="none" w:sz="0" w:space="0" w:color="auto"/>
        <w:bottom w:val="none" w:sz="0" w:space="0" w:color="auto"/>
        <w:right w:val="none" w:sz="0" w:space="0" w:color="auto"/>
      </w:divBdr>
    </w:div>
    <w:div w:id="1574004207">
      <w:bodyDiv w:val="1"/>
      <w:marLeft w:val="0"/>
      <w:marRight w:val="0"/>
      <w:marTop w:val="0"/>
      <w:marBottom w:val="0"/>
      <w:divBdr>
        <w:top w:val="none" w:sz="0" w:space="0" w:color="auto"/>
        <w:left w:val="none" w:sz="0" w:space="0" w:color="auto"/>
        <w:bottom w:val="none" w:sz="0" w:space="0" w:color="auto"/>
        <w:right w:val="none" w:sz="0" w:space="0" w:color="auto"/>
      </w:divBdr>
    </w:div>
    <w:div w:id="1575626493">
      <w:bodyDiv w:val="1"/>
      <w:marLeft w:val="0"/>
      <w:marRight w:val="0"/>
      <w:marTop w:val="0"/>
      <w:marBottom w:val="0"/>
      <w:divBdr>
        <w:top w:val="none" w:sz="0" w:space="0" w:color="auto"/>
        <w:left w:val="none" w:sz="0" w:space="0" w:color="auto"/>
        <w:bottom w:val="none" w:sz="0" w:space="0" w:color="auto"/>
        <w:right w:val="none" w:sz="0" w:space="0" w:color="auto"/>
      </w:divBdr>
    </w:div>
    <w:div w:id="1577933547">
      <w:bodyDiv w:val="1"/>
      <w:marLeft w:val="0"/>
      <w:marRight w:val="0"/>
      <w:marTop w:val="0"/>
      <w:marBottom w:val="0"/>
      <w:divBdr>
        <w:top w:val="none" w:sz="0" w:space="0" w:color="auto"/>
        <w:left w:val="none" w:sz="0" w:space="0" w:color="auto"/>
        <w:bottom w:val="none" w:sz="0" w:space="0" w:color="auto"/>
        <w:right w:val="none" w:sz="0" w:space="0" w:color="auto"/>
      </w:divBdr>
    </w:div>
    <w:div w:id="1584685609">
      <w:bodyDiv w:val="1"/>
      <w:marLeft w:val="0"/>
      <w:marRight w:val="0"/>
      <w:marTop w:val="0"/>
      <w:marBottom w:val="0"/>
      <w:divBdr>
        <w:top w:val="none" w:sz="0" w:space="0" w:color="auto"/>
        <w:left w:val="none" w:sz="0" w:space="0" w:color="auto"/>
        <w:bottom w:val="none" w:sz="0" w:space="0" w:color="auto"/>
        <w:right w:val="none" w:sz="0" w:space="0" w:color="auto"/>
      </w:divBdr>
    </w:div>
    <w:div w:id="1606620622">
      <w:bodyDiv w:val="1"/>
      <w:marLeft w:val="0"/>
      <w:marRight w:val="0"/>
      <w:marTop w:val="0"/>
      <w:marBottom w:val="0"/>
      <w:divBdr>
        <w:top w:val="none" w:sz="0" w:space="0" w:color="auto"/>
        <w:left w:val="none" w:sz="0" w:space="0" w:color="auto"/>
        <w:bottom w:val="none" w:sz="0" w:space="0" w:color="auto"/>
        <w:right w:val="none" w:sz="0" w:space="0" w:color="auto"/>
      </w:divBdr>
    </w:div>
    <w:div w:id="1608544149">
      <w:bodyDiv w:val="1"/>
      <w:marLeft w:val="0"/>
      <w:marRight w:val="0"/>
      <w:marTop w:val="0"/>
      <w:marBottom w:val="0"/>
      <w:divBdr>
        <w:top w:val="none" w:sz="0" w:space="0" w:color="auto"/>
        <w:left w:val="none" w:sz="0" w:space="0" w:color="auto"/>
        <w:bottom w:val="none" w:sz="0" w:space="0" w:color="auto"/>
        <w:right w:val="none" w:sz="0" w:space="0" w:color="auto"/>
      </w:divBdr>
    </w:div>
    <w:div w:id="1611355538">
      <w:bodyDiv w:val="1"/>
      <w:marLeft w:val="0"/>
      <w:marRight w:val="0"/>
      <w:marTop w:val="0"/>
      <w:marBottom w:val="0"/>
      <w:divBdr>
        <w:top w:val="none" w:sz="0" w:space="0" w:color="auto"/>
        <w:left w:val="none" w:sz="0" w:space="0" w:color="auto"/>
        <w:bottom w:val="none" w:sz="0" w:space="0" w:color="auto"/>
        <w:right w:val="none" w:sz="0" w:space="0" w:color="auto"/>
      </w:divBdr>
    </w:div>
    <w:div w:id="1615165624">
      <w:bodyDiv w:val="1"/>
      <w:marLeft w:val="0"/>
      <w:marRight w:val="0"/>
      <w:marTop w:val="0"/>
      <w:marBottom w:val="0"/>
      <w:divBdr>
        <w:top w:val="none" w:sz="0" w:space="0" w:color="auto"/>
        <w:left w:val="none" w:sz="0" w:space="0" w:color="auto"/>
        <w:bottom w:val="none" w:sz="0" w:space="0" w:color="auto"/>
        <w:right w:val="none" w:sz="0" w:space="0" w:color="auto"/>
      </w:divBdr>
    </w:div>
    <w:div w:id="1623657893">
      <w:bodyDiv w:val="1"/>
      <w:marLeft w:val="0"/>
      <w:marRight w:val="0"/>
      <w:marTop w:val="0"/>
      <w:marBottom w:val="0"/>
      <w:divBdr>
        <w:top w:val="none" w:sz="0" w:space="0" w:color="auto"/>
        <w:left w:val="none" w:sz="0" w:space="0" w:color="auto"/>
        <w:bottom w:val="none" w:sz="0" w:space="0" w:color="auto"/>
        <w:right w:val="none" w:sz="0" w:space="0" w:color="auto"/>
      </w:divBdr>
    </w:div>
    <w:div w:id="1626350378">
      <w:bodyDiv w:val="1"/>
      <w:marLeft w:val="0"/>
      <w:marRight w:val="0"/>
      <w:marTop w:val="0"/>
      <w:marBottom w:val="0"/>
      <w:divBdr>
        <w:top w:val="none" w:sz="0" w:space="0" w:color="auto"/>
        <w:left w:val="none" w:sz="0" w:space="0" w:color="auto"/>
        <w:bottom w:val="none" w:sz="0" w:space="0" w:color="auto"/>
        <w:right w:val="none" w:sz="0" w:space="0" w:color="auto"/>
      </w:divBdr>
    </w:div>
    <w:div w:id="1631666917">
      <w:bodyDiv w:val="1"/>
      <w:marLeft w:val="0"/>
      <w:marRight w:val="0"/>
      <w:marTop w:val="0"/>
      <w:marBottom w:val="0"/>
      <w:divBdr>
        <w:top w:val="none" w:sz="0" w:space="0" w:color="auto"/>
        <w:left w:val="none" w:sz="0" w:space="0" w:color="auto"/>
        <w:bottom w:val="none" w:sz="0" w:space="0" w:color="auto"/>
        <w:right w:val="none" w:sz="0" w:space="0" w:color="auto"/>
      </w:divBdr>
    </w:div>
    <w:div w:id="1641573967">
      <w:bodyDiv w:val="1"/>
      <w:marLeft w:val="0"/>
      <w:marRight w:val="0"/>
      <w:marTop w:val="0"/>
      <w:marBottom w:val="0"/>
      <w:divBdr>
        <w:top w:val="none" w:sz="0" w:space="0" w:color="auto"/>
        <w:left w:val="none" w:sz="0" w:space="0" w:color="auto"/>
        <w:bottom w:val="none" w:sz="0" w:space="0" w:color="auto"/>
        <w:right w:val="none" w:sz="0" w:space="0" w:color="auto"/>
      </w:divBdr>
    </w:div>
    <w:div w:id="1645085198">
      <w:bodyDiv w:val="1"/>
      <w:marLeft w:val="0"/>
      <w:marRight w:val="0"/>
      <w:marTop w:val="0"/>
      <w:marBottom w:val="0"/>
      <w:divBdr>
        <w:top w:val="none" w:sz="0" w:space="0" w:color="auto"/>
        <w:left w:val="none" w:sz="0" w:space="0" w:color="auto"/>
        <w:bottom w:val="none" w:sz="0" w:space="0" w:color="auto"/>
        <w:right w:val="none" w:sz="0" w:space="0" w:color="auto"/>
      </w:divBdr>
    </w:div>
    <w:div w:id="1645234295">
      <w:bodyDiv w:val="1"/>
      <w:marLeft w:val="0"/>
      <w:marRight w:val="0"/>
      <w:marTop w:val="0"/>
      <w:marBottom w:val="0"/>
      <w:divBdr>
        <w:top w:val="none" w:sz="0" w:space="0" w:color="auto"/>
        <w:left w:val="none" w:sz="0" w:space="0" w:color="auto"/>
        <w:bottom w:val="none" w:sz="0" w:space="0" w:color="auto"/>
        <w:right w:val="none" w:sz="0" w:space="0" w:color="auto"/>
      </w:divBdr>
      <w:divsChild>
        <w:div w:id="941108363">
          <w:marLeft w:val="0"/>
          <w:marRight w:val="0"/>
          <w:marTop w:val="0"/>
          <w:marBottom w:val="0"/>
          <w:divBdr>
            <w:top w:val="none" w:sz="0" w:space="0" w:color="auto"/>
            <w:left w:val="none" w:sz="0" w:space="0" w:color="auto"/>
            <w:bottom w:val="none" w:sz="0" w:space="0" w:color="auto"/>
            <w:right w:val="none" w:sz="0" w:space="0" w:color="auto"/>
          </w:divBdr>
        </w:div>
        <w:div w:id="1315405717">
          <w:marLeft w:val="0"/>
          <w:marRight w:val="0"/>
          <w:marTop w:val="0"/>
          <w:marBottom w:val="0"/>
          <w:divBdr>
            <w:top w:val="none" w:sz="0" w:space="0" w:color="auto"/>
            <w:left w:val="none" w:sz="0" w:space="0" w:color="auto"/>
            <w:bottom w:val="none" w:sz="0" w:space="0" w:color="auto"/>
            <w:right w:val="none" w:sz="0" w:space="0" w:color="auto"/>
          </w:divBdr>
        </w:div>
        <w:div w:id="1744595911">
          <w:marLeft w:val="0"/>
          <w:marRight w:val="0"/>
          <w:marTop w:val="0"/>
          <w:marBottom w:val="0"/>
          <w:divBdr>
            <w:top w:val="none" w:sz="0" w:space="0" w:color="auto"/>
            <w:left w:val="none" w:sz="0" w:space="0" w:color="auto"/>
            <w:bottom w:val="none" w:sz="0" w:space="0" w:color="auto"/>
            <w:right w:val="none" w:sz="0" w:space="0" w:color="auto"/>
          </w:divBdr>
        </w:div>
      </w:divsChild>
    </w:div>
    <w:div w:id="1649941966">
      <w:bodyDiv w:val="1"/>
      <w:marLeft w:val="0"/>
      <w:marRight w:val="0"/>
      <w:marTop w:val="0"/>
      <w:marBottom w:val="0"/>
      <w:divBdr>
        <w:top w:val="none" w:sz="0" w:space="0" w:color="auto"/>
        <w:left w:val="none" w:sz="0" w:space="0" w:color="auto"/>
        <w:bottom w:val="none" w:sz="0" w:space="0" w:color="auto"/>
        <w:right w:val="none" w:sz="0" w:space="0" w:color="auto"/>
      </w:divBdr>
    </w:div>
    <w:div w:id="1653172523">
      <w:bodyDiv w:val="1"/>
      <w:marLeft w:val="0"/>
      <w:marRight w:val="0"/>
      <w:marTop w:val="0"/>
      <w:marBottom w:val="0"/>
      <w:divBdr>
        <w:top w:val="none" w:sz="0" w:space="0" w:color="auto"/>
        <w:left w:val="none" w:sz="0" w:space="0" w:color="auto"/>
        <w:bottom w:val="none" w:sz="0" w:space="0" w:color="auto"/>
        <w:right w:val="none" w:sz="0" w:space="0" w:color="auto"/>
      </w:divBdr>
    </w:div>
    <w:div w:id="1659141835">
      <w:bodyDiv w:val="1"/>
      <w:marLeft w:val="0"/>
      <w:marRight w:val="0"/>
      <w:marTop w:val="0"/>
      <w:marBottom w:val="0"/>
      <w:divBdr>
        <w:top w:val="none" w:sz="0" w:space="0" w:color="auto"/>
        <w:left w:val="none" w:sz="0" w:space="0" w:color="auto"/>
        <w:bottom w:val="none" w:sz="0" w:space="0" w:color="auto"/>
        <w:right w:val="none" w:sz="0" w:space="0" w:color="auto"/>
      </w:divBdr>
    </w:div>
    <w:div w:id="1660649256">
      <w:bodyDiv w:val="1"/>
      <w:marLeft w:val="0"/>
      <w:marRight w:val="0"/>
      <w:marTop w:val="0"/>
      <w:marBottom w:val="0"/>
      <w:divBdr>
        <w:top w:val="none" w:sz="0" w:space="0" w:color="auto"/>
        <w:left w:val="none" w:sz="0" w:space="0" w:color="auto"/>
        <w:bottom w:val="none" w:sz="0" w:space="0" w:color="auto"/>
        <w:right w:val="none" w:sz="0" w:space="0" w:color="auto"/>
      </w:divBdr>
    </w:div>
    <w:div w:id="1666782734">
      <w:bodyDiv w:val="1"/>
      <w:marLeft w:val="0"/>
      <w:marRight w:val="0"/>
      <w:marTop w:val="0"/>
      <w:marBottom w:val="0"/>
      <w:divBdr>
        <w:top w:val="none" w:sz="0" w:space="0" w:color="auto"/>
        <w:left w:val="none" w:sz="0" w:space="0" w:color="auto"/>
        <w:bottom w:val="none" w:sz="0" w:space="0" w:color="auto"/>
        <w:right w:val="none" w:sz="0" w:space="0" w:color="auto"/>
      </w:divBdr>
    </w:div>
    <w:div w:id="1671714140">
      <w:bodyDiv w:val="1"/>
      <w:marLeft w:val="0"/>
      <w:marRight w:val="0"/>
      <w:marTop w:val="0"/>
      <w:marBottom w:val="0"/>
      <w:divBdr>
        <w:top w:val="none" w:sz="0" w:space="0" w:color="auto"/>
        <w:left w:val="none" w:sz="0" w:space="0" w:color="auto"/>
        <w:bottom w:val="none" w:sz="0" w:space="0" w:color="auto"/>
        <w:right w:val="none" w:sz="0" w:space="0" w:color="auto"/>
      </w:divBdr>
    </w:div>
    <w:div w:id="1674919149">
      <w:bodyDiv w:val="1"/>
      <w:marLeft w:val="0"/>
      <w:marRight w:val="0"/>
      <w:marTop w:val="0"/>
      <w:marBottom w:val="0"/>
      <w:divBdr>
        <w:top w:val="none" w:sz="0" w:space="0" w:color="auto"/>
        <w:left w:val="none" w:sz="0" w:space="0" w:color="auto"/>
        <w:bottom w:val="none" w:sz="0" w:space="0" w:color="auto"/>
        <w:right w:val="none" w:sz="0" w:space="0" w:color="auto"/>
      </w:divBdr>
    </w:div>
    <w:div w:id="1675305739">
      <w:bodyDiv w:val="1"/>
      <w:marLeft w:val="0"/>
      <w:marRight w:val="0"/>
      <w:marTop w:val="0"/>
      <w:marBottom w:val="0"/>
      <w:divBdr>
        <w:top w:val="none" w:sz="0" w:space="0" w:color="auto"/>
        <w:left w:val="none" w:sz="0" w:space="0" w:color="auto"/>
        <w:bottom w:val="none" w:sz="0" w:space="0" w:color="auto"/>
        <w:right w:val="none" w:sz="0" w:space="0" w:color="auto"/>
      </w:divBdr>
    </w:div>
    <w:div w:id="1676416401">
      <w:bodyDiv w:val="1"/>
      <w:marLeft w:val="0"/>
      <w:marRight w:val="0"/>
      <w:marTop w:val="0"/>
      <w:marBottom w:val="0"/>
      <w:divBdr>
        <w:top w:val="none" w:sz="0" w:space="0" w:color="auto"/>
        <w:left w:val="none" w:sz="0" w:space="0" w:color="auto"/>
        <w:bottom w:val="none" w:sz="0" w:space="0" w:color="auto"/>
        <w:right w:val="none" w:sz="0" w:space="0" w:color="auto"/>
      </w:divBdr>
    </w:div>
    <w:div w:id="1677345815">
      <w:bodyDiv w:val="1"/>
      <w:marLeft w:val="0"/>
      <w:marRight w:val="0"/>
      <w:marTop w:val="0"/>
      <w:marBottom w:val="0"/>
      <w:divBdr>
        <w:top w:val="none" w:sz="0" w:space="0" w:color="auto"/>
        <w:left w:val="none" w:sz="0" w:space="0" w:color="auto"/>
        <w:bottom w:val="none" w:sz="0" w:space="0" w:color="auto"/>
        <w:right w:val="none" w:sz="0" w:space="0" w:color="auto"/>
      </w:divBdr>
    </w:div>
    <w:div w:id="1677612170">
      <w:bodyDiv w:val="1"/>
      <w:marLeft w:val="0"/>
      <w:marRight w:val="0"/>
      <w:marTop w:val="0"/>
      <w:marBottom w:val="0"/>
      <w:divBdr>
        <w:top w:val="none" w:sz="0" w:space="0" w:color="auto"/>
        <w:left w:val="none" w:sz="0" w:space="0" w:color="auto"/>
        <w:bottom w:val="none" w:sz="0" w:space="0" w:color="auto"/>
        <w:right w:val="none" w:sz="0" w:space="0" w:color="auto"/>
      </w:divBdr>
    </w:div>
    <w:div w:id="1681540315">
      <w:bodyDiv w:val="1"/>
      <w:marLeft w:val="0"/>
      <w:marRight w:val="0"/>
      <w:marTop w:val="0"/>
      <w:marBottom w:val="0"/>
      <w:divBdr>
        <w:top w:val="none" w:sz="0" w:space="0" w:color="auto"/>
        <w:left w:val="none" w:sz="0" w:space="0" w:color="auto"/>
        <w:bottom w:val="none" w:sz="0" w:space="0" w:color="auto"/>
        <w:right w:val="none" w:sz="0" w:space="0" w:color="auto"/>
      </w:divBdr>
    </w:div>
    <w:div w:id="1682929036">
      <w:bodyDiv w:val="1"/>
      <w:marLeft w:val="0"/>
      <w:marRight w:val="0"/>
      <w:marTop w:val="0"/>
      <w:marBottom w:val="0"/>
      <w:divBdr>
        <w:top w:val="none" w:sz="0" w:space="0" w:color="auto"/>
        <w:left w:val="none" w:sz="0" w:space="0" w:color="auto"/>
        <w:bottom w:val="none" w:sz="0" w:space="0" w:color="auto"/>
        <w:right w:val="none" w:sz="0" w:space="0" w:color="auto"/>
      </w:divBdr>
    </w:div>
    <w:div w:id="1691103064">
      <w:bodyDiv w:val="1"/>
      <w:marLeft w:val="0"/>
      <w:marRight w:val="0"/>
      <w:marTop w:val="0"/>
      <w:marBottom w:val="0"/>
      <w:divBdr>
        <w:top w:val="none" w:sz="0" w:space="0" w:color="auto"/>
        <w:left w:val="none" w:sz="0" w:space="0" w:color="auto"/>
        <w:bottom w:val="none" w:sz="0" w:space="0" w:color="auto"/>
        <w:right w:val="none" w:sz="0" w:space="0" w:color="auto"/>
      </w:divBdr>
    </w:div>
    <w:div w:id="1696224397">
      <w:bodyDiv w:val="1"/>
      <w:marLeft w:val="0"/>
      <w:marRight w:val="0"/>
      <w:marTop w:val="0"/>
      <w:marBottom w:val="0"/>
      <w:divBdr>
        <w:top w:val="none" w:sz="0" w:space="0" w:color="auto"/>
        <w:left w:val="none" w:sz="0" w:space="0" w:color="auto"/>
        <w:bottom w:val="none" w:sz="0" w:space="0" w:color="auto"/>
        <w:right w:val="none" w:sz="0" w:space="0" w:color="auto"/>
      </w:divBdr>
    </w:div>
    <w:div w:id="1696536276">
      <w:bodyDiv w:val="1"/>
      <w:marLeft w:val="0"/>
      <w:marRight w:val="0"/>
      <w:marTop w:val="0"/>
      <w:marBottom w:val="0"/>
      <w:divBdr>
        <w:top w:val="none" w:sz="0" w:space="0" w:color="auto"/>
        <w:left w:val="none" w:sz="0" w:space="0" w:color="auto"/>
        <w:bottom w:val="none" w:sz="0" w:space="0" w:color="auto"/>
        <w:right w:val="none" w:sz="0" w:space="0" w:color="auto"/>
      </w:divBdr>
    </w:div>
    <w:div w:id="1696882547">
      <w:bodyDiv w:val="1"/>
      <w:marLeft w:val="0"/>
      <w:marRight w:val="0"/>
      <w:marTop w:val="0"/>
      <w:marBottom w:val="0"/>
      <w:divBdr>
        <w:top w:val="none" w:sz="0" w:space="0" w:color="auto"/>
        <w:left w:val="none" w:sz="0" w:space="0" w:color="auto"/>
        <w:bottom w:val="none" w:sz="0" w:space="0" w:color="auto"/>
        <w:right w:val="none" w:sz="0" w:space="0" w:color="auto"/>
      </w:divBdr>
    </w:div>
    <w:div w:id="1697846864">
      <w:bodyDiv w:val="1"/>
      <w:marLeft w:val="0"/>
      <w:marRight w:val="0"/>
      <w:marTop w:val="0"/>
      <w:marBottom w:val="0"/>
      <w:divBdr>
        <w:top w:val="none" w:sz="0" w:space="0" w:color="auto"/>
        <w:left w:val="none" w:sz="0" w:space="0" w:color="auto"/>
        <w:bottom w:val="none" w:sz="0" w:space="0" w:color="auto"/>
        <w:right w:val="none" w:sz="0" w:space="0" w:color="auto"/>
      </w:divBdr>
    </w:div>
    <w:div w:id="1700885584">
      <w:bodyDiv w:val="1"/>
      <w:marLeft w:val="0"/>
      <w:marRight w:val="0"/>
      <w:marTop w:val="0"/>
      <w:marBottom w:val="0"/>
      <w:divBdr>
        <w:top w:val="none" w:sz="0" w:space="0" w:color="auto"/>
        <w:left w:val="none" w:sz="0" w:space="0" w:color="auto"/>
        <w:bottom w:val="none" w:sz="0" w:space="0" w:color="auto"/>
        <w:right w:val="none" w:sz="0" w:space="0" w:color="auto"/>
      </w:divBdr>
    </w:div>
    <w:div w:id="1707833816">
      <w:bodyDiv w:val="1"/>
      <w:marLeft w:val="0"/>
      <w:marRight w:val="0"/>
      <w:marTop w:val="0"/>
      <w:marBottom w:val="0"/>
      <w:divBdr>
        <w:top w:val="none" w:sz="0" w:space="0" w:color="auto"/>
        <w:left w:val="none" w:sz="0" w:space="0" w:color="auto"/>
        <w:bottom w:val="none" w:sz="0" w:space="0" w:color="auto"/>
        <w:right w:val="none" w:sz="0" w:space="0" w:color="auto"/>
      </w:divBdr>
    </w:div>
    <w:div w:id="1708069419">
      <w:bodyDiv w:val="1"/>
      <w:marLeft w:val="0"/>
      <w:marRight w:val="0"/>
      <w:marTop w:val="0"/>
      <w:marBottom w:val="0"/>
      <w:divBdr>
        <w:top w:val="none" w:sz="0" w:space="0" w:color="auto"/>
        <w:left w:val="none" w:sz="0" w:space="0" w:color="auto"/>
        <w:bottom w:val="none" w:sz="0" w:space="0" w:color="auto"/>
        <w:right w:val="none" w:sz="0" w:space="0" w:color="auto"/>
      </w:divBdr>
    </w:div>
    <w:div w:id="1709715441">
      <w:bodyDiv w:val="1"/>
      <w:marLeft w:val="0"/>
      <w:marRight w:val="0"/>
      <w:marTop w:val="0"/>
      <w:marBottom w:val="0"/>
      <w:divBdr>
        <w:top w:val="none" w:sz="0" w:space="0" w:color="auto"/>
        <w:left w:val="none" w:sz="0" w:space="0" w:color="auto"/>
        <w:bottom w:val="none" w:sz="0" w:space="0" w:color="auto"/>
        <w:right w:val="none" w:sz="0" w:space="0" w:color="auto"/>
      </w:divBdr>
    </w:div>
    <w:div w:id="1711302745">
      <w:bodyDiv w:val="1"/>
      <w:marLeft w:val="0"/>
      <w:marRight w:val="0"/>
      <w:marTop w:val="0"/>
      <w:marBottom w:val="0"/>
      <w:divBdr>
        <w:top w:val="none" w:sz="0" w:space="0" w:color="auto"/>
        <w:left w:val="none" w:sz="0" w:space="0" w:color="auto"/>
        <w:bottom w:val="none" w:sz="0" w:space="0" w:color="auto"/>
        <w:right w:val="none" w:sz="0" w:space="0" w:color="auto"/>
      </w:divBdr>
    </w:div>
    <w:div w:id="1711760408">
      <w:bodyDiv w:val="1"/>
      <w:marLeft w:val="0"/>
      <w:marRight w:val="0"/>
      <w:marTop w:val="0"/>
      <w:marBottom w:val="0"/>
      <w:divBdr>
        <w:top w:val="none" w:sz="0" w:space="0" w:color="auto"/>
        <w:left w:val="none" w:sz="0" w:space="0" w:color="auto"/>
        <w:bottom w:val="none" w:sz="0" w:space="0" w:color="auto"/>
        <w:right w:val="none" w:sz="0" w:space="0" w:color="auto"/>
      </w:divBdr>
    </w:div>
    <w:div w:id="1715809786">
      <w:bodyDiv w:val="1"/>
      <w:marLeft w:val="0"/>
      <w:marRight w:val="0"/>
      <w:marTop w:val="0"/>
      <w:marBottom w:val="0"/>
      <w:divBdr>
        <w:top w:val="none" w:sz="0" w:space="0" w:color="auto"/>
        <w:left w:val="none" w:sz="0" w:space="0" w:color="auto"/>
        <w:bottom w:val="none" w:sz="0" w:space="0" w:color="auto"/>
        <w:right w:val="none" w:sz="0" w:space="0" w:color="auto"/>
      </w:divBdr>
    </w:div>
    <w:div w:id="1717654627">
      <w:bodyDiv w:val="1"/>
      <w:marLeft w:val="0"/>
      <w:marRight w:val="0"/>
      <w:marTop w:val="0"/>
      <w:marBottom w:val="0"/>
      <w:divBdr>
        <w:top w:val="none" w:sz="0" w:space="0" w:color="auto"/>
        <w:left w:val="none" w:sz="0" w:space="0" w:color="auto"/>
        <w:bottom w:val="none" w:sz="0" w:space="0" w:color="auto"/>
        <w:right w:val="none" w:sz="0" w:space="0" w:color="auto"/>
      </w:divBdr>
    </w:div>
    <w:div w:id="1717851660">
      <w:bodyDiv w:val="1"/>
      <w:marLeft w:val="0"/>
      <w:marRight w:val="0"/>
      <w:marTop w:val="0"/>
      <w:marBottom w:val="0"/>
      <w:divBdr>
        <w:top w:val="none" w:sz="0" w:space="0" w:color="auto"/>
        <w:left w:val="none" w:sz="0" w:space="0" w:color="auto"/>
        <w:bottom w:val="none" w:sz="0" w:space="0" w:color="auto"/>
        <w:right w:val="none" w:sz="0" w:space="0" w:color="auto"/>
      </w:divBdr>
    </w:div>
    <w:div w:id="1721588665">
      <w:bodyDiv w:val="1"/>
      <w:marLeft w:val="0"/>
      <w:marRight w:val="0"/>
      <w:marTop w:val="0"/>
      <w:marBottom w:val="0"/>
      <w:divBdr>
        <w:top w:val="none" w:sz="0" w:space="0" w:color="auto"/>
        <w:left w:val="none" w:sz="0" w:space="0" w:color="auto"/>
        <w:bottom w:val="none" w:sz="0" w:space="0" w:color="auto"/>
        <w:right w:val="none" w:sz="0" w:space="0" w:color="auto"/>
      </w:divBdr>
    </w:div>
    <w:div w:id="1729959110">
      <w:bodyDiv w:val="1"/>
      <w:marLeft w:val="0"/>
      <w:marRight w:val="0"/>
      <w:marTop w:val="0"/>
      <w:marBottom w:val="0"/>
      <w:divBdr>
        <w:top w:val="none" w:sz="0" w:space="0" w:color="auto"/>
        <w:left w:val="none" w:sz="0" w:space="0" w:color="auto"/>
        <w:bottom w:val="none" w:sz="0" w:space="0" w:color="auto"/>
        <w:right w:val="none" w:sz="0" w:space="0" w:color="auto"/>
      </w:divBdr>
    </w:div>
    <w:div w:id="1735813267">
      <w:bodyDiv w:val="1"/>
      <w:marLeft w:val="0"/>
      <w:marRight w:val="0"/>
      <w:marTop w:val="0"/>
      <w:marBottom w:val="0"/>
      <w:divBdr>
        <w:top w:val="none" w:sz="0" w:space="0" w:color="auto"/>
        <w:left w:val="none" w:sz="0" w:space="0" w:color="auto"/>
        <w:bottom w:val="none" w:sz="0" w:space="0" w:color="auto"/>
        <w:right w:val="none" w:sz="0" w:space="0" w:color="auto"/>
      </w:divBdr>
    </w:div>
    <w:div w:id="1737584606">
      <w:bodyDiv w:val="1"/>
      <w:marLeft w:val="0"/>
      <w:marRight w:val="0"/>
      <w:marTop w:val="0"/>
      <w:marBottom w:val="0"/>
      <w:divBdr>
        <w:top w:val="none" w:sz="0" w:space="0" w:color="auto"/>
        <w:left w:val="none" w:sz="0" w:space="0" w:color="auto"/>
        <w:bottom w:val="none" w:sz="0" w:space="0" w:color="auto"/>
        <w:right w:val="none" w:sz="0" w:space="0" w:color="auto"/>
      </w:divBdr>
    </w:div>
    <w:div w:id="1740706817">
      <w:bodyDiv w:val="1"/>
      <w:marLeft w:val="0"/>
      <w:marRight w:val="0"/>
      <w:marTop w:val="0"/>
      <w:marBottom w:val="0"/>
      <w:divBdr>
        <w:top w:val="none" w:sz="0" w:space="0" w:color="auto"/>
        <w:left w:val="none" w:sz="0" w:space="0" w:color="auto"/>
        <w:bottom w:val="none" w:sz="0" w:space="0" w:color="auto"/>
        <w:right w:val="none" w:sz="0" w:space="0" w:color="auto"/>
      </w:divBdr>
    </w:div>
    <w:div w:id="1745640558">
      <w:bodyDiv w:val="1"/>
      <w:marLeft w:val="0"/>
      <w:marRight w:val="0"/>
      <w:marTop w:val="0"/>
      <w:marBottom w:val="0"/>
      <w:divBdr>
        <w:top w:val="none" w:sz="0" w:space="0" w:color="auto"/>
        <w:left w:val="none" w:sz="0" w:space="0" w:color="auto"/>
        <w:bottom w:val="none" w:sz="0" w:space="0" w:color="auto"/>
        <w:right w:val="none" w:sz="0" w:space="0" w:color="auto"/>
      </w:divBdr>
    </w:div>
    <w:div w:id="1754081977">
      <w:bodyDiv w:val="1"/>
      <w:marLeft w:val="0"/>
      <w:marRight w:val="0"/>
      <w:marTop w:val="0"/>
      <w:marBottom w:val="0"/>
      <w:divBdr>
        <w:top w:val="none" w:sz="0" w:space="0" w:color="auto"/>
        <w:left w:val="none" w:sz="0" w:space="0" w:color="auto"/>
        <w:bottom w:val="none" w:sz="0" w:space="0" w:color="auto"/>
        <w:right w:val="none" w:sz="0" w:space="0" w:color="auto"/>
      </w:divBdr>
    </w:div>
    <w:div w:id="1759716422">
      <w:bodyDiv w:val="1"/>
      <w:marLeft w:val="0"/>
      <w:marRight w:val="0"/>
      <w:marTop w:val="0"/>
      <w:marBottom w:val="0"/>
      <w:divBdr>
        <w:top w:val="none" w:sz="0" w:space="0" w:color="auto"/>
        <w:left w:val="none" w:sz="0" w:space="0" w:color="auto"/>
        <w:bottom w:val="none" w:sz="0" w:space="0" w:color="auto"/>
        <w:right w:val="none" w:sz="0" w:space="0" w:color="auto"/>
      </w:divBdr>
    </w:div>
    <w:div w:id="1769427545">
      <w:bodyDiv w:val="1"/>
      <w:marLeft w:val="0"/>
      <w:marRight w:val="0"/>
      <w:marTop w:val="0"/>
      <w:marBottom w:val="0"/>
      <w:divBdr>
        <w:top w:val="none" w:sz="0" w:space="0" w:color="auto"/>
        <w:left w:val="none" w:sz="0" w:space="0" w:color="auto"/>
        <w:bottom w:val="none" w:sz="0" w:space="0" w:color="auto"/>
        <w:right w:val="none" w:sz="0" w:space="0" w:color="auto"/>
      </w:divBdr>
    </w:div>
    <w:div w:id="1770079316">
      <w:bodyDiv w:val="1"/>
      <w:marLeft w:val="0"/>
      <w:marRight w:val="0"/>
      <w:marTop w:val="0"/>
      <w:marBottom w:val="0"/>
      <w:divBdr>
        <w:top w:val="none" w:sz="0" w:space="0" w:color="auto"/>
        <w:left w:val="none" w:sz="0" w:space="0" w:color="auto"/>
        <w:bottom w:val="none" w:sz="0" w:space="0" w:color="auto"/>
        <w:right w:val="none" w:sz="0" w:space="0" w:color="auto"/>
      </w:divBdr>
    </w:div>
    <w:div w:id="1772627226">
      <w:bodyDiv w:val="1"/>
      <w:marLeft w:val="0"/>
      <w:marRight w:val="0"/>
      <w:marTop w:val="0"/>
      <w:marBottom w:val="0"/>
      <w:divBdr>
        <w:top w:val="none" w:sz="0" w:space="0" w:color="auto"/>
        <w:left w:val="none" w:sz="0" w:space="0" w:color="auto"/>
        <w:bottom w:val="none" w:sz="0" w:space="0" w:color="auto"/>
        <w:right w:val="none" w:sz="0" w:space="0" w:color="auto"/>
      </w:divBdr>
    </w:div>
    <w:div w:id="1776056916">
      <w:bodyDiv w:val="1"/>
      <w:marLeft w:val="0"/>
      <w:marRight w:val="0"/>
      <w:marTop w:val="0"/>
      <w:marBottom w:val="0"/>
      <w:divBdr>
        <w:top w:val="none" w:sz="0" w:space="0" w:color="auto"/>
        <w:left w:val="none" w:sz="0" w:space="0" w:color="auto"/>
        <w:bottom w:val="none" w:sz="0" w:space="0" w:color="auto"/>
        <w:right w:val="none" w:sz="0" w:space="0" w:color="auto"/>
      </w:divBdr>
    </w:div>
    <w:div w:id="1779832881">
      <w:bodyDiv w:val="1"/>
      <w:marLeft w:val="0"/>
      <w:marRight w:val="0"/>
      <w:marTop w:val="0"/>
      <w:marBottom w:val="0"/>
      <w:divBdr>
        <w:top w:val="none" w:sz="0" w:space="0" w:color="auto"/>
        <w:left w:val="none" w:sz="0" w:space="0" w:color="auto"/>
        <w:bottom w:val="none" w:sz="0" w:space="0" w:color="auto"/>
        <w:right w:val="none" w:sz="0" w:space="0" w:color="auto"/>
      </w:divBdr>
    </w:div>
    <w:div w:id="1784298364">
      <w:bodyDiv w:val="1"/>
      <w:marLeft w:val="0"/>
      <w:marRight w:val="0"/>
      <w:marTop w:val="0"/>
      <w:marBottom w:val="0"/>
      <w:divBdr>
        <w:top w:val="none" w:sz="0" w:space="0" w:color="auto"/>
        <w:left w:val="none" w:sz="0" w:space="0" w:color="auto"/>
        <w:bottom w:val="none" w:sz="0" w:space="0" w:color="auto"/>
        <w:right w:val="none" w:sz="0" w:space="0" w:color="auto"/>
      </w:divBdr>
    </w:div>
    <w:div w:id="1802990520">
      <w:bodyDiv w:val="1"/>
      <w:marLeft w:val="0"/>
      <w:marRight w:val="0"/>
      <w:marTop w:val="0"/>
      <w:marBottom w:val="0"/>
      <w:divBdr>
        <w:top w:val="none" w:sz="0" w:space="0" w:color="auto"/>
        <w:left w:val="none" w:sz="0" w:space="0" w:color="auto"/>
        <w:bottom w:val="none" w:sz="0" w:space="0" w:color="auto"/>
        <w:right w:val="none" w:sz="0" w:space="0" w:color="auto"/>
      </w:divBdr>
    </w:div>
    <w:div w:id="1821387410">
      <w:bodyDiv w:val="1"/>
      <w:marLeft w:val="0"/>
      <w:marRight w:val="0"/>
      <w:marTop w:val="0"/>
      <w:marBottom w:val="0"/>
      <w:divBdr>
        <w:top w:val="none" w:sz="0" w:space="0" w:color="auto"/>
        <w:left w:val="none" w:sz="0" w:space="0" w:color="auto"/>
        <w:bottom w:val="none" w:sz="0" w:space="0" w:color="auto"/>
        <w:right w:val="none" w:sz="0" w:space="0" w:color="auto"/>
      </w:divBdr>
    </w:div>
    <w:div w:id="1825046967">
      <w:bodyDiv w:val="1"/>
      <w:marLeft w:val="0"/>
      <w:marRight w:val="0"/>
      <w:marTop w:val="0"/>
      <w:marBottom w:val="0"/>
      <w:divBdr>
        <w:top w:val="none" w:sz="0" w:space="0" w:color="auto"/>
        <w:left w:val="none" w:sz="0" w:space="0" w:color="auto"/>
        <w:bottom w:val="none" w:sz="0" w:space="0" w:color="auto"/>
        <w:right w:val="none" w:sz="0" w:space="0" w:color="auto"/>
      </w:divBdr>
    </w:div>
    <w:div w:id="1826506953">
      <w:bodyDiv w:val="1"/>
      <w:marLeft w:val="0"/>
      <w:marRight w:val="0"/>
      <w:marTop w:val="0"/>
      <w:marBottom w:val="0"/>
      <w:divBdr>
        <w:top w:val="none" w:sz="0" w:space="0" w:color="auto"/>
        <w:left w:val="none" w:sz="0" w:space="0" w:color="auto"/>
        <w:bottom w:val="none" w:sz="0" w:space="0" w:color="auto"/>
        <w:right w:val="none" w:sz="0" w:space="0" w:color="auto"/>
      </w:divBdr>
    </w:div>
    <w:div w:id="1830707480">
      <w:bodyDiv w:val="1"/>
      <w:marLeft w:val="0"/>
      <w:marRight w:val="0"/>
      <w:marTop w:val="0"/>
      <w:marBottom w:val="0"/>
      <w:divBdr>
        <w:top w:val="none" w:sz="0" w:space="0" w:color="auto"/>
        <w:left w:val="none" w:sz="0" w:space="0" w:color="auto"/>
        <w:bottom w:val="none" w:sz="0" w:space="0" w:color="auto"/>
        <w:right w:val="none" w:sz="0" w:space="0" w:color="auto"/>
      </w:divBdr>
    </w:div>
    <w:div w:id="1832863592">
      <w:bodyDiv w:val="1"/>
      <w:marLeft w:val="0"/>
      <w:marRight w:val="0"/>
      <w:marTop w:val="0"/>
      <w:marBottom w:val="0"/>
      <w:divBdr>
        <w:top w:val="none" w:sz="0" w:space="0" w:color="auto"/>
        <w:left w:val="none" w:sz="0" w:space="0" w:color="auto"/>
        <w:bottom w:val="none" w:sz="0" w:space="0" w:color="auto"/>
        <w:right w:val="none" w:sz="0" w:space="0" w:color="auto"/>
      </w:divBdr>
    </w:div>
    <w:div w:id="1834106298">
      <w:bodyDiv w:val="1"/>
      <w:marLeft w:val="0"/>
      <w:marRight w:val="0"/>
      <w:marTop w:val="0"/>
      <w:marBottom w:val="0"/>
      <w:divBdr>
        <w:top w:val="none" w:sz="0" w:space="0" w:color="auto"/>
        <w:left w:val="none" w:sz="0" w:space="0" w:color="auto"/>
        <w:bottom w:val="none" w:sz="0" w:space="0" w:color="auto"/>
        <w:right w:val="none" w:sz="0" w:space="0" w:color="auto"/>
      </w:divBdr>
    </w:div>
    <w:div w:id="1835875648">
      <w:bodyDiv w:val="1"/>
      <w:marLeft w:val="0"/>
      <w:marRight w:val="0"/>
      <w:marTop w:val="0"/>
      <w:marBottom w:val="0"/>
      <w:divBdr>
        <w:top w:val="none" w:sz="0" w:space="0" w:color="auto"/>
        <w:left w:val="none" w:sz="0" w:space="0" w:color="auto"/>
        <w:bottom w:val="none" w:sz="0" w:space="0" w:color="auto"/>
        <w:right w:val="none" w:sz="0" w:space="0" w:color="auto"/>
      </w:divBdr>
    </w:div>
    <w:div w:id="1838185393">
      <w:bodyDiv w:val="1"/>
      <w:marLeft w:val="0"/>
      <w:marRight w:val="0"/>
      <w:marTop w:val="0"/>
      <w:marBottom w:val="0"/>
      <w:divBdr>
        <w:top w:val="none" w:sz="0" w:space="0" w:color="auto"/>
        <w:left w:val="none" w:sz="0" w:space="0" w:color="auto"/>
        <w:bottom w:val="none" w:sz="0" w:space="0" w:color="auto"/>
        <w:right w:val="none" w:sz="0" w:space="0" w:color="auto"/>
      </w:divBdr>
    </w:div>
    <w:div w:id="1841236668">
      <w:bodyDiv w:val="1"/>
      <w:marLeft w:val="0"/>
      <w:marRight w:val="0"/>
      <w:marTop w:val="0"/>
      <w:marBottom w:val="0"/>
      <w:divBdr>
        <w:top w:val="none" w:sz="0" w:space="0" w:color="auto"/>
        <w:left w:val="none" w:sz="0" w:space="0" w:color="auto"/>
        <w:bottom w:val="none" w:sz="0" w:space="0" w:color="auto"/>
        <w:right w:val="none" w:sz="0" w:space="0" w:color="auto"/>
      </w:divBdr>
    </w:div>
    <w:div w:id="1846700312">
      <w:bodyDiv w:val="1"/>
      <w:marLeft w:val="0"/>
      <w:marRight w:val="0"/>
      <w:marTop w:val="0"/>
      <w:marBottom w:val="0"/>
      <w:divBdr>
        <w:top w:val="none" w:sz="0" w:space="0" w:color="auto"/>
        <w:left w:val="none" w:sz="0" w:space="0" w:color="auto"/>
        <w:bottom w:val="none" w:sz="0" w:space="0" w:color="auto"/>
        <w:right w:val="none" w:sz="0" w:space="0" w:color="auto"/>
      </w:divBdr>
    </w:div>
    <w:div w:id="1850483956">
      <w:bodyDiv w:val="1"/>
      <w:marLeft w:val="0"/>
      <w:marRight w:val="0"/>
      <w:marTop w:val="0"/>
      <w:marBottom w:val="0"/>
      <w:divBdr>
        <w:top w:val="none" w:sz="0" w:space="0" w:color="auto"/>
        <w:left w:val="none" w:sz="0" w:space="0" w:color="auto"/>
        <w:bottom w:val="none" w:sz="0" w:space="0" w:color="auto"/>
        <w:right w:val="none" w:sz="0" w:space="0" w:color="auto"/>
      </w:divBdr>
    </w:div>
    <w:div w:id="1854687485">
      <w:bodyDiv w:val="1"/>
      <w:marLeft w:val="0"/>
      <w:marRight w:val="0"/>
      <w:marTop w:val="0"/>
      <w:marBottom w:val="0"/>
      <w:divBdr>
        <w:top w:val="none" w:sz="0" w:space="0" w:color="auto"/>
        <w:left w:val="none" w:sz="0" w:space="0" w:color="auto"/>
        <w:bottom w:val="none" w:sz="0" w:space="0" w:color="auto"/>
        <w:right w:val="none" w:sz="0" w:space="0" w:color="auto"/>
      </w:divBdr>
    </w:div>
    <w:div w:id="1854956638">
      <w:bodyDiv w:val="1"/>
      <w:marLeft w:val="0"/>
      <w:marRight w:val="0"/>
      <w:marTop w:val="0"/>
      <w:marBottom w:val="0"/>
      <w:divBdr>
        <w:top w:val="none" w:sz="0" w:space="0" w:color="auto"/>
        <w:left w:val="none" w:sz="0" w:space="0" w:color="auto"/>
        <w:bottom w:val="none" w:sz="0" w:space="0" w:color="auto"/>
        <w:right w:val="none" w:sz="0" w:space="0" w:color="auto"/>
      </w:divBdr>
    </w:div>
    <w:div w:id="1867132420">
      <w:bodyDiv w:val="1"/>
      <w:marLeft w:val="0"/>
      <w:marRight w:val="0"/>
      <w:marTop w:val="0"/>
      <w:marBottom w:val="0"/>
      <w:divBdr>
        <w:top w:val="none" w:sz="0" w:space="0" w:color="auto"/>
        <w:left w:val="none" w:sz="0" w:space="0" w:color="auto"/>
        <w:bottom w:val="none" w:sz="0" w:space="0" w:color="auto"/>
        <w:right w:val="none" w:sz="0" w:space="0" w:color="auto"/>
      </w:divBdr>
    </w:div>
    <w:div w:id="1875072118">
      <w:bodyDiv w:val="1"/>
      <w:marLeft w:val="0"/>
      <w:marRight w:val="0"/>
      <w:marTop w:val="0"/>
      <w:marBottom w:val="0"/>
      <w:divBdr>
        <w:top w:val="none" w:sz="0" w:space="0" w:color="auto"/>
        <w:left w:val="none" w:sz="0" w:space="0" w:color="auto"/>
        <w:bottom w:val="none" w:sz="0" w:space="0" w:color="auto"/>
        <w:right w:val="none" w:sz="0" w:space="0" w:color="auto"/>
      </w:divBdr>
    </w:div>
    <w:div w:id="1875532717">
      <w:bodyDiv w:val="1"/>
      <w:marLeft w:val="0"/>
      <w:marRight w:val="0"/>
      <w:marTop w:val="0"/>
      <w:marBottom w:val="0"/>
      <w:divBdr>
        <w:top w:val="none" w:sz="0" w:space="0" w:color="auto"/>
        <w:left w:val="none" w:sz="0" w:space="0" w:color="auto"/>
        <w:bottom w:val="none" w:sz="0" w:space="0" w:color="auto"/>
        <w:right w:val="none" w:sz="0" w:space="0" w:color="auto"/>
      </w:divBdr>
    </w:div>
    <w:div w:id="1880390504">
      <w:bodyDiv w:val="1"/>
      <w:marLeft w:val="0"/>
      <w:marRight w:val="0"/>
      <w:marTop w:val="0"/>
      <w:marBottom w:val="0"/>
      <w:divBdr>
        <w:top w:val="none" w:sz="0" w:space="0" w:color="auto"/>
        <w:left w:val="none" w:sz="0" w:space="0" w:color="auto"/>
        <w:bottom w:val="none" w:sz="0" w:space="0" w:color="auto"/>
        <w:right w:val="none" w:sz="0" w:space="0" w:color="auto"/>
      </w:divBdr>
    </w:div>
    <w:div w:id="1893269801">
      <w:bodyDiv w:val="1"/>
      <w:marLeft w:val="0"/>
      <w:marRight w:val="0"/>
      <w:marTop w:val="0"/>
      <w:marBottom w:val="0"/>
      <w:divBdr>
        <w:top w:val="none" w:sz="0" w:space="0" w:color="auto"/>
        <w:left w:val="none" w:sz="0" w:space="0" w:color="auto"/>
        <w:bottom w:val="none" w:sz="0" w:space="0" w:color="auto"/>
        <w:right w:val="none" w:sz="0" w:space="0" w:color="auto"/>
      </w:divBdr>
    </w:div>
    <w:div w:id="1894853222">
      <w:bodyDiv w:val="1"/>
      <w:marLeft w:val="0"/>
      <w:marRight w:val="0"/>
      <w:marTop w:val="0"/>
      <w:marBottom w:val="0"/>
      <w:divBdr>
        <w:top w:val="none" w:sz="0" w:space="0" w:color="auto"/>
        <w:left w:val="none" w:sz="0" w:space="0" w:color="auto"/>
        <w:bottom w:val="none" w:sz="0" w:space="0" w:color="auto"/>
        <w:right w:val="none" w:sz="0" w:space="0" w:color="auto"/>
      </w:divBdr>
    </w:div>
    <w:div w:id="1899122629">
      <w:bodyDiv w:val="1"/>
      <w:marLeft w:val="0"/>
      <w:marRight w:val="0"/>
      <w:marTop w:val="0"/>
      <w:marBottom w:val="0"/>
      <w:divBdr>
        <w:top w:val="none" w:sz="0" w:space="0" w:color="auto"/>
        <w:left w:val="none" w:sz="0" w:space="0" w:color="auto"/>
        <w:bottom w:val="none" w:sz="0" w:space="0" w:color="auto"/>
        <w:right w:val="none" w:sz="0" w:space="0" w:color="auto"/>
      </w:divBdr>
    </w:div>
    <w:div w:id="1912883168">
      <w:bodyDiv w:val="1"/>
      <w:marLeft w:val="0"/>
      <w:marRight w:val="0"/>
      <w:marTop w:val="0"/>
      <w:marBottom w:val="0"/>
      <w:divBdr>
        <w:top w:val="none" w:sz="0" w:space="0" w:color="auto"/>
        <w:left w:val="none" w:sz="0" w:space="0" w:color="auto"/>
        <w:bottom w:val="none" w:sz="0" w:space="0" w:color="auto"/>
        <w:right w:val="none" w:sz="0" w:space="0" w:color="auto"/>
      </w:divBdr>
    </w:div>
    <w:div w:id="1916668153">
      <w:bodyDiv w:val="1"/>
      <w:marLeft w:val="0"/>
      <w:marRight w:val="0"/>
      <w:marTop w:val="0"/>
      <w:marBottom w:val="0"/>
      <w:divBdr>
        <w:top w:val="none" w:sz="0" w:space="0" w:color="auto"/>
        <w:left w:val="none" w:sz="0" w:space="0" w:color="auto"/>
        <w:bottom w:val="none" w:sz="0" w:space="0" w:color="auto"/>
        <w:right w:val="none" w:sz="0" w:space="0" w:color="auto"/>
      </w:divBdr>
    </w:div>
    <w:div w:id="1917595502">
      <w:bodyDiv w:val="1"/>
      <w:marLeft w:val="0"/>
      <w:marRight w:val="0"/>
      <w:marTop w:val="0"/>
      <w:marBottom w:val="0"/>
      <w:divBdr>
        <w:top w:val="none" w:sz="0" w:space="0" w:color="auto"/>
        <w:left w:val="none" w:sz="0" w:space="0" w:color="auto"/>
        <w:bottom w:val="none" w:sz="0" w:space="0" w:color="auto"/>
        <w:right w:val="none" w:sz="0" w:space="0" w:color="auto"/>
      </w:divBdr>
    </w:div>
    <w:div w:id="1919048561">
      <w:bodyDiv w:val="1"/>
      <w:marLeft w:val="0"/>
      <w:marRight w:val="0"/>
      <w:marTop w:val="0"/>
      <w:marBottom w:val="0"/>
      <w:divBdr>
        <w:top w:val="none" w:sz="0" w:space="0" w:color="auto"/>
        <w:left w:val="none" w:sz="0" w:space="0" w:color="auto"/>
        <w:bottom w:val="none" w:sz="0" w:space="0" w:color="auto"/>
        <w:right w:val="none" w:sz="0" w:space="0" w:color="auto"/>
      </w:divBdr>
    </w:div>
    <w:div w:id="1919170999">
      <w:bodyDiv w:val="1"/>
      <w:marLeft w:val="0"/>
      <w:marRight w:val="0"/>
      <w:marTop w:val="0"/>
      <w:marBottom w:val="0"/>
      <w:divBdr>
        <w:top w:val="none" w:sz="0" w:space="0" w:color="auto"/>
        <w:left w:val="none" w:sz="0" w:space="0" w:color="auto"/>
        <w:bottom w:val="none" w:sz="0" w:space="0" w:color="auto"/>
        <w:right w:val="none" w:sz="0" w:space="0" w:color="auto"/>
      </w:divBdr>
    </w:div>
    <w:div w:id="1921210408">
      <w:bodyDiv w:val="1"/>
      <w:marLeft w:val="0"/>
      <w:marRight w:val="0"/>
      <w:marTop w:val="0"/>
      <w:marBottom w:val="0"/>
      <w:divBdr>
        <w:top w:val="none" w:sz="0" w:space="0" w:color="auto"/>
        <w:left w:val="none" w:sz="0" w:space="0" w:color="auto"/>
        <w:bottom w:val="none" w:sz="0" w:space="0" w:color="auto"/>
        <w:right w:val="none" w:sz="0" w:space="0" w:color="auto"/>
      </w:divBdr>
    </w:div>
    <w:div w:id="1927227999">
      <w:bodyDiv w:val="1"/>
      <w:marLeft w:val="0"/>
      <w:marRight w:val="0"/>
      <w:marTop w:val="0"/>
      <w:marBottom w:val="0"/>
      <w:divBdr>
        <w:top w:val="none" w:sz="0" w:space="0" w:color="auto"/>
        <w:left w:val="none" w:sz="0" w:space="0" w:color="auto"/>
        <w:bottom w:val="none" w:sz="0" w:space="0" w:color="auto"/>
        <w:right w:val="none" w:sz="0" w:space="0" w:color="auto"/>
      </w:divBdr>
    </w:div>
    <w:div w:id="1927373807">
      <w:bodyDiv w:val="1"/>
      <w:marLeft w:val="0"/>
      <w:marRight w:val="0"/>
      <w:marTop w:val="0"/>
      <w:marBottom w:val="0"/>
      <w:divBdr>
        <w:top w:val="none" w:sz="0" w:space="0" w:color="auto"/>
        <w:left w:val="none" w:sz="0" w:space="0" w:color="auto"/>
        <w:bottom w:val="none" w:sz="0" w:space="0" w:color="auto"/>
        <w:right w:val="none" w:sz="0" w:space="0" w:color="auto"/>
      </w:divBdr>
    </w:div>
    <w:div w:id="1931505245">
      <w:bodyDiv w:val="1"/>
      <w:marLeft w:val="0"/>
      <w:marRight w:val="0"/>
      <w:marTop w:val="0"/>
      <w:marBottom w:val="0"/>
      <w:divBdr>
        <w:top w:val="none" w:sz="0" w:space="0" w:color="auto"/>
        <w:left w:val="none" w:sz="0" w:space="0" w:color="auto"/>
        <w:bottom w:val="none" w:sz="0" w:space="0" w:color="auto"/>
        <w:right w:val="none" w:sz="0" w:space="0" w:color="auto"/>
      </w:divBdr>
    </w:div>
    <w:div w:id="1936206133">
      <w:bodyDiv w:val="1"/>
      <w:marLeft w:val="0"/>
      <w:marRight w:val="0"/>
      <w:marTop w:val="0"/>
      <w:marBottom w:val="0"/>
      <w:divBdr>
        <w:top w:val="none" w:sz="0" w:space="0" w:color="auto"/>
        <w:left w:val="none" w:sz="0" w:space="0" w:color="auto"/>
        <w:bottom w:val="none" w:sz="0" w:space="0" w:color="auto"/>
        <w:right w:val="none" w:sz="0" w:space="0" w:color="auto"/>
      </w:divBdr>
    </w:div>
    <w:div w:id="1936790113">
      <w:bodyDiv w:val="1"/>
      <w:marLeft w:val="0"/>
      <w:marRight w:val="0"/>
      <w:marTop w:val="0"/>
      <w:marBottom w:val="0"/>
      <w:divBdr>
        <w:top w:val="none" w:sz="0" w:space="0" w:color="auto"/>
        <w:left w:val="none" w:sz="0" w:space="0" w:color="auto"/>
        <w:bottom w:val="none" w:sz="0" w:space="0" w:color="auto"/>
        <w:right w:val="none" w:sz="0" w:space="0" w:color="auto"/>
      </w:divBdr>
    </w:div>
    <w:div w:id="1939481370">
      <w:bodyDiv w:val="1"/>
      <w:marLeft w:val="0"/>
      <w:marRight w:val="0"/>
      <w:marTop w:val="0"/>
      <w:marBottom w:val="0"/>
      <w:divBdr>
        <w:top w:val="none" w:sz="0" w:space="0" w:color="auto"/>
        <w:left w:val="none" w:sz="0" w:space="0" w:color="auto"/>
        <w:bottom w:val="none" w:sz="0" w:space="0" w:color="auto"/>
        <w:right w:val="none" w:sz="0" w:space="0" w:color="auto"/>
      </w:divBdr>
    </w:div>
    <w:div w:id="1942953673">
      <w:bodyDiv w:val="1"/>
      <w:marLeft w:val="0"/>
      <w:marRight w:val="0"/>
      <w:marTop w:val="0"/>
      <w:marBottom w:val="0"/>
      <w:divBdr>
        <w:top w:val="none" w:sz="0" w:space="0" w:color="auto"/>
        <w:left w:val="none" w:sz="0" w:space="0" w:color="auto"/>
        <w:bottom w:val="none" w:sz="0" w:space="0" w:color="auto"/>
        <w:right w:val="none" w:sz="0" w:space="0" w:color="auto"/>
      </w:divBdr>
    </w:div>
    <w:div w:id="1944262932">
      <w:bodyDiv w:val="1"/>
      <w:marLeft w:val="0"/>
      <w:marRight w:val="0"/>
      <w:marTop w:val="0"/>
      <w:marBottom w:val="0"/>
      <w:divBdr>
        <w:top w:val="none" w:sz="0" w:space="0" w:color="auto"/>
        <w:left w:val="none" w:sz="0" w:space="0" w:color="auto"/>
        <w:bottom w:val="none" w:sz="0" w:space="0" w:color="auto"/>
        <w:right w:val="none" w:sz="0" w:space="0" w:color="auto"/>
      </w:divBdr>
    </w:div>
    <w:div w:id="1946695524">
      <w:bodyDiv w:val="1"/>
      <w:marLeft w:val="0"/>
      <w:marRight w:val="0"/>
      <w:marTop w:val="0"/>
      <w:marBottom w:val="0"/>
      <w:divBdr>
        <w:top w:val="none" w:sz="0" w:space="0" w:color="auto"/>
        <w:left w:val="none" w:sz="0" w:space="0" w:color="auto"/>
        <w:bottom w:val="none" w:sz="0" w:space="0" w:color="auto"/>
        <w:right w:val="none" w:sz="0" w:space="0" w:color="auto"/>
      </w:divBdr>
    </w:div>
    <w:div w:id="1948191492">
      <w:bodyDiv w:val="1"/>
      <w:marLeft w:val="0"/>
      <w:marRight w:val="0"/>
      <w:marTop w:val="0"/>
      <w:marBottom w:val="0"/>
      <w:divBdr>
        <w:top w:val="none" w:sz="0" w:space="0" w:color="auto"/>
        <w:left w:val="none" w:sz="0" w:space="0" w:color="auto"/>
        <w:bottom w:val="none" w:sz="0" w:space="0" w:color="auto"/>
        <w:right w:val="none" w:sz="0" w:space="0" w:color="auto"/>
      </w:divBdr>
    </w:div>
    <w:div w:id="1952128477">
      <w:bodyDiv w:val="1"/>
      <w:marLeft w:val="0"/>
      <w:marRight w:val="0"/>
      <w:marTop w:val="0"/>
      <w:marBottom w:val="0"/>
      <w:divBdr>
        <w:top w:val="none" w:sz="0" w:space="0" w:color="auto"/>
        <w:left w:val="none" w:sz="0" w:space="0" w:color="auto"/>
        <w:bottom w:val="none" w:sz="0" w:space="0" w:color="auto"/>
        <w:right w:val="none" w:sz="0" w:space="0" w:color="auto"/>
      </w:divBdr>
    </w:div>
    <w:div w:id="1952516833">
      <w:bodyDiv w:val="1"/>
      <w:marLeft w:val="0"/>
      <w:marRight w:val="0"/>
      <w:marTop w:val="0"/>
      <w:marBottom w:val="0"/>
      <w:divBdr>
        <w:top w:val="none" w:sz="0" w:space="0" w:color="auto"/>
        <w:left w:val="none" w:sz="0" w:space="0" w:color="auto"/>
        <w:bottom w:val="none" w:sz="0" w:space="0" w:color="auto"/>
        <w:right w:val="none" w:sz="0" w:space="0" w:color="auto"/>
      </w:divBdr>
    </w:div>
    <w:div w:id="1956398951">
      <w:bodyDiv w:val="1"/>
      <w:marLeft w:val="0"/>
      <w:marRight w:val="0"/>
      <w:marTop w:val="0"/>
      <w:marBottom w:val="0"/>
      <w:divBdr>
        <w:top w:val="none" w:sz="0" w:space="0" w:color="auto"/>
        <w:left w:val="none" w:sz="0" w:space="0" w:color="auto"/>
        <w:bottom w:val="none" w:sz="0" w:space="0" w:color="auto"/>
        <w:right w:val="none" w:sz="0" w:space="0" w:color="auto"/>
      </w:divBdr>
    </w:div>
    <w:div w:id="1958828907">
      <w:bodyDiv w:val="1"/>
      <w:marLeft w:val="0"/>
      <w:marRight w:val="0"/>
      <w:marTop w:val="0"/>
      <w:marBottom w:val="0"/>
      <w:divBdr>
        <w:top w:val="none" w:sz="0" w:space="0" w:color="auto"/>
        <w:left w:val="none" w:sz="0" w:space="0" w:color="auto"/>
        <w:bottom w:val="none" w:sz="0" w:space="0" w:color="auto"/>
        <w:right w:val="none" w:sz="0" w:space="0" w:color="auto"/>
      </w:divBdr>
    </w:div>
    <w:div w:id="1961573936">
      <w:bodyDiv w:val="1"/>
      <w:marLeft w:val="0"/>
      <w:marRight w:val="0"/>
      <w:marTop w:val="0"/>
      <w:marBottom w:val="0"/>
      <w:divBdr>
        <w:top w:val="none" w:sz="0" w:space="0" w:color="auto"/>
        <w:left w:val="none" w:sz="0" w:space="0" w:color="auto"/>
        <w:bottom w:val="none" w:sz="0" w:space="0" w:color="auto"/>
        <w:right w:val="none" w:sz="0" w:space="0" w:color="auto"/>
      </w:divBdr>
    </w:div>
    <w:div w:id="1963923998">
      <w:bodyDiv w:val="1"/>
      <w:marLeft w:val="0"/>
      <w:marRight w:val="0"/>
      <w:marTop w:val="0"/>
      <w:marBottom w:val="0"/>
      <w:divBdr>
        <w:top w:val="none" w:sz="0" w:space="0" w:color="auto"/>
        <w:left w:val="none" w:sz="0" w:space="0" w:color="auto"/>
        <w:bottom w:val="none" w:sz="0" w:space="0" w:color="auto"/>
        <w:right w:val="none" w:sz="0" w:space="0" w:color="auto"/>
      </w:divBdr>
    </w:div>
    <w:div w:id="1968899779">
      <w:bodyDiv w:val="1"/>
      <w:marLeft w:val="0"/>
      <w:marRight w:val="0"/>
      <w:marTop w:val="0"/>
      <w:marBottom w:val="0"/>
      <w:divBdr>
        <w:top w:val="none" w:sz="0" w:space="0" w:color="auto"/>
        <w:left w:val="none" w:sz="0" w:space="0" w:color="auto"/>
        <w:bottom w:val="none" w:sz="0" w:space="0" w:color="auto"/>
        <w:right w:val="none" w:sz="0" w:space="0" w:color="auto"/>
      </w:divBdr>
    </w:div>
    <w:div w:id="1969898703">
      <w:bodyDiv w:val="1"/>
      <w:marLeft w:val="0"/>
      <w:marRight w:val="0"/>
      <w:marTop w:val="0"/>
      <w:marBottom w:val="0"/>
      <w:divBdr>
        <w:top w:val="none" w:sz="0" w:space="0" w:color="auto"/>
        <w:left w:val="none" w:sz="0" w:space="0" w:color="auto"/>
        <w:bottom w:val="none" w:sz="0" w:space="0" w:color="auto"/>
        <w:right w:val="none" w:sz="0" w:space="0" w:color="auto"/>
      </w:divBdr>
    </w:div>
    <w:div w:id="1973515190">
      <w:bodyDiv w:val="1"/>
      <w:marLeft w:val="0"/>
      <w:marRight w:val="0"/>
      <w:marTop w:val="0"/>
      <w:marBottom w:val="0"/>
      <w:divBdr>
        <w:top w:val="none" w:sz="0" w:space="0" w:color="auto"/>
        <w:left w:val="none" w:sz="0" w:space="0" w:color="auto"/>
        <w:bottom w:val="none" w:sz="0" w:space="0" w:color="auto"/>
        <w:right w:val="none" w:sz="0" w:space="0" w:color="auto"/>
      </w:divBdr>
    </w:div>
    <w:div w:id="1974405231">
      <w:bodyDiv w:val="1"/>
      <w:marLeft w:val="0"/>
      <w:marRight w:val="0"/>
      <w:marTop w:val="0"/>
      <w:marBottom w:val="0"/>
      <w:divBdr>
        <w:top w:val="none" w:sz="0" w:space="0" w:color="auto"/>
        <w:left w:val="none" w:sz="0" w:space="0" w:color="auto"/>
        <w:bottom w:val="none" w:sz="0" w:space="0" w:color="auto"/>
        <w:right w:val="none" w:sz="0" w:space="0" w:color="auto"/>
      </w:divBdr>
    </w:div>
    <w:div w:id="1975019606">
      <w:bodyDiv w:val="1"/>
      <w:marLeft w:val="0"/>
      <w:marRight w:val="0"/>
      <w:marTop w:val="0"/>
      <w:marBottom w:val="0"/>
      <w:divBdr>
        <w:top w:val="none" w:sz="0" w:space="0" w:color="auto"/>
        <w:left w:val="none" w:sz="0" w:space="0" w:color="auto"/>
        <w:bottom w:val="none" w:sz="0" w:space="0" w:color="auto"/>
        <w:right w:val="none" w:sz="0" w:space="0" w:color="auto"/>
      </w:divBdr>
    </w:div>
    <w:div w:id="1976138935">
      <w:bodyDiv w:val="1"/>
      <w:marLeft w:val="0"/>
      <w:marRight w:val="0"/>
      <w:marTop w:val="0"/>
      <w:marBottom w:val="0"/>
      <w:divBdr>
        <w:top w:val="none" w:sz="0" w:space="0" w:color="auto"/>
        <w:left w:val="none" w:sz="0" w:space="0" w:color="auto"/>
        <w:bottom w:val="none" w:sz="0" w:space="0" w:color="auto"/>
        <w:right w:val="none" w:sz="0" w:space="0" w:color="auto"/>
      </w:divBdr>
    </w:div>
    <w:div w:id="1979606388">
      <w:bodyDiv w:val="1"/>
      <w:marLeft w:val="0"/>
      <w:marRight w:val="0"/>
      <w:marTop w:val="0"/>
      <w:marBottom w:val="0"/>
      <w:divBdr>
        <w:top w:val="none" w:sz="0" w:space="0" w:color="auto"/>
        <w:left w:val="none" w:sz="0" w:space="0" w:color="auto"/>
        <w:bottom w:val="none" w:sz="0" w:space="0" w:color="auto"/>
        <w:right w:val="none" w:sz="0" w:space="0" w:color="auto"/>
      </w:divBdr>
    </w:div>
    <w:div w:id="1981303073">
      <w:bodyDiv w:val="1"/>
      <w:marLeft w:val="0"/>
      <w:marRight w:val="0"/>
      <w:marTop w:val="0"/>
      <w:marBottom w:val="0"/>
      <w:divBdr>
        <w:top w:val="none" w:sz="0" w:space="0" w:color="auto"/>
        <w:left w:val="none" w:sz="0" w:space="0" w:color="auto"/>
        <w:bottom w:val="none" w:sz="0" w:space="0" w:color="auto"/>
        <w:right w:val="none" w:sz="0" w:space="0" w:color="auto"/>
      </w:divBdr>
    </w:div>
    <w:div w:id="1984579244">
      <w:bodyDiv w:val="1"/>
      <w:marLeft w:val="0"/>
      <w:marRight w:val="0"/>
      <w:marTop w:val="0"/>
      <w:marBottom w:val="0"/>
      <w:divBdr>
        <w:top w:val="none" w:sz="0" w:space="0" w:color="auto"/>
        <w:left w:val="none" w:sz="0" w:space="0" w:color="auto"/>
        <w:bottom w:val="none" w:sz="0" w:space="0" w:color="auto"/>
        <w:right w:val="none" w:sz="0" w:space="0" w:color="auto"/>
      </w:divBdr>
    </w:div>
    <w:div w:id="1985038379">
      <w:bodyDiv w:val="1"/>
      <w:marLeft w:val="0"/>
      <w:marRight w:val="0"/>
      <w:marTop w:val="0"/>
      <w:marBottom w:val="0"/>
      <w:divBdr>
        <w:top w:val="none" w:sz="0" w:space="0" w:color="auto"/>
        <w:left w:val="none" w:sz="0" w:space="0" w:color="auto"/>
        <w:bottom w:val="none" w:sz="0" w:space="0" w:color="auto"/>
        <w:right w:val="none" w:sz="0" w:space="0" w:color="auto"/>
      </w:divBdr>
    </w:div>
    <w:div w:id="1996569568">
      <w:bodyDiv w:val="1"/>
      <w:marLeft w:val="0"/>
      <w:marRight w:val="0"/>
      <w:marTop w:val="0"/>
      <w:marBottom w:val="0"/>
      <w:divBdr>
        <w:top w:val="none" w:sz="0" w:space="0" w:color="auto"/>
        <w:left w:val="none" w:sz="0" w:space="0" w:color="auto"/>
        <w:bottom w:val="none" w:sz="0" w:space="0" w:color="auto"/>
        <w:right w:val="none" w:sz="0" w:space="0" w:color="auto"/>
      </w:divBdr>
    </w:div>
    <w:div w:id="2002267968">
      <w:bodyDiv w:val="1"/>
      <w:marLeft w:val="0"/>
      <w:marRight w:val="0"/>
      <w:marTop w:val="0"/>
      <w:marBottom w:val="0"/>
      <w:divBdr>
        <w:top w:val="none" w:sz="0" w:space="0" w:color="auto"/>
        <w:left w:val="none" w:sz="0" w:space="0" w:color="auto"/>
        <w:bottom w:val="none" w:sz="0" w:space="0" w:color="auto"/>
        <w:right w:val="none" w:sz="0" w:space="0" w:color="auto"/>
      </w:divBdr>
    </w:div>
    <w:div w:id="2003241717">
      <w:bodyDiv w:val="1"/>
      <w:marLeft w:val="0"/>
      <w:marRight w:val="0"/>
      <w:marTop w:val="0"/>
      <w:marBottom w:val="0"/>
      <w:divBdr>
        <w:top w:val="none" w:sz="0" w:space="0" w:color="auto"/>
        <w:left w:val="none" w:sz="0" w:space="0" w:color="auto"/>
        <w:bottom w:val="none" w:sz="0" w:space="0" w:color="auto"/>
        <w:right w:val="none" w:sz="0" w:space="0" w:color="auto"/>
      </w:divBdr>
    </w:div>
    <w:div w:id="2017225568">
      <w:bodyDiv w:val="1"/>
      <w:marLeft w:val="0"/>
      <w:marRight w:val="0"/>
      <w:marTop w:val="0"/>
      <w:marBottom w:val="0"/>
      <w:divBdr>
        <w:top w:val="none" w:sz="0" w:space="0" w:color="auto"/>
        <w:left w:val="none" w:sz="0" w:space="0" w:color="auto"/>
        <w:bottom w:val="none" w:sz="0" w:space="0" w:color="auto"/>
        <w:right w:val="none" w:sz="0" w:space="0" w:color="auto"/>
      </w:divBdr>
    </w:div>
    <w:div w:id="2019690700">
      <w:bodyDiv w:val="1"/>
      <w:marLeft w:val="0"/>
      <w:marRight w:val="0"/>
      <w:marTop w:val="0"/>
      <w:marBottom w:val="0"/>
      <w:divBdr>
        <w:top w:val="none" w:sz="0" w:space="0" w:color="auto"/>
        <w:left w:val="none" w:sz="0" w:space="0" w:color="auto"/>
        <w:bottom w:val="none" w:sz="0" w:space="0" w:color="auto"/>
        <w:right w:val="none" w:sz="0" w:space="0" w:color="auto"/>
      </w:divBdr>
    </w:div>
    <w:div w:id="2027097033">
      <w:bodyDiv w:val="1"/>
      <w:marLeft w:val="0"/>
      <w:marRight w:val="0"/>
      <w:marTop w:val="0"/>
      <w:marBottom w:val="0"/>
      <w:divBdr>
        <w:top w:val="none" w:sz="0" w:space="0" w:color="auto"/>
        <w:left w:val="none" w:sz="0" w:space="0" w:color="auto"/>
        <w:bottom w:val="none" w:sz="0" w:space="0" w:color="auto"/>
        <w:right w:val="none" w:sz="0" w:space="0" w:color="auto"/>
      </w:divBdr>
    </w:div>
    <w:div w:id="2031684855">
      <w:bodyDiv w:val="1"/>
      <w:marLeft w:val="0"/>
      <w:marRight w:val="0"/>
      <w:marTop w:val="0"/>
      <w:marBottom w:val="0"/>
      <w:divBdr>
        <w:top w:val="none" w:sz="0" w:space="0" w:color="auto"/>
        <w:left w:val="none" w:sz="0" w:space="0" w:color="auto"/>
        <w:bottom w:val="none" w:sz="0" w:space="0" w:color="auto"/>
        <w:right w:val="none" w:sz="0" w:space="0" w:color="auto"/>
      </w:divBdr>
    </w:div>
    <w:div w:id="2037850793">
      <w:bodyDiv w:val="1"/>
      <w:marLeft w:val="0"/>
      <w:marRight w:val="0"/>
      <w:marTop w:val="0"/>
      <w:marBottom w:val="0"/>
      <w:divBdr>
        <w:top w:val="none" w:sz="0" w:space="0" w:color="auto"/>
        <w:left w:val="none" w:sz="0" w:space="0" w:color="auto"/>
        <w:bottom w:val="none" w:sz="0" w:space="0" w:color="auto"/>
        <w:right w:val="none" w:sz="0" w:space="0" w:color="auto"/>
      </w:divBdr>
    </w:div>
    <w:div w:id="2039425554">
      <w:bodyDiv w:val="1"/>
      <w:marLeft w:val="0"/>
      <w:marRight w:val="0"/>
      <w:marTop w:val="0"/>
      <w:marBottom w:val="0"/>
      <w:divBdr>
        <w:top w:val="none" w:sz="0" w:space="0" w:color="auto"/>
        <w:left w:val="none" w:sz="0" w:space="0" w:color="auto"/>
        <w:bottom w:val="none" w:sz="0" w:space="0" w:color="auto"/>
        <w:right w:val="none" w:sz="0" w:space="0" w:color="auto"/>
      </w:divBdr>
    </w:div>
    <w:div w:id="2048332319">
      <w:bodyDiv w:val="1"/>
      <w:marLeft w:val="0"/>
      <w:marRight w:val="0"/>
      <w:marTop w:val="0"/>
      <w:marBottom w:val="0"/>
      <w:divBdr>
        <w:top w:val="none" w:sz="0" w:space="0" w:color="auto"/>
        <w:left w:val="none" w:sz="0" w:space="0" w:color="auto"/>
        <w:bottom w:val="none" w:sz="0" w:space="0" w:color="auto"/>
        <w:right w:val="none" w:sz="0" w:space="0" w:color="auto"/>
      </w:divBdr>
    </w:div>
    <w:div w:id="2048404381">
      <w:bodyDiv w:val="1"/>
      <w:marLeft w:val="0"/>
      <w:marRight w:val="0"/>
      <w:marTop w:val="0"/>
      <w:marBottom w:val="0"/>
      <w:divBdr>
        <w:top w:val="none" w:sz="0" w:space="0" w:color="auto"/>
        <w:left w:val="none" w:sz="0" w:space="0" w:color="auto"/>
        <w:bottom w:val="none" w:sz="0" w:space="0" w:color="auto"/>
        <w:right w:val="none" w:sz="0" w:space="0" w:color="auto"/>
      </w:divBdr>
    </w:div>
    <w:div w:id="2056345770">
      <w:bodyDiv w:val="1"/>
      <w:marLeft w:val="0"/>
      <w:marRight w:val="0"/>
      <w:marTop w:val="0"/>
      <w:marBottom w:val="0"/>
      <w:divBdr>
        <w:top w:val="none" w:sz="0" w:space="0" w:color="auto"/>
        <w:left w:val="none" w:sz="0" w:space="0" w:color="auto"/>
        <w:bottom w:val="none" w:sz="0" w:space="0" w:color="auto"/>
        <w:right w:val="none" w:sz="0" w:space="0" w:color="auto"/>
      </w:divBdr>
    </w:div>
    <w:div w:id="2056734578">
      <w:bodyDiv w:val="1"/>
      <w:marLeft w:val="0"/>
      <w:marRight w:val="0"/>
      <w:marTop w:val="0"/>
      <w:marBottom w:val="0"/>
      <w:divBdr>
        <w:top w:val="none" w:sz="0" w:space="0" w:color="auto"/>
        <w:left w:val="none" w:sz="0" w:space="0" w:color="auto"/>
        <w:bottom w:val="none" w:sz="0" w:space="0" w:color="auto"/>
        <w:right w:val="none" w:sz="0" w:space="0" w:color="auto"/>
      </w:divBdr>
    </w:div>
    <w:div w:id="2058891258">
      <w:bodyDiv w:val="1"/>
      <w:marLeft w:val="0"/>
      <w:marRight w:val="0"/>
      <w:marTop w:val="0"/>
      <w:marBottom w:val="0"/>
      <w:divBdr>
        <w:top w:val="none" w:sz="0" w:space="0" w:color="auto"/>
        <w:left w:val="none" w:sz="0" w:space="0" w:color="auto"/>
        <w:bottom w:val="none" w:sz="0" w:space="0" w:color="auto"/>
        <w:right w:val="none" w:sz="0" w:space="0" w:color="auto"/>
      </w:divBdr>
    </w:div>
    <w:div w:id="2059549948">
      <w:bodyDiv w:val="1"/>
      <w:marLeft w:val="0"/>
      <w:marRight w:val="0"/>
      <w:marTop w:val="0"/>
      <w:marBottom w:val="0"/>
      <w:divBdr>
        <w:top w:val="none" w:sz="0" w:space="0" w:color="auto"/>
        <w:left w:val="none" w:sz="0" w:space="0" w:color="auto"/>
        <w:bottom w:val="none" w:sz="0" w:space="0" w:color="auto"/>
        <w:right w:val="none" w:sz="0" w:space="0" w:color="auto"/>
      </w:divBdr>
    </w:div>
    <w:div w:id="2061437851">
      <w:bodyDiv w:val="1"/>
      <w:marLeft w:val="0"/>
      <w:marRight w:val="0"/>
      <w:marTop w:val="0"/>
      <w:marBottom w:val="0"/>
      <w:divBdr>
        <w:top w:val="none" w:sz="0" w:space="0" w:color="auto"/>
        <w:left w:val="none" w:sz="0" w:space="0" w:color="auto"/>
        <w:bottom w:val="none" w:sz="0" w:space="0" w:color="auto"/>
        <w:right w:val="none" w:sz="0" w:space="0" w:color="auto"/>
      </w:divBdr>
    </w:div>
    <w:div w:id="2061515508">
      <w:bodyDiv w:val="1"/>
      <w:marLeft w:val="0"/>
      <w:marRight w:val="0"/>
      <w:marTop w:val="0"/>
      <w:marBottom w:val="0"/>
      <w:divBdr>
        <w:top w:val="none" w:sz="0" w:space="0" w:color="auto"/>
        <w:left w:val="none" w:sz="0" w:space="0" w:color="auto"/>
        <w:bottom w:val="none" w:sz="0" w:space="0" w:color="auto"/>
        <w:right w:val="none" w:sz="0" w:space="0" w:color="auto"/>
      </w:divBdr>
    </w:div>
    <w:div w:id="2073650654">
      <w:bodyDiv w:val="1"/>
      <w:marLeft w:val="0"/>
      <w:marRight w:val="0"/>
      <w:marTop w:val="0"/>
      <w:marBottom w:val="0"/>
      <w:divBdr>
        <w:top w:val="none" w:sz="0" w:space="0" w:color="auto"/>
        <w:left w:val="none" w:sz="0" w:space="0" w:color="auto"/>
        <w:bottom w:val="none" w:sz="0" w:space="0" w:color="auto"/>
        <w:right w:val="none" w:sz="0" w:space="0" w:color="auto"/>
      </w:divBdr>
    </w:div>
    <w:div w:id="2073770884">
      <w:bodyDiv w:val="1"/>
      <w:marLeft w:val="0"/>
      <w:marRight w:val="0"/>
      <w:marTop w:val="0"/>
      <w:marBottom w:val="0"/>
      <w:divBdr>
        <w:top w:val="none" w:sz="0" w:space="0" w:color="auto"/>
        <w:left w:val="none" w:sz="0" w:space="0" w:color="auto"/>
        <w:bottom w:val="none" w:sz="0" w:space="0" w:color="auto"/>
        <w:right w:val="none" w:sz="0" w:space="0" w:color="auto"/>
      </w:divBdr>
    </w:div>
    <w:div w:id="2076929907">
      <w:bodyDiv w:val="1"/>
      <w:marLeft w:val="0"/>
      <w:marRight w:val="0"/>
      <w:marTop w:val="0"/>
      <w:marBottom w:val="0"/>
      <w:divBdr>
        <w:top w:val="none" w:sz="0" w:space="0" w:color="auto"/>
        <w:left w:val="none" w:sz="0" w:space="0" w:color="auto"/>
        <w:bottom w:val="none" w:sz="0" w:space="0" w:color="auto"/>
        <w:right w:val="none" w:sz="0" w:space="0" w:color="auto"/>
      </w:divBdr>
    </w:div>
    <w:div w:id="2082671991">
      <w:bodyDiv w:val="1"/>
      <w:marLeft w:val="0"/>
      <w:marRight w:val="0"/>
      <w:marTop w:val="0"/>
      <w:marBottom w:val="0"/>
      <w:divBdr>
        <w:top w:val="none" w:sz="0" w:space="0" w:color="auto"/>
        <w:left w:val="none" w:sz="0" w:space="0" w:color="auto"/>
        <w:bottom w:val="none" w:sz="0" w:space="0" w:color="auto"/>
        <w:right w:val="none" w:sz="0" w:space="0" w:color="auto"/>
      </w:divBdr>
    </w:div>
    <w:div w:id="2099012543">
      <w:bodyDiv w:val="1"/>
      <w:marLeft w:val="0"/>
      <w:marRight w:val="0"/>
      <w:marTop w:val="0"/>
      <w:marBottom w:val="0"/>
      <w:divBdr>
        <w:top w:val="none" w:sz="0" w:space="0" w:color="auto"/>
        <w:left w:val="none" w:sz="0" w:space="0" w:color="auto"/>
        <w:bottom w:val="none" w:sz="0" w:space="0" w:color="auto"/>
        <w:right w:val="none" w:sz="0" w:space="0" w:color="auto"/>
      </w:divBdr>
    </w:div>
    <w:div w:id="2099709880">
      <w:bodyDiv w:val="1"/>
      <w:marLeft w:val="0"/>
      <w:marRight w:val="0"/>
      <w:marTop w:val="0"/>
      <w:marBottom w:val="0"/>
      <w:divBdr>
        <w:top w:val="none" w:sz="0" w:space="0" w:color="auto"/>
        <w:left w:val="none" w:sz="0" w:space="0" w:color="auto"/>
        <w:bottom w:val="none" w:sz="0" w:space="0" w:color="auto"/>
        <w:right w:val="none" w:sz="0" w:space="0" w:color="auto"/>
      </w:divBdr>
    </w:div>
    <w:div w:id="2103333109">
      <w:bodyDiv w:val="1"/>
      <w:marLeft w:val="0"/>
      <w:marRight w:val="0"/>
      <w:marTop w:val="0"/>
      <w:marBottom w:val="0"/>
      <w:divBdr>
        <w:top w:val="none" w:sz="0" w:space="0" w:color="auto"/>
        <w:left w:val="none" w:sz="0" w:space="0" w:color="auto"/>
        <w:bottom w:val="none" w:sz="0" w:space="0" w:color="auto"/>
        <w:right w:val="none" w:sz="0" w:space="0" w:color="auto"/>
      </w:divBdr>
    </w:div>
    <w:div w:id="2104495488">
      <w:bodyDiv w:val="1"/>
      <w:marLeft w:val="0"/>
      <w:marRight w:val="0"/>
      <w:marTop w:val="0"/>
      <w:marBottom w:val="0"/>
      <w:divBdr>
        <w:top w:val="none" w:sz="0" w:space="0" w:color="auto"/>
        <w:left w:val="none" w:sz="0" w:space="0" w:color="auto"/>
        <w:bottom w:val="none" w:sz="0" w:space="0" w:color="auto"/>
        <w:right w:val="none" w:sz="0" w:space="0" w:color="auto"/>
      </w:divBdr>
    </w:div>
    <w:div w:id="2105567740">
      <w:bodyDiv w:val="1"/>
      <w:marLeft w:val="0"/>
      <w:marRight w:val="0"/>
      <w:marTop w:val="0"/>
      <w:marBottom w:val="0"/>
      <w:divBdr>
        <w:top w:val="none" w:sz="0" w:space="0" w:color="auto"/>
        <w:left w:val="none" w:sz="0" w:space="0" w:color="auto"/>
        <w:bottom w:val="none" w:sz="0" w:space="0" w:color="auto"/>
        <w:right w:val="none" w:sz="0" w:space="0" w:color="auto"/>
      </w:divBdr>
    </w:div>
    <w:div w:id="2108622077">
      <w:bodyDiv w:val="1"/>
      <w:marLeft w:val="0"/>
      <w:marRight w:val="0"/>
      <w:marTop w:val="0"/>
      <w:marBottom w:val="0"/>
      <w:divBdr>
        <w:top w:val="none" w:sz="0" w:space="0" w:color="auto"/>
        <w:left w:val="none" w:sz="0" w:space="0" w:color="auto"/>
        <w:bottom w:val="none" w:sz="0" w:space="0" w:color="auto"/>
        <w:right w:val="none" w:sz="0" w:space="0" w:color="auto"/>
      </w:divBdr>
    </w:div>
    <w:div w:id="2109234368">
      <w:bodyDiv w:val="1"/>
      <w:marLeft w:val="0"/>
      <w:marRight w:val="0"/>
      <w:marTop w:val="0"/>
      <w:marBottom w:val="0"/>
      <w:divBdr>
        <w:top w:val="none" w:sz="0" w:space="0" w:color="auto"/>
        <w:left w:val="none" w:sz="0" w:space="0" w:color="auto"/>
        <w:bottom w:val="none" w:sz="0" w:space="0" w:color="auto"/>
        <w:right w:val="none" w:sz="0" w:space="0" w:color="auto"/>
      </w:divBdr>
    </w:div>
    <w:div w:id="2117484601">
      <w:bodyDiv w:val="1"/>
      <w:marLeft w:val="0"/>
      <w:marRight w:val="0"/>
      <w:marTop w:val="0"/>
      <w:marBottom w:val="0"/>
      <w:divBdr>
        <w:top w:val="none" w:sz="0" w:space="0" w:color="auto"/>
        <w:left w:val="none" w:sz="0" w:space="0" w:color="auto"/>
        <w:bottom w:val="none" w:sz="0" w:space="0" w:color="auto"/>
        <w:right w:val="none" w:sz="0" w:space="0" w:color="auto"/>
      </w:divBdr>
    </w:div>
    <w:div w:id="2120102398">
      <w:bodyDiv w:val="1"/>
      <w:marLeft w:val="0"/>
      <w:marRight w:val="0"/>
      <w:marTop w:val="0"/>
      <w:marBottom w:val="0"/>
      <w:divBdr>
        <w:top w:val="none" w:sz="0" w:space="0" w:color="auto"/>
        <w:left w:val="none" w:sz="0" w:space="0" w:color="auto"/>
        <w:bottom w:val="none" w:sz="0" w:space="0" w:color="auto"/>
        <w:right w:val="none" w:sz="0" w:space="0" w:color="auto"/>
      </w:divBdr>
    </w:div>
    <w:div w:id="2124299438">
      <w:bodyDiv w:val="1"/>
      <w:marLeft w:val="0"/>
      <w:marRight w:val="0"/>
      <w:marTop w:val="0"/>
      <w:marBottom w:val="0"/>
      <w:divBdr>
        <w:top w:val="none" w:sz="0" w:space="0" w:color="auto"/>
        <w:left w:val="none" w:sz="0" w:space="0" w:color="auto"/>
        <w:bottom w:val="none" w:sz="0" w:space="0" w:color="auto"/>
        <w:right w:val="none" w:sz="0" w:space="0" w:color="auto"/>
      </w:divBdr>
    </w:div>
    <w:div w:id="2126994059">
      <w:bodyDiv w:val="1"/>
      <w:marLeft w:val="0"/>
      <w:marRight w:val="0"/>
      <w:marTop w:val="0"/>
      <w:marBottom w:val="0"/>
      <w:divBdr>
        <w:top w:val="none" w:sz="0" w:space="0" w:color="auto"/>
        <w:left w:val="none" w:sz="0" w:space="0" w:color="auto"/>
        <w:bottom w:val="none" w:sz="0" w:space="0" w:color="auto"/>
        <w:right w:val="none" w:sz="0" w:space="0" w:color="auto"/>
      </w:divBdr>
    </w:div>
    <w:div w:id="2130079048">
      <w:bodyDiv w:val="1"/>
      <w:marLeft w:val="0"/>
      <w:marRight w:val="0"/>
      <w:marTop w:val="0"/>
      <w:marBottom w:val="0"/>
      <w:divBdr>
        <w:top w:val="none" w:sz="0" w:space="0" w:color="auto"/>
        <w:left w:val="none" w:sz="0" w:space="0" w:color="auto"/>
        <w:bottom w:val="none" w:sz="0" w:space="0" w:color="auto"/>
        <w:right w:val="none" w:sz="0" w:space="0" w:color="auto"/>
      </w:divBdr>
    </w:div>
    <w:div w:id="2138376680">
      <w:bodyDiv w:val="1"/>
      <w:marLeft w:val="0"/>
      <w:marRight w:val="0"/>
      <w:marTop w:val="0"/>
      <w:marBottom w:val="0"/>
      <w:divBdr>
        <w:top w:val="none" w:sz="0" w:space="0" w:color="auto"/>
        <w:left w:val="none" w:sz="0" w:space="0" w:color="auto"/>
        <w:bottom w:val="none" w:sz="0" w:space="0" w:color="auto"/>
        <w:right w:val="none" w:sz="0" w:space="0" w:color="auto"/>
      </w:divBdr>
    </w:div>
    <w:div w:id="2139958118">
      <w:bodyDiv w:val="1"/>
      <w:marLeft w:val="0"/>
      <w:marRight w:val="0"/>
      <w:marTop w:val="0"/>
      <w:marBottom w:val="0"/>
      <w:divBdr>
        <w:top w:val="none" w:sz="0" w:space="0" w:color="auto"/>
        <w:left w:val="none" w:sz="0" w:space="0" w:color="auto"/>
        <w:bottom w:val="none" w:sz="0" w:space="0" w:color="auto"/>
        <w:right w:val="none" w:sz="0" w:space="0" w:color="auto"/>
      </w:divBdr>
    </w:div>
    <w:div w:id="2141410227">
      <w:bodyDiv w:val="1"/>
      <w:marLeft w:val="0"/>
      <w:marRight w:val="0"/>
      <w:marTop w:val="0"/>
      <w:marBottom w:val="0"/>
      <w:divBdr>
        <w:top w:val="none" w:sz="0" w:space="0" w:color="auto"/>
        <w:left w:val="none" w:sz="0" w:space="0" w:color="auto"/>
        <w:bottom w:val="none" w:sz="0" w:space="0" w:color="auto"/>
        <w:right w:val="none" w:sz="0" w:space="0" w:color="auto"/>
      </w:divBdr>
    </w:div>
    <w:div w:id="2142142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117" Type="http://schemas.openxmlformats.org/officeDocument/2006/relationships/chart" Target="charts/chart83.xml"/><Relationship Id="rId21" Type="http://schemas.openxmlformats.org/officeDocument/2006/relationships/hyperlink" Target="https://vi.wikipedia.org/wiki/M%C3%B9a_%C4%91%C3%B4ng" TargetMode="External"/><Relationship Id="rId42" Type="http://schemas.openxmlformats.org/officeDocument/2006/relationships/chart" Target="charts/chart17.xml"/><Relationship Id="rId47" Type="http://schemas.openxmlformats.org/officeDocument/2006/relationships/chart" Target="charts/chart22.xml"/><Relationship Id="rId63" Type="http://schemas.openxmlformats.org/officeDocument/2006/relationships/chart" Target="charts/chart38.xml"/><Relationship Id="rId68" Type="http://schemas.openxmlformats.org/officeDocument/2006/relationships/chart" Target="charts/chart43.xml"/><Relationship Id="rId84" Type="http://schemas.openxmlformats.org/officeDocument/2006/relationships/chart" Target="charts/chart56.xml"/><Relationship Id="rId89" Type="http://schemas.openxmlformats.org/officeDocument/2006/relationships/image" Target="media/image3.jpeg"/><Relationship Id="rId112" Type="http://schemas.openxmlformats.org/officeDocument/2006/relationships/chart" Target="charts/chart78.xml"/><Relationship Id="rId133" Type="http://schemas.openxmlformats.org/officeDocument/2006/relationships/chart" Target="charts/chart99.xml"/><Relationship Id="rId138" Type="http://schemas.openxmlformats.org/officeDocument/2006/relationships/chart" Target="charts/chart104.xml"/><Relationship Id="rId16" Type="http://schemas.openxmlformats.org/officeDocument/2006/relationships/hyperlink" Target="https://vi.wikipedia.org/wiki/M%C6%B0a" TargetMode="External"/><Relationship Id="rId107" Type="http://schemas.openxmlformats.org/officeDocument/2006/relationships/chart" Target="charts/chart73.xml"/><Relationship Id="rId11" Type="http://schemas.openxmlformats.org/officeDocument/2006/relationships/footer" Target="footer2.xml"/><Relationship Id="rId32" Type="http://schemas.openxmlformats.org/officeDocument/2006/relationships/chart" Target="charts/chart9.xml"/><Relationship Id="rId37" Type="http://schemas.openxmlformats.org/officeDocument/2006/relationships/chart" Target="charts/chart12.xml"/><Relationship Id="rId53" Type="http://schemas.openxmlformats.org/officeDocument/2006/relationships/chart" Target="charts/chart28.xml"/><Relationship Id="rId58" Type="http://schemas.openxmlformats.org/officeDocument/2006/relationships/chart" Target="charts/chart33.xml"/><Relationship Id="rId74" Type="http://schemas.openxmlformats.org/officeDocument/2006/relationships/chart" Target="charts/chart49.xml"/><Relationship Id="rId79" Type="http://schemas.openxmlformats.org/officeDocument/2006/relationships/chart" Target="charts/chart51.xml"/><Relationship Id="rId102" Type="http://schemas.openxmlformats.org/officeDocument/2006/relationships/chart" Target="charts/chart68.xml"/><Relationship Id="rId123" Type="http://schemas.openxmlformats.org/officeDocument/2006/relationships/chart" Target="charts/chart89.xml"/><Relationship Id="rId128" Type="http://schemas.openxmlformats.org/officeDocument/2006/relationships/chart" Target="charts/chart94.xml"/><Relationship Id="rId144" Type="http://schemas.openxmlformats.org/officeDocument/2006/relationships/chart" Target="charts/chart110.xml"/><Relationship Id="rId149" Type="http://schemas.openxmlformats.org/officeDocument/2006/relationships/footer" Target="footer10.xml"/><Relationship Id="rId5" Type="http://schemas.openxmlformats.org/officeDocument/2006/relationships/settings" Target="settings.xml"/><Relationship Id="rId90" Type="http://schemas.openxmlformats.org/officeDocument/2006/relationships/header" Target="header4.xml"/><Relationship Id="rId95" Type="http://schemas.openxmlformats.org/officeDocument/2006/relationships/chart" Target="charts/chart61.xml"/><Relationship Id="rId22" Type="http://schemas.openxmlformats.org/officeDocument/2006/relationships/hyperlink" Target="https://vi.wikipedia.org/wiki/Gi%C3%B3_m%C3%B9a_%C4%90%C3%B4ng_B%E1%BA%AFc" TargetMode="External"/><Relationship Id="rId27" Type="http://schemas.openxmlformats.org/officeDocument/2006/relationships/chart" Target="charts/chart4.xml"/><Relationship Id="rId43" Type="http://schemas.openxmlformats.org/officeDocument/2006/relationships/chart" Target="charts/chart18.xml"/><Relationship Id="rId48" Type="http://schemas.openxmlformats.org/officeDocument/2006/relationships/chart" Target="charts/chart23.xml"/><Relationship Id="rId64" Type="http://schemas.openxmlformats.org/officeDocument/2006/relationships/chart" Target="charts/chart39.xml"/><Relationship Id="rId69" Type="http://schemas.openxmlformats.org/officeDocument/2006/relationships/chart" Target="charts/chart44.xml"/><Relationship Id="rId113" Type="http://schemas.openxmlformats.org/officeDocument/2006/relationships/chart" Target="charts/chart79.xml"/><Relationship Id="rId118" Type="http://schemas.openxmlformats.org/officeDocument/2006/relationships/chart" Target="charts/chart84.xml"/><Relationship Id="rId134" Type="http://schemas.openxmlformats.org/officeDocument/2006/relationships/chart" Target="charts/chart100.xml"/><Relationship Id="rId139" Type="http://schemas.openxmlformats.org/officeDocument/2006/relationships/chart" Target="charts/chart105.xml"/><Relationship Id="rId80" Type="http://schemas.openxmlformats.org/officeDocument/2006/relationships/chart" Target="charts/chart52.xml"/><Relationship Id="rId85" Type="http://schemas.openxmlformats.org/officeDocument/2006/relationships/chart" Target="charts/chart57.xml"/><Relationship Id="rId150" Type="http://schemas.openxmlformats.org/officeDocument/2006/relationships/fontTable" Target="fontTable.xml"/><Relationship Id="rId12" Type="http://schemas.openxmlformats.org/officeDocument/2006/relationships/header" Target="header2.xml"/><Relationship Id="rId17" Type="http://schemas.openxmlformats.org/officeDocument/2006/relationships/hyperlink" Target="https://vi.wikipedia.org/wiki/M%C3%B9a_%C4%91%C3%B4ng" TargetMode="External"/><Relationship Id="rId25" Type="http://schemas.openxmlformats.org/officeDocument/2006/relationships/chart" Target="charts/chart2.xml"/><Relationship Id="rId33" Type="http://schemas.openxmlformats.org/officeDocument/2006/relationships/chart" Target="charts/chart10.xml"/><Relationship Id="rId38" Type="http://schemas.openxmlformats.org/officeDocument/2006/relationships/chart" Target="charts/chart13.xml"/><Relationship Id="rId46" Type="http://schemas.openxmlformats.org/officeDocument/2006/relationships/chart" Target="charts/chart21.xml"/><Relationship Id="rId59" Type="http://schemas.openxmlformats.org/officeDocument/2006/relationships/chart" Target="charts/chart34.xml"/><Relationship Id="rId67" Type="http://schemas.openxmlformats.org/officeDocument/2006/relationships/chart" Target="charts/chart42.xml"/><Relationship Id="rId103" Type="http://schemas.openxmlformats.org/officeDocument/2006/relationships/chart" Target="charts/chart69.xml"/><Relationship Id="rId108" Type="http://schemas.openxmlformats.org/officeDocument/2006/relationships/chart" Target="charts/chart74.xml"/><Relationship Id="rId116" Type="http://schemas.openxmlformats.org/officeDocument/2006/relationships/chart" Target="charts/chart82.xml"/><Relationship Id="rId124" Type="http://schemas.openxmlformats.org/officeDocument/2006/relationships/chart" Target="charts/chart90.xml"/><Relationship Id="rId129" Type="http://schemas.openxmlformats.org/officeDocument/2006/relationships/chart" Target="charts/chart95.xml"/><Relationship Id="rId137" Type="http://schemas.openxmlformats.org/officeDocument/2006/relationships/chart" Target="charts/chart103.xml"/><Relationship Id="rId20" Type="http://schemas.openxmlformats.org/officeDocument/2006/relationships/hyperlink" Target="https://vi.wikipedia.org/wiki/Nhi%E1%BB%87t_%C4%91%E1%BB%99" TargetMode="External"/><Relationship Id="rId41" Type="http://schemas.openxmlformats.org/officeDocument/2006/relationships/chart" Target="charts/chart16.xml"/><Relationship Id="rId54" Type="http://schemas.openxmlformats.org/officeDocument/2006/relationships/chart" Target="charts/chart29.xml"/><Relationship Id="rId62" Type="http://schemas.openxmlformats.org/officeDocument/2006/relationships/chart" Target="charts/chart37.xml"/><Relationship Id="rId70" Type="http://schemas.openxmlformats.org/officeDocument/2006/relationships/chart" Target="charts/chart45.xml"/><Relationship Id="rId75" Type="http://schemas.openxmlformats.org/officeDocument/2006/relationships/chart" Target="charts/chart50.xml"/><Relationship Id="rId83" Type="http://schemas.openxmlformats.org/officeDocument/2006/relationships/chart" Target="charts/chart55.xml"/><Relationship Id="rId88" Type="http://schemas.microsoft.com/office/2007/relationships/hdphoto" Target="media/hdphoto1.wdp"/><Relationship Id="rId91" Type="http://schemas.openxmlformats.org/officeDocument/2006/relationships/footer" Target="footer6.xml"/><Relationship Id="rId96" Type="http://schemas.openxmlformats.org/officeDocument/2006/relationships/chart" Target="charts/chart62.xml"/><Relationship Id="rId111" Type="http://schemas.openxmlformats.org/officeDocument/2006/relationships/chart" Target="charts/chart77.xml"/><Relationship Id="rId132" Type="http://schemas.openxmlformats.org/officeDocument/2006/relationships/chart" Target="charts/chart98.xml"/><Relationship Id="rId140" Type="http://schemas.openxmlformats.org/officeDocument/2006/relationships/chart" Target="charts/chart106.xml"/><Relationship Id="rId145" Type="http://schemas.openxmlformats.org/officeDocument/2006/relationships/chart" Target="charts/chart11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vi.wikipedia.org/wiki/Gi%C3%B3_m%C3%B9a" TargetMode="External"/><Relationship Id="rId23" Type="http://schemas.openxmlformats.org/officeDocument/2006/relationships/hyperlink" Target="https://vi.wikipedia.org/wiki/M%C6%B0a_ph%C3%B9n" TargetMode="External"/><Relationship Id="rId28" Type="http://schemas.openxmlformats.org/officeDocument/2006/relationships/chart" Target="charts/chart5.xml"/><Relationship Id="rId36" Type="http://schemas.openxmlformats.org/officeDocument/2006/relationships/chart" Target="charts/chart11.xml"/><Relationship Id="rId49" Type="http://schemas.openxmlformats.org/officeDocument/2006/relationships/chart" Target="charts/chart24.xml"/><Relationship Id="rId57" Type="http://schemas.openxmlformats.org/officeDocument/2006/relationships/chart" Target="charts/chart32.xml"/><Relationship Id="rId106" Type="http://schemas.openxmlformats.org/officeDocument/2006/relationships/chart" Target="charts/chart72.xml"/><Relationship Id="rId114" Type="http://schemas.openxmlformats.org/officeDocument/2006/relationships/chart" Target="charts/chart80.xml"/><Relationship Id="rId119" Type="http://schemas.openxmlformats.org/officeDocument/2006/relationships/chart" Target="charts/chart85.xml"/><Relationship Id="rId127" Type="http://schemas.openxmlformats.org/officeDocument/2006/relationships/chart" Target="charts/chart93.xml"/><Relationship Id="rId10" Type="http://schemas.openxmlformats.org/officeDocument/2006/relationships/footer" Target="footer1.xml"/><Relationship Id="rId31" Type="http://schemas.openxmlformats.org/officeDocument/2006/relationships/chart" Target="charts/chart8.xml"/><Relationship Id="rId44" Type="http://schemas.openxmlformats.org/officeDocument/2006/relationships/chart" Target="charts/chart19.xml"/><Relationship Id="rId52" Type="http://schemas.openxmlformats.org/officeDocument/2006/relationships/chart" Target="charts/chart27.xml"/><Relationship Id="rId60" Type="http://schemas.openxmlformats.org/officeDocument/2006/relationships/chart" Target="charts/chart35.xml"/><Relationship Id="rId65" Type="http://schemas.openxmlformats.org/officeDocument/2006/relationships/chart" Target="charts/chart40.xml"/><Relationship Id="rId73" Type="http://schemas.openxmlformats.org/officeDocument/2006/relationships/chart" Target="charts/chart48.xml"/><Relationship Id="rId78" Type="http://schemas.openxmlformats.org/officeDocument/2006/relationships/footer" Target="footer5.xml"/><Relationship Id="rId81" Type="http://schemas.openxmlformats.org/officeDocument/2006/relationships/chart" Target="charts/chart53.xml"/><Relationship Id="rId86" Type="http://schemas.openxmlformats.org/officeDocument/2006/relationships/chart" Target="charts/chart58.xml"/><Relationship Id="rId94" Type="http://schemas.openxmlformats.org/officeDocument/2006/relationships/chart" Target="charts/chart60.xml"/><Relationship Id="rId99" Type="http://schemas.openxmlformats.org/officeDocument/2006/relationships/chart" Target="charts/chart65.xml"/><Relationship Id="rId101" Type="http://schemas.openxmlformats.org/officeDocument/2006/relationships/chart" Target="charts/chart67.xml"/><Relationship Id="rId122" Type="http://schemas.openxmlformats.org/officeDocument/2006/relationships/chart" Target="charts/chart88.xml"/><Relationship Id="rId130" Type="http://schemas.openxmlformats.org/officeDocument/2006/relationships/chart" Target="charts/chart96.xml"/><Relationship Id="rId135" Type="http://schemas.openxmlformats.org/officeDocument/2006/relationships/chart" Target="charts/chart101.xml"/><Relationship Id="rId143" Type="http://schemas.openxmlformats.org/officeDocument/2006/relationships/chart" Target="charts/chart109.xml"/><Relationship Id="rId148" Type="http://schemas.openxmlformats.org/officeDocument/2006/relationships/footer" Target="footer9.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vi.wikipedia.org/wiki/M%C3%B9a_h%C3%A8" TargetMode="External"/><Relationship Id="rId39" Type="http://schemas.openxmlformats.org/officeDocument/2006/relationships/chart" Target="charts/chart14.xml"/><Relationship Id="rId109" Type="http://schemas.openxmlformats.org/officeDocument/2006/relationships/chart" Target="charts/chart75.xml"/><Relationship Id="rId34" Type="http://schemas.openxmlformats.org/officeDocument/2006/relationships/image" Target="media/image1.png"/><Relationship Id="rId50" Type="http://schemas.openxmlformats.org/officeDocument/2006/relationships/chart" Target="charts/chart25.xml"/><Relationship Id="rId55" Type="http://schemas.openxmlformats.org/officeDocument/2006/relationships/chart" Target="charts/chart30.xml"/><Relationship Id="rId76" Type="http://schemas.openxmlformats.org/officeDocument/2006/relationships/header" Target="header3.xml"/><Relationship Id="rId97" Type="http://schemas.openxmlformats.org/officeDocument/2006/relationships/chart" Target="charts/chart63.xml"/><Relationship Id="rId104" Type="http://schemas.openxmlformats.org/officeDocument/2006/relationships/chart" Target="charts/chart70.xml"/><Relationship Id="rId120" Type="http://schemas.openxmlformats.org/officeDocument/2006/relationships/chart" Target="charts/chart86.xml"/><Relationship Id="rId125" Type="http://schemas.openxmlformats.org/officeDocument/2006/relationships/chart" Target="charts/chart91.xml"/><Relationship Id="rId141" Type="http://schemas.openxmlformats.org/officeDocument/2006/relationships/chart" Target="charts/chart107.xml"/><Relationship Id="rId146" Type="http://schemas.openxmlformats.org/officeDocument/2006/relationships/footer" Target="footer8.xml"/><Relationship Id="rId7" Type="http://schemas.openxmlformats.org/officeDocument/2006/relationships/footnotes" Target="footnotes.xml"/><Relationship Id="rId71" Type="http://schemas.openxmlformats.org/officeDocument/2006/relationships/chart" Target="charts/chart46.xml"/><Relationship Id="rId92" Type="http://schemas.openxmlformats.org/officeDocument/2006/relationships/footer" Target="footer7.xml"/><Relationship Id="rId2" Type="http://schemas.openxmlformats.org/officeDocument/2006/relationships/customXml" Target="../customXml/item2.xml"/><Relationship Id="rId29" Type="http://schemas.openxmlformats.org/officeDocument/2006/relationships/chart" Target="charts/chart6.xml"/><Relationship Id="rId24" Type="http://schemas.openxmlformats.org/officeDocument/2006/relationships/chart" Target="charts/chart1.xml"/><Relationship Id="rId40" Type="http://schemas.openxmlformats.org/officeDocument/2006/relationships/chart" Target="charts/chart15.xml"/><Relationship Id="rId45" Type="http://schemas.openxmlformats.org/officeDocument/2006/relationships/chart" Target="charts/chart20.xml"/><Relationship Id="rId66" Type="http://schemas.openxmlformats.org/officeDocument/2006/relationships/chart" Target="charts/chart41.xml"/><Relationship Id="rId87" Type="http://schemas.openxmlformats.org/officeDocument/2006/relationships/image" Target="media/image2.png"/><Relationship Id="rId110" Type="http://schemas.openxmlformats.org/officeDocument/2006/relationships/chart" Target="charts/chart76.xml"/><Relationship Id="rId115" Type="http://schemas.openxmlformats.org/officeDocument/2006/relationships/chart" Target="charts/chart81.xml"/><Relationship Id="rId131" Type="http://schemas.openxmlformats.org/officeDocument/2006/relationships/chart" Target="charts/chart97.xml"/><Relationship Id="rId136" Type="http://schemas.openxmlformats.org/officeDocument/2006/relationships/chart" Target="charts/chart102.xml"/><Relationship Id="rId61" Type="http://schemas.openxmlformats.org/officeDocument/2006/relationships/chart" Target="charts/chart36.xml"/><Relationship Id="rId82" Type="http://schemas.openxmlformats.org/officeDocument/2006/relationships/chart" Target="charts/chart54.xml"/><Relationship Id="rId19" Type="http://schemas.openxmlformats.org/officeDocument/2006/relationships/hyperlink" Target="https://vi.wikipedia.org/wiki/Gi%C3%B3_L%C3%A0o" TargetMode="External"/><Relationship Id="rId14" Type="http://schemas.openxmlformats.org/officeDocument/2006/relationships/hyperlink" Target="https://vi.wikipedia.org/wiki/Nhi%E1%BB%87t_%C4%91%E1%BB%9Bi" TargetMode="External"/><Relationship Id="rId30" Type="http://schemas.openxmlformats.org/officeDocument/2006/relationships/chart" Target="charts/chart7.xml"/><Relationship Id="rId35" Type="http://schemas.openxmlformats.org/officeDocument/2006/relationships/hyperlink" Target="file:///C:\Users\Administrator\Administrator\Downloads\do" TargetMode="External"/><Relationship Id="rId56" Type="http://schemas.openxmlformats.org/officeDocument/2006/relationships/chart" Target="charts/chart31.xml"/><Relationship Id="rId77" Type="http://schemas.openxmlformats.org/officeDocument/2006/relationships/footer" Target="footer4.xml"/><Relationship Id="rId100" Type="http://schemas.openxmlformats.org/officeDocument/2006/relationships/chart" Target="charts/chart66.xml"/><Relationship Id="rId105" Type="http://schemas.openxmlformats.org/officeDocument/2006/relationships/chart" Target="charts/chart71.xml"/><Relationship Id="rId126" Type="http://schemas.openxmlformats.org/officeDocument/2006/relationships/chart" Target="charts/chart92.xml"/><Relationship Id="rId147" Type="http://schemas.openxmlformats.org/officeDocument/2006/relationships/header" Target="header5.xml"/><Relationship Id="rId8" Type="http://schemas.openxmlformats.org/officeDocument/2006/relationships/endnotes" Target="endnotes.xml"/><Relationship Id="rId51" Type="http://schemas.openxmlformats.org/officeDocument/2006/relationships/chart" Target="charts/chart26.xml"/><Relationship Id="rId72" Type="http://schemas.openxmlformats.org/officeDocument/2006/relationships/chart" Target="charts/chart47.xml"/><Relationship Id="rId93" Type="http://schemas.openxmlformats.org/officeDocument/2006/relationships/chart" Target="charts/chart59.xml"/><Relationship Id="rId98" Type="http://schemas.openxmlformats.org/officeDocument/2006/relationships/chart" Target="charts/chart64.xml"/><Relationship Id="rId121" Type="http://schemas.openxmlformats.org/officeDocument/2006/relationships/chart" Target="charts/chart87.xml"/><Relationship Id="rId142" Type="http://schemas.openxmlformats.org/officeDocument/2006/relationships/chart" Target="charts/chart108.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gp\Documents\Zalo%20Received%20Files\Book2.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9.xml"/><Relationship Id="rId1" Type="http://schemas.microsoft.com/office/2011/relationships/chartStyle" Target="style9.xml"/></Relationships>
</file>

<file path=word/charts/_rels/chart10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9.xml"/><Relationship Id="rId1" Type="http://schemas.microsoft.com/office/2011/relationships/chartStyle" Target="style99.xml"/></Relationships>
</file>

<file path=word/charts/_rels/chart10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100.xml"/><Relationship Id="rId1" Type="http://schemas.microsoft.com/office/2011/relationships/chartStyle" Target="style100.xml"/></Relationships>
</file>

<file path=word/charts/_rels/chart10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101.xml"/><Relationship Id="rId1" Type="http://schemas.microsoft.com/office/2011/relationships/chartStyle" Target="style101.xml"/></Relationships>
</file>

<file path=word/charts/_rels/chart10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102.xml"/><Relationship Id="rId1" Type="http://schemas.microsoft.com/office/2011/relationships/chartStyle" Target="style102.xml"/></Relationships>
</file>

<file path=word/charts/_rels/chart10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103.xml"/><Relationship Id="rId1" Type="http://schemas.microsoft.com/office/2011/relationships/chartStyle" Target="style103.xml"/></Relationships>
</file>

<file path=word/charts/_rels/chart10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04.xml"/><Relationship Id="rId1" Type="http://schemas.microsoft.com/office/2011/relationships/chartStyle" Target="style104.xml"/></Relationships>
</file>

<file path=word/charts/_rels/chart10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05.xml"/><Relationship Id="rId1" Type="http://schemas.microsoft.com/office/2011/relationships/chartStyle" Target="style105.xml"/></Relationships>
</file>

<file path=word/charts/_rels/chart10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06.xml"/><Relationship Id="rId1" Type="http://schemas.microsoft.com/office/2011/relationships/chartStyle" Target="style106.xml"/></Relationships>
</file>

<file path=word/charts/_rels/chart10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07.xml"/><Relationship Id="rId1" Type="http://schemas.microsoft.com/office/2011/relationships/chartStyle" Target="style107.xml"/></Relationships>
</file>

<file path=word/charts/_rels/chart10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08.xml"/><Relationship Id="rId1" Type="http://schemas.microsoft.com/office/2011/relationships/chartStyle" Target="style108.xml"/></Relationships>
</file>

<file path=word/charts/_rels/chart1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0.xml"/><Relationship Id="rId1" Type="http://schemas.microsoft.com/office/2011/relationships/chartStyle" Target="style10.xml"/></Relationships>
</file>

<file path=word/charts/_rels/chart11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09.xml"/><Relationship Id="rId1" Type="http://schemas.microsoft.com/office/2011/relationships/chartStyle" Target="style109.xml"/></Relationships>
</file>

<file path=word/charts/_rels/chart11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4.%20Tong%20hop%20TT%20Dat.xlsx" TargetMode="External"/><Relationship Id="rId2" Type="http://schemas.microsoft.com/office/2011/relationships/chartColorStyle" Target="colors110.xml"/><Relationship Id="rId1" Type="http://schemas.microsoft.com/office/2011/relationships/chartStyle" Target="style110.xml"/></Relationships>
</file>

<file path=word/charts/_rels/chart1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1.xml"/><Relationship Id="rId1" Type="http://schemas.microsoft.com/office/2011/relationships/chartStyle" Target="style11.xml"/></Relationships>
</file>

<file path=word/charts/_rels/chart1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2.xml"/><Relationship Id="rId1" Type="http://schemas.microsoft.com/office/2011/relationships/chartStyle" Target="style12.xml"/></Relationships>
</file>

<file path=word/charts/_rels/chart1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3.xml"/><Relationship Id="rId1" Type="http://schemas.microsoft.com/office/2011/relationships/chartStyle" Target="style13.xml"/></Relationships>
</file>

<file path=word/charts/_rels/chart1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4.xml"/><Relationship Id="rId1" Type="http://schemas.microsoft.com/office/2011/relationships/chartStyle" Target="style14.xml"/></Relationships>
</file>

<file path=word/charts/_rels/chart1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5.xml"/><Relationship Id="rId1" Type="http://schemas.microsoft.com/office/2011/relationships/chartStyle" Target="style15.xml"/></Relationships>
</file>

<file path=word/charts/_rels/chart1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6.xml"/><Relationship Id="rId1" Type="http://schemas.microsoft.com/office/2011/relationships/chartStyle" Target="style16.xml"/></Relationships>
</file>

<file path=word/charts/_rels/chart1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WQI%202021-2024.xlsx" TargetMode="External"/><Relationship Id="rId2" Type="http://schemas.microsoft.com/office/2011/relationships/chartColorStyle" Target="colors17.xml"/><Relationship Id="rId1" Type="http://schemas.microsoft.com/office/2011/relationships/chartStyle" Target="style17.xml"/></Relationships>
</file>

<file path=word/charts/_rels/chart1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8.xml"/><Relationship Id="rId1" Type="http://schemas.microsoft.com/office/2011/relationships/chartStyle" Target="style18.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19.xml"/><Relationship Id="rId1" Type="http://schemas.microsoft.com/office/2011/relationships/chartStyle" Target="style19.xml"/></Relationships>
</file>

<file path=word/charts/_rels/chart2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0.xml"/><Relationship Id="rId1" Type="http://schemas.microsoft.com/office/2011/relationships/chartStyle" Target="style20.xml"/></Relationships>
</file>

<file path=word/charts/_rels/chart2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1.xml"/><Relationship Id="rId1" Type="http://schemas.microsoft.com/office/2011/relationships/chartStyle" Target="style21.xml"/></Relationships>
</file>

<file path=word/charts/_rels/chart2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2.xml"/><Relationship Id="rId1" Type="http://schemas.microsoft.com/office/2011/relationships/chartStyle" Target="style22.xml"/></Relationships>
</file>

<file path=word/charts/_rels/chart2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3.xml"/><Relationship Id="rId1" Type="http://schemas.microsoft.com/office/2011/relationships/chartStyle" Target="style23.xml"/></Relationships>
</file>

<file path=word/charts/_rels/chart2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4.xml"/><Relationship Id="rId1" Type="http://schemas.microsoft.com/office/2011/relationships/chartStyle" Target="style24.xml"/></Relationships>
</file>

<file path=word/charts/_rels/chart2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WQI%202021-2024.xlsx" TargetMode="External"/><Relationship Id="rId2" Type="http://schemas.microsoft.com/office/2011/relationships/chartColorStyle" Target="colors25.xml"/><Relationship Id="rId1" Type="http://schemas.microsoft.com/office/2011/relationships/chartStyle" Target="style25.xml"/></Relationships>
</file>

<file path=word/charts/_rels/chart2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6.xml"/><Relationship Id="rId1" Type="http://schemas.microsoft.com/office/2011/relationships/chartStyle" Target="style26.xml"/></Relationships>
</file>

<file path=word/charts/_rels/chart2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7.xml"/><Relationship Id="rId1" Type="http://schemas.microsoft.com/office/2011/relationships/chartStyle" Target="style27.xml"/></Relationships>
</file>

<file path=word/charts/_rels/chart2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8.xml"/><Relationship Id="rId1" Type="http://schemas.microsoft.com/office/2011/relationships/chartStyle" Target="style28.xml"/></Relationships>
</file>

<file path=word/charts/_rels/chart3.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29.xml"/><Relationship Id="rId1" Type="http://schemas.microsoft.com/office/2011/relationships/chartStyle" Target="style29.xml"/></Relationships>
</file>

<file path=word/charts/_rels/chart3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0.xml"/><Relationship Id="rId1" Type="http://schemas.microsoft.com/office/2011/relationships/chartStyle" Target="style30.xml"/></Relationships>
</file>

<file path=word/charts/_rels/chart3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1.xml"/><Relationship Id="rId1" Type="http://schemas.microsoft.com/office/2011/relationships/chartStyle" Target="style31.xml"/></Relationships>
</file>

<file path=word/charts/_rels/chart3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2.xml"/><Relationship Id="rId1" Type="http://schemas.microsoft.com/office/2011/relationships/chartStyle" Target="style32.xml"/></Relationships>
</file>

<file path=word/charts/_rels/chart3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WQI%202021-2024.xlsx" TargetMode="External"/><Relationship Id="rId2" Type="http://schemas.microsoft.com/office/2011/relationships/chartColorStyle" Target="colors33.xml"/><Relationship Id="rId1" Type="http://schemas.microsoft.com/office/2011/relationships/chartStyle" Target="style33.xml"/></Relationships>
</file>

<file path=word/charts/_rels/chart3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4.xml"/><Relationship Id="rId1" Type="http://schemas.microsoft.com/office/2011/relationships/chartStyle" Target="style34.xml"/></Relationships>
</file>

<file path=word/charts/_rels/chart3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5.xml"/><Relationship Id="rId1" Type="http://schemas.microsoft.com/office/2011/relationships/chartStyle" Target="style35.xml"/></Relationships>
</file>

<file path=word/charts/_rels/chart3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6.xml"/><Relationship Id="rId1" Type="http://schemas.microsoft.com/office/2011/relationships/chartStyle" Target="style36.xml"/></Relationships>
</file>

<file path=word/charts/_rels/chart3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7.xml"/><Relationship Id="rId1" Type="http://schemas.microsoft.com/office/2011/relationships/chartStyle" Target="style37.xml"/></Relationships>
</file>

<file path=word/charts/_rels/chart3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8.xml"/><Relationship Id="rId1" Type="http://schemas.microsoft.com/office/2011/relationships/chartStyle" Target="style38.xml"/></Relationships>
</file>

<file path=word/charts/_rels/chart4.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3.xml"/><Relationship Id="rId1" Type="http://schemas.microsoft.com/office/2011/relationships/chartStyle" Target="style3.xml"/></Relationships>
</file>

<file path=word/charts/_rels/chart4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39.xml"/><Relationship Id="rId1" Type="http://schemas.microsoft.com/office/2011/relationships/chartStyle" Target="style39.xml"/></Relationships>
</file>

<file path=word/charts/_rels/chart4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0.xml"/><Relationship Id="rId1" Type="http://schemas.microsoft.com/office/2011/relationships/chartStyle" Target="style40.xml"/></Relationships>
</file>

<file path=word/charts/_rels/chart4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WQI%202021-2024.xlsx" TargetMode="External"/><Relationship Id="rId2" Type="http://schemas.microsoft.com/office/2011/relationships/chartColorStyle" Target="colors41.xml"/><Relationship Id="rId1" Type="http://schemas.microsoft.com/office/2011/relationships/chartStyle" Target="style41.xml"/></Relationships>
</file>

<file path=word/charts/_rels/chart4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2.xml"/><Relationship Id="rId1" Type="http://schemas.microsoft.com/office/2011/relationships/chartStyle" Target="style42.xml"/></Relationships>
</file>

<file path=word/charts/_rels/chart4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3.xml"/><Relationship Id="rId1" Type="http://schemas.microsoft.com/office/2011/relationships/chartStyle" Target="style43.xml"/></Relationships>
</file>

<file path=word/charts/_rels/chart4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4.xml"/><Relationship Id="rId1" Type="http://schemas.microsoft.com/office/2011/relationships/chartStyle" Target="style44.xml"/></Relationships>
</file>

<file path=word/charts/_rels/chart4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5.xml"/><Relationship Id="rId1" Type="http://schemas.microsoft.com/office/2011/relationships/chartStyle" Target="style45.xml"/></Relationships>
</file>

<file path=word/charts/_rels/chart4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6.xml"/><Relationship Id="rId1" Type="http://schemas.microsoft.com/office/2011/relationships/chartStyle" Target="style46.xml"/></Relationships>
</file>

<file path=word/charts/_rels/chart4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7.xml"/><Relationship Id="rId1" Type="http://schemas.microsoft.com/office/2011/relationships/chartStyle" Target="style47.xml"/></Relationships>
</file>

<file path=word/charts/_rels/chart4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48.xml"/><Relationship Id="rId1" Type="http://schemas.microsoft.com/office/2011/relationships/chartStyle" Target="style48.xml"/></Relationships>
</file>

<file path=word/charts/_rels/chart5.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4.xml"/><Relationship Id="rId1" Type="http://schemas.microsoft.com/office/2011/relationships/chartStyle" Target="style4.xml"/></Relationships>
</file>

<file path=word/charts/_rels/chart5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WQI%202021-2024.xlsx" TargetMode="External"/><Relationship Id="rId2" Type="http://schemas.microsoft.com/office/2011/relationships/chartColorStyle" Target="colors49.xml"/><Relationship Id="rId1" Type="http://schemas.microsoft.com/office/2011/relationships/chartStyle" Target="style49.xml"/></Relationships>
</file>

<file path=word/charts/_rels/chart5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0.xml"/><Relationship Id="rId1" Type="http://schemas.microsoft.com/office/2011/relationships/chartStyle" Target="style50.xml"/></Relationships>
</file>

<file path=word/charts/_rels/chart5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1.xml"/><Relationship Id="rId1" Type="http://schemas.microsoft.com/office/2011/relationships/chartStyle" Target="style51.xml"/></Relationships>
</file>

<file path=word/charts/_rels/chart5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2.xml"/><Relationship Id="rId1" Type="http://schemas.microsoft.com/office/2011/relationships/chartStyle" Target="style52.xml"/></Relationships>
</file>

<file path=word/charts/_rels/chart5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3.xml"/><Relationship Id="rId1" Type="http://schemas.microsoft.com/office/2011/relationships/chartStyle" Target="style53.xml"/></Relationships>
</file>

<file path=word/charts/_rels/chart5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4.xml"/><Relationship Id="rId1" Type="http://schemas.microsoft.com/office/2011/relationships/chartStyle" Target="style54.xml"/></Relationships>
</file>

<file path=word/charts/_rels/chart5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5.xml"/><Relationship Id="rId1" Type="http://schemas.microsoft.com/office/2011/relationships/chartStyle" Target="style55.xml"/></Relationships>
</file>

<file path=word/charts/_rels/chart5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1.%20Tong%20hop%20TT%20Nuoc%20mat.xlsx" TargetMode="External"/><Relationship Id="rId2" Type="http://schemas.microsoft.com/office/2011/relationships/chartColorStyle" Target="colors56.xml"/><Relationship Id="rId1" Type="http://schemas.microsoft.com/office/2011/relationships/chartStyle" Target="style56.xml"/></Relationships>
</file>

<file path=word/charts/_rels/chart5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WQI%202021-2024.xlsx" TargetMode="External"/><Relationship Id="rId2" Type="http://schemas.microsoft.com/office/2011/relationships/chartColorStyle" Target="colors57.xml"/><Relationship Id="rId1" Type="http://schemas.microsoft.com/office/2011/relationships/chartStyle" Target="style57.xml"/></Relationships>
</file>

<file path=word/charts/_rels/chart5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58.xml"/><Relationship Id="rId1" Type="http://schemas.microsoft.com/office/2011/relationships/chartStyle" Target="style58.xml"/></Relationships>
</file>

<file path=word/charts/_rels/chart6.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5.xml"/><Relationship Id="rId1" Type="http://schemas.microsoft.com/office/2011/relationships/chartStyle" Target="style5.xml"/></Relationships>
</file>

<file path=word/charts/_rels/chart6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59.xml"/><Relationship Id="rId1" Type="http://schemas.microsoft.com/office/2011/relationships/chartStyle" Target="style59.xml"/></Relationships>
</file>

<file path=word/charts/_rels/chart6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0.xml"/><Relationship Id="rId1" Type="http://schemas.microsoft.com/office/2011/relationships/chartStyle" Target="style60.xml"/></Relationships>
</file>

<file path=word/charts/_rels/chart6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1.xml"/><Relationship Id="rId1" Type="http://schemas.microsoft.com/office/2011/relationships/chartStyle" Target="style61.xml"/></Relationships>
</file>

<file path=word/charts/_rels/chart6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2.xml"/><Relationship Id="rId1" Type="http://schemas.microsoft.com/office/2011/relationships/chartStyle" Target="style62.xml"/></Relationships>
</file>

<file path=word/charts/_rels/chart6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3.xml"/><Relationship Id="rId1" Type="http://schemas.microsoft.com/office/2011/relationships/chartStyle" Target="style63.xml"/></Relationships>
</file>

<file path=word/charts/_rels/chart6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4.xml"/><Relationship Id="rId1" Type="http://schemas.microsoft.com/office/2011/relationships/chartStyle" Target="style64.xml"/></Relationships>
</file>

<file path=word/charts/_rels/chart6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5.xml"/><Relationship Id="rId1" Type="http://schemas.microsoft.com/office/2011/relationships/chartStyle" Target="style65.xml"/></Relationships>
</file>

<file path=word/charts/_rels/chart6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6.xml"/><Relationship Id="rId1" Type="http://schemas.microsoft.com/office/2011/relationships/chartStyle" Target="style66.xml"/></Relationships>
</file>

<file path=word/charts/_rels/chart6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7.xml"/><Relationship Id="rId1" Type="http://schemas.microsoft.com/office/2011/relationships/chartStyle" Target="style67.xml"/></Relationships>
</file>

<file path=word/charts/_rels/chart6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8.xml"/><Relationship Id="rId1" Type="http://schemas.microsoft.com/office/2011/relationships/chartStyle" Target="style68.xml"/></Relationships>
</file>

<file path=word/charts/_rels/chart7.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6.xml"/><Relationship Id="rId1" Type="http://schemas.microsoft.com/office/2011/relationships/chartStyle" Target="style6.xml"/></Relationships>
</file>

<file path=word/charts/_rels/chart7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69.xml"/><Relationship Id="rId1" Type="http://schemas.microsoft.com/office/2011/relationships/chartStyle" Target="style69.xml"/></Relationships>
</file>

<file path=word/charts/_rels/chart7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0.xml"/><Relationship Id="rId1" Type="http://schemas.microsoft.com/office/2011/relationships/chartStyle" Target="style70.xml"/></Relationships>
</file>

<file path=word/charts/_rels/chart7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1.xml"/><Relationship Id="rId1" Type="http://schemas.microsoft.com/office/2011/relationships/chartStyle" Target="style71.xml"/></Relationships>
</file>

<file path=word/charts/_rels/chart7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2.xml"/><Relationship Id="rId1" Type="http://schemas.microsoft.com/office/2011/relationships/chartStyle" Target="style72.xml"/></Relationships>
</file>

<file path=word/charts/_rels/chart7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3.xml"/><Relationship Id="rId1" Type="http://schemas.microsoft.com/office/2011/relationships/chartStyle" Target="style73.xml"/></Relationships>
</file>

<file path=word/charts/_rels/chart7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4.xml"/><Relationship Id="rId1" Type="http://schemas.microsoft.com/office/2011/relationships/chartStyle" Target="style74.xml"/></Relationships>
</file>

<file path=word/charts/_rels/chart7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5.xml"/><Relationship Id="rId1" Type="http://schemas.microsoft.com/office/2011/relationships/chartStyle" Target="style75.xml"/></Relationships>
</file>

<file path=word/charts/_rels/chart7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6.xml"/><Relationship Id="rId1" Type="http://schemas.microsoft.com/office/2011/relationships/chartStyle" Target="style76.xml"/></Relationships>
</file>

<file path=word/charts/_rels/chart7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7.xml"/><Relationship Id="rId1" Type="http://schemas.microsoft.com/office/2011/relationships/chartStyle" Target="style77.xml"/></Relationships>
</file>

<file path=word/charts/_rels/chart7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8.xml"/><Relationship Id="rId1" Type="http://schemas.microsoft.com/office/2011/relationships/chartStyle" Target="style78.xml"/></Relationships>
</file>

<file path=word/charts/_rels/chart8.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7.xml"/><Relationship Id="rId1" Type="http://schemas.microsoft.com/office/2011/relationships/chartStyle" Target="style7.xml"/></Relationships>
</file>

<file path=word/charts/_rels/chart8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79.xml"/><Relationship Id="rId1" Type="http://schemas.microsoft.com/office/2011/relationships/chartStyle" Target="style79.xml"/></Relationships>
</file>

<file path=word/charts/_rels/chart8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80.xml"/><Relationship Id="rId1" Type="http://schemas.microsoft.com/office/2011/relationships/chartStyle" Target="style80.xml"/></Relationships>
</file>

<file path=word/charts/_rels/chart8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2.%20Tong%20hop%20TT%20Nuoc%20ngam.xlsx" TargetMode="External"/><Relationship Id="rId2" Type="http://schemas.microsoft.com/office/2011/relationships/chartColorStyle" Target="colors81.xml"/><Relationship Id="rId1" Type="http://schemas.microsoft.com/office/2011/relationships/chartStyle" Target="style81.xml"/></Relationships>
</file>

<file path=word/charts/_rels/chart8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2.xml"/><Relationship Id="rId1" Type="http://schemas.microsoft.com/office/2011/relationships/chartStyle" Target="style82.xml"/></Relationships>
</file>

<file path=word/charts/_rels/chart8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3.xml"/><Relationship Id="rId1" Type="http://schemas.microsoft.com/office/2011/relationships/chartStyle" Target="style83.xml"/></Relationships>
</file>

<file path=word/charts/_rels/chart8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4.xml"/><Relationship Id="rId1" Type="http://schemas.microsoft.com/office/2011/relationships/chartStyle" Target="style84.xml"/></Relationships>
</file>

<file path=word/charts/_rels/chart8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5.xml"/><Relationship Id="rId1" Type="http://schemas.microsoft.com/office/2011/relationships/chartStyle" Target="style85.xml"/></Relationships>
</file>

<file path=word/charts/_rels/chart8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6.xml"/><Relationship Id="rId1" Type="http://schemas.microsoft.com/office/2011/relationships/chartStyle" Target="style86.xml"/></Relationships>
</file>

<file path=word/charts/_rels/chart8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7.xml"/><Relationship Id="rId1" Type="http://schemas.microsoft.com/office/2011/relationships/chartStyle" Target="style87.xml"/></Relationships>
</file>

<file path=word/charts/_rels/chart8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5.%20Tong%20hop%20TT%20Bien%20ven%20bo.xlsx" TargetMode="External"/><Relationship Id="rId2" Type="http://schemas.microsoft.com/office/2011/relationships/chartColorStyle" Target="colors88.xml"/><Relationship Id="rId1" Type="http://schemas.microsoft.com/office/2011/relationships/chartStyle" Target="style88.xml"/></Relationships>
</file>

<file path=word/charts/_rels/chart9.xml.rels><?xml version="1.0" encoding="UTF-8" standalone="yes"?>
<Relationships xmlns="http://schemas.openxmlformats.org/package/2006/relationships"><Relationship Id="rId3" Type="http://schemas.openxmlformats.org/officeDocument/2006/relationships/oleObject" Target="file:///D:\0.TAI%20LIEU\1.BAO%20CAO%20HTMT%202021-2025\tinh%20toan.xlsx" TargetMode="External"/><Relationship Id="rId2" Type="http://schemas.microsoft.com/office/2011/relationships/chartColorStyle" Target="colors8.xml"/><Relationship Id="rId1" Type="http://schemas.microsoft.com/office/2011/relationships/chartStyle" Target="style8.xml"/></Relationships>
</file>

<file path=word/charts/_rels/chart90.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89.xml"/><Relationship Id="rId1" Type="http://schemas.microsoft.com/office/2011/relationships/chartStyle" Target="style89.xml"/></Relationships>
</file>

<file path=word/charts/_rels/chart91.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0.xml"/><Relationship Id="rId1" Type="http://schemas.microsoft.com/office/2011/relationships/chartStyle" Target="style90.xml"/></Relationships>
</file>

<file path=word/charts/_rels/chart92.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1.xml"/><Relationship Id="rId1" Type="http://schemas.microsoft.com/office/2011/relationships/chartStyle" Target="style91.xml"/></Relationships>
</file>

<file path=word/charts/_rels/chart93.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2.xml"/><Relationship Id="rId1" Type="http://schemas.microsoft.com/office/2011/relationships/chartStyle" Target="style92.xml"/></Relationships>
</file>

<file path=word/charts/_rels/chart94.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3.xml"/><Relationship Id="rId1" Type="http://schemas.microsoft.com/office/2011/relationships/chartStyle" Target="style93.xml"/></Relationships>
</file>

<file path=word/charts/_rels/chart95.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4.xml"/><Relationship Id="rId1" Type="http://schemas.microsoft.com/office/2011/relationships/chartStyle" Target="style94.xml"/></Relationships>
</file>

<file path=word/charts/_rels/chart96.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5.xml"/><Relationship Id="rId1" Type="http://schemas.microsoft.com/office/2011/relationships/chartStyle" Target="style95.xml"/></Relationships>
</file>

<file path=word/charts/_rels/chart97.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6.xml"/><Relationship Id="rId1" Type="http://schemas.microsoft.com/office/2011/relationships/chartStyle" Target="style96.xml"/></Relationships>
</file>

<file path=word/charts/_rels/chart98.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7.xml"/><Relationship Id="rId1" Type="http://schemas.microsoft.com/office/2011/relationships/chartStyle" Target="style97.xml"/></Relationships>
</file>

<file path=word/charts/_rels/chart99.xml.rels><?xml version="1.0" encoding="UTF-8" standalone="yes"?>
<Relationships xmlns="http://schemas.openxmlformats.org/package/2006/relationships"><Relationship Id="rId3" Type="http://schemas.openxmlformats.org/officeDocument/2006/relationships/oleObject" Target="file:///E:\HAI%20DANG\Bao%20cao%20hien%20trang%20MT\Nam%202025.%20BC%20HTNMT%20t&#7881;nh%205%20nam\KQ%20QT%20mang%20luoi%202021-2025\3.%20Tong%20hop%20TT%20Khong%20khi.xlsx" TargetMode="External"/><Relationship Id="rId2" Type="http://schemas.microsoft.com/office/2011/relationships/chartColorStyle" Target="colors98.xml"/><Relationship Id="rId1" Type="http://schemas.microsoft.com/office/2011/relationships/chartStyle" Target="style9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632072630265477"/>
          <c:y val="8.4831180804948961E-2"/>
          <c:w val="0.63509688338138059"/>
          <c:h val="0.80085320425598361"/>
        </c:manualLayout>
      </c:layout>
      <c:scatterChart>
        <c:scatterStyle val="smoothMarker"/>
        <c:varyColors val="0"/>
        <c:ser>
          <c:idx val="0"/>
          <c:order val="0"/>
          <c:tx>
            <c:strRef>
              <c:f>Sheet3!$B$6</c:f>
              <c:strCache>
                <c:ptCount val="1"/>
                <c:pt idx="0">
                  <c:v>Trạm Hà Tĩnh</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yVal>
            <c:numRef>
              <c:f>Sheet3!$C$6:$N$6</c:f>
              <c:numCache>
                <c:formatCode>0.0</c:formatCode>
                <c:ptCount val="12"/>
                <c:pt idx="0">
                  <c:v>205.9</c:v>
                </c:pt>
                <c:pt idx="1">
                  <c:v>31.4</c:v>
                </c:pt>
                <c:pt idx="2">
                  <c:v>150.5</c:v>
                </c:pt>
                <c:pt idx="3">
                  <c:v>7</c:v>
                </c:pt>
                <c:pt idx="4">
                  <c:v>154.9</c:v>
                </c:pt>
                <c:pt idx="5">
                  <c:v>10.9</c:v>
                </c:pt>
                <c:pt idx="6">
                  <c:v>94.800000000000011</c:v>
                </c:pt>
                <c:pt idx="7">
                  <c:v>76.7</c:v>
                </c:pt>
                <c:pt idx="8">
                  <c:v>688.1</c:v>
                </c:pt>
                <c:pt idx="9">
                  <c:v>370.50000000000011</c:v>
                </c:pt>
                <c:pt idx="10">
                  <c:v>453.59999999999991</c:v>
                </c:pt>
                <c:pt idx="11">
                  <c:v>176.2</c:v>
                </c:pt>
              </c:numCache>
            </c:numRef>
          </c:yVal>
          <c:smooth val="1"/>
          <c:extLst>
            <c:ext xmlns:c16="http://schemas.microsoft.com/office/drawing/2014/chart" uri="{C3380CC4-5D6E-409C-BE32-E72D297353CC}">
              <c16:uniqueId val="{00000000-6DCF-4580-9AA5-30AE19948D4A}"/>
            </c:ext>
          </c:extLst>
        </c:ser>
        <c:ser>
          <c:idx val="1"/>
          <c:order val="1"/>
          <c:tx>
            <c:strRef>
              <c:f>Sheet3!$B$7</c:f>
              <c:strCache>
                <c:ptCount val="1"/>
                <c:pt idx="0">
                  <c:v>Trạm Kỳ Anh</c:v>
                </c:pt>
              </c:strCache>
            </c:strRef>
          </c:tx>
          <c:spPr>
            <a:ln w="0" cap="rnd">
              <a:solidFill>
                <a:schemeClr val="accent2"/>
              </a:solidFill>
              <a:round/>
            </a:ln>
            <a:effectLst/>
          </c:spPr>
          <c:marker>
            <c:symbol val="circle"/>
            <c:size val="5"/>
            <c:spPr>
              <a:solidFill>
                <a:schemeClr val="accent2"/>
              </a:solidFill>
              <a:ln w="9525">
                <a:solidFill>
                  <a:schemeClr val="accent2"/>
                </a:solidFill>
              </a:ln>
              <a:effectLst/>
            </c:spPr>
          </c:marker>
          <c:yVal>
            <c:numRef>
              <c:f>Sheet3!$C$7:$N$7</c:f>
              <c:numCache>
                <c:formatCode>0.0</c:formatCode>
                <c:ptCount val="12"/>
                <c:pt idx="0">
                  <c:v>198.70000000000005</c:v>
                </c:pt>
                <c:pt idx="1">
                  <c:v>57.699999999999996</c:v>
                </c:pt>
                <c:pt idx="2">
                  <c:v>60.5</c:v>
                </c:pt>
                <c:pt idx="3">
                  <c:v>6.3</c:v>
                </c:pt>
                <c:pt idx="4">
                  <c:v>162.5</c:v>
                </c:pt>
                <c:pt idx="5">
                  <c:v>30.8</c:v>
                </c:pt>
                <c:pt idx="6">
                  <c:v>156.70000000000002</c:v>
                </c:pt>
                <c:pt idx="7">
                  <c:v>30</c:v>
                </c:pt>
                <c:pt idx="8" formatCode="@">
                  <c:v>528.6</c:v>
                </c:pt>
                <c:pt idx="9">
                  <c:v>968.5</c:v>
                </c:pt>
                <c:pt idx="10">
                  <c:v>510</c:v>
                </c:pt>
                <c:pt idx="11">
                  <c:v>227.7</c:v>
                </c:pt>
              </c:numCache>
            </c:numRef>
          </c:yVal>
          <c:smooth val="1"/>
          <c:extLst>
            <c:ext xmlns:c16="http://schemas.microsoft.com/office/drawing/2014/chart" uri="{C3380CC4-5D6E-409C-BE32-E72D297353CC}">
              <c16:uniqueId val="{00000001-6DCF-4580-9AA5-30AE19948D4A}"/>
            </c:ext>
          </c:extLst>
        </c:ser>
        <c:ser>
          <c:idx val="2"/>
          <c:order val="2"/>
          <c:tx>
            <c:strRef>
              <c:f>Sheet3!$B$8</c:f>
              <c:strCache>
                <c:ptCount val="1"/>
                <c:pt idx="0">
                  <c:v>Trạm Hương Khê</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yVal>
            <c:numRef>
              <c:f>Sheet3!$C$8:$N$8</c:f>
              <c:numCache>
                <c:formatCode>0.0</c:formatCode>
                <c:ptCount val="12"/>
                <c:pt idx="0">
                  <c:v>112.6</c:v>
                </c:pt>
                <c:pt idx="1">
                  <c:v>39.799999999999997</c:v>
                </c:pt>
                <c:pt idx="2">
                  <c:v>173.20000000000002</c:v>
                </c:pt>
                <c:pt idx="3">
                  <c:v>9</c:v>
                </c:pt>
                <c:pt idx="4">
                  <c:v>125.8</c:v>
                </c:pt>
                <c:pt idx="5">
                  <c:v>97.1</c:v>
                </c:pt>
                <c:pt idx="6">
                  <c:v>251</c:v>
                </c:pt>
                <c:pt idx="7">
                  <c:v>95.3</c:v>
                </c:pt>
                <c:pt idx="8">
                  <c:v>593</c:v>
                </c:pt>
                <c:pt idx="9">
                  <c:v>338</c:v>
                </c:pt>
                <c:pt idx="10">
                  <c:v>415.7</c:v>
                </c:pt>
                <c:pt idx="11">
                  <c:v>56.4</c:v>
                </c:pt>
              </c:numCache>
            </c:numRef>
          </c:yVal>
          <c:smooth val="1"/>
          <c:extLst>
            <c:ext xmlns:c16="http://schemas.microsoft.com/office/drawing/2014/chart" uri="{C3380CC4-5D6E-409C-BE32-E72D297353CC}">
              <c16:uniqueId val="{00000002-6DCF-4580-9AA5-30AE19948D4A}"/>
            </c:ext>
          </c:extLst>
        </c:ser>
        <c:ser>
          <c:idx val="3"/>
          <c:order val="3"/>
          <c:tx>
            <c:strRef>
              <c:f>Sheet3!$B$9</c:f>
              <c:strCache>
                <c:ptCount val="1"/>
                <c:pt idx="0">
                  <c:v>TRạm Hương Sơn</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yVal>
            <c:numRef>
              <c:f>Sheet3!$C$9:$N$9</c:f>
              <c:numCache>
                <c:formatCode>0.0</c:formatCode>
                <c:ptCount val="12"/>
                <c:pt idx="0" formatCode="0">
                  <c:v>58</c:v>
                </c:pt>
                <c:pt idx="1">
                  <c:v>23.200000000000003</c:v>
                </c:pt>
                <c:pt idx="2">
                  <c:v>122.2</c:v>
                </c:pt>
                <c:pt idx="3">
                  <c:v>7.1</c:v>
                </c:pt>
                <c:pt idx="4">
                  <c:v>99.5</c:v>
                </c:pt>
                <c:pt idx="5">
                  <c:v>119.4</c:v>
                </c:pt>
                <c:pt idx="6">
                  <c:v>265.10000000000002</c:v>
                </c:pt>
                <c:pt idx="7">
                  <c:v>118</c:v>
                </c:pt>
                <c:pt idx="8">
                  <c:v>760.1</c:v>
                </c:pt>
                <c:pt idx="9">
                  <c:v>236</c:v>
                </c:pt>
                <c:pt idx="10">
                  <c:v>250.3</c:v>
                </c:pt>
                <c:pt idx="11">
                  <c:v>40.6</c:v>
                </c:pt>
              </c:numCache>
            </c:numRef>
          </c:yVal>
          <c:smooth val="1"/>
          <c:extLst>
            <c:ext xmlns:c16="http://schemas.microsoft.com/office/drawing/2014/chart" uri="{C3380CC4-5D6E-409C-BE32-E72D297353CC}">
              <c16:uniqueId val="{00000003-6DCF-4580-9AA5-30AE19948D4A}"/>
            </c:ext>
          </c:extLst>
        </c:ser>
        <c:dLbls>
          <c:showLegendKey val="0"/>
          <c:showVal val="0"/>
          <c:showCatName val="0"/>
          <c:showSerName val="0"/>
          <c:showPercent val="0"/>
          <c:showBubbleSize val="0"/>
        </c:dLbls>
        <c:axId val="579014656"/>
        <c:axId val="316421632"/>
      </c:scatterChart>
      <c:valAx>
        <c:axId val="579014656"/>
        <c:scaling>
          <c:orientation val="minMax"/>
          <c:max val="12"/>
          <c:min val="1"/>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r>
                  <a:rPr lang="vi-VN" sz="1000">
                    <a:latin typeface="Times New Roman" panose="02020603050405020304" pitchFamily="18" charset="0"/>
                    <a:cs typeface="Times New Roman" panose="02020603050405020304" pitchFamily="18" charset="0"/>
                  </a:rPr>
                  <a:t>Tháng</a:t>
                </a:r>
                <a:endParaRPr lang="en-US" sz="1000">
                  <a:latin typeface="Times New Roman" panose="02020603050405020304" pitchFamily="18" charset="0"/>
                  <a:cs typeface="Times New Roman" panose="02020603050405020304" pitchFamily="18" charset="0"/>
                </a:endParaRPr>
              </a:p>
            </c:rich>
          </c:tx>
          <c:layout>
            <c:manualLayout>
              <c:xMode val="edge"/>
              <c:yMode val="edge"/>
              <c:x val="0.822309998135479"/>
              <c:y val="0.90149487333913292"/>
            </c:manualLayout>
          </c:layout>
          <c:overlay val="0"/>
          <c:spPr>
            <a:noFill/>
            <a:ln>
              <a:noFill/>
            </a:ln>
            <a:effectLst/>
          </c:spPr>
        </c:title>
        <c:majorTickMark val="none"/>
        <c:minorTickMark val="none"/>
        <c:tickLblPos val="nextTo"/>
        <c:spPr>
          <a:noFill/>
          <a:ln w="0" cap="rnd"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316421632"/>
        <c:crossesAt val="0"/>
        <c:crossBetween val="midCat"/>
        <c:majorUnit val="1"/>
      </c:valAx>
      <c:valAx>
        <c:axId val="316421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95000"/>
                        <a:lumOff val="5000"/>
                      </a:schemeClr>
                    </a:solidFill>
                    <a:latin typeface="+mn-lt"/>
                    <a:ea typeface="+mn-ea"/>
                    <a:cs typeface="+mn-cs"/>
                  </a:defRPr>
                </a:pPr>
                <a:r>
                  <a:rPr lang="vi-VN" sz="1000">
                    <a:latin typeface="Times New Roman" panose="02020603050405020304" pitchFamily="18" charset="0"/>
                    <a:cs typeface="Times New Roman" panose="02020603050405020304" pitchFamily="18" charset="0"/>
                  </a:rPr>
                  <a:t>mm</a:t>
                </a:r>
                <a:endParaRPr lang="en-US" sz="1000">
                  <a:latin typeface="Times New Roman" panose="02020603050405020304" pitchFamily="18" charset="0"/>
                  <a:cs typeface="Times New Roman" panose="02020603050405020304" pitchFamily="18" charset="0"/>
                </a:endParaRPr>
              </a:p>
            </c:rich>
          </c:tx>
          <c:layout>
            <c:manualLayout>
              <c:xMode val="edge"/>
              <c:yMode val="edge"/>
              <c:x val="2.2044375600590912E-3"/>
              <c:y val="0.37122972942829735"/>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79014656"/>
        <c:crosses val="autoZero"/>
        <c:crossBetween val="midCat"/>
      </c:valAx>
      <c:spPr>
        <a:noFill/>
        <a:ln>
          <a:noFill/>
        </a:ln>
        <a:effectLst/>
      </c:spPr>
    </c:plotArea>
    <c:legend>
      <c:legendPos val="b"/>
      <c:layout>
        <c:manualLayout>
          <c:xMode val="edge"/>
          <c:yMode val="edge"/>
          <c:x val="0.773399021843581"/>
          <c:y val="0.16939729205237444"/>
          <c:w val="0.22472813849088535"/>
          <c:h val="0.5618143695210903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95000"/>
                  <a:lumOff val="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chemeClr val="tx1">
              <a:lumMod val="95000"/>
              <a:lumOff val="5000"/>
            </a:schemeClr>
          </a:solidFill>
        </a:defRPr>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1482541499713794E-2"/>
          <c:y val="8.533333333333333E-2"/>
          <c:w val="0.9370349170005724"/>
          <c:h val="0.80772451443569548"/>
        </c:manualLayout>
      </c:layout>
      <c:lineChart>
        <c:grouping val="standard"/>
        <c:varyColors val="0"/>
        <c:ser>
          <c:idx val="0"/>
          <c:order val="0"/>
          <c:spPr>
            <a:ln w="38100" cap="rnd">
              <a:solidFill>
                <a:schemeClr val="accent1">
                  <a:alpha val="96000"/>
                </a:schemeClr>
              </a:solidFill>
              <a:round/>
            </a:ln>
            <a:effectLst/>
          </c:spPr>
          <c:marker>
            <c:symbol val="circle"/>
            <c:size val="17"/>
            <c:spPr>
              <a:solidFill>
                <a:schemeClr val="accent1"/>
              </a:solidFill>
              <a:ln>
                <a:noFill/>
              </a:ln>
              <a:effectLst/>
            </c:spPr>
          </c:marker>
          <c:dLbls>
            <c:dLbl>
              <c:idx val="4"/>
              <c:tx>
                <c:rich>
                  <a:bodyPr/>
                  <a:lstStyle/>
                  <a:p>
                    <a:fld id="{9DEB76D4-9E29-4007-B6FC-BC6E835FB6C8}" type="VALUE">
                      <a:rPr lang="en-US" sz="800"/>
                      <a:pPr/>
                      <a:t>[VALUE]</a:t>
                    </a:fld>
                    <a:endParaRPr lang="en-US"/>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B8AA-4DCC-8D9F-8103F79F526C}"/>
                </c:ext>
              </c:extLst>
            </c:dLbl>
            <c:spPr>
              <a:noFill/>
              <a:ln w="0">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numRef>
              <c:f>Sheet2!$D$98:$I$98</c:f>
              <c:numCache>
                <c:formatCode>General</c:formatCode>
                <c:ptCount val="6"/>
                <c:pt idx="0">
                  <c:v>2020</c:v>
                </c:pt>
                <c:pt idx="1">
                  <c:v>2021</c:v>
                </c:pt>
                <c:pt idx="2">
                  <c:v>2022</c:v>
                </c:pt>
                <c:pt idx="3">
                  <c:v>2023</c:v>
                </c:pt>
                <c:pt idx="4">
                  <c:v>2024</c:v>
                </c:pt>
                <c:pt idx="5">
                  <c:v>2025</c:v>
                </c:pt>
              </c:numCache>
            </c:numRef>
          </c:cat>
          <c:val>
            <c:numRef>
              <c:f>Sheet2!$D$99:$I$99</c:f>
              <c:numCache>
                <c:formatCode>General</c:formatCode>
                <c:ptCount val="6"/>
                <c:pt idx="0">
                  <c:v>1.0449999999999999</c:v>
                </c:pt>
                <c:pt idx="1">
                  <c:v>1.0469999999999999</c:v>
                </c:pt>
                <c:pt idx="2">
                  <c:v>1.0620000000000001</c:v>
                </c:pt>
                <c:pt idx="3">
                  <c:v>1.032</c:v>
                </c:pt>
                <c:pt idx="4">
                  <c:v>1.0629999999999999</c:v>
                </c:pt>
                <c:pt idx="5">
                  <c:v>1.0629999999999999</c:v>
                </c:pt>
              </c:numCache>
            </c:numRef>
          </c:val>
          <c:smooth val="0"/>
          <c:extLst>
            <c:ext xmlns:c16="http://schemas.microsoft.com/office/drawing/2014/chart" uri="{C3380CC4-5D6E-409C-BE32-E72D297353CC}">
              <c16:uniqueId val="{00000001-B8AA-4DCC-8D9F-8103F79F526C}"/>
            </c:ext>
          </c:extLst>
        </c:ser>
        <c:dLbls>
          <c:dLblPos val="ctr"/>
          <c:showLegendKey val="0"/>
          <c:showVal val="1"/>
          <c:showCatName val="0"/>
          <c:showSerName val="0"/>
          <c:showPercent val="0"/>
          <c:showBubbleSize val="0"/>
        </c:dLbls>
        <c:marker val="1"/>
        <c:smooth val="0"/>
        <c:axId val="1259913023"/>
        <c:axId val="1259904383"/>
      </c:lineChart>
      <c:catAx>
        <c:axId val="1259913023"/>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000" b="0" i="0" u="none" strike="noStrike" kern="1200" cap="all" baseline="0">
                <a:solidFill>
                  <a:schemeClr val="dk1">
                    <a:lumMod val="75000"/>
                    <a:lumOff val="25000"/>
                  </a:schemeClr>
                </a:solidFill>
                <a:latin typeface="+mn-lt"/>
                <a:ea typeface="+mn-ea"/>
                <a:cs typeface="+mn-cs"/>
              </a:defRPr>
            </a:pPr>
            <a:endParaRPr lang="en-US"/>
          </a:p>
        </c:txPr>
        <c:crossAx val="1259904383"/>
        <c:crosses val="autoZero"/>
        <c:auto val="1"/>
        <c:lblAlgn val="ctr"/>
        <c:lblOffset val="100"/>
        <c:tickMarkSkip val="1"/>
        <c:noMultiLvlLbl val="0"/>
      </c:catAx>
      <c:valAx>
        <c:axId val="1259904383"/>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1259913023"/>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(µg/Nm3)</a:t>
            </a:r>
          </a:p>
        </c:rich>
      </c:tx>
      <c:layout>
        <c:manualLayout>
          <c:xMode val="edge"/>
          <c:yMode val="edge"/>
          <c:x val="1.5329450984110255E-4"/>
          <c:y val="0.1596341863517060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0707262632469554E-2"/>
          <c:y val="2.683628608923885E-2"/>
          <c:w val="0.93371730068268322"/>
          <c:h val="0.54108211092902725"/>
        </c:manualLayout>
      </c:layout>
      <c:barChart>
        <c:barDir val="col"/>
        <c:grouping val="clustered"/>
        <c:varyColors val="0"/>
        <c:ser>
          <c:idx val="0"/>
          <c:order val="0"/>
          <c:tx>
            <c:strRef>
              <c:f>TSP!$B$52</c:f>
              <c:strCache>
                <c:ptCount val="1"/>
                <c:pt idx="0">
                  <c:v>2021</c:v>
                </c:pt>
              </c:strCache>
            </c:strRef>
          </c:tx>
          <c:spPr>
            <a:solidFill>
              <a:schemeClr val="accent1"/>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TSP!$B$53:$B$67</c:f>
              <c:numCache>
                <c:formatCode>0.00</c:formatCode>
                <c:ptCount val="15"/>
                <c:pt idx="0">
                  <c:v>206.66666666666666</c:v>
                </c:pt>
                <c:pt idx="1">
                  <c:v>184.66666666666666</c:v>
                </c:pt>
                <c:pt idx="2">
                  <c:v>241</c:v>
                </c:pt>
                <c:pt idx="3">
                  <c:v>234.83333333333334</c:v>
                </c:pt>
                <c:pt idx="4">
                  <c:v>237.5</c:v>
                </c:pt>
                <c:pt idx="5">
                  <c:v>232.5</c:v>
                </c:pt>
                <c:pt idx="6">
                  <c:v>200.66666666666666</c:v>
                </c:pt>
                <c:pt idx="7">
                  <c:v>209.16666666666666</c:v>
                </c:pt>
                <c:pt idx="8">
                  <c:v>185.83333333333334</c:v>
                </c:pt>
                <c:pt idx="9">
                  <c:v>180.5</c:v>
                </c:pt>
                <c:pt idx="10">
                  <c:v>291.83333333333331</c:v>
                </c:pt>
                <c:pt idx="11">
                  <c:v>293.16666666666669</c:v>
                </c:pt>
                <c:pt idx="12">
                  <c:v>218.16666666666666</c:v>
                </c:pt>
                <c:pt idx="13">
                  <c:v>298.5</c:v>
                </c:pt>
                <c:pt idx="14">
                  <c:v>238</c:v>
                </c:pt>
              </c:numCache>
            </c:numRef>
          </c:val>
          <c:extLst>
            <c:ext xmlns:c16="http://schemas.microsoft.com/office/drawing/2014/chart" uri="{C3380CC4-5D6E-409C-BE32-E72D297353CC}">
              <c16:uniqueId val="{00000000-5B56-4041-8B60-76CF4AB80F20}"/>
            </c:ext>
          </c:extLst>
        </c:ser>
        <c:ser>
          <c:idx val="1"/>
          <c:order val="1"/>
          <c:tx>
            <c:strRef>
              <c:f>TSP!$C$52</c:f>
              <c:strCache>
                <c:ptCount val="1"/>
                <c:pt idx="0">
                  <c:v>2022</c:v>
                </c:pt>
              </c:strCache>
            </c:strRef>
          </c:tx>
          <c:spPr>
            <a:solidFill>
              <a:schemeClr val="accent2"/>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TSP!$C$53:$C$67</c:f>
              <c:numCache>
                <c:formatCode>0.00</c:formatCode>
                <c:ptCount val="15"/>
                <c:pt idx="0">
                  <c:v>198.33333333333334</c:v>
                </c:pt>
                <c:pt idx="1">
                  <c:v>193.66666666666666</c:v>
                </c:pt>
                <c:pt idx="2">
                  <c:v>195.16666666666666</c:v>
                </c:pt>
                <c:pt idx="3">
                  <c:v>203.16666666666666</c:v>
                </c:pt>
                <c:pt idx="4">
                  <c:v>217.83333333333334</c:v>
                </c:pt>
                <c:pt idx="5">
                  <c:v>190.66666666666666</c:v>
                </c:pt>
                <c:pt idx="6">
                  <c:v>190.66666666666666</c:v>
                </c:pt>
                <c:pt idx="7">
                  <c:v>172.33333333333334</c:v>
                </c:pt>
                <c:pt idx="8">
                  <c:v>153.33333333333334</c:v>
                </c:pt>
                <c:pt idx="9">
                  <c:v>190.83333333333334</c:v>
                </c:pt>
                <c:pt idx="10">
                  <c:v>279</c:v>
                </c:pt>
                <c:pt idx="11">
                  <c:v>279.33333333333331</c:v>
                </c:pt>
                <c:pt idx="12">
                  <c:v>191.66666666666666</c:v>
                </c:pt>
                <c:pt idx="13">
                  <c:v>258.16666666666669</c:v>
                </c:pt>
                <c:pt idx="14">
                  <c:v>185.33333333333334</c:v>
                </c:pt>
              </c:numCache>
            </c:numRef>
          </c:val>
          <c:extLst>
            <c:ext xmlns:c16="http://schemas.microsoft.com/office/drawing/2014/chart" uri="{C3380CC4-5D6E-409C-BE32-E72D297353CC}">
              <c16:uniqueId val="{00000001-5B56-4041-8B60-76CF4AB80F20}"/>
            </c:ext>
          </c:extLst>
        </c:ser>
        <c:ser>
          <c:idx val="2"/>
          <c:order val="2"/>
          <c:tx>
            <c:strRef>
              <c:f>TSP!$D$52</c:f>
              <c:strCache>
                <c:ptCount val="1"/>
                <c:pt idx="0">
                  <c:v>2023</c:v>
                </c:pt>
              </c:strCache>
            </c:strRef>
          </c:tx>
          <c:spPr>
            <a:solidFill>
              <a:schemeClr val="accent3"/>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TSP!$D$53:$D$67</c:f>
              <c:numCache>
                <c:formatCode>0.00</c:formatCode>
                <c:ptCount val="15"/>
                <c:pt idx="0">
                  <c:v>197.5</c:v>
                </c:pt>
                <c:pt idx="1">
                  <c:v>185.33333333333334</c:v>
                </c:pt>
                <c:pt idx="2">
                  <c:v>167</c:v>
                </c:pt>
                <c:pt idx="3">
                  <c:v>184</c:v>
                </c:pt>
                <c:pt idx="4">
                  <c:v>214.66666666666666</c:v>
                </c:pt>
                <c:pt idx="5">
                  <c:v>191.66666666666666</c:v>
                </c:pt>
                <c:pt idx="6">
                  <c:v>180.33333333333334</c:v>
                </c:pt>
                <c:pt idx="7">
                  <c:v>167.83333333333334</c:v>
                </c:pt>
                <c:pt idx="8">
                  <c:v>154.16666666666666</c:v>
                </c:pt>
                <c:pt idx="9">
                  <c:v>178.33333333333334</c:v>
                </c:pt>
                <c:pt idx="10">
                  <c:v>280.66666666666669</c:v>
                </c:pt>
                <c:pt idx="11">
                  <c:v>277.83333333333331</c:v>
                </c:pt>
                <c:pt idx="12">
                  <c:v>197.83333333333334</c:v>
                </c:pt>
                <c:pt idx="13">
                  <c:v>283</c:v>
                </c:pt>
                <c:pt idx="14">
                  <c:v>194</c:v>
                </c:pt>
              </c:numCache>
            </c:numRef>
          </c:val>
          <c:extLst>
            <c:ext xmlns:c16="http://schemas.microsoft.com/office/drawing/2014/chart" uri="{C3380CC4-5D6E-409C-BE32-E72D297353CC}">
              <c16:uniqueId val="{00000002-5B56-4041-8B60-76CF4AB80F20}"/>
            </c:ext>
          </c:extLst>
        </c:ser>
        <c:ser>
          <c:idx val="3"/>
          <c:order val="3"/>
          <c:tx>
            <c:strRef>
              <c:f>TSP!$E$52</c:f>
              <c:strCache>
                <c:ptCount val="1"/>
                <c:pt idx="0">
                  <c:v>2024</c:v>
                </c:pt>
              </c:strCache>
            </c:strRef>
          </c:tx>
          <c:spPr>
            <a:solidFill>
              <a:schemeClr val="accent4"/>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TSP!$E$53:$E$67</c:f>
              <c:numCache>
                <c:formatCode>0.00</c:formatCode>
                <c:ptCount val="15"/>
                <c:pt idx="0">
                  <c:v>169.83333333333334</c:v>
                </c:pt>
                <c:pt idx="1">
                  <c:v>166.16666666666666</c:v>
                </c:pt>
                <c:pt idx="2">
                  <c:v>160.16666666666666</c:v>
                </c:pt>
                <c:pt idx="3">
                  <c:v>193.66666666666666</c:v>
                </c:pt>
                <c:pt idx="4">
                  <c:v>197.5</c:v>
                </c:pt>
                <c:pt idx="5">
                  <c:v>179.83333333333334</c:v>
                </c:pt>
                <c:pt idx="6">
                  <c:v>193.33333333333334</c:v>
                </c:pt>
                <c:pt idx="7">
                  <c:v>163.16666666666666</c:v>
                </c:pt>
                <c:pt idx="8">
                  <c:v>151.16666666666666</c:v>
                </c:pt>
                <c:pt idx="9">
                  <c:v>152</c:v>
                </c:pt>
                <c:pt idx="10">
                  <c:v>277.83333333333331</c:v>
                </c:pt>
                <c:pt idx="11">
                  <c:v>244.33333333333334</c:v>
                </c:pt>
                <c:pt idx="12">
                  <c:v>208</c:v>
                </c:pt>
                <c:pt idx="13">
                  <c:v>255</c:v>
                </c:pt>
                <c:pt idx="14">
                  <c:v>215.33333333333334</c:v>
                </c:pt>
              </c:numCache>
            </c:numRef>
          </c:val>
          <c:extLst>
            <c:ext xmlns:c16="http://schemas.microsoft.com/office/drawing/2014/chart" uri="{C3380CC4-5D6E-409C-BE32-E72D297353CC}">
              <c16:uniqueId val="{00000003-5B56-4041-8B60-76CF4AB80F20}"/>
            </c:ext>
          </c:extLst>
        </c:ser>
        <c:ser>
          <c:idx val="4"/>
          <c:order val="4"/>
          <c:tx>
            <c:strRef>
              <c:f>TSP!$F$52</c:f>
              <c:strCache>
                <c:ptCount val="1"/>
                <c:pt idx="0">
                  <c:v>2025</c:v>
                </c:pt>
              </c:strCache>
            </c:strRef>
          </c:tx>
          <c:spPr>
            <a:solidFill>
              <a:schemeClr val="accent5"/>
            </a:solidFill>
            <a:ln>
              <a:noFill/>
            </a:ln>
            <a:effectLst/>
          </c:spPr>
          <c:invertIfNegative val="0"/>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TSP!$F$53:$F$67</c:f>
              <c:numCache>
                <c:formatCode>0.00</c:formatCode>
                <c:ptCount val="15"/>
                <c:pt idx="0">
                  <c:v>188.5</c:v>
                </c:pt>
                <c:pt idx="1">
                  <c:v>190.5</c:v>
                </c:pt>
                <c:pt idx="2">
                  <c:v>166.5</c:v>
                </c:pt>
                <c:pt idx="3">
                  <c:v>203</c:v>
                </c:pt>
                <c:pt idx="4">
                  <c:v>161.5</c:v>
                </c:pt>
                <c:pt idx="5">
                  <c:v>167.5</c:v>
                </c:pt>
                <c:pt idx="6">
                  <c:v>184.5</c:v>
                </c:pt>
                <c:pt idx="7">
                  <c:v>156.5</c:v>
                </c:pt>
                <c:pt idx="8">
                  <c:v>174</c:v>
                </c:pt>
                <c:pt idx="9">
                  <c:v>172.5</c:v>
                </c:pt>
                <c:pt idx="10">
                  <c:v>276</c:v>
                </c:pt>
                <c:pt idx="11">
                  <c:v>251.5</c:v>
                </c:pt>
                <c:pt idx="12">
                  <c:v>186</c:v>
                </c:pt>
                <c:pt idx="13">
                  <c:v>260</c:v>
                </c:pt>
                <c:pt idx="14">
                  <c:v>207</c:v>
                </c:pt>
              </c:numCache>
            </c:numRef>
          </c:val>
          <c:extLst>
            <c:ext xmlns:c16="http://schemas.microsoft.com/office/drawing/2014/chart" uri="{C3380CC4-5D6E-409C-BE32-E72D297353CC}">
              <c16:uniqueId val="{00000004-5B56-4041-8B60-76CF4AB80F20}"/>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TSP!$G$52</c:f>
              <c:strCache>
                <c:ptCount val="1"/>
                <c:pt idx="0">
                  <c:v>Quy chuẩn đánh giá</c:v>
                </c:pt>
              </c:strCache>
            </c:strRef>
          </c:tx>
          <c:spPr>
            <a:ln w="22225" cap="rnd">
              <a:solidFill>
                <a:schemeClr val="accent6"/>
              </a:solidFill>
              <a:round/>
            </a:ln>
            <a:effectLst/>
          </c:spPr>
          <c:marker>
            <c:symbol val="none"/>
          </c:marker>
          <c:cat>
            <c:strRef>
              <c:f>TSP!$A$53:$A$67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TSP!$G$53:$G$67</c:f>
              <c:numCache>
                <c:formatCode>General</c:formatCode>
                <c:ptCount val="15"/>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numCache>
            </c:numRef>
          </c:val>
          <c:smooth val="0"/>
          <c:extLst>
            <c:ext xmlns:c16="http://schemas.microsoft.com/office/drawing/2014/chart" uri="{C3380CC4-5D6E-409C-BE32-E72D297353CC}">
              <c16:uniqueId val="{00000005-5B56-4041-8B60-76CF4AB80F20}"/>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6.2191171980325574E-2"/>
          <c:y val="0.90657017626491265"/>
          <c:w val="0.87838256929019565"/>
          <c:h val="8.968970560848377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(µg/Nm3)</a:t>
            </a:r>
          </a:p>
        </c:rich>
      </c:tx>
      <c:layout>
        <c:manualLayout>
          <c:xMode val="edge"/>
          <c:yMode val="edge"/>
          <c:x val="1.533204575843114E-4"/>
          <c:y val="0.1242593669079955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7363676881727707E-2"/>
          <c:y val="3.8889182476351522E-2"/>
          <c:w val="0.93995208060398994"/>
          <c:h val="0.52092427204988645"/>
        </c:manualLayout>
      </c:layout>
      <c:barChart>
        <c:barDir val="col"/>
        <c:grouping val="clustered"/>
        <c:varyColors val="0"/>
        <c:ser>
          <c:idx val="0"/>
          <c:order val="0"/>
          <c:tx>
            <c:strRef>
              <c:f>'SO2'!$B$52</c:f>
              <c:strCache>
                <c:ptCount val="1"/>
                <c:pt idx="0">
                  <c:v>2021</c:v>
                </c:pt>
              </c:strCache>
            </c:strRef>
          </c:tx>
          <c:spPr>
            <a:solidFill>
              <a:schemeClr val="accent1"/>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'SO2'!$B$53:$B$67</c:f>
              <c:numCache>
                <c:formatCode>0.00</c:formatCode>
                <c:ptCount val="15"/>
                <c:pt idx="0">
                  <c:v>55.166666666666664</c:v>
                </c:pt>
                <c:pt idx="1">
                  <c:v>47</c:v>
                </c:pt>
                <c:pt idx="2">
                  <c:v>73</c:v>
                </c:pt>
                <c:pt idx="3">
                  <c:v>65</c:v>
                </c:pt>
                <c:pt idx="4">
                  <c:v>67.833333333333329</c:v>
                </c:pt>
                <c:pt idx="5">
                  <c:v>61</c:v>
                </c:pt>
                <c:pt idx="6">
                  <c:v>60.833333333333336</c:v>
                </c:pt>
                <c:pt idx="7">
                  <c:v>58.666666666666664</c:v>
                </c:pt>
                <c:pt idx="8">
                  <c:v>54.5</c:v>
                </c:pt>
                <c:pt idx="9">
                  <c:v>59.833333333333336</c:v>
                </c:pt>
                <c:pt idx="10">
                  <c:v>75.666666666666671</c:v>
                </c:pt>
                <c:pt idx="11">
                  <c:v>79.5</c:v>
                </c:pt>
                <c:pt idx="12">
                  <c:v>63.333333333333336</c:v>
                </c:pt>
                <c:pt idx="13">
                  <c:v>82.333333333333329</c:v>
                </c:pt>
                <c:pt idx="14">
                  <c:v>74.333333333333329</c:v>
                </c:pt>
              </c:numCache>
            </c:numRef>
          </c:val>
          <c:extLst>
            <c:ext xmlns:c16="http://schemas.microsoft.com/office/drawing/2014/chart" uri="{C3380CC4-5D6E-409C-BE32-E72D297353CC}">
              <c16:uniqueId val="{00000000-D82D-45E1-979E-4278F15B831B}"/>
            </c:ext>
          </c:extLst>
        </c:ser>
        <c:ser>
          <c:idx val="1"/>
          <c:order val="1"/>
          <c:tx>
            <c:strRef>
              <c:f>'SO2'!$C$52</c:f>
              <c:strCache>
                <c:ptCount val="1"/>
                <c:pt idx="0">
                  <c:v>2022</c:v>
                </c:pt>
              </c:strCache>
            </c:strRef>
          </c:tx>
          <c:spPr>
            <a:solidFill>
              <a:schemeClr val="accent2"/>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'SO2'!$C$53:$C$67</c:f>
              <c:numCache>
                <c:formatCode>0.00</c:formatCode>
                <c:ptCount val="15"/>
                <c:pt idx="0">
                  <c:v>55.833333333333336</c:v>
                </c:pt>
                <c:pt idx="1">
                  <c:v>54.333333333333336</c:v>
                </c:pt>
                <c:pt idx="2">
                  <c:v>65.5</c:v>
                </c:pt>
                <c:pt idx="3">
                  <c:v>59.166666666666664</c:v>
                </c:pt>
                <c:pt idx="4">
                  <c:v>65.333333333333329</c:v>
                </c:pt>
                <c:pt idx="5">
                  <c:v>60.166666666666664</c:v>
                </c:pt>
                <c:pt idx="6">
                  <c:v>60.166666666666664</c:v>
                </c:pt>
                <c:pt idx="7">
                  <c:v>59.666666666666664</c:v>
                </c:pt>
                <c:pt idx="8">
                  <c:v>60.333333333333336</c:v>
                </c:pt>
                <c:pt idx="9">
                  <c:v>60.5</c:v>
                </c:pt>
                <c:pt idx="10">
                  <c:v>71</c:v>
                </c:pt>
                <c:pt idx="11">
                  <c:v>78.333333333333329</c:v>
                </c:pt>
                <c:pt idx="12">
                  <c:v>64.333333333333329</c:v>
                </c:pt>
                <c:pt idx="13">
                  <c:v>78.333333333333329</c:v>
                </c:pt>
                <c:pt idx="14">
                  <c:v>66.666666666666671</c:v>
                </c:pt>
              </c:numCache>
            </c:numRef>
          </c:val>
          <c:extLst>
            <c:ext xmlns:c16="http://schemas.microsoft.com/office/drawing/2014/chart" uri="{C3380CC4-5D6E-409C-BE32-E72D297353CC}">
              <c16:uniqueId val="{00000001-D82D-45E1-979E-4278F15B831B}"/>
            </c:ext>
          </c:extLst>
        </c:ser>
        <c:ser>
          <c:idx val="2"/>
          <c:order val="2"/>
          <c:tx>
            <c:strRef>
              <c:f>'SO2'!$D$52</c:f>
              <c:strCache>
                <c:ptCount val="1"/>
                <c:pt idx="0">
                  <c:v>2023</c:v>
                </c:pt>
              </c:strCache>
            </c:strRef>
          </c:tx>
          <c:spPr>
            <a:solidFill>
              <a:schemeClr val="accent3"/>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'SO2'!$D$53:$D$67</c:f>
              <c:numCache>
                <c:formatCode>0.00</c:formatCode>
                <c:ptCount val="15"/>
                <c:pt idx="0">
                  <c:v>51.833333333333336</c:v>
                </c:pt>
                <c:pt idx="1">
                  <c:v>54</c:v>
                </c:pt>
                <c:pt idx="2">
                  <c:v>57.666666666666664</c:v>
                </c:pt>
                <c:pt idx="3">
                  <c:v>54.833333333333336</c:v>
                </c:pt>
                <c:pt idx="4">
                  <c:v>61.5</c:v>
                </c:pt>
                <c:pt idx="5">
                  <c:v>59.166666666666664</c:v>
                </c:pt>
                <c:pt idx="6">
                  <c:v>58.166666666666664</c:v>
                </c:pt>
                <c:pt idx="7">
                  <c:v>55.5</c:v>
                </c:pt>
                <c:pt idx="8">
                  <c:v>50.833333333333336</c:v>
                </c:pt>
                <c:pt idx="9">
                  <c:v>56.666666666666664</c:v>
                </c:pt>
                <c:pt idx="10">
                  <c:v>72.5</c:v>
                </c:pt>
                <c:pt idx="11">
                  <c:v>74.333333333333329</c:v>
                </c:pt>
                <c:pt idx="12">
                  <c:v>64.5</c:v>
                </c:pt>
                <c:pt idx="13">
                  <c:v>80.166666666666671</c:v>
                </c:pt>
                <c:pt idx="14">
                  <c:v>65.666666666666671</c:v>
                </c:pt>
              </c:numCache>
            </c:numRef>
          </c:val>
          <c:extLst>
            <c:ext xmlns:c16="http://schemas.microsoft.com/office/drawing/2014/chart" uri="{C3380CC4-5D6E-409C-BE32-E72D297353CC}">
              <c16:uniqueId val="{00000002-D82D-45E1-979E-4278F15B831B}"/>
            </c:ext>
          </c:extLst>
        </c:ser>
        <c:ser>
          <c:idx val="3"/>
          <c:order val="3"/>
          <c:tx>
            <c:strRef>
              <c:f>'SO2'!$E$52</c:f>
              <c:strCache>
                <c:ptCount val="1"/>
                <c:pt idx="0">
                  <c:v>2024</c:v>
                </c:pt>
              </c:strCache>
            </c:strRef>
          </c:tx>
          <c:spPr>
            <a:solidFill>
              <a:schemeClr val="accent4"/>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'SO2'!$E$53:$E$67</c:f>
              <c:numCache>
                <c:formatCode>0.00</c:formatCode>
                <c:ptCount val="15"/>
                <c:pt idx="0">
                  <c:v>51.666666666666664</c:v>
                </c:pt>
                <c:pt idx="1">
                  <c:v>52.5</c:v>
                </c:pt>
                <c:pt idx="2">
                  <c:v>54.833333333333336</c:v>
                </c:pt>
                <c:pt idx="3">
                  <c:v>55</c:v>
                </c:pt>
                <c:pt idx="4">
                  <c:v>58.5</c:v>
                </c:pt>
                <c:pt idx="5">
                  <c:v>55.166666666666664</c:v>
                </c:pt>
                <c:pt idx="6">
                  <c:v>64</c:v>
                </c:pt>
                <c:pt idx="7">
                  <c:v>47.5</c:v>
                </c:pt>
                <c:pt idx="8">
                  <c:v>53.5</c:v>
                </c:pt>
                <c:pt idx="9">
                  <c:v>53</c:v>
                </c:pt>
                <c:pt idx="10">
                  <c:v>76.166666666666671</c:v>
                </c:pt>
                <c:pt idx="11">
                  <c:v>76.166666666666671</c:v>
                </c:pt>
                <c:pt idx="12">
                  <c:v>63.833333333333336</c:v>
                </c:pt>
                <c:pt idx="13">
                  <c:v>78.5</c:v>
                </c:pt>
                <c:pt idx="14">
                  <c:v>62.833333333333336</c:v>
                </c:pt>
              </c:numCache>
            </c:numRef>
          </c:val>
          <c:extLst>
            <c:ext xmlns:c16="http://schemas.microsoft.com/office/drawing/2014/chart" uri="{C3380CC4-5D6E-409C-BE32-E72D297353CC}">
              <c16:uniqueId val="{00000003-D82D-45E1-979E-4278F15B831B}"/>
            </c:ext>
          </c:extLst>
        </c:ser>
        <c:ser>
          <c:idx val="4"/>
          <c:order val="4"/>
          <c:tx>
            <c:strRef>
              <c:f>'SO2'!$F$52</c:f>
              <c:strCache>
                <c:ptCount val="1"/>
                <c:pt idx="0">
                  <c:v>2025</c:v>
                </c:pt>
              </c:strCache>
            </c:strRef>
          </c:tx>
          <c:spPr>
            <a:solidFill>
              <a:schemeClr val="accent5"/>
            </a:solidFill>
            <a:ln>
              <a:noFill/>
            </a:ln>
            <a:effectLst/>
          </c:spPr>
          <c:invertIfNegative val="0"/>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'SO2'!$F$53:$F$67</c:f>
              <c:numCache>
                <c:formatCode>0.00</c:formatCode>
                <c:ptCount val="15"/>
                <c:pt idx="0">
                  <c:v>54</c:v>
                </c:pt>
                <c:pt idx="1">
                  <c:v>52.5</c:v>
                </c:pt>
                <c:pt idx="2">
                  <c:v>50.5</c:v>
                </c:pt>
                <c:pt idx="3">
                  <c:v>58.5</c:v>
                </c:pt>
                <c:pt idx="4">
                  <c:v>57</c:v>
                </c:pt>
                <c:pt idx="5">
                  <c:v>55.5</c:v>
                </c:pt>
                <c:pt idx="6">
                  <c:v>56.5</c:v>
                </c:pt>
                <c:pt idx="7">
                  <c:v>44.5</c:v>
                </c:pt>
                <c:pt idx="8">
                  <c:v>55</c:v>
                </c:pt>
                <c:pt idx="9">
                  <c:v>54.5</c:v>
                </c:pt>
                <c:pt idx="10">
                  <c:v>75</c:v>
                </c:pt>
                <c:pt idx="11">
                  <c:v>78.5</c:v>
                </c:pt>
                <c:pt idx="12">
                  <c:v>56.5</c:v>
                </c:pt>
                <c:pt idx="13">
                  <c:v>80.5</c:v>
                </c:pt>
                <c:pt idx="14">
                  <c:v>62</c:v>
                </c:pt>
              </c:numCache>
            </c:numRef>
          </c:val>
          <c:extLst>
            <c:ext xmlns:c16="http://schemas.microsoft.com/office/drawing/2014/chart" uri="{C3380CC4-5D6E-409C-BE32-E72D297353CC}">
              <c16:uniqueId val="{00000004-D82D-45E1-979E-4278F15B831B}"/>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'SO2'!$G$52</c:f>
              <c:strCache>
                <c:ptCount val="1"/>
                <c:pt idx="0">
                  <c:v>Quy chuẩn đánh giá</c:v>
                </c:pt>
              </c:strCache>
            </c:strRef>
          </c:tx>
          <c:spPr>
            <a:ln w="22225" cap="rnd">
              <a:solidFill>
                <a:schemeClr val="accent6"/>
              </a:solidFill>
              <a:round/>
            </a:ln>
            <a:effectLst/>
          </c:spPr>
          <c:marker>
            <c:symbol val="none"/>
          </c:marker>
          <c:cat>
            <c:strRef>
              <c:f>'SO2'!$A$53:$A$67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'SO2'!$G$53:$G$67</c:f>
              <c:numCache>
                <c:formatCode>General</c:formatCode>
                <c:ptCount val="15"/>
                <c:pt idx="0">
                  <c:v>350</c:v>
                </c:pt>
                <c:pt idx="1">
                  <c:v>350</c:v>
                </c:pt>
                <c:pt idx="2">
                  <c:v>350</c:v>
                </c:pt>
                <c:pt idx="3">
                  <c:v>350</c:v>
                </c:pt>
                <c:pt idx="4">
                  <c:v>350</c:v>
                </c:pt>
                <c:pt idx="5">
                  <c:v>350</c:v>
                </c:pt>
                <c:pt idx="6">
                  <c:v>350</c:v>
                </c:pt>
                <c:pt idx="7">
                  <c:v>350</c:v>
                </c:pt>
                <c:pt idx="8">
                  <c:v>350</c:v>
                </c:pt>
                <c:pt idx="9">
                  <c:v>350</c:v>
                </c:pt>
                <c:pt idx="10">
                  <c:v>350</c:v>
                </c:pt>
                <c:pt idx="11">
                  <c:v>350</c:v>
                </c:pt>
                <c:pt idx="12">
                  <c:v>350</c:v>
                </c:pt>
                <c:pt idx="13">
                  <c:v>350</c:v>
                </c:pt>
                <c:pt idx="14">
                  <c:v>350</c:v>
                </c:pt>
              </c:numCache>
            </c:numRef>
          </c:val>
          <c:smooth val="0"/>
          <c:extLst>
            <c:ext xmlns:c16="http://schemas.microsoft.com/office/drawing/2014/chart" uri="{C3380CC4-5D6E-409C-BE32-E72D297353CC}">
              <c16:uniqueId val="{00000005-D82D-45E1-979E-4278F15B831B}"/>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10934611904215231"/>
          <c:y val="0.88674417375680392"/>
          <c:w val="0.7799355492227279"/>
          <c:h val="0.1132558262431961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8791749968449E-4"/>
          <c:y val="0.1285685022982949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7447869920848188E-2"/>
          <c:y val="2.7193489675298721E-2"/>
          <c:w val="0.93684288638440383"/>
          <c:h val="0.56971705545185358"/>
        </c:manualLayout>
      </c:layout>
      <c:barChart>
        <c:barDir val="col"/>
        <c:grouping val="clustered"/>
        <c:varyColors val="0"/>
        <c:ser>
          <c:idx val="0"/>
          <c:order val="0"/>
          <c:tx>
            <c:strRef>
              <c:f>'NO2'!$B$52</c:f>
              <c:strCache>
                <c:ptCount val="1"/>
                <c:pt idx="0">
                  <c:v>2021</c:v>
                </c:pt>
              </c:strCache>
            </c:strRef>
          </c:tx>
          <c:spPr>
            <a:solidFill>
              <a:schemeClr val="accent1"/>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'NO2'!$B$53:$B$67</c:f>
              <c:numCache>
                <c:formatCode>0.00</c:formatCode>
                <c:ptCount val="15"/>
                <c:pt idx="0">
                  <c:v>28.333333333333332</c:v>
                </c:pt>
                <c:pt idx="1">
                  <c:v>26.166666666666668</c:v>
                </c:pt>
                <c:pt idx="2">
                  <c:v>32</c:v>
                </c:pt>
                <c:pt idx="3">
                  <c:v>31.666666666666668</c:v>
                </c:pt>
                <c:pt idx="4">
                  <c:v>33.166666666666664</c:v>
                </c:pt>
                <c:pt idx="5">
                  <c:v>32.666666666666664</c:v>
                </c:pt>
                <c:pt idx="6">
                  <c:v>31.166666666666668</c:v>
                </c:pt>
                <c:pt idx="7">
                  <c:v>30.5</c:v>
                </c:pt>
                <c:pt idx="8">
                  <c:v>28</c:v>
                </c:pt>
                <c:pt idx="9">
                  <c:v>27.166666666666668</c:v>
                </c:pt>
                <c:pt idx="10">
                  <c:v>34.166666666666664</c:v>
                </c:pt>
                <c:pt idx="11">
                  <c:v>34.333333333333336</c:v>
                </c:pt>
                <c:pt idx="12">
                  <c:v>30.666666666666668</c:v>
                </c:pt>
                <c:pt idx="13">
                  <c:v>35.166666666666664</c:v>
                </c:pt>
                <c:pt idx="14">
                  <c:v>35</c:v>
                </c:pt>
              </c:numCache>
            </c:numRef>
          </c:val>
          <c:extLst>
            <c:ext xmlns:c16="http://schemas.microsoft.com/office/drawing/2014/chart" uri="{C3380CC4-5D6E-409C-BE32-E72D297353CC}">
              <c16:uniqueId val="{00000000-2A39-4A02-9092-2256FDB537FE}"/>
            </c:ext>
          </c:extLst>
        </c:ser>
        <c:ser>
          <c:idx val="1"/>
          <c:order val="1"/>
          <c:tx>
            <c:strRef>
              <c:f>'NO2'!$C$52</c:f>
              <c:strCache>
                <c:ptCount val="1"/>
                <c:pt idx="0">
                  <c:v>2022</c:v>
                </c:pt>
              </c:strCache>
            </c:strRef>
          </c:tx>
          <c:spPr>
            <a:solidFill>
              <a:schemeClr val="accent2"/>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'NO2'!$C$53:$C$67</c:f>
              <c:numCache>
                <c:formatCode>0.00</c:formatCode>
                <c:ptCount val="15"/>
                <c:pt idx="0">
                  <c:v>27.833333333333332</c:v>
                </c:pt>
                <c:pt idx="1">
                  <c:v>23.166666666666668</c:v>
                </c:pt>
                <c:pt idx="2">
                  <c:v>27.833333333333332</c:v>
                </c:pt>
                <c:pt idx="3">
                  <c:v>29.333333333333332</c:v>
                </c:pt>
                <c:pt idx="4">
                  <c:v>27.333333333333332</c:v>
                </c:pt>
                <c:pt idx="5">
                  <c:v>26.833333333333332</c:v>
                </c:pt>
                <c:pt idx="6">
                  <c:v>26.5</c:v>
                </c:pt>
                <c:pt idx="7">
                  <c:v>30.833333333333332</c:v>
                </c:pt>
                <c:pt idx="8">
                  <c:v>24.666666666666668</c:v>
                </c:pt>
                <c:pt idx="9">
                  <c:v>28.833333333333332</c:v>
                </c:pt>
                <c:pt idx="10">
                  <c:v>31.166666666666668</c:v>
                </c:pt>
                <c:pt idx="11">
                  <c:v>41.666666666666664</c:v>
                </c:pt>
                <c:pt idx="12">
                  <c:v>30.333333333333332</c:v>
                </c:pt>
                <c:pt idx="13">
                  <c:v>36.666666666666664</c:v>
                </c:pt>
                <c:pt idx="14">
                  <c:v>31.333333333333332</c:v>
                </c:pt>
              </c:numCache>
            </c:numRef>
          </c:val>
          <c:extLst>
            <c:ext xmlns:c16="http://schemas.microsoft.com/office/drawing/2014/chart" uri="{C3380CC4-5D6E-409C-BE32-E72D297353CC}">
              <c16:uniqueId val="{00000001-2A39-4A02-9092-2256FDB537FE}"/>
            </c:ext>
          </c:extLst>
        </c:ser>
        <c:ser>
          <c:idx val="2"/>
          <c:order val="2"/>
          <c:tx>
            <c:strRef>
              <c:f>'NO2'!$D$52</c:f>
              <c:strCache>
                <c:ptCount val="1"/>
                <c:pt idx="0">
                  <c:v>2023</c:v>
                </c:pt>
              </c:strCache>
            </c:strRef>
          </c:tx>
          <c:spPr>
            <a:solidFill>
              <a:schemeClr val="accent3"/>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'NO2'!$D$53:$D$67</c:f>
              <c:numCache>
                <c:formatCode>0.00</c:formatCode>
                <c:ptCount val="15"/>
                <c:pt idx="0">
                  <c:v>25</c:v>
                </c:pt>
                <c:pt idx="1">
                  <c:v>27.833333333333332</c:v>
                </c:pt>
                <c:pt idx="2">
                  <c:v>26.166666666666668</c:v>
                </c:pt>
                <c:pt idx="3">
                  <c:v>27.833333333333332</c:v>
                </c:pt>
                <c:pt idx="4">
                  <c:v>29.666666666666668</c:v>
                </c:pt>
                <c:pt idx="5">
                  <c:v>29.833333333333332</c:v>
                </c:pt>
                <c:pt idx="6">
                  <c:v>29.166666666666668</c:v>
                </c:pt>
                <c:pt idx="7">
                  <c:v>28.666666666666668</c:v>
                </c:pt>
                <c:pt idx="8">
                  <c:v>23.666666666666668</c:v>
                </c:pt>
                <c:pt idx="9">
                  <c:v>29.166666666666668</c:v>
                </c:pt>
                <c:pt idx="10">
                  <c:v>42</c:v>
                </c:pt>
                <c:pt idx="11">
                  <c:v>45.5</c:v>
                </c:pt>
                <c:pt idx="12">
                  <c:v>35.666666666666664</c:v>
                </c:pt>
                <c:pt idx="13">
                  <c:v>48.5</c:v>
                </c:pt>
                <c:pt idx="14">
                  <c:v>32.166666666666664</c:v>
                </c:pt>
              </c:numCache>
            </c:numRef>
          </c:val>
          <c:extLst>
            <c:ext xmlns:c16="http://schemas.microsoft.com/office/drawing/2014/chart" uri="{C3380CC4-5D6E-409C-BE32-E72D297353CC}">
              <c16:uniqueId val="{00000002-2A39-4A02-9092-2256FDB537FE}"/>
            </c:ext>
          </c:extLst>
        </c:ser>
        <c:ser>
          <c:idx val="3"/>
          <c:order val="3"/>
          <c:tx>
            <c:strRef>
              <c:f>'NO2'!$E$52</c:f>
              <c:strCache>
                <c:ptCount val="1"/>
                <c:pt idx="0">
                  <c:v>2024</c:v>
                </c:pt>
              </c:strCache>
            </c:strRef>
          </c:tx>
          <c:spPr>
            <a:solidFill>
              <a:schemeClr val="accent4"/>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'NO2'!$E$53:$E$67</c:f>
              <c:numCache>
                <c:formatCode>0.00</c:formatCode>
                <c:ptCount val="15"/>
                <c:pt idx="0">
                  <c:v>27.666666666666668</c:v>
                </c:pt>
                <c:pt idx="1">
                  <c:v>25.833333333333332</c:v>
                </c:pt>
                <c:pt idx="2">
                  <c:v>27.166666666666668</c:v>
                </c:pt>
                <c:pt idx="3">
                  <c:v>30.166666666666668</c:v>
                </c:pt>
                <c:pt idx="4">
                  <c:v>31</c:v>
                </c:pt>
                <c:pt idx="5">
                  <c:v>29.5</c:v>
                </c:pt>
                <c:pt idx="6">
                  <c:v>30.5</c:v>
                </c:pt>
                <c:pt idx="7">
                  <c:v>25.666666666666668</c:v>
                </c:pt>
                <c:pt idx="8">
                  <c:v>27.333333333333332</c:v>
                </c:pt>
                <c:pt idx="9">
                  <c:v>25.666666666666668</c:v>
                </c:pt>
                <c:pt idx="10">
                  <c:v>42.833333333333336</c:v>
                </c:pt>
                <c:pt idx="11">
                  <c:v>45.666666666666664</c:v>
                </c:pt>
                <c:pt idx="12">
                  <c:v>34</c:v>
                </c:pt>
                <c:pt idx="13">
                  <c:v>45</c:v>
                </c:pt>
                <c:pt idx="14">
                  <c:v>33.666666666666664</c:v>
                </c:pt>
              </c:numCache>
            </c:numRef>
          </c:val>
          <c:extLst>
            <c:ext xmlns:c16="http://schemas.microsoft.com/office/drawing/2014/chart" uri="{C3380CC4-5D6E-409C-BE32-E72D297353CC}">
              <c16:uniqueId val="{00000003-2A39-4A02-9092-2256FDB537FE}"/>
            </c:ext>
          </c:extLst>
        </c:ser>
        <c:ser>
          <c:idx val="4"/>
          <c:order val="4"/>
          <c:tx>
            <c:strRef>
              <c:f>'NO2'!$F$52</c:f>
              <c:strCache>
                <c:ptCount val="1"/>
                <c:pt idx="0">
                  <c:v>2025</c:v>
                </c:pt>
              </c:strCache>
            </c:strRef>
          </c:tx>
          <c:spPr>
            <a:solidFill>
              <a:schemeClr val="accent5"/>
            </a:solidFill>
            <a:ln>
              <a:noFill/>
            </a:ln>
            <a:effectLst/>
          </c:spPr>
          <c:invertIfNegative val="0"/>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'NO2'!$F$53:$F$67</c:f>
              <c:numCache>
                <c:formatCode>0.00</c:formatCode>
                <c:ptCount val="15"/>
                <c:pt idx="0">
                  <c:v>27.5</c:v>
                </c:pt>
                <c:pt idx="1">
                  <c:v>27.5</c:v>
                </c:pt>
                <c:pt idx="2">
                  <c:v>23</c:v>
                </c:pt>
                <c:pt idx="3">
                  <c:v>30.5</c:v>
                </c:pt>
                <c:pt idx="4">
                  <c:v>31</c:v>
                </c:pt>
                <c:pt idx="5">
                  <c:v>29</c:v>
                </c:pt>
                <c:pt idx="6">
                  <c:v>32.5</c:v>
                </c:pt>
                <c:pt idx="7">
                  <c:v>26</c:v>
                </c:pt>
                <c:pt idx="8">
                  <c:v>28.5</c:v>
                </c:pt>
                <c:pt idx="9">
                  <c:v>27</c:v>
                </c:pt>
                <c:pt idx="10">
                  <c:v>44.5</c:v>
                </c:pt>
                <c:pt idx="11">
                  <c:v>44.5</c:v>
                </c:pt>
                <c:pt idx="12">
                  <c:v>29</c:v>
                </c:pt>
                <c:pt idx="13">
                  <c:v>43.5</c:v>
                </c:pt>
                <c:pt idx="14">
                  <c:v>32</c:v>
                </c:pt>
              </c:numCache>
            </c:numRef>
          </c:val>
          <c:extLst>
            <c:ext xmlns:c16="http://schemas.microsoft.com/office/drawing/2014/chart" uri="{C3380CC4-5D6E-409C-BE32-E72D297353CC}">
              <c16:uniqueId val="{00000004-2A39-4A02-9092-2256FDB537FE}"/>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'NO2'!$G$52</c:f>
              <c:strCache>
                <c:ptCount val="1"/>
                <c:pt idx="0">
                  <c:v>Quy chuẩn đánh giá</c:v>
                </c:pt>
              </c:strCache>
            </c:strRef>
          </c:tx>
          <c:spPr>
            <a:ln w="22225" cap="rnd">
              <a:solidFill>
                <a:schemeClr val="accent6"/>
              </a:solidFill>
              <a:round/>
            </a:ln>
            <a:effectLst/>
          </c:spPr>
          <c:marker>
            <c:symbol val="none"/>
          </c:marker>
          <c:cat>
            <c:strRef>
              <c:f>'NO2'!$A$53:$A$67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'NO2'!$G$53:$G$67</c:f>
              <c:numCache>
                <c:formatCode>General</c:formatCode>
                <c:ptCount val="15"/>
                <c:pt idx="0">
                  <c:v>200</c:v>
                </c:pt>
                <c:pt idx="1">
                  <c:v>200</c:v>
                </c:pt>
                <c:pt idx="2">
                  <c:v>200</c:v>
                </c:pt>
                <c:pt idx="3">
                  <c:v>200</c:v>
                </c:pt>
                <c:pt idx="4">
                  <c:v>200</c:v>
                </c:pt>
                <c:pt idx="5">
                  <c:v>200</c:v>
                </c:pt>
                <c:pt idx="6">
                  <c:v>200</c:v>
                </c:pt>
                <c:pt idx="7">
                  <c:v>200</c:v>
                </c:pt>
                <c:pt idx="8">
                  <c:v>200</c:v>
                </c:pt>
                <c:pt idx="9">
                  <c:v>200</c:v>
                </c:pt>
                <c:pt idx="10">
                  <c:v>200</c:v>
                </c:pt>
                <c:pt idx="11">
                  <c:v>200</c:v>
                </c:pt>
                <c:pt idx="12">
                  <c:v>200</c:v>
                </c:pt>
                <c:pt idx="13">
                  <c:v>200</c:v>
                </c:pt>
                <c:pt idx="14">
                  <c:v>200</c:v>
                </c:pt>
              </c:numCache>
            </c:numRef>
          </c:val>
          <c:smooth val="0"/>
          <c:extLst>
            <c:ext xmlns:c16="http://schemas.microsoft.com/office/drawing/2014/chart" uri="{C3380CC4-5D6E-409C-BE32-E72D297353CC}">
              <c16:uniqueId val="{00000005-2A39-4A02-9092-2256FDB537FE}"/>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12070713937121624"/>
          <c:y val="0.88098273615902067"/>
          <c:w val="0.78610171492888892"/>
          <c:h val="8.779978205117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a:t>
            </a:r>
          </a:p>
        </c:rich>
      </c:tx>
      <c:layout>
        <c:manualLayout>
          <c:xMode val="edge"/>
          <c:yMode val="edge"/>
          <c:x val="1.5325919311632438E-4"/>
          <c:y val="0.1878833448206241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1969261574261981E-2"/>
          <c:y val="3.5880727110702677E-2"/>
          <c:w val="0.94246665043158262"/>
          <c:h val="0.57803954876993158"/>
        </c:manualLayout>
      </c:layout>
      <c:barChart>
        <c:barDir val="col"/>
        <c:grouping val="clustered"/>
        <c:varyColors val="0"/>
        <c:ser>
          <c:idx val="0"/>
          <c:order val="0"/>
          <c:tx>
            <c:strRef>
              <c:f>'Tiếng ồn'!$B$52</c:f>
              <c:strCache>
                <c:ptCount val="1"/>
                <c:pt idx="0">
                  <c:v>2021</c:v>
                </c:pt>
              </c:strCache>
            </c:strRef>
          </c:tx>
          <c:spPr>
            <a:solidFill>
              <a:schemeClr val="accent1"/>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ồn'!$B$53:$B$67</c:f>
              <c:numCache>
                <c:formatCode>0.00</c:formatCode>
                <c:ptCount val="15"/>
                <c:pt idx="0">
                  <c:v>65.075000000000003</c:v>
                </c:pt>
                <c:pt idx="1">
                  <c:v>66.150000000000006</c:v>
                </c:pt>
                <c:pt idx="2">
                  <c:v>66.45</c:v>
                </c:pt>
                <c:pt idx="3">
                  <c:v>68.349999999999994</c:v>
                </c:pt>
                <c:pt idx="4">
                  <c:v>67.024999999999991</c:v>
                </c:pt>
                <c:pt idx="5">
                  <c:v>67.025000000000006</c:v>
                </c:pt>
                <c:pt idx="6">
                  <c:v>64.599999999999994</c:v>
                </c:pt>
                <c:pt idx="7">
                  <c:v>64.55</c:v>
                </c:pt>
                <c:pt idx="8">
                  <c:v>62.525000000000006</c:v>
                </c:pt>
                <c:pt idx="9">
                  <c:v>61.5</c:v>
                </c:pt>
                <c:pt idx="10">
                  <c:v>71.25</c:v>
                </c:pt>
                <c:pt idx="11">
                  <c:v>69.475000000000009</c:v>
                </c:pt>
                <c:pt idx="12">
                  <c:v>66</c:v>
                </c:pt>
                <c:pt idx="13">
                  <c:v>70.7</c:v>
                </c:pt>
                <c:pt idx="14">
                  <c:v>66</c:v>
                </c:pt>
              </c:numCache>
            </c:numRef>
          </c:val>
          <c:extLst>
            <c:ext xmlns:c16="http://schemas.microsoft.com/office/drawing/2014/chart" uri="{C3380CC4-5D6E-409C-BE32-E72D297353CC}">
              <c16:uniqueId val="{00000000-3D44-48A1-80A0-44DE795E872D}"/>
            </c:ext>
          </c:extLst>
        </c:ser>
        <c:ser>
          <c:idx val="1"/>
          <c:order val="1"/>
          <c:tx>
            <c:strRef>
              <c:f>'Tiếng ồn'!$C$52</c:f>
              <c:strCache>
                <c:ptCount val="1"/>
                <c:pt idx="0">
                  <c:v>2022</c:v>
                </c:pt>
              </c:strCache>
            </c:strRef>
          </c:tx>
          <c:spPr>
            <a:solidFill>
              <a:schemeClr val="accent2"/>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ồn'!$C$53:$C$67</c:f>
              <c:numCache>
                <c:formatCode>0.00</c:formatCode>
                <c:ptCount val="15"/>
                <c:pt idx="0">
                  <c:v>65.250000000000014</c:v>
                </c:pt>
                <c:pt idx="1">
                  <c:v>65.61666666666666</c:v>
                </c:pt>
                <c:pt idx="2">
                  <c:v>63.233333333333341</c:v>
                </c:pt>
                <c:pt idx="3">
                  <c:v>65.333333333333329</c:v>
                </c:pt>
                <c:pt idx="4">
                  <c:v>65.86666666666666</c:v>
                </c:pt>
                <c:pt idx="5">
                  <c:v>66.866666666666674</c:v>
                </c:pt>
                <c:pt idx="6">
                  <c:v>65.55</c:v>
                </c:pt>
                <c:pt idx="7">
                  <c:v>63.033333333333339</c:v>
                </c:pt>
                <c:pt idx="8">
                  <c:v>61.683333333333337</c:v>
                </c:pt>
                <c:pt idx="9">
                  <c:v>64.983333333333334</c:v>
                </c:pt>
                <c:pt idx="10">
                  <c:v>70.416666666666671</c:v>
                </c:pt>
                <c:pt idx="11">
                  <c:v>69.7</c:v>
                </c:pt>
                <c:pt idx="12">
                  <c:v>65.05</c:v>
                </c:pt>
                <c:pt idx="13">
                  <c:v>69.733333333333334</c:v>
                </c:pt>
                <c:pt idx="14">
                  <c:v>65.783333333333331</c:v>
                </c:pt>
              </c:numCache>
            </c:numRef>
          </c:val>
          <c:extLst>
            <c:ext xmlns:c16="http://schemas.microsoft.com/office/drawing/2014/chart" uri="{C3380CC4-5D6E-409C-BE32-E72D297353CC}">
              <c16:uniqueId val="{00000001-3D44-48A1-80A0-44DE795E872D}"/>
            </c:ext>
          </c:extLst>
        </c:ser>
        <c:ser>
          <c:idx val="2"/>
          <c:order val="2"/>
          <c:tx>
            <c:strRef>
              <c:f>'Tiếng ồn'!$D$52</c:f>
              <c:strCache>
                <c:ptCount val="1"/>
                <c:pt idx="0">
                  <c:v>2023</c:v>
                </c:pt>
              </c:strCache>
            </c:strRef>
          </c:tx>
          <c:spPr>
            <a:solidFill>
              <a:schemeClr val="accent3"/>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ồn'!$D$53:$D$67</c:f>
              <c:numCache>
                <c:formatCode>0.00</c:formatCode>
                <c:ptCount val="15"/>
                <c:pt idx="0">
                  <c:v>62.18333333333333</c:v>
                </c:pt>
                <c:pt idx="1">
                  <c:v>65.883333333333326</c:v>
                </c:pt>
                <c:pt idx="2">
                  <c:v>61.79999999999999</c:v>
                </c:pt>
                <c:pt idx="3">
                  <c:v>63.316666666666663</c:v>
                </c:pt>
                <c:pt idx="4">
                  <c:v>64.666666666666671</c:v>
                </c:pt>
                <c:pt idx="5">
                  <c:v>64.099999999999994</c:v>
                </c:pt>
                <c:pt idx="6">
                  <c:v>65.433333333333337</c:v>
                </c:pt>
                <c:pt idx="7">
                  <c:v>63.833333333333336</c:v>
                </c:pt>
                <c:pt idx="8">
                  <c:v>63.300000000000004</c:v>
                </c:pt>
                <c:pt idx="9">
                  <c:v>63.783333333333339</c:v>
                </c:pt>
                <c:pt idx="10">
                  <c:v>70.63333333333334</c:v>
                </c:pt>
                <c:pt idx="11">
                  <c:v>69.716666666666683</c:v>
                </c:pt>
                <c:pt idx="12">
                  <c:v>66.649999999999991</c:v>
                </c:pt>
                <c:pt idx="13">
                  <c:v>70.316666666666663</c:v>
                </c:pt>
                <c:pt idx="14">
                  <c:v>64.899999999999991</c:v>
                </c:pt>
              </c:numCache>
            </c:numRef>
          </c:val>
          <c:extLst>
            <c:ext xmlns:c16="http://schemas.microsoft.com/office/drawing/2014/chart" uri="{C3380CC4-5D6E-409C-BE32-E72D297353CC}">
              <c16:uniqueId val="{00000002-3D44-48A1-80A0-44DE795E872D}"/>
            </c:ext>
          </c:extLst>
        </c:ser>
        <c:ser>
          <c:idx val="3"/>
          <c:order val="3"/>
          <c:tx>
            <c:strRef>
              <c:f>'Tiếng ồn'!$E$52</c:f>
              <c:strCache>
                <c:ptCount val="1"/>
                <c:pt idx="0">
                  <c:v>2024</c:v>
                </c:pt>
              </c:strCache>
            </c:strRef>
          </c:tx>
          <c:spPr>
            <a:solidFill>
              <a:schemeClr val="accent4"/>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ồn'!$E$53:$E$67</c:f>
              <c:numCache>
                <c:formatCode>0.00</c:formatCode>
                <c:ptCount val="15"/>
                <c:pt idx="0">
                  <c:v>62.800000000000004</c:v>
                </c:pt>
                <c:pt idx="1">
                  <c:v>67.566666666666663</c:v>
                </c:pt>
                <c:pt idx="2">
                  <c:v>65.05</c:v>
                </c:pt>
                <c:pt idx="3">
                  <c:v>64.216666666666669</c:v>
                </c:pt>
                <c:pt idx="4">
                  <c:v>64.833333333333329</c:v>
                </c:pt>
                <c:pt idx="5">
                  <c:v>64.583333333333329</c:v>
                </c:pt>
                <c:pt idx="6">
                  <c:v>64.583333333333329</c:v>
                </c:pt>
                <c:pt idx="7">
                  <c:v>65.699999999999989</c:v>
                </c:pt>
                <c:pt idx="8">
                  <c:v>62.633333333333333</c:v>
                </c:pt>
                <c:pt idx="9">
                  <c:v>63.416666666666664</c:v>
                </c:pt>
                <c:pt idx="10">
                  <c:v>69.399999999999991</c:v>
                </c:pt>
                <c:pt idx="11">
                  <c:v>69.88333333333334</c:v>
                </c:pt>
                <c:pt idx="12">
                  <c:v>65.500000000000014</c:v>
                </c:pt>
                <c:pt idx="13">
                  <c:v>67.350000000000009</c:v>
                </c:pt>
                <c:pt idx="14">
                  <c:v>62.383333333333333</c:v>
                </c:pt>
              </c:numCache>
            </c:numRef>
          </c:val>
          <c:extLst>
            <c:ext xmlns:c16="http://schemas.microsoft.com/office/drawing/2014/chart" uri="{C3380CC4-5D6E-409C-BE32-E72D297353CC}">
              <c16:uniqueId val="{00000003-3D44-48A1-80A0-44DE795E872D}"/>
            </c:ext>
          </c:extLst>
        </c:ser>
        <c:ser>
          <c:idx val="4"/>
          <c:order val="4"/>
          <c:tx>
            <c:strRef>
              <c:f>'Tiếng ồn'!$F$52</c:f>
              <c:strCache>
                <c:ptCount val="1"/>
                <c:pt idx="0">
                  <c:v>2025</c:v>
                </c:pt>
              </c:strCache>
            </c:strRef>
          </c:tx>
          <c:spPr>
            <a:solidFill>
              <a:schemeClr val="accent5"/>
            </a:solidFill>
            <a:ln>
              <a:noFill/>
            </a:ln>
            <a:effectLst/>
          </c:spPr>
          <c:invertIfNegative val="0"/>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ồn'!$F$53:$F$67</c:f>
              <c:numCache>
                <c:formatCode>0.00</c:formatCode>
                <c:ptCount val="15"/>
                <c:pt idx="0">
                  <c:v>62.7</c:v>
                </c:pt>
                <c:pt idx="1">
                  <c:v>66.25</c:v>
                </c:pt>
                <c:pt idx="2">
                  <c:v>62.400000000000006</c:v>
                </c:pt>
                <c:pt idx="3">
                  <c:v>63.2</c:v>
                </c:pt>
                <c:pt idx="4">
                  <c:v>65.3</c:v>
                </c:pt>
                <c:pt idx="5">
                  <c:v>63.75</c:v>
                </c:pt>
                <c:pt idx="6">
                  <c:v>62.65</c:v>
                </c:pt>
                <c:pt idx="7">
                  <c:v>62.8</c:v>
                </c:pt>
                <c:pt idx="8">
                  <c:v>63.45</c:v>
                </c:pt>
                <c:pt idx="9">
                  <c:v>59.4</c:v>
                </c:pt>
                <c:pt idx="10">
                  <c:v>67.400000000000006</c:v>
                </c:pt>
                <c:pt idx="11">
                  <c:v>67.95</c:v>
                </c:pt>
                <c:pt idx="12">
                  <c:v>60.15</c:v>
                </c:pt>
                <c:pt idx="13">
                  <c:v>68.400000000000006</c:v>
                </c:pt>
                <c:pt idx="14">
                  <c:v>66.650000000000006</c:v>
                </c:pt>
              </c:numCache>
            </c:numRef>
          </c:val>
          <c:extLst>
            <c:ext xmlns:c16="http://schemas.microsoft.com/office/drawing/2014/chart" uri="{C3380CC4-5D6E-409C-BE32-E72D297353CC}">
              <c16:uniqueId val="{00000004-3D44-48A1-80A0-44DE795E872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'Tiếng ồn'!$G$52</c:f>
              <c:strCache>
                <c:ptCount val="1"/>
                <c:pt idx="0">
                  <c:v>QCVN 26:2010/BTNMT</c:v>
                </c:pt>
              </c:strCache>
            </c:strRef>
          </c:tx>
          <c:spPr>
            <a:ln w="22225" cap="rnd">
              <a:solidFill>
                <a:schemeClr val="accent6"/>
              </a:solidFill>
              <a:round/>
            </a:ln>
            <a:effectLst/>
          </c:spPr>
          <c:marker>
            <c:symbol val="none"/>
          </c:marker>
          <c:cat>
            <c:strRef>
              <c:f>'Tiếng ồn'!$A$53:$A$67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'Tiếng ồn'!$G$53:$G$67</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3D44-48A1-80A0-44DE795E872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5"/>
      </c:valAx>
      <c:spPr>
        <a:noFill/>
        <a:ln>
          <a:noFill/>
        </a:ln>
        <a:effectLst/>
      </c:spPr>
    </c:plotArea>
    <c:legend>
      <c:legendPos val="b"/>
      <c:layout>
        <c:manualLayout>
          <c:xMode val="edge"/>
          <c:yMode val="edge"/>
          <c:x val="0.12247119625510729"/>
          <c:y val="0.90288635911595749"/>
          <c:w val="0.76605406282977517"/>
          <c:h val="7.164134200906907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r>
              <a:rPr lang="en-US"/>
              <a:t>(dB)</a:t>
            </a:r>
          </a:p>
        </c:rich>
      </c:tx>
      <c:layout>
        <c:manualLayout>
          <c:xMode val="edge"/>
          <c:yMode val="edge"/>
          <c:x val="1.5329450984110255E-4"/>
          <c:y val="0.27630085301837271"/>
        </c:manualLayout>
      </c:layout>
      <c:overlay val="0"/>
      <c:spPr>
        <a:noFill/>
        <a:ln>
          <a:noFill/>
        </a:ln>
        <a:effectLst/>
      </c:spPr>
      <c:txPr>
        <a:bodyPr rot="-5400000" spcFirstLastPara="1" vertOverflow="ellipsis" wrap="square" anchor="ctr" anchorCtr="1"/>
        <a:lstStyle/>
        <a:p>
          <a:pPr>
            <a:defRPr sz="160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9.798495760579494E-2"/>
          <c:y val="3.5242346391012959E-2"/>
          <c:w val="0.89474480993329253"/>
          <c:h val="0.54561245291884231"/>
        </c:manualLayout>
      </c:layout>
      <c:barChart>
        <c:barDir val="col"/>
        <c:grouping val="clustered"/>
        <c:varyColors val="0"/>
        <c:ser>
          <c:idx val="0"/>
          <c:order val="0"/>
          <c:tx>
            <c:strRef>
              <c:f>'Do rung'!$B$52</c:f>
              <c:strCache>
                <c:ptCount val="1"/>
                <c:pt idx="0">
                  <c:v>2021</c:v>
                </c:pt>
              </c:strCache>
            </c:strRef>
          </c:tx>
          <c:spPr>
            <a:solidFill>
              <a:schemeClr val="accent1"/>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rung'!$B$53:$B$67</c:f>
              <c:numCache>
                <c:formatCode>0.00</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6D2D-4492-B604-FD31AA3F12EA}"/>
            </c:ext>
          </c:extLst>
        </c:ser>
        <c:ser>
          <c:idx val="1"/>
          <c:order val="1"/>
          <c:tx>
            <c:strRef>
              <c:f>'Do rung'!$C$52</c:f>
              <c:strCache>
                <c:ptCount val="1"/>
                <c:pt idx="0">
                  <c:v>2022</c:v>
                </c:pt>
              </c:strCache>
            </c:strRef>
          </c:tx>
          <c:spPr>
            <a:solidFill>
              <a:schemeClr val="accent2"/>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rung'!$C$53:$C$67</c:f>
              <c:numCache>
                <c:formatCode>0.00</c:formatCode>
                <c:ptCount val="15"/>
                <c:pt idx="0">
                  <c:v>46.433333333333337</c:v>
                </c:pt>
                <c:pt idx="1">
                  <c:v>47.800000000000004</c:v>
                </c:pt>
                <c:pt idx="2">
                  <c:v>48.766666666666659</c:v>
                </c:pt>
                <c:pt idx="3">
                  <c:v>49.083333333333336</c:v>
                </c:pt>
                <c:pt idx="4">
                  <c:v>48.81666666666667</c:v>
                </c:pt>
                <c:pt idx="5">
                  <c:v>51.050000000000004</c:v>
                </c:pt>
                <c:pt idx="6">
                  <c:v>46.183333333333337</c:v>
                </c:pt>
                <c:pt idx="7">
                  <c:v>48.1</c:v>
                </c:pt>
                <c:pt idx="8">
                  <c:v>43.166666666666664</c:v>
                </c:pt>
                <c:pt idx="9">
                  <c:v>46.716666666666669</c:v>
                </c:pt>
                <c:pt idx="10">
                  <c:v>52.183333333333337</c:v>
                </c:pt>
                <c:pt idx="11">
                  <c:v>54.466666666666669</c:v>
                </c:pt>
                <c:pt idx="12">
                  <c:v>47.35</c:v>
                </c:pt>
                <c:pt idx="13">
                  <c:v>50.983333333333327</c:v>
                </c:pt>
                <c:pt idx="14">
                  <c:v>45.300000000000004</c:v>
                </c:pt>
              </c:numCache>
            </c:numRef>
          </c:val>
          <c:extLst>
            <c:ext xmlns:c16="http://schemas.microsoft.com/office/drawing/2014/chart" uri="{C3380CC4-5D6E-409C-BE32-E72D297353CC}">
              <c16:uniqueId val="{00000001-6D2D-4492-B604-FD31AA3F12EA}"/>
            </c:ext>
          </c:extLst>
        </c:ser>
        <c:ser>
          <c:idx val="2"/>
          <c:order val="2"/>
          <c:tx>
            <c:strRef>
              <c:f>'Do rung'!$D$52</c:f>
              <c:strCache>
                <c:ptCount val="1"/>
                <c:pt idx="0">
                  <c:v>2023</c:v>
                </c:pt>
              </c:strCache>
            </c:strRef>
          </c:tx>
          <c:spPr>
            <a:solidFill>
              <a:schemeClr val="accent3"/>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rung'!$D$53:$D$67</c:f>
              <c:numCache>
                <c:formatCode>0.00</c:formatCode>
                <c:ptCount val="15"/>
                <c:pt idx="0">
                  <c:v>40.9</c:v>
                </c:pt>
                <c:pt idx="1">
                  <c:v>42.4</c:v>
                </c:pt>
                <c:pt idx="2">
                  <c:v>41.1</c:v>
                </c:pt>
                <c:pt idx="3">
                  <c:v>43.9</c:v>
                </c:pt>
                <c:pt idx="4">
                  <c:v>49.5</c:v>
                </c:pt>
                <c:pt idx="5">
                  <c:v>42.5</c:v>
                </c:pt>
                <c:pt idx="6">
                  <c:v>39</c:v>
                </c:pt>
                <c:pt idx="7">
                  <c:v>44.6</c:v>
                </c:pt>
                <c:pt idx="8">
                  <c:v>41</c:v>
                </c:pt>
                <c:pt idx="9">
                  <c:v>39.4</c:v>
                </c:pt>
                <c:pt idx="10">
                  <c:v>53.6</c:v>
                </c:pt>
                <c:pt idx="11">
                  <c:v>50.6</c:v>
                </c:pt>
                <c:pt idx="12">
                  <c:v>45.9</c:v>
                </c:pt>
                <c:pt idx="13">
                  <c:v>51.5</c:v>
                </c:pt>
                <c:pt idx="14">
                  <c:v>42.6</c:v>
                </c:pt>
              </c:numCache>
            </c:numRef>
          </c:val>
          <c:extLst>
            <c:ext xmlns:c16="http://schemas.microsoft.com/office/drawing/2014/chart" uri="{C3380CC4-5D6E-409C-BE32-E72D297353CC}">
              <c16:uniqueId val="{00000002-6D2D-4492-B604-FD31AA3F12EA}"/>
            </c:ext>
          </c:extLst>
        </c:ser>
        <c:ser>
          <c:idx val="3"/>
          <c:order val="3"/>
          <c:tx>
            <c:strRef>
              <c:f>'Do rung'!$E$52</c:f>
              <c:strCache>
                <c:ptCount val="1"/>
                <c:pt idx="0">
                  <c:v>2024</c:v>
                </c:pt>
              </c:strCache>
            </c:strRef>
          </c:tx>
          <c:spPr>
            <a:solidFill>
              <a:schemeClr val="accent4"/>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rung'!$E$53:$E$67</c:f>
              <c:numCache>
                <c:formatCode>0.00</c:formatCode>
                <c:ptCount val="15"/>
                <c:pt idx="0">
                  <c:v>41.31666666666667</c:v>
                </c:pt>
                <c:pt idx="1">
                  <c:v>46.800000000000004</c:v>
                </c:pt>
                <c:pt idx="2">
                  <c:v>42.083333333333336</c:v>
                </c:pt>
                <c:pt idx="3">
                  <c:v>43.633333333333333</c:v>
                </c:pt>
                <c:pt idx="4">
                  <c:v>44.699999999999996</c:v>
                </c:pt>
                <c:pt idx="5">
                  <c:v>40.35</c:v>
                </c:pt>
                <c:pt idx="6">
                  <c:v>42.4</c:v>
                </c:pt>
                <c:pt idx="7">
                  <c:v>46.183333333333337</c:v>
                </c:pt>
                <c:pt idx="8">
                  <c:v>43</c:v>
                </c:pt>
                <c:pt idx="9">
                  <c:v>42.133333333333333</c:v>
                </c:pt>
                <c:pt idx="10">
                  <c:v>50.883333333333333</c:v>
                </c:pt>
                <c:pt idx="11">
                  <c:v>41.616666666666667</c:v>
                </c:pt>
                <c:pt idx="12">
                  <c:v>51.166666666666657</c:v>
                </c:pt>
                <c:pt idx="13">
                  <c:v>48.1</c:v>
                </c:pt>
                <c:pt idx="14">
                  <c:v>46.349999999999994</c:v>
                </c:pt>
              </c:numCache>
            </c:numRef>
          </c:val>
          <c:extLst>
            <c:ext xmlns:c16="http://schemas.microsoft.com/office/drawing/2014/chart" uri="{C3380CC4-5D6E-409C-BE32-E72D297353CC}">
              <c16:uniqueId val="{00000003-6D2D-4492-B604-FD31AA3F12EA}"/>
            </c:ext>
          </c:extLst>
        </c:ser>
        <c:ser>
          <c:idx val="4"/>
          <c:order val="4"/>
          <c:tx>
            <c:strRef>
              <c:f>'Do rung'!$F$52</c:f>
              <c:strCache>
                <c:ptCount val="1"/>
                <c:pt idx="0">
                  <c:v>2025</c:v>
                </c:pt>
              </c:strCache>
            </c:strRef>
          </c:tx>
          <c:spPr>
            <a:solidFill>
              <a:schemeClr val="accent5"/>
            </a:solidFill>
            <a:ln>
              <a:noFill/>
            </a:ln>
            <a:effectLst/>
          </c:spPr>
          <c:invertIfNegative val="0"/>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rung'!$F$53:$F$67</c:f>
              <c:numCache>
                <c:formatCode>0.00</c:formatCode>
                <c:ptCount val="15"/>
                <c:pt idx="0">
                  <c:v>39.5</c:v>
                </c:pt>
                <c:pt idx="1">
                  <c:v>46.15</c:v>
                </c:pt>
                <c:pt idx="2">
                  <c:v>41</c:v>
                </c:pt>
                <c:pt idx="3">
                  <c:v>39.299999999999997</c:v>
                </c:pt>
                <c:pt idx="4">
                  <c:v>43.650000000000006</c:v>
                </c:pt>
                <c:pt idx="5">
                  <c:v>40.5</c:v>
                </c:pt>
                <c:pt idx="6">
                  <c:v>42.85</c:v>
                </c:pt>
                <c:pt idx="7">
                  <c:v>42</c:v>
                </c:pt>
                <c:pt idx="8">
                  <c:v>39.5</c:v>
                </c:pt>
                <c:pt idx="9">
                  <c:v>39.299999999999997</c:v>
                </c:pt>
                <c:pt idx="10">
                  <c:v>45.650000000000006</c:v>
                </c:pt>
                <c:pt idx="11">
                  <c:v>45.05</c:v>
                </c:pt>
                <c:pt idx="12">
                  <c:v>38.950000000000003</c:v>
                </c:pt>
                <c:pt idx="13">
                  <c:v>45.5</c:v>
                </c:pt>
                <c:pt idx="14">
                  <c:v>43.5</c:v>
                </c:pt>
              </c:numCache>
            </c:numRef>
          </c:val>
          <c:extLst>
            <c:ext xmlns:c16="http://schemas.microsoft.com/office/drawing/2014/chart" uri="{C3380CC4-5D6E-409C-BE32-E72D297353CC}">
              <c16:uniqueId val="{00000004-6D2D-4492-B604-FD31AA3F12EA}"/>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 rung'!$G$52</c:f>
              <c:strCache>
                <c:ptCount val="1"/>
                <c:pt idx="0">
                  <c:v>QCVN 27:2010/BTNMT</c:v>
                </c:pt>
              </c:strCache>
            </c:strRef>
          </c:tx>
          <c:spPr>
            <a:ln w="22225" cap="rnd">
              <a:solidFill>
                <a:schemeClr val="accent6"/>
              </a:solidFill>
              <a:round/>
            </a:ln>
            <a:effectLst/>
          </c:spPr>
          <c:marker>
            <c:symbol val="none"/>
          </c:marker>
          <c:cat>
            <c:strRef>
              <c:f>'Do rung'!$A$53:$A$67</c:f>
              <c:strCache>
                <c:ptCount val="15"/>
                <c:pt idx="0">
                  <c:v>CCN Yên Huy, xã Khánh Vĩnh Yên</c:v>
                </c:pt>
                <c:pt idx="1">
                  <c:v>Cụm TTCN Cổng Khánh</c:v>
                </c:pt>
                <c:pt idx="2">
                  <c:v>Làng nghề Trung Lương, P. Trung Lương</c:v>
                </c:pt>
                <c:pt idx="3">
                  <c:v>CCN Nam Hồng, P. Nam Hồng</c:v>
                </c:pt>
                <c:pt idx="4">
                  <c:v>CCN nghề Thái Yên, xã Thanh Bình Thịnh</c:v>
                </c:pt>
                <c:pt idx="5">
                  <c:v>KCN Gia Lách, TT. Xuân An</c:v>
                </c:pt>
                <c:pt idx="6">
                  <c:v>Cảng cá Thạch Kim, xã Thạch Kim</c:v>
                </c:pt>
                <c:pt idx="7">
                  <c:v>KCN Đại Kim, xã Sơn Kim 1</c:v>
                </c:pt>
                <c:pt idx="8">
                  <c:v>CCN Vũ Quang, xã Thọ Điền</c:v>
                </c:pt>
                <c:pt idx="9">
                  <c:v>Đường vào NM XLRSH Cẩm Quan</c:v>
                </c:pt>
                <c:pt idx="10">
                  <c:v>Ngã tư Vũng Áng, P. Kỳ Thịnh</c:v>
                </c:pt>
                <c:pt idx="11">
                  <c:v>Cổng chính Formosa, P. Kỳ Liên</c:v>
                </c:pt>
                <c:pt idx="12">
                  <c:v>CCN Kỳ Hưng, P. Hưng Trí</c:v>
                </c:pt>
                <c:pt idx="13">
                  <c:v>Điểm vào KCN Phú Vinh, P. Kỳ Liên</c:v>
                </c:pt>
                <c:pt idx="14">
                  <c:v>Ngã 3 cầu cảng xăng dầu, xã Kỳ Lợi</c:v>
                </c:pt>
              </c:strCache>
            </c:strRef>
          </c:cat>
          <c:val>
            <c:numRef>
              <c:f>'Do rung'!$G$53:$G$67</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6D2D-4492-B604-FD31AA3F12EA}"/>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5"/>
      </c:valAx>
      <c:spPr>
        <a:noFill/>
        <a:ln>
          <a:noFill/>
        </a:ln>
        <a:effectLst/>
      </c:spPr>
    </c:plotArea>
    <c:legend>
      <c:legendPos val="b"/>
      <c:layout>
        <c:manualLayout>
          <c:xMode val="edge"/>
          <c:yMode val="edge"/>
          <c:x val="0.11387883971337867"/>
          <c:y val="0.87247277439694448"/>
          <c:w val="0.77774551930750679"/>
          <c:h val="0.1082779474509863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(ha)</a:t>
            </a:r>
          </a:p>
        </c:rich>
      </c:tx>
      <c:layout>
        <c:manualLayout>
          <c:xMode val="edge"/>
          <c:yMode val="edge"/>
          <c:x val="1.5325523333973497E-4"/>
          <c:y val="0.2532728070912844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0.11049250780173586"/>
          <c:y val="4.1727085400290007E-2"/>
          <c:w val="0.87510737851057707"/>
          <c:h val="0.54506376843739612"/>
        </c:manualLayout>
      </c:layout>
      <c:barChart>
        <c:barDir val="col"/>
        <c:grouping val="clustered"/>
        <c:varyColors val="0"/>
        <c:ser>
          <c:idx val="0"/>
          <c:order val="0"/>
          <c:spPr>
            <a:solidFill>
              <a:srgbClr val="33CC33"/>
            </a:solidFill>
            <a:ln>
              <a:solidFill>
                <a:srgbClr val="33CC33"/>
              </a:solidFill>
            </a:ln>
            <a:effectLst/>
          </c:spPr>
          <c:invertIfNegative val="0"/>
          <c:cat>
            <c:multiLvlStrRef>
              <c:f>Sheet1!$A$3:$B$13</c:f>
              <c:multiLvlStrCache>
                <c:ptCount val="11"/>
                <c:lvl>
                  <c:pt idx="0">
                    <c:v>Đất cồn cát, bãi cát ven biển và trong đồng</c:v>
                  </c:pt>
                  <c:pt idx="1">
                    <c:v>Đất mặn</c:v>
                  </c:pt>
                  <c:pt idx="2">
                    <c:v>Đất phèn mặn</c:v>
                  </c:pt>
                  <c:pt idx="3">
                    <c:v>Đất phù sa</c:v>
                  </c:pt>
                  <c:pt idx="4">
                    <c:v>Đất dốc tụ thung lũng</c:v>
                  </c:pt>
                  <c:pt idx="5">
                    <c:v>Đất vàng nâu trên phù sa cổ</c:v>
                  </c:pt>
                  <c:pt idx="6">
                    <c:v>Đất đỏ vàng trên đá sét</c:v>
                  </c:pt>
                  <c:pt idx="7">
                    <c:v>Đất vàng nhạt trên đá cát</c:v>
                  </c:pt>
                  <c:pt idx="8">
                    <c:v>Đất vàng nhạt trên đá Granit, Ryolit</c:v>
                  </c:pt>
                  <c:pt idx="9">
                    <c:v>Đất màu vàng đỏ trên núi cao</c:v>
                  </c:pt>
                  <c:pt idx="10">
                    <c:v>Đất xói mòn mạnh trơ sỏi đá</c:v>
                  </c:pt>
                </c:lvl>
                <c:lvl>
                  <c:pt idx="0">
                    <c:v>Nhóm đất đồng bằng ven biển và thung lũng</c:v>
                  </c:pt>
                  <c:pt idx="5">
                    <c:v>Nhóm đất đồi núi</c:v>
                  </c:pt>
                </c:lvl>
              </c:multiLvlStrCache>
            </c:multiLvlStrRef>
          </c:cat>
          <c:val>
            <c:numRef>
              <c:f>Sheet1!$C$3:$C$13</c:f>
              <c:numCache>
                <c:formatCode>General</c:formatCode>
                <c:ptCount val="11"/>
                <c:pt idx="0">
                  <c:v>38222</c:v>
                </c:pt>
                <c:pt idx="1">
                  <c:v>5140</c:v>
                </c:pt>
                <c:pt idx="2">
                  <c:v>10733</c:v>
                </c:pt>
                <c:pt idx="3">
                  <c:v>103201</c:v>
                </c:pt>
                <c:pt idx="4">
                  <c:v>12936</c:v>
                </c:pt>
                <c:pt idx="5">
                  <c:v>6315</c:v>
                </c:pt>
                <c:pt idx="6">
                  <c:v>148642</c:v>
                </c:pt>
                <c:pt idx="7">
                  <c:v>27716</c:v>
                </c:pt>
                <c:pt idx="8" formatCode="0">
                  <c:v>29720</c:v>
                </c:pt>
                <c:pt idx="9">
                  <c:v>155261</c:v>
                </c:pt>
                <c:pt idx="10">
                  <c:v>37742</c:v>
                </c:pt>
              </c:numCache>
            </c:numRef>
          </c:val>
          <c:extLst>
            <c:ext xmlns:c16="http://schemas.microsoft.com/office/drawing/2014/chart" uri="{C3380CC4-5D6E-409C-BE32-E72D297353CC}">
              <c16:uniqueId val="{00000000-7306-401F-B401-8763A0AFDE90}"/>
            </c:ext>
          </c:extLst>
        </c:ser>
        <c:dLbls>
          <c:showLegendKey val="0"/>
          <c:showVal val="0"/>
          <c:showCatName val="0"/>
          <c:showSerName val="0"/>
          <c:showPercent val="0"/>
          <c:showBubbleSize val="0"/>
        </c:dLbls>
        <c:gapWidth val="247"/>
        <c:overlap val="-25"/>
        <c:axId val="632909936"/>
        <c:axId val="632912232"/>
      </c:bar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60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20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(mg/kg)</a:t>
            </a:r>
          </a:p>
        </c:rich>
      </c:tx>
      <c:layout>
        <c:manualLayout>
          <c:xMode val="edge"/>
          <c:yMode val="edge"/>
          <c:x val="1.5323052001593943E-4"/>
          <c:y val="0.1799610090677155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5.4757039871835701E-2"/>
          <c:y val="3.0167483136269213E-2"/>
          <c:w val="0.9427008690452181"/>
          <c:h val="0.48330578080724984"/>
        </c:manualLayout>
      </c:layout>
      <c:barChart>
        <c:barDir val="col"/>
        <c:grouping val="clustered"/>
        <c:varyColors val="0"/>
        <c:ser>
          <c:idx val="0"/>
          <c:order val="0"/>
          <c:tx>
            <c:strRef>
              <c:f>Asen!$D$4</c:f>
              <c:strCache>
                <c:ptCount val="1"/>
                <c:pt idx="0">
                  <c:v>2021</c:v>
                </c:pt>
              </c:strCache>
            </c:strRef>
          </c:tx>
          <c:spPr>
            <a:solidFill>
              <a:schemeClr val="accent1"/>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Asen!$D$5:$D$21</c:f>
              <c:numCache>
                <c:formatCode>General</c:formatCode>
                <c:ptCount val="17"/>
                <c:pt idx="0">
                  <c:v>1.8</c:v>
                </c:pt>
                <c:pt idx="1">
                  <c:v>1.7</c:v>
                </c:pt>
                <c:pt idx="2">
                  <c:v>2.5</c:v>
                </c:pt>
                <c:pt idx="3">
                  <c:v>2.7</c:v>
                </c:pt>
                <c:pt idx="4">
                  <c:v>1.6</c:v>
                </c:pt>
                <c:pt idx="5">
                  <c:v>1.5</c:v>
                </c:pt>
                <c:pt idx="6">
                  <c:v>1.4</c:v>
                </c:pt>
                <c:pt idx="7">
                  <c:v>3.1</c:v>
                </c:pt>
                <c:pt idx="8">
                  <c:v>1.8</c:v>
                </c:pt>
                <c:pt idx="9">
                  <c:v>1.7</c:v>
                </c:pt>
                <c:pt idx="10">
                  <c:v>1.8</c:v>
                </c:pt>
                <c:pt idx="11">
                  <c:v>1.4</c:v>
                </c:pt>
                <c:pt idx="12">
                  <c:v>1.5</c:v>
                </c:pt>
                <c:pt idx="13">
                  <c:v>2.1</c:v>
                </c:pt>
                <c:pt idx="14">
                  <c:v>1.9</c:v>
                </c:pt>
                <c:pt idx="15">
                  <c:v>1.2</c:v>
                </c:pt>
                <c:pt idx="16">
                  <c:v>2.2999999999999998</c:v>
                </c:pt>
              </c:numCache>
            </c:numRef>
          </c:val>
          <c:extLst>
            <c:ext xmlns:c16="http://schemas.microsoft.com/office/drawing/2014/chart" uri="{C3380CC4-5D6E-409C-BE32-E72D297353CC}">
              <c16:uniqueId val="{00000000-7F19-4B09-8ACB-D42BF67B0953}"/>
            </c:ext>
          </c:extLst>
        </c:ser>
        <c:ser>
          <c:idx val="1"/>
          <c:order val="1"/>
          <c:tx>
            <c:strRef>
              <c:f>Asen!$E$4</c:f>
              <c:strCache>
                <c:ptCount val="1"/>
                <c:pt idx="0">
                  <c:v>2022</c:v>
                </c:pt>
              </c:strCache>
            </c:strRef>
          </c:tx>
          <c:spPr>
            <a:solidFill>
              <a:schemeClr val="accent2"/>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Asen!$E$5:$E$21</c:f>
              <c:numCache>
                <c:formatCode>General</c:formatCode>
                <c:ptCount val="17"/>
                <c:pt idx="0">
                  <c:v>1.1299999999999999</c:v>
                </c:pt>
                <c:pt idx="1">
                  <c:v>1.9</c:v>
                </c:pt>
                <c:pt idx="2">
                  <c:v>2.5499999999999998</c:v>
                </c:pt>
                <c:pt idx="3">
                  <c:v>3.7</c:v>
                </c:pt>
                <c:pt idx="4">
                  <c:v>1.95</c:v>
                </c:pt>
                <c:pt idx="5">
                  <c:v>2.2000000000000002</c:v>
                </c:pt>
                <c:pt idx="6">
                  <c:v>2.2000000000000002</c:v>
                </c:pt>
                <c:pt idx="7">
                  <c:v>2.4500000000000002</c:v>
                </c:pt>
                <c:pt idx="8">
                  <c:v>3.05</c:v>
                </c:pt>
                <c:pt idx="9">
                  <c:v>1.075</c:v>
                </c:pt>
                <c:pt idx="10">
                  <c:v>3.3</c:v>
                </c:pt>
                <c:pt idx="11">
                  <c:v>1.4500000000000002</c:v>
                </c:pt>
                <c:pt idx="12">
                  <c:v>1.5</c:v>
                </c:pt>
                <c:pt idx="13">
                  <c:v>2.5999999999999996</c:v>
                </c:pt>
                <c:pt idx="14">
                  <c:v>1.145</c:v>
                </c:pt>
                <c:pt idx="15">
                  <c:v>1.2749999999999999</c:v>
                </c:pt>
                <c:pt idx="16">
                  <c:v>2.1500000000000004</c:v>
                </c:pt>
              </c:numCache>
            </c:numRef>
          </c:val>
          <c:extLst>
            <c:ext xmlns:c16="http://schemas.microsoft.com/office/drawing/2014/chart" uri="{C3380CC4-5D6E-409C-BE32-E72D297353CC}">
              <c16:uniqueId val="{00000001-7F19-4B09-8ACB-D42BF67B0953}"/>
            </c:ext>
          </c:extLst>
        </c:ser>
        <c:ser>
          <c:idx val="2"/>
          <c:order val="2"/>
          <c:tx>
            <c:strRef>
              <c:f>Asen!$F$4</c:f>
              <c:strCache>
                <c:ptCount val="1"/>
                <c:pt idx="0">
                  <c:v>2023</c:v>
                </c:pt>
              </c:strCache>
            </c:strRef>
          </c:tx>
          <c:spPr>
            <a:solidFill>
              <a:schemeClr val="accent3"/>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Asen!$F$5:$F$21</c:f>
              <c:numCache>
                <c:formatCode>General</c:formatCode>
                <c:ptCount val="17"/>
                <c:pt idx="0">
                  <c:v>0.59499999999999997</c:v>
                </c:pt>
                <c:pt idx="1">
                  <c:v>2.085</c:v>
                </c:pt>
                <c:pt idx="2">
                  <c:v>3.835</c:v>
                </c:pt>
                <c:pt idx="3">
                  <c:v>3.4450000000000003</c:v>
                </c:pt>
                <c:pt idx="4">
                  <c:v>1.5699999999999998</c:v>
                </c:pt>
                <c:pt idx="5">
                  <c:v>1.7350000000000001</c:v>
                </c:pt>
                <c:pt idx="6">
                  <c:v>1.6</c:v>
                </c:pt>
                <c:pt idx="7">
                  <c:v>2.9450000000000003</c:v>
                </c:pt>
                <c:pt idx="8">
                  <c:v>3.39</c:v>
                </c:pt>
                <c:pt idx="9">
                  <c:v>1.095</c:v>
                </c:pt>
                <c:pt idx="10">
                  <c:v>3.9499999999999997</c:v>
                </c:pt>
                <c:pt idx="11">
                  <c:v>1.4650000000000001</c:v>
                </c:pt>
                <c:pt idx="12">
                  <c:v>1.3149999999999999</c:v>
                </c:pt>
                <c:pt idx="13">
                  <c:v>2.4850000000000003</c:v>
                </c:pt>
                <c:pt idx="14">
                  <c:v>1.4550000000000001</c:v>
                </c:pt>
                <c:pt idx="15">
                  <c:v>1.5150000000000001</c:v>
                </c:pt>
                <c:pt idx="16">
                  <c:v>1.77</c:v>
                </c:pt>
              </c:numCache>
            </c:numRef>
          </c:val>
          <c:extLst>
            <c:ext xmlns:c16="http://schemas.microsoft.com/office/drawing/2014/chart" uri="{C3380CC4-5D6E-409C-BE32-E72D297353CC}">
              <c16:uniqueId val="{00000002-7F19-4B09-8ACB-D42BF67B0953}"/>
            </c:ext>
          </c:extLst>
        </c:ser>
        <c:ser>
          <c:idx val="3"/>
          <c:order val="3"/>
          <c:tx>
            <c:strRef>
              <c:f>Asen!$G$4</c:f>
              <c:strCache>
                <c:ptCount val="1"/>
                <c:pt idx="0">
                  <c:v>2024</c:v>
                </c:pt>
              </c:strCache>
            </c:strRef>
          </c:tx>
          <c:spPr>
            <a:solidFill>
              <a:schemeClr val="accent4"/>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Asen!$G$5:$G$21</c:f>
              <c:numCache>
                <c:formatCode>General</c:formatCode>
                <c:ptCount val="17"/>
                <c:pt idx="0">
                  <c:v>1.74</c:v>
                </c:pt>
                <c:pt idx="1">
                  <c:v>1.92</c:v>
                </c:pt>
                <c:pt idx="2">
                  <c:v>3.8</c:v>
                </c:pt>
                <c:pt idx="3">
                  <c:v>2.895</c:v>
                </c:pt>
                <c:pt idx="4">
                  <c:v>1.9450000000000001</c:v>
                </c:pt>
                <c:pt idx="5">
                  <c:v>2.0449999999999999</c:v>
                </c:pt>
                <c:pt idx="6">
                  <c:v>1.79</c:v>
                </c:pt>
                <c:pt idx="7">
                  <c:v>2.4299999999999997</c:v>
                </c:pt>
                <c:pt idx="8">
                  <c:v>3.2549999999999999</c:v>
                </c:pt>
                <c:pt idx="9">
                  <c:v>1.085</c:v>
                </c:pt>
                <c:pt idx="10">
                  <c:v>1.835</c:v>
                </c:pt>
                <c:pt idx="11">
                  <c:v>2.1950000000000003</c:v>
                </c:pt>
                <c:pt idx="12">
                  <c:v>1.625</c:v>
                </c:pt>
                <c:pt idx="13">
                  <c:v>2.6850000000000001</c:v>
                </c:pt>
                <c:pt idx="14">
                  <c:v>1.1399999999999999</c:v>
                </c:pt>
                <c:pt idx="15">
                  <c:v>1.9350000000000001</c:v>
                </c:pt>
                <c:pt idx="16">
                  <c:v>1.825</c:v>
                </c:pt>
              </c:numCache>
            </c:numRef>
          </c:val>
          <c:extLst>
            <c:ext xmlns:c16="http://schemas.microsoft.com/office/drawing/2014/chart" uri="{C3380CC4-5D6E-409C-BE32-E72D297353CC}">
              <c16:uniqueId val="{00000003-7F19-4B09-8ACB-D42BF67B0953}"/>
            </c:ext>
          </c:extLst>
        </c:ser>
        <c:ser>
          <c:idx val="4"/>
          <c:order val="4"/>
          <c:tx>
            <c:strRef>
              <c:f>Asen!$H$4</c:f>
              <c:strCache>
                <c:ptCount val="1"/>
                <c:pt idx="0">
                  <c:v>2025</c:v>
                </c:pt>
              </c:strCache>
            </c:strRef>
          </c:tx>
          <c:spPr>
            <a:solidFill>
              <a:schemeClr val="accent5"/>
            </a:solidFill>
            <a:ln>
              <a:noFill/>
            </a:ln>
            <a:effectLst/>
          </c:spPr>
          <c:invertIfNegative val="0"/>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Asen!$H$5:$H$21</c:f>
              <c:numCache>
                <c:formatCode>General</c:formatCode>
                <c:ptCount val="17"/>
                <c:pt idx="0">
                  <c:v>0.49</c:v>
                </c:pt>
                <c:pt idx="1">
                  <c:v>0.93</c:v>
                </c:pt>
                <c:pt idx="2">
                  <c:v>1.94</c:v>
                </c:pt>
                <c:pt idx="3">
                  <c:v>1.37</c:v>
                </c:pt>
                <c:pt idx="4">
                  <c:v>1.32</c:v>
                </c:pt>
                <c:pt idx="5">
                  <c:v>0.53</c:v>
                </c:pt>
                <c:pt idx="6">
                  <c:v>0.78</c:v>
                </c:pt>
                <c:pt idx="7">
                  <c:v>0.49</c:v>
                </c:pt>
                <c:pt idx="8">
                  <c:v>0.78</c:v>
                </c:pt>
                <c:pt idx="9">
                  <c:v>0.67</c:v>
                </c:pt>
                <c:pt idx="10">
                  <c:v>2.1</c:v>
                </c:pt>
                <c:pt idx="11">
                  <c:v>0.68</c:v>
                </c:pt>
                <c:pt idx="12">
                  <c:v>0.46</c:v>
                </c:pt>
                <c:pt idx="13">
                  <c:v>0.79</c:v>
                </c:pt>
                <c:pt idx="14">
                  <c:v>0.22</c:v>
                </c:pt>
                <c:pt idx="15">
                  <c:v>0.64</c:v>
                </c:pt>
                <c:pt idx="16">
                  <c:v>0.2</c:v>
                </c:pt>
              </c:numCache>
            </c:numRef>
          </c:val>
          <c:extLst>
            <c:ext xmlns:c16="http://schemas.microsoft.com/office/drawing/2014/chart" uri="{C3380CC4-5D6E-409C-BE32-E72D297353CC}">
              <c16:uniqueId val="{00000004-7F19-4B09-8ACB-D42BF67B095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Asen!$I$4</c:f>
              <c:strCache>
                <c:ptCount val="1"/>
                <c:pt idx="0">
                  <c:v>QCVN 03-MT:2015/BTNMT (Đất nông nghiệp)</c:v>
                </c:pt>
              </c:strCache>
            </c:strRef>
          </c:tx>
          <c:spPr>
            <a:ln w="22225" cap="rnd">
              <a:solidFill>
                <a:schemeClr val="accent6"/>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Asen!$I$5:$I$21</c:f>
              <c:numCache>
                <c:formatCode>General</c:formatCode>
                <c:ptCount val="17"/>
                <c:pt idx="11">
                  <c:v>15</c:v>
                </c:pt>
                <c:pt idx="12">
                  <c:v>15</c:v>
                </c:pt>
                <c:pt idx="13">
                  <c:v>15</c:v>
                </c:pt>
                <c:pt idx="14">
                  <c:v>15</c:v>
                </c:pt>
              </c:numCache>
            </c:numRef>
          </c:val>
          <c:smooth val="0"/>
          <c:extLst>
            <c:ext xmlns:c16="http://schemas.microsoft.com/office/drawing/2014/chart" uri="{C3380CC4-5D6E-409C-BE32-E72D297353CC}">
              <c16:uniqueId val="{00000005-7F19-4B09-8ACB-D42BF67B0953}"/>
            </c:ext>
          </c:extLst>
        </c:ser>
        <c:ser>
          <c:idx val="6"/>
          <c:order val="6"/>
          <c:tx>
            <c:strRef>
              <c:f>Asen!$J$4</c:f>
              <c:strCache>
                <c:ptCount val="1"/>
                <c:pt idx="0">
                  <c:v>QCVN 03-MT:2015/BTNMT (Đất lâm nghiệp)</c:v>
                </c:pt>
              </c:strCache>
            </c:strRef>
          </c:tx>
          <c:spPr>
            <a:ln w="22225" cap="rnd">
              <a:solidFill>
                <a:schemeClr val="accent1">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Asen!$J$5:$J$21</c:f>
              <c:numCache>
                <c:formatCode>General</c:formatCode>
                <c:ptCount val="17"/>
                <c:pt idx="15">
                  <c:v>20</c:v>
                </c:pt>
                <c:pt idx="16">
                  <c:v>20</c:v>
                </c:pt>
              </c:numCache>
            </c:numRef>
          </c:val>
          <c:smooth val="0"/>
          <c:extLst>
            <c:ext xmlns:c16="http://schemas.microsoft.com/office/drawing/2014/chart" uri="{C3380CC4-5D6E-409C-BE32-E72D297353CC}">
              <c16:uniqueId val="{00000006-7F19-4B09-8ACB-D42BF67B0953}"/>
            </c:ext>
          </c:extLst>
        </c:ser>
        <c:ser>
          <c:idx val="7"/>
          <c:order val="7"/>
          <c:tx>
            <c:strRef>
              <c:f>Asen!$K$4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Asen!$K$5:$K$21</c:f>
              <c:numCache>
                <c:formatCode>General</c:formatCode>
                <c:ptCount val="17"/>
                <c:pt idx="0">
                  <c:v>25</c:v>
                </c:pt>
                <c:pt idx="1">
                  <c:v>25</c:v>
                </c:pt>
                <c:pt idx="2">
                  <c:v>25</c:v>
                </c:pt>
                <c:pt idx="3">
                  <c:v>25</c:v>
                </c:pt>
                <c:pt idx="4">
                  <c:v>25</c:v>
                </c:pt>
                <c:pt idx="5">
                  <c:v>25</c:v>
                </c:pt>
                <c:pt idx="6">
                  <c:v>25</c:v>
                </c:pt>
                <c:pt idx="7">
                  <c:v>25</c:v>
                </c:pt>
                <c:pt idx="8">
                  <c:v>25</c:v>
                </c:pt>
                <c:pt idx="9">
                  <c:v>25</c:v>
                </c:pt>
                <c:pt idx="10">
                  <c:v>25</c:v>
                </c:pt>
              </c:numCache>
            </c:numRef>
          </c:val>
          <c:smooth val="0"/>
          <c:extLst>
            <c:ext xmlns:c16="http://schemas.microsoft.com/office/drawing/2014/chart" uri="{C3380CC4-5D6E-409C-BE32-E72D297353CC}">
              <c16:uniqueId val="{00000007-7F19-4B09-8ACB-D42BF67B0953}"/>
            </c:ext>
          </c:extLst>
        </c:ser>
        <c:ser>
          <c:idx val="8"/>
          <c:order val="8"/>
          <c:tx>
            <c:strRef>
              <c:f>Asen!$L$4</c:f>
              <c:strCache>
                <c:ptCount val="1"/>
                <c:pt idx="0">
                  <c:v>QCVN 03:2023/BTNMT (Loại 1)</c:v>
                </c:pt>
              </c:strCache>
            </c:strRef>
          </c:tx>
          <c:spPr>
            <a:ln w="22225" cap="rnd">
              <a:solidFill>
                <a:schemeClr val="accent3">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Asen!$L$5:$L$21</c:f>
              <c:numCache>
                <c:formatCode>General</c:formatCode>
                <c:ptCount val="17"/>
                <c:pt idx="11">
                  <c:v>25</c:v>
                </c:pt>
                <c:pt idx="12">
                  <c:v>25</c:v>
                </c:pt>
                <c:pt idx="13">
                  <c:v>25</c:v>
                </c:pt>
                <c:pt idx="14">
                  <c:v>25</c:v>
                </c:pt>
              </c:numCache>
            </c:numRef>
          </c:val>
          <c:smooth val="0"/>
          <c:extLst>
            <c:ext xmlns:c16="http://schemas.microsoft.com/office/drawing/2014/chart" uri="{C3380CC4-5D6E-409C-BE32-E72D297353CC}">
              <c16:uniqueId val="{00000008-7F19-4B09-8ACB-D42BF67B0953}"/>
            </c:ext>
          </c:extLst>
        </c:ser>
        <c:ser>
          <c:idx val="9"/>
          <c:order val="9"/>
          <c:tx>
            <c:strRef>
              <c:f>Asen!$M$4</c:f>
              <c:strCache>
                <c:ptCount val="1"/>
                <c:pt idx="0">
                  <c:v>QCVN 03:2023/BTNMT (Loại 2)</c:v>
                </c:pt>
              </c:strCache>
            </c:strRef>
          </c:tx>
          <c:spPr>
            <a:ln w="22225" cap="rnd">
              <a:solidFill>
                <a:schemeClr val="accent4">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Asen!$M$5:$M$21</c:f>
              <c:numCache>
                <c:formatCode>General</c:formatCode>
                <c:ptCount val="17"/>
                <c:pt idx="15">
                  <c:v>50</c:v>
                </c:pt>
                <c:pt idx="16">
                  <c:v>50</c:v>
                </c:pt>
              </c:numCache>
            </c:numRef>
          </c:val>
          <c:smooth val="0"/>
          <c:extLst>
            <c:ext xmlns:c16="http://schemas.microsoft.com/office/drawing/2014/chart" uri="{C3380CC4-5D6E-409C-BE32-E72D297353CC}">
              <c16:uniqueId val="{00000009-7F19-4B09-8ACB-D42BF67B0953}"/>
            </c:ext>
          </c:extLst>
        </c:ser>
        <c:ser>
          <c:idx val="10"/>
          <c:order val="10"/>
          <c:tx>
            <c:strRef>
              <c:f>Asen!$N$4</c:f>
              <c:strCache>
                <c:ptCount val="1"/>
                <c:pt idx="0">
                  <c:v>QCVN 03:2023/BTNMT (Loại 3)</c:v>
                </c:pt>
              </c:strCache>
            </c:strRef>
          </c:tx>
          <c:spPr>
            <a:ln w="22225" cap="rnd">
              <a:solidFill>
                <a:schemeClr val="accent5">
                  <a:lumMod val="60000"/>
                </a:schemeClr>
              </a:solidFill>
              <a:round/>
            </a:ln>
            <a:effectLst/>
          </c:spPr>
          <c:marker>
            <c:symbol val="none"/>
          </c:marker>
          <c:cat>
            <c:strRef>
              <c:f>Asen!$C$5:$C$21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Asen!$N$5:$N$21</c:f>
              <c:numCache>
                <c:formatCode>General</c:formatCode>
                <c:ptCount val="17"/>
                <c:pt idx="0">
                  <c:v>200</c:v>
                </c:pt>
                <c:pt idx="1">
                  <c:v>200</c:v>
                </c:pt>
                <c:pt idx="2">
                  <c:v>200</c:v>
                </c:pt>
                <c:pt idx="3">
                  <c:v>200</c:v>
                </c:pt>
                <c:pt idx="4">
                  <c:v>200</c:v>
                </c:pt>
                <c:pt idx="5">
                  <c:v>200</c:v>
                </c:pt>
                <c:pt idx="6">
                  <c:v>200</c:v>
                </c:pt>
                <c:pt idx="7">
                  <c:v>200</c:v>
                </c:pt>
                <c:pt idx="8">
                  <c:v>200</c:v>
                </c:pt>
                <c:pt idx="9">
                  <c:v>200</c:v>
                </c:pt>
                <c:pt idx="10">
                  <c:v>200</c:v>
                </c:pt>
              </c:numCache>
            </c:numRef>
          </c:val>
          <c:smooth val="0"/>
          <c:extLst>
            <c:ext xmlns:c16="http://schemas.microsoft.com/office/drawing/2014/chart" uri="{C3380CC4-5D6E-409C-BE32-E72D297353CC}">
              <c16:uniqueId val="{0000000A-7F19-4B09-8ACB-D42BF67B095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
          <c:y val="0.77920078366272594"/>
          <c:w val="0.99831781653537899"/>
          <c:h val="0.192910637043108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(mg/kg)</a:t>
            </a:r>
          </a:p>
        </c:rich>
      </c:tx>
      <c:layout>
        <c:manualLayout>
          <c:xMode val="edge"/>
          <c:yMode val="edge"/>
          <c:x val="1.5327076576017443E-4"/>
          <c:y val="0.1643265957394091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4.9936802793413677E-2"/>
          <c:y val="3.456588851503694E-2"/>
          <c:w val="0.94714338911885498"/>
          <c:h val="0.4708165884550774"/>
        </c:manualLayout>
      </c:layout>
      <c:barChart>
        <c:barDir val="col"/>
        <c:grouping val="clustered"/>
        <c:varyColors val="0"/>
        <c:ser>
          <c:idx val="0"/>
          <c:order val="0"/>
          <c:tx>
            <c:strRef>
              <c:f>Cadimi!$D$4</c:f>
              <c:strCache>
                <c:ptCount val="1"/>
                <c:pt idx="0">
                  <c:v>2021</c:v>
                </c:pt>
              </c:strCache>
            </c:strRef>
          </c:tx>
          <c:spPr>
            <a:solidFill>
              <a:schemeClr val="accent1"/>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Cadimi!$D$5:$D$21</c:f>
              <c:numCache>
                <c:formatCode>General</c:formatCode>
                <c:ptCount val="17"/>
                <c:pt idx="0">
                  <c:v>0.51</c:v>
                </c:pt>
                <c:pt idx="1">
                  <c:v>0.57999999999999996</c:v>
                </c:pt>
                <c:pt idx="2">
                  <c:v>0.53</c:v>
                </c:pt>
                <c:pt idx="3">
                  <c:v>0.66</c:v>
                </c:pt>
                <c:pt idx="4">
                  <c:v>0.72</c:v>
                </c:pt>
                <c:pt idx="5">
                  <c:v>0.56000000000000005</c:v>
                </c:pt>
                <c:pt idx="6">
                  <c:v>0.45</c:v>
                </c:pt>
                <c:pt idx="7">
                  <c:v>0.77</c:v>
                </c:pt>
                <c:pt idx="8">
                  <c:v>0.52</c:v>
                </c:pt>
                <c:pt idx="9">
                  <c:v>0.63</c:v>
                </c:pt>
                <c:pt idx="10">
                  <c:v>0.64</c:v>
                </c:pt>
                <c:pt idx="11">
                  <c:v>0.48</c:v>
                </c:pt>
                <c:pt idx="12">
                  <c:v>0.43</c:v>
                </c:pt>
                <c:pt idx="13">
                  <c:v>0.63</c:v>
                </c:pt>
                <c:pt idx="14">
                  <c:v>0.59</c:v>
                </c:pt>
                <c:pt idx="15">
                  <c:v>0.48</c:v>
                </c:pt>
                <c:pt idx="16">
                  <c:v>0.51</c:v>
                </c:pt>
              </c:numCache>
            </c:numRef>
          </c:val>
          <c:extLst>
            <c:ext xmlns:c16="http://schemas.microsoft.com/office/drawing/2014/chart" uri="{C3380CC4-5D6E-409C-BE32-E72D297353CC}">
              <c16:uniqueId val="{00000000-96C8-44E9-B96E-8EAD90107769}"/>
            </c:ext>
          </c:extLst>
        </c:ser>
        <c:ser>
          <c:idx val="1"/>
          <c:order val="1"/>
          <c:tx>
            <c:strRef>
              <c:f>Cadimi!$E$4</c:f>
              <c:strCache>
                <c:ptCount val="1"/>
                <c:pt idx="0">
                  <c:v>2022</c:v>
                </c:pt>
              </c:strCache>
            </c:strRef>
          </c:tx>
          <c:spPr>
            <a:solidFill>
              <a:schemeClr val="accent2"/>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Cadimi!$E$5:$E$21</c:f>
              <c:numCache>
                <c:formatCode>General</c:formatCode>
                <c:ptCount val="17"/>
                <c:pt idx="0">
                  <c:v>0.14000000000000001</c:v>
                </c:pt>
                <c:pt idx="1">
                  <c:v>0.19</c:v>
                </c:pt>
                <c:pt idx="2">
                  <c:v>0.2</c:v>
                </c:pt>
                <c:pt idx="3">
                  <c:v>0.45499999999999996</c:v>
                </c:pt>
                <c:pt idx="4">
                  <c:v>0.14500000000000002</c:v>
                </c:pt>
                <c:pt idx="5">
                  <c:v>0.2</c:v>
                </c:pt>
                <c:pt idx="6">
                  <c:v>0.24</c:v>
                </c:pt>
                <c:pt idx="7">
                  <c:v>0.16</c:v>
                </c:pt>
                <c:pt idx="8">
                  <c:v>0.255</c:v>
                </c:pt>
                <c:pt idx="9">
                  <c:v>0.16999999999999998</c:v>
                </c:pt>
                <c:pt idx="10">
                  <c:v>0.25</c:v>
                </c:pt>
                <c:pt idx="11">
                  <c:v>0.1</c:v>
                </c:pt>
                <c:pt idx="12">
                  <c:v>0.1</c:v>
                </c:pt>
                <c:pt idx="13">
                  <c:v>0.19</c:v>
                </c:pt>
                <c:pt idx="14">
                  <c:v>0.1</c:v>
                </c:pt>
                <c:pt idx="15">
                  <c:v>0.1</c:v>
                </c:pt>
                <c:pt idx="16">
                  <c:v>0.1</c:v>
                </c:pt>
              </c:numCache>
            </c:numRef>
          </c:val>
          <c:extLst>
            <c:ext xmlns:c16="http://schemas.microsoft.com/office/drawing/2014/chart" uri="{C3380CC4-5D6E-409C-BE32-E72D297353CC}">
              <c16:uniqueId val="{00000001-96C8-44E9-B96E-8EAD90107769}"/>
            </c:ext>
          </c:extLst>
        </c:ser>
        <c:ser>
          <c:idx val="2"/>
          <c:order val="2"/>
          <c:tx>
            <c:strRef>
              <c:f>Cadimi!$F$4</c:f>
              <c:strCache>
                <c:ptCount val="1"/>
                <c:pt idx="0">
                  <c:v>2023</c:v>
                </c:pt>
              </c:strCache>
            </c:strRef>
          </c:tx>
          <c:spPr>
            <a:solidFill>
              <a:schemeClr val="accent3"/>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Cadimi!$F$5:$F$21</c:f>
              <c:numCache>
                <c:formatCode>General</c:formatCode>
                <c:ptCount val="17"/>
                <c:pt idx="0">
                  <c:v>0.1</c:v>
                </c:pt>
                <c:pt idx="1">
                  <c:v>0.18</c:v>
                </c:pt>
                <c:pt idx="2">
                  <c:v>0.28000000000000003</c:v>
                </c:pt>
                <c:pt idx="3">
                  <c:v>0.32999999999999996</c:v>
                </c:pt>
                <c:pt idx="4">
                  <c:v>0.18</c:v>
                </c:pt>
                <c:pt idx="5">
                  <c:v>0.19500000000000001</c:v>
                </c:pt>
                <c:pt idx="6">
                  <c:v>0.17499999999999999</c:v>
                </c:pt>
                <c:pt idx="7">
                  <c:v>0.17499999999999999</c:v>
                </c:pt>
                <c:pt idx="8">
                  <c:v>0.215</c:v>
                </c:pt>
                <c:pt idx="9">
                  <c:v>0.15000000000000002</c:v>
                </c:pt>
                <c:pt idx="10">
                  <c:v>0.17499999999999999</c:v>
                </c:pt>
                <c:pt idx="11">
                  <c:v>0.1</c:v>
                </c:pt>
                <c:pt idx="12">
                  <c:v>0.1</c:v>
                </c:pt>
                <c:pt idx="13">
                  <c:v>0.17499999999999999</c:v>
                </c:pt>
                <c:pt idx="14">
                  <c:v>0.1</c:v>
                </c:pt>
                <c:pt idx="15">
                  <c:v>0.1</c:v>
                </c:pt>
                <c:pt idx="16">
                  <c:v>0.1</c:v>
                </c:pt>
              </c:numCache>
            </c:numRef>
          </c:val>
          <c:extLst>
            <c:ext xmlns:c16="http://schemas.microsoft.com/office/drawing/2014/chart" uri="{C3380CC4-5D6E-409C-BE32-E72D297353CC}">
              <c16:uniqueId val="{00000002-96C8-44E9-B96E-8EAD90107769}"/>
            </c:ext>
          </c:extLst>
        </c:ser>
        <c:ser>
          <c:idx val="3"/>
          <c:order val="3"/>
          <c:tx>
            <c:strRef>
              <c:f>Cadimi!$G$4</c:f>
              <c:strCache>
                <c:ptCount val="1"/>
                <c:pt idx="0">
                  <c:v>2024</c:v>
                </c:pt>
              </c:strCache>
            </c:strRef>
          </c:tx>
          <c:spPr>
            <a:solidFill>
              <a:schemeClr val="accent4"/>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Cadimi!$G$5:$G$21</c:f>
              <c:numCache>
                <c:formatCode>General</c:formatCode>
                <c:ptCount val="17"/>
                <c:pt idx="0">
                  <c:v>0.1</c:v>
                </c:pt>
                <c:pt idx="1">
                  <c:v>0.1</c:v>
                </c:pt>
                <c:pt idx="2">
                  <c:v>0.39</c:v>
                </c:pt>
                <c:pt idx="3">
                  <c:v>0.35</c:v>
                </c:pt>
                <c:pt idx="4">
                  <c:v>0.28999999999999998</c:v>
                </c:pt>
                <c:pt idx="5">
                  <c:v>0.25</c:v>
                </c:pt>
                <c:pt idx="6">
                  <c:v>0.14000000000000001</c:v>
                </c:pt>
                <c:pt idx="7">
                  <c:v>0.41</c:v>
                </c:pt>
                <c:pt idx="8">
                  <c:v>0.39</c:v>
                </c:pt>
                <c:pt idx="9">
                  <c:v>0.1</c:v>
                </c:pt>
                <c:pt idx="10">
                  <c:v>0.2</c:v>
                </c:pt>
                <c:pt idx="11">
                  <c:v>0.1</c:v>
                </c:pt>
                <c:pt idx="12">
                  <c:v>0.1</c:v>
                </c:pt>
                <c:pt idx="13">
                  <c:v>0.1</c:v>
                </c:pt>
                <c:pt idx="14">
                  <c:v>0.1</c:v>
                </c:pt>
                <c:pt idx="15">
                  <c:v>0.1</c:v>
                </c:pt>
                <c:pt idx="16">
                  <c:v>0.1</c:v>
                </c:pt>
              </c:numCache>
            </c:numRef>
          </c:val>
          <c:extLst>
            <c:ext xmlns:c16="http://schemas.microsoft.com/office/drawing/2014/chart" uri="{C3380CC4-5D6E-409C-BE32-E72D297353CC}">
              <c16:uniqueId val="{00000003-96C8-44E9-B96E-8EAD90107769}"/>
            </c:ext>
          </c:extLst>
        </c:ser>
        <c:ser>
          <c:idx val="4"/>
          <c:order val="4"/>
          <c:tx>
            <c:strRef>
              <c:f>Cadimi!$H$4</c:f>
              <c:strCache>
                <c:ptCount val="1"/>
                <c:pt idx="0">
                  <c:v>2025</c:v>
                </c:pt>
              </c:strCache>
            </c:strRef>
          </c:tx>
          <c:spPr>
            <a:solidFill>
              <a:schemeClr val="accent5"/>
            </a:solidFill>
            <a:ln>
              <a:noFill/>
            </a:ln>
            <a:effectLst/>
          </c:spPr>
          <c:invertIfNegative val="0"/>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Cadimi!$H$5:$H$21</c:f>
              <c:numCache>
                <c:formatCode>General</c:formatCode>
                <c:ptCount val="17"/>
                <c:pt idx="0">
                  <c:v>0.1</c:v>
                </c:pt>
                <c:pt idx="1">
                  <c:v>0.1</c:v>
                </c:pt>
                <c:pt idx="2">
                  <c:v>0.1</c:v>
                </c:pt>
                <c:pt idx="3">
                  <c:v>0.17</c:v>
                </c:pt>
                <c:pt idx="4">
                  <c:v>0.1</c:v>
                </c:pt>
                <c:pt idx="5">
                  <c:v>0.1</c:v>
                </c:pt>
                <c:pt idx="6">
                  <c:v>0.1</c:v>
                </c:pt>
                <c:pt idx="7">
                  <c:v>0.1</c:v>
                </c:pt>
                <c:pt idx="8">
                  <c:v>0.1</c:v>
                </c:pt>
                <c:pt idx="9">
                  <c:v>0.1</c:v>
                </c:pt>
                <c:pt idx="10">
                  <c:v>0.2</c:v>
                </c:pt>
                <c:pt idx="11">
                  <c:v>0.1</c:v>
                </c:pt>
                <c:pt idx="12">
                  <c:v>0.1</c:v>
                </c:pt>
                <c:pt idx="13">
                  <c:v>0.1</c:v>
                </c:pt>
                <c:pt idx="14">
                  <c:v>0.1</c:v>
                </c:pt>
                <c:pt idx="15">
                  <c:v>0.1</c:v>
                </c:pt>
                <c:pt idx="16">
                  <c:v>0.1</c:v>
                </c:pt>
              </c:numCache>
            </c:numRef>
          </c:val>
          <c:extLst>
            <c:ext xmlns:c16="http://schemas.microsoft.com/office/drawing/2014/chart" uri="{C3380CC4-5D6E-409C-BE32-E72D297353CC}">
              <c16:uniqueId val="{00000004-96C8-44E9-B96E-8EAD90107769}"/>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Cadimi!$I$4</c:f>
              <c:strCache>
                <c:ptCount val="1"/>
                <c:pt idx="0">
                  <c:v>QCVN 03-MT:2015/BTNMT (Đất nông nghiệp)</c:v>
                </c:pt>
              </c:strCache>
            </c:strRef>
          </c:tx>
          <c:spPr>
            <a:ln w="22225" cap="rnd">
              <a:solidFill>
                <a:schemeClr val="accent6"/>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Cadimi!$I$5:$I$21</c:f>
              <c:numCache>
                <c:formatCode>General</c:formatCode>
                <c:ptCount val="17"/>
                <c:pt idx="11">
                  <c:v>1.5</c:v>
                </c:pt>
                <c:pt idx="12">
                  <c:v>1.5</c:v>
                </c:pt>
                <c:pt idx="13">
                  <c:v>1.5</c:v>
                </c:pt>
                <c:pt idx="14">
                  <c:v>1.5</c:v>
                </c:pt>
              </c:numCache>
            </c:numRef>
          </c:val>
          <c:smooth val="0"/>
          <c:extLst>
            <c:ext xmlns:c16="http://schemas.microsoft.com/office/drawing/2014/chart" uri="{C3380CC4-5D6E-409C-BE32-E72D297353CC}">
              <c16:uniqueId val="{00000005-96C8-44E9-B96E-8EAD90107769}"/>
            </c:ext>
          </c:extLst>
        </c:ser>
        <c:ser>
          <c:idx val="6"/>
          <c:order val="6"/>
          <c:tx>
            <c:strRef>
              <c:f>Cadimi!$J$4</c:f>
              <c:strCache>
                <c:ptCount val="1"/>
                <c:pt idx="0">
                  <c:v>QCVN 03-MT:2015/BTNMT (Đất lâm nghiệp)</c:v>
                </c:pt>
              </c:strCache>
            </c:strRef>
          </c:tx>
          <c:spPr>
            <a:ln w="22225" cap="rnd">
              <a:solidFill>
                <a:schemeClr val="accent1">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Cadimi!$J$5:$J$21</c:f>
              <c:numCache>
                <c:formatCode>General</c:formatCode>
                <c:ptCount val="17"/>
                <c:pt idx="15">
                  <c:v>3</c:v>
                </c:pt>
                <c:pt idx="16">
                  <c:v>3</c:v>
                </c:pt>
              </c:numCache>
            </c:numRef>
          </c:val>
          <c:smooth val="0"/>
          <c:extLst>
            <c:ext xmlns:c16="http://schemas.microsoft.com/office/drawing/2014/chart" uri="{C3380CC4-5D6E-409C-BE32-E72D297353CC}">
              <c16:uniqueId val="{00000006-96C8-44E9-B96E-8EAD90107769}"/>
            </c:ext>
          </c:extLst>
        </c:ser>
        <c:ser>
          <c:idx val="7"/>
          <c:order val="7"/>
          <c:tx>
            <c:strRef>
              <c:f>Cadimi!$K$4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Cadimi!$K$5:$K$21</c:f>
              <c:numCache>
                <c:formatCode>General</c:formatCode>
                <c:ptCount val="17"/>
                <c:pt idx="0">
                  <c:v>10</c:v>
                </c:pt>
                <c:pt idx="1">
                  <c:v>10</c:v>
                </c:pt>
                <c:pt idx="2">
                  <c:v>10</c:v>
                </c:pt>
                <c:pt idx="3">
                  <c:v>10</c:v>
                </c:pt>
                <c:pt idx="4">
                  <c:v>10</c:v>
                </c:pt>
                <c:pt idx="5">
                  <c:v>10</c:v>
                </c:pt>
                <c:pt idx="6">
                  <c:v>10</c:v>
                </c:pt>
                <c:pt idx="7">
                  <c:v>10</c:v>
                </c:pt>
                <c:pt idx="8">
                  <c:v>10</c:v>
                </c:pt>
                <c:pt idx="9">
                  <c:v>10</c:v>
                </c:pt>
                <c:pt idx="10">
                  <c:v>10</c:v>
                </c:pt>
              </c:numCache>
            </c:numRef>
          </c:val>
          <c:smooth val="0"/>
          <c:extLst>
            <c:ext xmlns:c16="http://schemas.microsoft.com/office/drawing/2014/chart" uri="{C3380CC4-5D6E-409C-BE32-E72D297353CC}">
              <c16:uniqueId val="{00000007-96C8-44E9-B96E-8EAD90107769}"/>
            </c:ext>
          </c:extLst>
        </c:ser>
        <c:ser>
          <c:idx val="8"/>
          <c:order val="8"/>
          <c:tx>
            <c:strRef>
              <c:f>Cadimi!$L$4</c:f>
              <c:strCache>
                <c:ptCount val="1"/>
                <c:pt idx="0">
                  <c:v>QCVN 03:2023/BTNMT (Loại 1)</c:v>
                </c:pt>
              </c:strCache>
            </c:strRef>
          </c:tx>
          <c:spPr>
            <a:ln w="22225" cap="rnd">
              <a:solidFill>
                <a:schemeClr val="accent3">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Cadimi!$L$5:$L$21</c:f>
              <c:numCache>
                <c:formatCode>General</c:formatCode>
                <c:ptCount val="17"/>
                <c:pt idx="11">
                  <c:v>4</c:v>
                </c:pt>
                <c:pt idx="12">
                  <c:v>4</c:v>
                </c:pt>
                <c:pt idx="13">
                  <c:v>4</c:v>
                </c:pt>
                <c:pt idx="14">
                  <c:v>4</c:v>
                </c:pt>
              </c:numCache>
            </c:numRef>
          </c:val>
          <c:smooth val="0"/>
          <c:extLst>
            <c:ext xmlns:c16="http://schemas.microsoft.com/office/drawing/2014/chart" uri="{C3380CC4-5D6E-409C-BE32-E72D297353CC}">
              <c16:uniqueId val="{00000008-96C8-44E9-B96E-8EAD90107769}"/>
            </c:ext>
          </c:extLst>
        </c:ser>
        <c:ser>
          <c:idx val="9"/>
          <c:order val="9"/>
          <c:tx>
            <c:strRef>
              <c:f>Cadimi!$M$4</c:f>
              <c:strCache>
                <c:ptCount val="1"/>
                <c:pt idx="0">
                  <c:v>QCVN 03:2023/BTNMT (Loại 2)</c:v>
                </c:pt>
              </c:strCache>
            </c:strRef>
          </c:tx>
          <c:spPr>
            <a:ln w="22225" cap="rnd">
              <a:solidFill>
                <a:schemeClr val="accent4">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Cadimi!$M$5:$M$21</c:f>
              <c:numCache>
                <c:formatCode>General</c:formatCode>
                <c:ptCount val="17"/>
                <c:pt idx="15">
                  <c:v>10</c:v>
                </c:pt>
                <c:pt idx="16">
                  <c:v>10</c:v>
                </c:pt>
              </c:numCache>
            </c:numRef>
          </c:val>
          <c:smooth val="0"/>
          <c:extLst>
            <c:ext xmlns:c16="http://schemas.microsoft.com/office/drawing/2014/chart" uri="{C3380CC4-5D6E-409C-BE32-E72D297353CC}">
              <c16:uniqueId val="{00000009-96C8-44E9-B96E-8EAD90107769}"/>
            </c:ext>
          </c:extLst>
        </c:ser>
        <c:ser>
          <c:idx val="10"/>
          <c:order val="10"/>
          <c:tx>
            <c:strRef>
              <c:f>Cadimi!$N$4</c:f>
              <c:strCache>
                <c:ptCount val="1"/>
                <c:pt idx="0">
                  <c:v>QCVN 03:2023/BTNMT (Loại 3)</c:v>
                </c:pt>
              </c:strCache>
            </c:strRef>
          </c:tx>
          <c:spPr>
            <a:ln w="22225" cap="rnd">
              <a:solidFill>
                <a:schemeClr val="accent5">
                  <a:lumMod val="60000"/>
                </a:schemeClr>
              </a:solidFill>
              <a:round/>
            </a:ln>
            <a:effectLst/>
          </c:spPr>
          <c:marker>
            <c:symbol val="none"/>
          </c:marker>
          <c:cat>
            <c:strRef>
              <c:f>Cadimi!$C$5:$C$21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Cadimi!$N$5:$N$21</c:f>
              <c:numCache>
                <c:formatCode>General</c:formatCode>
                <c:ptCount val="17"/>
                <c:pt idx="0">
                  <c:v>60</c:v>
                </c:pt>
                <c:pt idx="1">
                  <c:v>60</c:v>
                </c:pt>
                <c:pt idx="2">
                  <c:v>60</c:v>
                </c:pt>
                <c:pt idx="3">
                  <c:v>60</c:v>
                </c:pt>
                <c:pt idx="4">
                  <c:v>60</c:v>
                </c:pt>
                <c:pt idx="5">
                  <c:v>60</c:v>
                </c:pt>
                <c:pt idx="6">
                  <c:v>60</c:v>
                </c:pt>
                <c:pt idx="7">
                  <c:v>60</c:v>
                </c:pt>
                <c:pt idx="8">
                  <c:v>60</c:v>
                </c:pt>
                <c:pt idx="9">
                  <c:v>60</c:v>
                </c:pt>
                <c:pt idx="10">
                  <c:v>60</c:v>
                </c:pt>
              </c:numCache>
            </c:numRef>
          </c:val>
          <c:smooth val="0"/>
          <c:extLst>
            <c:ext xmlns:c16="http://schemas.microsoft.com/office/drawing/2014/chart" uri="{C3380CC4-5D6E-409C-BE32-E72D297353CC}">
              <c16:uniqueId val="{0000000A-96C8-44E9-B96E-8EAD90107769}"/>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6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
      </c:valAx>
      <c:spPr>
        <a:noFill/>
        <a:ln>
          <a:noFill/>
        </a:ln>
        <a:effectLst/>
      </c:spPr>
    </c:plotArea>
    <c:legend>
      <c:legendPos val="b"/>
      <c:layout>
        <c:manualLayout>
          <c:xMode val="edge"/>
          <c:yMode val="edge"/>
          <c:x val="0"/>
          <c:y val="0.7815577568222476"/>
          <c:w val="1"/>
          <c:h val="0.1905219446688106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(mg/kg)</a:t>
            </a:r>
          </a:p>
        </c:rich>
      </c:tx>
      <c:layout>
        <c:manualLayout>
          <c:xMode val="edge"/>
          <c:yMode val="edge"/>
          <c:x val="1.5323052001593943E-4"/>
          <c:y val="0.1449235432569016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5.7633923961111673E-2"/>
          <c:y val="3.0286846898480123E-2"/>
          <c:w val="0.93659889883811909"/>
          <c:h val="0.51028151248134535"/>
        </c:manualLayout>
      </c:layout>
      <c:barChart>
        <c:barDir val="col"/>
        <c:grouping val="clustered"/>
        <c:varyColors val="0"/>
        <c:ser>
          <c:idx val="0"/>
          <c:order val="0"/>
          <c:tx>
            <c:strRef>
              <c:f>Chi!$D$4</c:f>
              <c:strCache>
                <c:ptCount val="1"/>
                <c:pt idx="0">
                  <c:v>2021</c:v>
                </c:pt>
              </c:strCache>
            </c:strRef>
          </c:tx>
          <c:spPr>
            <a:solidFill>
              <a:schemeClr val="accent1"/>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Chi!$D$5:$D$21</c:f>
              <c:numCache>
                <c:formatCode>General</c:formatCode>
                <c:ptCount val="17"/>
                <c:pt idx="0">
                  <c:v>9.6</c:v>
                </c:pt>
                <c:pt idx="1">
                  <c:v>8.6999999999999993</c:v>
                </c:pt>
                <c:pt idx="2">
                  <c:v>13</c:v>
                </c:pt>
                <c:pt idx="3">
                  <c:v>16.2</c:v>
                </c:pt>
                <c:pt idx="4">
                  <c:v>14.8</c:v>
                </c:pt>
                <c:pt idx="5">
                  <c:v>7.3</c:v>
                </c:pt>
                <c:pt idx="6">
                  <c:v>12</c:v>
                </c:pt>
                <c:pt idx="7">
                  <c:v>14</c:v>
                </c:pt>
                <c:pt idx="8">
                  <c:v>13</c:v>
                </c:pt>
                <c:pt idx="9">
                  <c:v>9.4</c:v>
                </c:pt>
                <c:pt idx="10">
                  <c:v>11</c:v>
                </c:pt>
                <c:pt idx="11">
                  <c:v>11</c:v>
                </c:pt>
                <c:pt idx="12">
                  <c:v>7.6</c:v>
                </c:pt>
                <c:pt idx="13">
                  <c:v>9.6</c:v>
                </c:pt>
                <c:pt idx="14">
                  <c:v>8.4</c:v>
                </c:pt>
                <c:pt idx="15">
                  <c:v>12</c:v>
                </c:pt>
                <c:pt idx="16">
                  <c:v>13</c:v>
                </c:pt>
              </c:numCache>
            </c:numRef>
          </c:val>
          <c:extLst>
            <c:ext xmlns:c16="http://schemas.microsoft.com/office/drawing/2014/chart" uri="{C3380CC4-5D6E-409C-BE32-E72D297353CC}">
              <c16:uniqueId val="{00000000-9B80-4401-9BC1-80684EA167A6}"/>
            </c:ext>
          </c:extLst>
        </c:ser>
        <c:ser>
          <c:idx val="1"/>
          <c:order val="1"/>
          <c:tx>
            <c:strRef>
              <c:f>Chi!$E$4</c:f>
              <c:strCache>
                <c:ptCount val="1"/>
                <c:pt idx="0">
                  <c:v>2022</c:v>
                </c:pt>
              </c:strCache>
            </c:strRef>
          </c:tx>
          <c:spPr>
            <a:solidFill>
              <a:schemeClr val="accent2"/>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Chi!$E$5:$E$21</c:f>
              <c:numCache>
                <c:formatCode>General</c:formatCode>
                <c:ptCount val="17"/>
                <c:pt idx="0">
                  <c:v>11.05</c:v>
                </c:pt>
                <c:pt idx="1">
                  <c:v>9.25</c:v>
                </c:pt>
                <c:pt idx="2">
                  <c:v>12.4</c:v>
                </c:pt>
                <c:pt idx="3">
                  <c:v>21.55</c:v>
                </c:pt>
                <c:pt idx="4">
                  <c:v>10.5</c:v>
                </c:pt>
                <c:pt idx="5">
                  <c:v>10.45</c:v>
                </c:pt>
                <c:pt idx="6">
                  <c:v>12.6</c:v>
                </c:pt>
                <c:pt idx="7">
                  <c:v>8.6</c:v>
                </c:pt>
                <c:pt idx="8">
                  <c:v>11.399999999999999</c:v>
                </c:pt>
                <c:pt idx="9">
                  <c:v>8</c:v>
                </c:pt>
                <c:pt idx="10">
                  <c:v>14</c:v>
                </c:pt>
                <c:pt idx="11">
                  <c:v>12.1</c:v>
                </c:pt>
                <c:pt idx="12">
                  <c:v>7.8500000000000005</c:v>
                </c:pt>
                <c:pt idx="13">
                  <c:v>9.9499999999999993</c:v>
                </c:pt>
                <c:pt idx="14">
                  <c:v>8.6</c:v>
                </c:pt>
                <c:pt idx="15">
                  <c:v>11.6</c:v>
                </c:pt>
                <c:pt idx="16">
                  <c:v>14</c:v>
                </c:pt>
              </c:numCache>
            </c:numRef>
          </c:val>
          <c:extLst>
            <c:ext xmlns:c16="http://schemas.microsoft.com/office/drawing/2014/chart" uri="{C3380CC4-5D6E-409C-BE32-E72D297353CC}">
              <c16:uniqueId val="{00000001-9B80-4401-9BC1-80684EA167A6}"/>
            </c:ext>
          </c:extLst>
        </c:ser>
        <c:ser>
          <c:idx val="2"/>
          <c:order val="2"/>
          <c:tx>
            <c:strRef>
              <c:f>Chi!$F$4</c:f>
              <c:strCache>
                <c:ptCount val="1"/>
                <c:pt idx="0">
                  <c:v>2023</c:v>
                </c:pt>
              </c:strCache>
            </c:strRef>
          </c:tx>
          <c:spPr>
            <a:solidFill>
              <a:schemeClr val="accent3"/>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Chi!$F$5:$F$21</c:f>
              <c:numCache>
                <c:formatCode>General</c:formatCode>
                <c:ptCount val="17"/>
                <c:pt idx="0">
                  <c:v>9.3000000000000007</c:v>
                </c:pt>
                <c:pt idx="1">
                  <c:v>11.120000000000001</c:v>
                </c:pt>
                <c:pt idx="2">
                  <c:v>14.649999999999999</c:v>
                </c:pt>
                <c:pt idx="3">
                  <c:v>21.35</c:v>
                </c:pt>
                <c:pt idx="4">
                  <c:v>13.55</c:v>
                </c:pt>
                <c:pt idx="5">
                  <c:v>10.45</c:v>
                </c:pt>
                <c:pt idx="6">
                  <c:v>13.1</c:v>
                </c:pt>
                <c:pt idx="7">
                  <c:v>11.9</c:v>
                </c:pt>
                <c:pt idx="8">
                  <c:v>15.899999999999999</c:v>
                </c:pt>
                <c:pt idx="9">
                  <c:v>9.9450000000000003</c:v>
                </c:pt>
                <c:pt idx="10">
                  <c:v>18.2</c:v>
                </c:pt>
                <c:pt idx="11">
                  <c:v>12.7</c:v>
                </c:pt>
                <c:pt idx="12">
                  <c:v>7.9450000000000003</c:v>
                </c:pt>
                <c:pt idx="13">
                  <c:v>10.050000000000001</c:v>
                </c:pt>
                <c:pt idx="14">
                  <c:v>11.45</c:v>
                </c:pt>
                <c:pt idx="15">
                  <c:v>9.5399999999999991</c:v>
                </c:pt>
                <c:pt idx="16">
                  <c:v>12.2</c:v>
                </c:pt>
              </c:numCache>
            </c:numRef>
          </c:val>
          <c:extLst>
            <c:ext xmlns:c16="http://schemas.microsoft.com/office/drawing/2014/chart" uri="{C3380CC4-5D6E-409C-BE32-E72D297353CC}">
              <c16:uniqueId val="{00000002-9B80-4401-9BC1-80684EA167A6}"/>
            </c:ext>
          </c:extLst>
        </c:ser>
        <c:ser>
          <c:idx val="3"/>
          <c:order val="3"/>
          <c:tx>
            <c:strRef>
              <c:f>Chi!$G$4</c:f>
              <c:strCache>
                <c:ptCount val="1"/>
                <c:pt idx="0">
                  <c:v>2024</c:v>
                </c:pt>
              </c:strCache>
            </c:strRef>
          </c:tx>
          <c:spPr>
            <a:solidFill>
              <a:schemeClr val="accent4"/>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Chi!$G$5:$G$21</c:f>
              <c:numCache>
                <c:formatCode>General</c:formatCode>
                <c:ptCount val="17"/>
                <c:pt idx="0">
                  <c:v>10.4</c:v>
                </c:pt>
                <c:pt idx="1">
                  <c:v>11.530000000000001</c:v>
                </c:pt>
                <c:pt idx="2">
                  <c:v>16.600000000000001</c:v>
                </c:pt>
                <c:pt idx="3">
                  <c:v>19.25</c:v>
                </c:pt>
                <c:pt idx="4">
                  <c:v>15.149999999999999</c:v>
                </c:pt>
                <c:pt idx="5">
                  <c:v>13</c:v>
                </c:pt>
                <c:pt idx="6">
                  <c:v>10.6</c:v>
                </c:pt>
                <c:pt idx="7">
                  <c:v>15.25</c:v>
                </c:pt>
                <c:pt idx="8">
                  <c:v>15.149999999999999</c:v>
                </c:pt>
                <c:pt idx="9">
                  <c:v>9.14</c:v>
                </c:pt>
                <c:pt idx="10">
                  <c:v>19.5</c:v>
                </c:pt>
                <c:pt idx="11">
                  <c:v>10.684999999999999</c:v>
                </c:pt>
                <c:pt idx="12">
                  <c:v>10.08</c:v>
                </c:pt>
                <c:pt idx="13">
                  <c:v>10.75</c:v>
                </c:pt>
                <c:pt idx="14">
                  <c:v>7.84</c:v>
                </c:pt>
                <c:pt idx="15">
                  <c:v>10.79</c:v>
                </c:pt>
                <c:pt idx="16">
                  <c:v>11.324999999999999</c:v>
                </c:pt>
              </c:numCache>
            </c:numRef>
          </c:val>
          <c:extLst>
            <c:ext xmlns:c16="http://schemas.microsoft.com/office/drawing/2014/chart" uri="{C3380CC4-5D6E-409C-BE32-E72D297353CC}">
              <c16:uniqueId val="{00000003-9B80-4401-9BC1-80684EA167A6}"/>
            </c:ext>
          </c:extLst>
        </c:ser>
        <c:ser>
          <c:idx val="4"/>
          <c:order val="4"/>
          <c:tx>
            <c:strRef>
              <c:f>Chi!$H$4</c:f>
              <c:strCache>
                <c:ptCount val="1"/>
                <c:pt idx="0">
                  <c:v>2025</c:v>
                </c:pt>
              </c:strCache>
            </c:strRef>
          </c:tx>
          <c:spPr>
            <a:solidFill>
              <a:schemeClr val="accent5"/>
            </a:solidFill>
            <a:ln>
              <a:noFill/>
            </a:ln>
            <a:effectLst/>
          </c:spPr>
          <c:invertIfNegative val="0"/>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Chi!$H$5:$H$21</c:f>
              <c:numCache>
                <c:formatCode>General</c:formatCode>
                <c:ptCount val="17"/>
                <c:pt idx="0">
                  <c:v>7.9</c:v>
                </c:pt>
                <c:pt idx="1">
                  <c:v>9.8000000000000007</c:v>
                </c:pt>
                <c:pt idx="2">
                  <c:v>16</c:v>
                </c:pt>
                <c:pt idx="3">
                  <c:v>19.5</c:v>
                </c:pt>
                <c:pt idx="4">
                  <c:v>10.8</c:v>
                </c:pt>
                <c:pt idx="5">
                  <c:v>11.9</c:v>
                </c:pt>
                <c:pt idx="6">
                  <c:v>12.6</c:v>
                </c:pt>
                <c:pt idx="7">
                  <c:v>21</c:v>
                </c:pt>
                <c:pt idx="8">
                  <c:v>9.56</c:v>
                </c:pt>
                <c:pt idx="9">
                  <c:v>9.1</c:v>
                </c:pt>
                <c:pt idx="10">
                  <c:v>16.3</c:v>
                </c:pt>
                <c:pt idx="11">
                  <c:v>8.3000000000000007</c:v>
                </c:pt>
                <c:pt idx="12">
                  <c:v>7.8</c:v>
                </c:pt>
                <c:pt idx="13">
                  <c:v>17.5</c:v>
                </c:pt>
                <c:pt idx="14">
                  <c:v>8.51</c:v>
                </c:pt>
                <c:pt idx="15">
                  <c:v>11.8</c:v>
                </c:pt>
                <c:pt idx="16">
                  <c:v>8.6</c:v>
                </c:pt>
              </c:numCache>
            </c:numRef>
          </c:val>
          <c:extLst>
            <c:ext xmlns:c16="http://schemas.microsoft.com/office/drawing/2014/chart" uri="{C3380CC4-5D6E-409C-BE32-E72D297353CC}">
              <c16:uniqueId val="{00000004-9B80-4401-9BC1-80684EA167A6}"/>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Chi!$I$4</c:f>
              <c:strCache>
                <c:ptCount val="1"/>
                <c:pt idx="0">
                  <c:v>QCVN 03-MT:2015/BTNMT (Đất nông nghiệp)</c:v>
                </c:pt>
              </c:strCache>
            </c:strRef>
          </c:tx>
          <c:spPr>
            <a:ln w="22225" cap="rnd">
              <a:solidFill>
                <a:schemeClr val="accent6"/>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Chi!$I$5:$I$21</c:f>
              <c:numCache>
                <c:formatCode>General</c:formatCode>
                <c:ptCount val="17"/>
                <c:pt idx="11">
                  <c:v>70</c:v>
                </c:pt>
                <c:pt idx="12">
                  <c:v>70</c:v>
                </c:pt>
                <c:pt idx="13">
                  <c:v>70</c:v>
                </c:pt>
                <c:pt idx="14">
                  <c:v>70</c:v>
                </c:pt>
              </c:numCache>
            </c:numRef>
          </c:val>
          <c:smooth val="0"/>
          <c:extLst>
            <c:ext xmlns:c16="http://schemas.microsoft.com/office/drawing/2014/chart" uri="{C3380CC4-5D6E-409C-BE32-E72D297353CC}">
              <c16:uniqueId val="{00000005-9B80-4401-9BC1-80684EA167A6}"/>
            </c:ext>
          </c:extLst>
        </c:ser>
        <c:ser>
          <c:idx val="6"/>
          <c:order val="6"/>
          <c:tx>
            <c:strRef>
              <c:f>Chi!$J$4</c:f>
              <c:strCache>
                <c:ptCount val="1"/>
                <c:pt idx="0">
                  <c:v>QCVN 03-MT:2015/BTNMT (Đất lâm nghiệp)</c:v>
                </c:pt>
              </c:strCache>
            </c:strRef>
          </c:tx>
          <c:spPr>
            <a:ln w="22225" cap="rnd">
              <a:solidFill>
                <a:schemeClr val="accent1">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Chi!$J$5:$J$21</c:f>
              <c:numCache>
                <c:formatCode>General</c:formatCode>
                <c:ptCount val="17"/>
                <c:pt idx="15">
                  <c:v>100</c:v>
                </c:pt>
                <c:pt idx="16">
                  <c:v>100</c:v>
                </c:pt>
              </c:numCache>
            </c:numRef>
          </c:val>
          <c:smooth val="0"/>
          <c:extLst>
            <c:ext xmlns:c16="http://schemas.microsoft.com/office/drawing/2014/chart" uri="{C3380CC4-5D6E-409C-BE32-E72D297353CC}">
              <c16:uniqueId val="{00000006-9B80-4401-9BC1-80684EA167A6}"/>
            </c:ext>
          </c:extLst>
        </c:ser>
        <c:ser>
          <c:idx val="7"/>
          <c:order val="7"/>
          <c:tx>
            <c:strRef>
              <c:f>Chi!$K$4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Chi!$K$5:$K$21</c:f>
              <c:numCache>
                <c:formatCode>General</c:formatCode>
                <c:ptCount val="17"/>
                <c:pt idx="0">
                  <c:v>300</c:v>
                </c:pt>
                <c:pt idx="1">
                  <c:v>300</c:v>
                </c:pt>
                <c:pt idx="2">
                  <c:v>300</c:v>
                </c:pt>
                <c:pt idx="3">
                  <c:v>300</c:v>
                </c:pt>
                <c:pt idx="4">
                  <c:v>300</c:v>
                </c:pt>
                <c:pt idx="5">
                  <c:v>300</c:v>
                </c:pt>
                <c:pt idx="6">
                  <c:v>300</c:v>
                </c:pt>
                <c:pt idx="7">
                  <c:v>300</c:v>
                </c:pt>
                <c:pt idx="8">
                  <c:v>300</c:v>
                </c:pt>
                <c:pt idx="9">
                  <c:v>300</c:v>
                </c:pt>
                <c:pt idx="10">
                  <c:v>300</c:v>
                </c:pt>
              </c:numCache>
            </c:numRef>
          </c:val>
          <c:smooth val="0"/>
          <c:extLst>
            <c:ext xmlns:c16="http://schemas.microsoft.com/office/drawing/2014/chart" uri="{C3380CC4-5D6E-409C-BE32-E72D297353CC}">
              <c16:uniqueId val="{00000007-9B80-4401-9BC1-80684EA167A6}"/>
            </c:ext>
          </c:extLst>
        </c:ser>
        <c:ser>
          <c:idx val="8"/>
          <c:order val="8"/>
          <c:tx>
            <c:strRef>
              <c:f>Chi!$L$4</c:f>
              <c:strCache>
                <c:ptCount val="1"/>
                <c:pt idx="0">
                  <c:v>QCVN 03:2023/BTNMT (Loại 1)</c:v>
                </c:pt>
              </c:strCache>
            </c:strRef>
          </c:tx>
          <c:spPr>
            <a:ln w="22225" cap="rnd">
              <a:solidFill>
                <a:schemeClr val="accent3">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Chi!$L$5:$L$21</c:f>
              <c:numCache>
                <c:formatCode>General</c:formatCode>
                <c:ptCount val="17"/>
                <c:pt idx="11">
                  <c:v>200</c:v>
                </c:pt>
                <c:pt idx="12">
                  <c:v>200</c:v>
                </c:pt>
                <c:pt idx="13">
                  <c:v>200</c:v>
                </c:pt>
                <c:pt idx="14">
                  <c:v>200</c:v>
                </c:pt>
              </c:numCache>
            </c:numRef>
          </c:val>
          <c:smooth val="0"/>
          <c:extLst>
            <c:ext xmlns:c16="http://schemas.microsoft.com/office/drawing/2014/chart" uri="{C3380CC4-5D6E-409C-BE32-E72D297353CC}">
              <c16:uniqueId val="{00000008-9B80-4401-9BC1-80684EA167A6}"/>
            </c:ext>
          </c:extLst>
        </c:ser>
        <c:ser>
          <c:idx val="9"/>
          <c:order val="9"/>
          <c:tx>
            <c:strRef>
              <c:f>Chi!$M$4</c:f>
              <c:strCache>
                <c:ptCount val="1"/>
                <c:pt idx="0">
                  <c:v>QCVN 03:2023/BTNMT (Loại 2)</c:v>
                </c:pt>
              </c:strCache>
            </c:strRef>
          </c:tx>
          <c:spPr>
            <a:ln w="22225" cap="rnd">
              <a:solidFill>
                <a:schemeClr val="accent4">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Chi!$M$5:$M$21</c:f>
              <c:numCache>
                <c:formatCode>General</c:formatCode>
                <c:ptCount val="17"/>
                <c:pt idx="15">
                  <c:v>400</c:v>
                </c:pt>
                <c:pt idx="16">
                  <c:v>400</c:v>
                </c:pt>
              </c:numCache>
            </c:numRef>
          </c:val>
          <c:smooth val="0"/>
          <c:extLst>
            <c:ext xmlns:c16="http://schemas.microsoft.com/office/drawing/2014/chart" uri="{C3380CC4-5D6E-409C-BE32-E72D297353CC}">
              <c16:uniqueId val="{00000009-9B80-4401-9BC1-80684EA167A6}"/>
            </c:ext>
          </c:extLst>
        </c:ser>
        <c:ser>
          <c:idx val="10"/>
          <c:order val="10"/>
          <c:tx>
            <c:strRef>
              <c:f>Chi!$N$4</c:f>
              <c:strCache>
                <c:ptCount val="1"/>
                <c:pt idx="0">
                  <c:v>QCVN 03:2023/BTNMT (Loại 3)</c:v>
                </c:pt>
              </c:strCache>
            </c:strRef>
          </c:tx>
          <c:spPr>
            <a:ln w="22225" cap="rnd">
              <a:solidFill>
                <a:schemeClr val="accent5">
                  <a:lumMod val="60000"/>
                </a:schemeClr>
              </a:solidFill>
              <a:round/>
            </a:ln>
            <a:effectLst/>
          </c:spPr>
          <c:marker>
            <c:symbol val="none"/>
          </c:marker>
          <c:cat>
            <c:strRef>
              <c:f>Chi!$C$5:$C$21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Chi!$N$5:$N$21</c:f>
              <c:numCache>
                <c:formatCode>General</c:formatCode>
                <c:ptCount val="17"/>
                <c:pt idx="0">
                  <c:v>700</c:v>
                </c:pt>
                <c:pt idx="1">
                  <c:v>700</c:v>
                </c:pt>
                <c:pt idx="2">
                  <c:v>700</c:v>
                </c:pt>
                <c:pt idx="3">
                  <c:v>700</c:v>
                </c:pt>
                <c:pt idx="4">
                  <c:v>700</c:v>
                </c:pt>
                <c:pt idx="5">
                  <c:v>700</c:v>
                </c:pt>
                <c:pt idx="6">
                  <c:v>700</c:v>
                </c:pt>
                <c:pt idx="7">
                  <c:v>700</c:v>
                </c:pt>
                <c:pt idx="8">
                  <c:v>700</c:v>
                </c:pt>
                <c:pt idx="9">
                  <c:v>700</c:v>
                </c:pt>
                <c:pt idx="10">
                  <c:v>700</c:v>
                </c:pt>
              </c:numCache>
            </c:numRef>
          </c:val>
          <c:smooth val="0"/>
          <c:extLst>
            <c:ext xmlns:c16="http://schemas.microsoft.com/office/drawing/2014/chart" uri="{C3380CC4-5D6E-409C-BE32-E72D297353CC}">
              <c16:uniqueId val="{0000000A-9B80-4401-9BC1-80684EA167A6}"/>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7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
      </c:valAx>
      <c:spPr>
        <a:noFill/>
        <a:ln>
          <a:noFill/>
        </a:ln>
        <a:effectLst/>
      </c:spPr>
    </c:plotArea>
    <c:legend>
      <c:legendPos val="b"/>
      <c:layout>
        <c:manualLayout>
          <c:xMode val="edge"/>
          <c:yMode val="edge"/>
          <c:x val="0"/>
          <c:y val="0.80895196555995641"/>
          <c:w val="0.99831781653537899"/>
          <c:h val="0.1910480344400435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(mg/kg)</a:t>
            </a:r>
          </a:p>
        </c:rich>
      </c:tx>
      <c:layout>
        <c:manualLayout>
          <c:xMode val="edge"/>
          <c:yMode val="edge"/>
          <c:x val="1.5323052001593943E-4"/>
          <c:y val="0.1604798936167621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446917844326659E-2"/>
          <c:y val="3.3977851438536162E-2"/>
          <c:w val="0.94032606632816096"/>
          <c:h val="0.55817297505303332"/>
        </c:manualLayout>
      </c:layout>
      <c:barChart>
        <c:barDir val="col"/>
        <c:grouping val="clustered"/>
        <c:varyColors val="0"/>
        <c:ser>
          <c:idx val="0"/>
          <c:order val="0"/>
          <c:tx>
            <c:strRef>
              <c:f>Crom!$D$4</c:f>
              <c:strCache>
                <c:ptCount val="1"/>
                <c:pt idx="0">
                  <c:v>2021</c:v>
                </c:pt>
              </c:strCache>
            </c:strRef>
          </c:tx>
          <c:spPr>
            <a:solidFill>
              <a:schemeClr val="accent1"/>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Crom!$D$5:$D$21</c:f>
              <c:numCache>
                <c:formatCode>General</c:formatCode>
                <c:ptCount val="17"/>
                <c:pt idx="0">
                  <c:v>5.2</c:v>
                </c:pt>
                <c:pt idx="1">
                  <c:v>4.8</c:v>
                </c:pt>
                <c:pt idx="2">
                  <c:v>6.7</c:v>
                </c:pt>
                <c:pt idx="3">
                  <c:v>8.4</c:v>
                </c:pt>
                <c:pt idx="4">
                  <c:v>6.2</c:v>
                </c:pt>
                <c:pt idx="5">
                  <c:v>4.8</c:v>
                </c:pt>
                <c:pt idx="6">
                  <c:v>6.3</c:v>
                </c:pt>
                <c:pt idx="7">
                  <c:v>6.7</c:v>
                </c:pt>
                <c:pt idx="8">
                  <c:v>6.8</c:v>
                </c:pt>
                <c:pt idx="9">
                  <c:v>5.7</c:v>
                </c:pt>
                <c:pt idx="10">
                  <c:v>5.5</c:v>
                </c:pt>
                <c:pt idx="11">
                  <c:v>6.2</c:v>
                </c:pt>
                <c:pt idx="12">
                  <c:v>6.8</c:v>
                </c:pt>
                <c:pt idx="13">
                  <c:v>5.9</c:v>
                </c:pt>
                <c:pt idx="14">
                  <c:v>5.8</c:v>
                </c:pt>
                <c:pt idx="15">
                  <c:v>5.3</c:v>
                </c:pt>
                <c:pt idx="16">
                  <c:v>7.3</c:v>
                </c:pt>
              </c:numCache>
            </c:numRef>
          </c:val>
          <c:extLst>
            <c:ext xmlns:c16="http://schemas.microsoft.com/office/drawing/2014/chart" uri="{C3380CC4-5D6E-409C-BE32-E72D297353CC}">
              <c16:uniqueId val="{00000000-D2F4-43DC-B95F-05FE2B42D1CE}"/>
            </c:ext>
          </c:extLst>
        </c:ser>
        <c:ser>
          <c:idx val="1"/>
          <c:order val="1"/>
          <c:tx>
            <c:strRef>
              <c:f>Crom!$E$4</c:f>
              <c:strCache>
                <c:ptCount val="1"/>
                <c:pt idx="0">
                  <c:v>2022</c:v>
                </c:pt>
              </c:strCache>
            </c:strRef>
          </c:tx>
          <c:spPr>
            <a:solidFill>
              <a:schemeClr val="accent2"/>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Crom!$E$5:$E$21</c:f>
              <c:numCache>
                <c:formatCode>General</c:formatCode>
                <c:ptCount val="17"/>
                <c:pt idx="0">
                  <c:v>6.95</c:v>
                </c:pt>
                <c:pt idx="1">
                  <c:v>7.35</c:v>
                </c:pt>
                <c:pt idx="2">
                  <c:v>7.5500000000000007</c:v>
                </c:pt>
                <c:pt idx="3">
                  <c:v>12.5</c:v>
                </c:pt>
                <c:pt idx="4">
                  <c:v>6.1</c:v>
                </c:pt>
                <c:pt idx="5">
                  <c:v>5.9</c:v>
                </c:pt>
                <c:pt idx="6">
                  <c:v>7.1</c:v>
                </c:pt>
                <c:pt idx="7">
                  <c:v>5.75</c:v>
                </c:pt>
                <c:pt idx="8">
                  <c:v>7.35</c:v>
                </c:pt>
                <c:pt idx="9">
                  <c:v>5</c:v>
                </c:pt>
                <c:pt idx="10">
                  <c:v>8.4</c:v>
                </c:pt>
                <c:pt idx="11">
                  <c:v>7.1</c:v>
                </c:pt>
                <c:pt idx="12">
                  <c:v>5.75</c:v>
                </c:pt>
                <c:pt idx="13">
                  <c:v>6.9</c:v>
                </c:pt>
                <c:pt idx="14">
                  <c:v>6.4499999999999993</c:v>
                </c:pt>
                <c:pt idx="15">
                  <c:v>5.55</c:v>
                </c:pt>
                <c:pt idx="16">
                  <c:v>8</c:v>
                </c:pt>
              </c:numCache>
            </c:numRef>
          </c:val>
          <c:extLst>
            <c:ext xmlns:c16="http://schemas.microsoft.com/office/drawing/2014/chart" uri="{C3380CC4-5D6E-409C-BE32-E72D297353CC}">
              <c16:uniqueId val="{00000001-D2F4-43DC-B95F-05FE2B42D1CE}"/>
            </c:ext>
          </c:extLst>
        </c:ser>
        <c:ser>
          <c:idx val="2"/>
          <c:order val="2"/>
          <c:tx>
            <c:strRef>
              <c:f>Crom!$F$4</c:f>
              <c:strCache>
                <c:ptCount val="1"/>
                <c:pt idx="0">
                  <c:v>2023</c:v>
                </c:pt>
              </c:strCache>
            </c:strRef>
          </c:tx>
          <c:spPr>
            <a:solidFill>
              <a:schemeClr val="accent3"/>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Crom!$F$5:$F$21</c:f>
              <c:numCache>
                <c:formatCode>General</c:formatCode>
                <c:ptCount val="17"/>
                <c:pt idx="0">
                  <c:v>8.8000000000000007</c:v>
                </c:pt>
                <c:pt idx="1">
                  <c:v>7.4249999999999998</c:v>
                </c:pt>
                <c:pt idx="2">
                  <c:v>9</c:v>
                </c:pt>
                <c:pt idx="3">
                  <c:v>10.600000000000001</c:v>
                </c:pt>
                <c:pt idx="4">
                  <c:v>7.1150000000000002</c:v>
                </c:pt>
                <c:pt idx="5">
                  <c:v>6.3800000000000008</c:v>
                </c:pt>
                <c:pt idx="6">
                  <c:v>7.38</c:v>
                </c:pt>
                <c:pt idx="7">
                  <c:v>6.4550000000000001</c:v>
                </c:pt>
                <c:pt idx="8">
                  <c:v>6.71</c:v>
                </c:pt>
                <c:pt idx="9">
                  <c:v>5.47</c:v>
                </c:pt>
                <c:pt idx="10">
                  <c:v>9.6950000000000003</c:v>
                </c:pt>
                <c:pt idx="11">
                  <c:v>6.3</c:v>
                </c:pt>
                <c:pt idx="12">
                  <c:v>5.95</c:v>
                </c:pt>
                <c:pt idx="13">
                  <c:v>6.4649999999999999</c:v>
                </c:pt>
                <c:pt idx="14">
                  <c:v>6.5500000000000007</c:v>
                </c:pt>
                <c:pt idx="15">
                  <c:v>6.27</c:v>
                </c:pt>
                <c:pt idx="16">
                  <c:v>8.3350000000000009</c:v>
                </c:pt>
              </c:numCache>
            </c:numRef>
          </c:val>
          <c:extLst>
            <c:ext xmlns:c16="http://schemas.microsoft.com/office/drawing/2014/chart" uri="{C3380CC4-5D6E-409C-BE32-E72D297353CC}">
              <c16:uniqueId val="{00000002-D2F4-43DC-B95F-05FE2B42D1CE}"/>
            </c:ext>
          </c:extLst>
        </c:ser>
        <c:ser>
          <c:idx val="3"/>
          <c:order val="3"/>
          <c:tx>
            <c:strRef>
              <c:f>Crom!$G$4</c:f>
              <c:strCache>
                <c:ptCount val="1"/>
                <c:pt idx="0">
                  <c:v>2024</c:v>
                </c:pt>
              </c:strCache>
            </c:strRef>
          </c:tx>
          <c:spPr>
            <a:solidFill>
              <a:schemeClr val="accent4"/>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Crom!$G$5:$G$21</c:f>
              <c:numCache>
                <c:formatCode>General</c:formatCode>
                <c:ptCount val="17"/>
                <c:pt idx="0">
                  <c:v>10.695</c:v>
                </c:pt>
                <c:pt idx="1">
                  <c:v>6.65</c:v>
                </c:pt>
                <c:pt idx="2">
                  <c:v>7.8</c:v>
                </c:pt>
                <c:pt idx="3">
                  <c:v>13.95</c:v>
                </c:pt>
                <c:pt idx="4">
                  <c:v>12.850000000000001</c:v>
                </c:pt>
                <c:pt idx="5">
                  <c:v>9.9</c:v>
                </c:pt>
                <c:pt idx="6">
                  <c:v>9.5500000000000007</c:v>
                </c:pt>
                <c:pt idx="7">
                  <c:v>10.100000000000001</c:v>
                </c:pt>
                <c:pt idx="8">
                  <c:v>12.4</c:v>
                </c:pt>
                <c:pt idx="9">
                  <c:v>7.82</c:v>
                </c:pt>
                <c:pt idx="10">
                  <c:v>14.25</c:v>
                </c:pt>
                <c:pt idx="11">
                  <c:v>6.2750000000000004</c:v>
                </c:pt>
                <c:pt idx="12">
                  <c:v>10.95</c:v>
                </c:pt>
                <c:pt idx="13">
                  <c:v>14.149999999999999</c:v>
                </c:pt>
                <c:pt idx="14">
                  <c:v>8.8000000000000007</c:v>
                </c:pt>
                <c:pt idx="15">
                  <c:v>6.9550000000000001</c:v>
                </c:pt>
                <c:pt idx="16">
                  <c:v>8.59</c:v>
                </c:pt>
              </c:numCache>
            </c:numRef>
          </c:val>
          <c:extLst>
            <c:ext xmlns:c16="http://schemas.microsoft.com/office/drawing/2014/chart" uri="{C3380CC4-5D6E-409C-BE32-E72D297353CC}">
              <c16:uniqueId val="{00000003-D2F4-43DC-B95F-05FE2B42D1CE}"/>
            </c:ext>
          </c:extLst>
        </c:ser>
        <c:ser>
          <c:idx val="4"/>
          <c:order val="4"/>
          <c:tx>
            <c:strRef>
              <c:f>Crom!$H$4</c:f>
              <c:strCache>
                <c:ptCount val="1"/>
                <c:pt idx="0">
                  <c:v>2025</c:v>
                </c:pt>
              </c:strCache>
            </c:strRef>
          </c:tx>
          <c:spPr>
            <a:solidFill>
              <a:schemeClr val="accent5"/>
            </a:solidFill>
            <a:ln>
              <a:noFill/>
            </a:ln>
            <a:effectLst/>
          </c:spPr>
          <c:invertIfNegative val="0"/>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Crom!$H$5:$H$21</c:f>
              <c:numCache>
                <c:formatCode>General</c:formatCode>
                <c:ptCount val="17"/>
                <c:pt idx="0">
                  <c:v>15.6</c:v>
                </c:pt>
                <c:pt idx="1">
                  <c:v>9.6999999999999993</c:v>
                </c:pt>
                <c:pt idx="2">
                  <c:v>10.5</c:v>
                </c:pt>
                <c:pt idx="3">
                  <c:v>20.5</c:v>
                </c:pt>
                <c:pt idx="4">
                  <c:v>17.8</c:v>
                </c:pt>
                <c:pt idx="5">
                  <c:v>12.3</c:v>
                </c:pt>
                <c:pt idx="6">
                  <c:v>9</c:v>
                </c:pt>
                <c:pt idx="7">
                  <c:v>16.3</c:v>
                </c:pt>
                <c:pt idx="8">
                  <c:v>7.3</c:v>
                </c:pt>
                <c:pt idx="9">
                  <c:v>10.8</c:v>
                </c:pt>
                <c:pt idx="10">
                  <c:v>22.7</c:v>
                </c:pt>
                <c:pt idx="11">
                  <c:v>12.1</c:v>
                </c:pt>
                <c:pt idx="12">
                  <c:v>14.7</c:v>
                </c:pt>
                <c:pt idx="13">
                  <c:v>18</c:v>
                </c:pt>
                <c:pt idx="14">
                  <c:v>14.5</c:v>
                </c:pt>
                <c:pt idx="15">
                  <c:v>23</c:v>
                </c:pt>
                <c:pt idx="16">
                  <c:v>11.2</c:v>
                </c:pt>
              </c:numCache>
            </c:numRef>
          </c:val>
          <c:extLst>
            <c:ext xmlns:c16="http://schemas.microsoft.com/office/drawing/2014/chart" uri="{C3380CC4-5D6E-409C-BE32-E72D297353CC}">
              <c16:uniqueId val="{00000004-D2F4-43DC-B95F-05FE2B42D1CE}"/>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Crom!$I$4</c:f>
              <c:strCache>
                <c:ptCount val="1"/>
                <c:pt idx="0">
                  <c:v>QCVN 03-MT:2015/BTNMT (Đất nông nghiệp)</c:v>
                </c:pt>
              </c:strCache>
            </c:strRef>
          </c:tx>
          <c:spPr>
            <a:ln w="22225" cap="rnd">
              <a:solidFill>
                <a:schemeClr val="accent6"/>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Crom!$I$5:$I$21</c:f>
              <c:numCache>
                <c:formatCode>General</c:formatCode>
                <c:ptCount val="17"/>
                <c:pt idx="11">
                  <c:v>147</c:v>
                </c:pt>
                <c:pt idx="12">
                  <c:v>147</c:v>
                </c:pt>
                <c:pt idx="13">
                  <c:v>147</c:v>
                </c:pt>
                <c:pt idx="14">
                  <c:v>147</c:v>
                </c:pt>
              </c:numCache>
            </c:numRef>
          </c:val>
          <c:smooth val="0"/>
          <c:extLst>
            <c:ext xmlns:c16="http://schemas.microsoft.com/office/drawing/2014/chart" uri="{C3380CC4-5D6E-409C-BE32-E72D297353CC}">
              <c16:uniqueId val="{00000005-D2F4-43DC-B95F-05FE2B42D1CE}"/>
            </c:ext>
          </c:extLst>
        </c:ser>
        <c:ser>
          <c:idx val="6"/>
          <c:order val="6"/>
          <c:tx>
            <c:strRef>
              <c:f>Crom!$J$4</c:f>
              <c:strCache>
                <c:ptCount val="1"/>
                <c:pt idx="0">
                  <c:v>QCVN 03-MT:2015/BTNMT (Đất lâm nghiệp)</c:v>
                </c:pt>
              </c:strCache>
            </c:strRef>
          </c:tx>
          <c:spPr>
            <a:ln w="22225" cap="rnd">
              <a:solidFill>
                <a:schemeClr val="accent1">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Crom!$J$5:$J$21</c:f>
              <c:numCache>
                <c:formatCode>General</c:formatCode>
                <c:ptCount val="17"/>
                <c:pt idx="15">
                  <c:v>200</c:v>
                </c:pt>
                <c:pt idx="16">
                  <c:v>200</c:v>
                </c:pt>
              </c:numCache>
            </c:numRef>
          </c:val>
          <c:smooth val="0"/>
          <c:extLst>
            <c:ext xmlns:c16="http://schemas.microsoft.com/office/drawing/2014/chart" uri="{C3380CC4-5D6E-409C-BE32-E72D297353CC}">
              <c16:uniqueId val="{00000006-D2F4-43DC-B95F-05FE2B42D1CE}"/>
            </c:ext>
          </c:extLst>
        </c:ser>
        <c:ser>
          <c:idx val="7"/>
          <c:order val="7"/>
          <c:tx>
            <c:strRef>
              <c:f>Crom!$K$4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Crom!$K$5:$K$21</c:f>
              <c:numCache>
                <c:formatCode>General</c:formatCode>
                <c:ptCount val="17"/>
                <c:pt idx="0">
                  <c:v>247</c:v>
                </c:pt>
                <c:pt idx="1">
                  <c:v>247</c:v>
                </c:pt>
                <c:pt idx="2">
                  <c:v>247</c:v>
                </c:pt>
                <c:pt idx="3">
                  <c:v>247</c:v>
                </c:pt>
                <c:pt idx="4">
                  <c:v>247</c:v>
                </c:pt>
                <c:pt idx="5">
                  <c:v>247</c:v>
                </c:pt>
                <c:pt idx="6">
                  <c:v>247</c:v>
                </c:pt>
                <c:pt idx="7">
                  <c:v>247</c:v>
                </c:pt>
                <c:pt idx="8">
                  <c:v>247</c:v>
                </c:pt>
                <c:pt idx="9">
                  <c:v>247</c:v>
                </c:pt>
                <c:pt idx="10">
                  <c:v>247</c:v>
                </c:pt>
              </c:numCache>
            </c:numRef>
          </c:val>
          <c:smooth val="0"/>
          <c:extLst>
            <c:ext xmlns:c16="http://schemas.microsoft.com/office/drawing/2014/chart" uri="{C3380CC4-5D6E-409C-BE32-E72D297353CC}">
              <c16:uniqueId val="{00000007-D2F4-43DC-B95F-05FE2B42D1CE}"/>
            </c:ext>
          </c:extLst>
        </c:ser>
        <c:ser>
          <c:idx val="8"/>
          <c:order val="8"/>
          <c:tx>
            <c:strRef>
              <c:f>Crom!$L$4</c:f>
              <c:strCache>
                <c:ptCount val="1"/>
                <c:pt idx="0">
                  <c:v>QCVN 03:2023/BTNMT (Loại 1)</c:v>
                </c:pt>
              </c:strCache>
            </c:strRef>
          </c:tx>
          <c:spPr>
            <a:ln w="22225" cap="rnd">
              <a:solidFill>
                <a:schemeClr val="accent3">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Crom!$L$5:$L$21</c:f>
              <c:numCache>
                <c:formatCode>General</c:formatCode>
                <c:ptCount val="17"/>
                <c:pt idx="11">
                  <c:v>155</c:v>
                </c:pt>
                <c:pt idx="12">
                  <c:v>155</c:v>
                </c:pt>
                <c:pt idx="13">
                  <c:v>155</c:v>
                </c:pt>
                <c:pt idx="14">
                  <c:v>155</c:v>
                </c:pt>
              </c:numCache>
            </c:numRef>
          </c:val>
          <c:smooth val="0"/>
          <c:extLst>
            <c:ext xmlns:c16="http://schemas.microsoft.com/office/drawing/2014/chart" uri="{C3380CC4-5D6E-409C-BE32-E72D297353CC}">
              <c16:uniqueId val="{00000008-D2F4-43DC-B95F-05FE2B42D1CE}"/>
            </c:ext>
          </c:extLst>
        </c:ser>
        <c:ser>
          <c:idx val="9"/>
          <c:order val="9"/>
          <c:tx>
            <c:strRef>
              <c:f>Crom!$M$4</c:f>
              <c:strCache>
                <c:ptCount val="1"/>
                <c:pt idx="0">
                  <c:v>QCVN 03:2023/BTNMT (Loại 2)</c:v>
                </c:pt>
              </c:strCache>
            </c:strRef>
          </c:tx>
          <c:spPr>
            <a:ln w="22225" cap="rnd">
              <a:solidFill>
                <a:schemeClr val="accent4">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Crom!$M$5:$M$21</c:f>
              <c:numCache>
                <c:formatCode>General</c:formatCode>
                <c:ptCount val="17"/>
                <c:pt idx="15">
                  <c:v>208</c:v>
                </c:pt>
                <c:pt idx="16">
                  <c:v>208</c:v>
                </c:pt>
              </c:numCache>
            </c:numRef>
          </c:val>
          <c:smooth val="0"/>
          <c:extLst>
            <c:ext xmlns:c16="http://schemas.microsoft.com/office/drawing/2014/chart" uri="{C3380CC4-5D6E-409C-BE32-E72D297353CC}">
              <c16:uniqueId val="{00000009-D2F4-43DC-B95F-05FE2B42D1CE}"/>
            </c:ext>
          </c:extLst>
        </c:ser>
        <c:ser>
          <c:idx val="10"/>
          <c:order val="10"/>
          <c:tx>
            <c:strRef>
              <c:f>Crom!$N$4</c:f>
              <c:strCache>
                <c:ptCount val="1"/>
                <c:pt idx="0">
                  <c:v>QCVN 03:2023/BTNMT (Loại 3)</c:v>
                </c:pt>
              </c:strCache>
            </c:strRef>
          </c:tx>
          <c:spPr>
            <a:ln w="22225" cap="rnd">
              <a:solidFill>
                <a:schemeClr val="accent5">
                  <a:lumMod val="60000"/>
                </a:schemeClr>
              </a:solidFill>
              <a:round/>
            </a:ln>
            <a:effectLst/>
          </c:spPr>
          <c:marker>
            <c:symbol val="none"/>
          </c:marker>
          <c:cat>
            <c:strRef>
              <c:f>Crom!$C$5:$C$21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Crom!$N$5:$N$21</c:f>
              <c:numCache>
                <c:formatCode>General</c:formatCode>
                <c:ptCount val="17"/>
                <c:pt idx="0">
                  <c:v>255</c:v>
                </c:pt>
                <c:pt idx="1">
                  <c:v>255</c:v>
                </c:pt>
                <c:pt idx="2">
                  <c:v>255</c:v>
                </c:pt>
                <c:pt idx="3">
                  <c:v>255</c:v>
                </c:pt>
                <c:pt idx="4">
                  <c:v>255</c:v>
                </c:pt>
                <c:pt idx="5">
                  <c:v>255</c:v>
                </c:pt>
                <c:pt idx="6">
                  <c:v>255</c:v>
                </c:pt>
                <c:pt idx="7">
                  <c:v>255</c:v>
                </c:pt>
                <c:pt idx="8">
                  <c:v>255</c:v>
                </c:pt>
                <c:pt idx="9">
                  <c:v>255</c:v>
                </c:pt>
                <c:pt idx="10">
                  <c:v>255</c:v>
                </c:pt>
              </c:numCache>
            </c:numRef>
          </c:val>
          <c:smooth val="0"/>
          <c:extLst>
            <c:ext xmlns:c16="http://schemas.microsoft.com/office/drawing/2014/chart" uri="{C3380CC4-5D6E-409C-BE32-E72D297353CC}">
              <c16:uniqueId val="{0000000A-D2F4-43DC-B95F-05FE2B42D1CE}"/>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7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0"/>
      </c:valAx>
      <c:spPr>
        <a:noFill/>
        <a:ln>
          <a:noFill/>
        </a:ln>
        <a:effectLst/>
      </c:spPr>
    </c:plotArea>
    <c:legend>
      <c:legendPos val="b"/>
      <c:layout>
        <c:manualLayout>
          <c:xMode val="edge"/>
          <c:yMode val="edge"/>
          <c:x val="0"/>
          <c:y val="0.83296954877237928"/>
          <c:w val="0.99831781653537899"/>
          <c:h val="0.1670304512276206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82584590719263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8229222890008471E-2"/>
          <c:y val="4.4324631834813742E-2"/>
          <c:w val="0.91216576217591494"/>
          <c:h val="0.4515216632403708"/>
        </c:manualLayout>
      </c:layout>
      <c:barChart>
        <c:barDir val="col"/>
        <c:grouping val="clustered"/>
        <c:varyColors val="0"/>
        <c:ser>
          <c:idx val="0"/>
          <c:order val="0"/>
          <c:tx>
            <c:strRef>
              <c:f>'BOD5'!$D$8</c:f>
              <c:strCache>
                <c:ptCount val="1"/>
                <c:pt idx="0">
                  <c:v>2021</c:v>
                </c:pt>
              </c:strCache>
            </c:strRef>
          </c:tx>
          <c:spPr>
            <a:solidFill>
              <a:schemeClr val="accent1"/>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'BOD5'!$D$9:$D$11</c:f>
              <c:numCache>
                <c:formatCode>0.00</c:formatCode>
                <c:ptCount val="3"/>
                <c:pt idx="0">
                  <c:v>12.983333333333334</c:v>
                </c:pt>
                <c:pt idx="1">
                  <c:v>4.6833333333333345</c:v>
                </c:pt>
                <c:pt idx="2">
                  <c:v>7.45</c:v>
                </c:pt>
              </c:numCache>
            </c:numRef>
          </c:val>
          <c:extLst>
            <c:ext xmlns:c16="http://schemas.microsoft.com/office/drawing/2014/chart" uri="{C3380CC4-5D6E-409C-BE32-E72D297353CC}">
              <c16:uniqueId val="{00000000-6A72-42C8-A9D8-6DA34D32485B}"/>
            </c:ext>
          </c:extLst>
        </c:ser>
        <c:ser>
          <c:idx val="1"/>
          <c:order val="1"/>
          <c:tx>
            <c:strRef>
              <c:f>'BOD5'!$E$8</c:f>
              <c:strCache>
                <c:ptCount val="1"/>
                <c:pt idx="0">
                  <c:v>2022</c:v>
                </c:pt>
              </c:strCache>
            </c:strRef>
          </c:tx>
          <c:spPr>
            <a:solidFill>
              <a:schemeClr val="accent2"/>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'BOD5'!$E$9:$E$11</c:f>
              <c:numCache>
                <c:formatCode>0.00</c:formatCode>
                <c:ptCount val="3"/>
                <c:pt idx="0">
                  <c:v>13.299999999999999</c:v>
                </c:pt>
                <c:pt idx="1">
                  <c:v>8.8166666666666664</c:v>
                </c:pt>
                <c:pt idx="2">
                  <c:v>11</c:v>
                </c:pt>
              </c:numCache>
            </c:numRef>
          </c:val>
          <c:extLst>
            <c:ext xmlns:c16="http://schemas.microsoft.com/office/drawing/2014/chart" uri="{C3380CC4-5D6E-409C-BE32-E72D297353CC}">
              <c16:uniqueId val="{00000001-6A72-42C8-A9D8-6DA34D32485B}"/>
            </c:ext>
          </c:extLst>
        </c:ser>
        <c:ser>
          <c:idx val="2"/>
          <c:order val="2"/>
          <c:tx>
            <c:strRef>
              <c:f>'BOD5'!$F$8</c:f>
              <c:strCache>
                <c:ptCount val="1"/>
                <c:pt idx="0">
                  <c:v>2023</c:v>
                </c:pt>
              </c:strCache>
            </c:strRef>
          </c:tx>
          <c:spPr>
            <a:solidFill>
              <a:schemeClr val="accent3"/>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'BOD5'!$F$9:$F$11</c:f>
              <c:numCache>
                <c:formatCode>0.00</c:formatCode>
                <c:ptCount val="3"/>
                <c:pt idx="0">
                  <c:v>10.456666666666667</c:v>
                </c:pt>
                <c:pt idx="1">
                  <c:v>5.04</c:v>
                </c:pt>
                <c:pt idx="2">
                  <c:v>3.9866666666666668</c:v>
                </c:pt>
              </c:numCache>
            </c:numRef>
          </c:val>
          <c:extLst>
            <c:ext xmlns:c16="http://schemas.microsoft.com/office/drawing/2014/chart" uri="{C3380CC4-5D6E-409C-BE32-E72D297353CC}">
              <c16:uniqueId val="{00000002-6A72-42C8-A9D8-6DA34D32485B}"/>
            </c:ext>
          </c:extLst>
        </c:ser>
        <c:ser>
          <c:idx val="3"/>
          <c:order val="3"/>
          <c:tx>
            <c:strRef>
              <c:f>'BOD5'!$G$8</c:f>
              <c:strCache>
                <c:ptCount val="1"/>
                <c:pt idx="0">
                  <c:v>2024</c:v>
                </c:pt>
              </c:strCache>
            </c:strRef>
          </c:tx>
          <c:spPr>
            <a:solidFill>
              <a:schemeClr val="accent4"/>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'BOD5'!$G$9:$G$11</c:f>
              <c:numCache>
                <c:formatCode>0.00</c:formatCode>
                <c:ptCount val="3"/>
                <c:pt idx="0">
                  <c:v>7.9433333333333325</c:v>
                </c:pt>
                <c:pt idx="1">
                  <c:v>1.9933333333333334</c:v>
                </c:pt>
                <c:pt idx="2">
                  <c:v>5.4866666666666672</c:v>
                </c:pt>
              </c:numCache>
            </c:numRef>
          </c:val>
          <c:extLst>
            <c:ext xmlns:c16="http://schemas.microsoft.com/office/drawing/2014/chart" uri="{C3380CC4-5D6E-409C-BE32-E72D297353CC}">
              <c16:uniqueId val="{00000003-6A72-42C8-A9D8-6DA34D32485B}"/>
            </c:ext>
          </c:extLst>
        </c:ser>
        <c:ser>
          <c:idx val="4"/>
          <c:order val="4"/>
          <c:tx>
            <c:strRef>
              <c:f>'BOD5'!$H$8</c:f>
              <c:strCache>
                <c:ptCount val="1"/>
                <c:pt idx="0">
                  <c:v>2025</c:v>
                </c:pt>
              </c:strCache>
            </c:strRef>
          </c:tx>
          <c:spPr>
            <a:solidFill>
              <a:schemeClr val="accent5"/>
            </a:solidFill>
            <a:ln>
              <a:noFill/>
            </a:ln>
            <a:effectLst/>
          </c:spPr>
          <c:invertIfNegative val="0"/>
          <c:cat>
            <c:strRef>
              <c:f>'BOD5'!$B$9:$C$11</c:f>
              <c:strCache>
                <c:ptCount val="3"/>
                <c:pt idx="0">
                  <c:v>Sông Cụt 
(tại cầu Tre)</c:v>
                </c:pt>
                <c:pt idx="1">
                  <c:v>Sông Rào Cái 
(tại cầu Phủ)</c:v>
                </c:pt>
                <c:pt idx="2">
                  <c:v>Sông Rào Cái 
(tại cầu Thạch Đồng)</c:v>
                </c:pt>
              </c:strCache>
            </c:strRef>
          </c:cat>
          <c:val>
            <c:numRef>
              <c:f>'BOD5'!$H$9:$H$11</c:f>
              <c:numCache>
                <c:formatCode>0.00</c:formatCode>
                <c:ptCount val="3"/>
                <c:pt idx="0">
                  <c:v>10.95</c:v>
                </c:pt>
                <c:pt idx="1">
                  <c:v>4.8</c:v>
                </c:pt>
                <c:pt idx="2">
                  <c:v>10.95</c:v>
                </c:pt>
              </c:numCache>
            </c:numRef>
          </c:val>
          <c:extLst>
            <c:ext xmlns:c16="http://schemas.microsoft.com/office/drawing/2014/chart" uri="{C3380CC4-5D6E-409C-BE32-E72D297353CC}">
              <c16:uniqueId val="{00000004-6A72-42C8-A9D8-6DA34D32485B}"/>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'BOD5'!$I$8</c:f>
              <c:strCache>
                <c:ptCount val="1"/>
                <c:pt idx="0">
                  <c:v>QCVN 08-MT:2015/BTNMT (Cột B1)</c:v>
                </c:pt>
              </c:strCache>
            </c:strRef>
          </c:tx>
          <c:spPr>
            <a:ln w="22225" cap="rnd">
              <a:solidFill>
                <a:schemeClr val="accent6"/>
              </a:solidFill>
              <a:round/>
            </a:ln>
            <a:effectLst/>
          </c:spPr>
          <c:marker>
            <c:symbol val="none"/>
          </c:marker>
          <c:cat>
            <c:strRef>
              <c:f>'BOD5'!$B$9:$C$11</c:f>
              <c:strCache>
                <c:ptCount val="3"/>
                <c:pt idx="0">
                  <c:v>Sông Cụt 
(tại cầu Tre)</c:v>
                </c:pt>
                <c:pt idx="1">
                  <c:v>Sông Rào Cái 
(tại cầu Phủ)</c:v>
                </c:pt>
                <c:pt idx="2">
                  <c:v>Sông Rào Cái 
(tại cầu Thạch Đồng)</c:v>
                </c:pt>
              </c:strCache>
            </c:strRef>
          </c:cat>
          <c:val>
            <c:numRef>
              <c:f>'BOD5'!$I$9:$I$11</c:f>
              <c:numCache>
                <c:formatCode>General</c:formatCode>
                <c:ptCount val="3"/>
                <c:pt idx="0">
                  <c:v>15</c:v>
                </c:pt>
                <c:pt idx="1">
                  <c:v>15</c:v>
                </c:pt>
                <c:pt idx="2">
                  <c:v>15</c:v>
                </c:pt>
              </c:numCache>
            </c:numRef>
          </c:val>
          <c:smooth val="0"/>
          <c:extLst>
            <c:ext xmlns:c16="http://schemas.microsoft.com/office/drawing/2014/chart" uri="{C3380CC4-5D6E-409C-BE32-E72D297353CC}">
              <c16:uniqueId val="{00000005-6A72-42C8-A9D8-6DA34D32485B}"/>
            </c:ext>
          </c:extLst>
        </c:ser>
        <c:ser>
          <c:idx val="6"/>
          <c:order val="6"/>
          <c:tx>
            <c:strRef>
              <c:f>'BOD5'!$J$8</c:f>
              <c:strCache>
                <c:ptCount val="1"/>
                <c:pt idx="0">
                  <c:v>QCVN 08:2023/BTNMT (Mức B)</c:v>
                </c:pt>
              </c:strCache>
            </c:strRef>
          </c:tx>
          <c:spPr>
            <a:ln w="22225" cap="rnd">
              <a:solidFill>
                <a:schemeClr val="accent1">
                  <a:lumMod val="60000"/>
                </a:schemeClr>
              </a:solidFill>
              <a:round/>
            </a:ln>
            <a:effectLst/>
          </c:spPr>
          <c:marker>
            <c:symbol val="none"/>
          </c:marker>
          <c:cat>
            <c:strRef>
              <c:f>'BOD5'!$B$9:$C$11</c:f>
              <c:strCache>
                <c:ptCount val="3"/>
                <c:pt idx="0">
                  <c:v>Sông Cụt 
(tại cầu Tre)</c:v>
                </c:pt>
                <c:pt idx="1">
                  <c:v>Sông Rào Cái 
(tại cầu Phủ)</c:v>
                </c:pt>
                <c:pt idx="2">
                  <c:v>Sông Rào Cái 
(tại cầu Thạch Đồng)</c:v>
                </c:pt>
              </c:strCache>
            </c:strRef>
          </c:cat>
          <c:val>
            <c:numRef>
              <c:f>'BOD5'!$J$9:$J$11</c:f>
              <c:numCache>
                <c:formatCode>General</c:formatCode>
                <c:ptCount val="3"/>
                <c:pt idx="0">
                  <c:v>6</c:v>
                </c:pt>
                <c:pt idx="1">
                  <c:v>6</c:v>
                </c:pt>
                <c:pt idx="2">
                  <c:v>6</c:v>
                </c:pt>
              </c:numCache>
            </c:numRef>
          </c:val>
          <c:smooth val="0"/>
          <c:extLst>
            <c:ext xmlns:c16="http://schemas.microsoft.com/office/drawing/2014/chart" uri="{C3380CC4-5D6E-409C-BE32-E72D297353CC}">
              <c16:uniqueId val="{00000006-6A72-42C8-A9D8-6DA34D32485B}"/>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8"/>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
      </c:valAx>
      <c:spPr>
        <a:noFill/>
        <a:ln>
          <a:noFill/>
        </a:ln>
        <a:effectLst/>
      </c:spPr>
    </c:plotArea>
    <c:legend>
      <c:legendPos val="b"/>
      <c:layout>
        <c:manualLayout>
          <c:xMode val="edge"/>
          <c:yMode val="edge"/>
          <c:x val="2.7000220409962531E-2"/>
          <c:y val="0.70443039447655253"/>
          <c:w val="0.95040775843068104"/>
          <c:h val="0.256160738528373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(mg/kg)</a:t>
            </a:r>
          </a:p>
        </c:rich>
      </c:tx>
      <c:layout>
        <c:manualLayout>
          <c:xMode val="edge"/>
          <c:yMode val="edge"/>
          <c:x val="1.5327076576017443E-4"/>
          <c:y val="0.1592032591018147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291478900983831E-2"/>
          <c:y val="2.7231133787998862E-2"/>
          <c:w val="0.92191124327416574"/>
          <c:h val="0.4568503405159462"/>
        </c:manualLayout>
      </c:layout>
      <c:barChart>
        <c:barDir val="col"/>
        <c:grouping val="clustered"/>
        <c:varyColors val="0"/>
        <c:ser>
          <c:idx val="0"/>
          <c:order val="0"/>
          <c:tx>
            <c:strRef>
              <c:f>Dong!$D$4</c:f>
              <c:strCache>
                <c:ptCount val="1"/>
                <c:pt idx="0">
                  <c:v>2021</c:v>
                </c:pt>
              </c:strCache>
            </c:strRef>
          </c:tx>
          <c:spPr>
            <a:solidFill>
              <a:schemeClr val="accent1"/>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Dong!$D$5:$D$21</c:f>
              <c:numCache>
                <c:formatCode>General</c:formatCode>
                <c:ptCount val="17"/>
                <c:pt idx="0">
                  <c:v>13.6</c:v>
                </c:pt>
                <c:pt idx="1">
                  <c:v>16.2</c:v>
                </c:pt>
                <c:pt idx="2">
                  <c:v>17.5</c:v>
                </c:pt>
                <c:pt idx="3">
                  <c:v>15.2</c:v>
                </c:pt>
                <c:pt idx="4">
                  <c:v>16.3</c:v>
                </c:pt>
                <c:pt idx="5">
                  <c:v>16.3</c:v>
                </c:pt>
                <c:pt idx="6">
                  <c:v>15.3</c:v>
                </c:pt>
                <c:pt idx="7">
                  <c:v>21.3</c:v>
                </c:pt>
                <c:pt idx="8">
                  <c:v>14.2</c:v>
                </c:pt>
                <c:pt idx="9">
                  <c:v>15.6</c:v>
                </c:pt>
                <c:pt idx="10">
                  <c:v>17.3</c:v>
                </c:pt>
                <c:pt idx="11">
                  <c:v>15.7</c:v>
                </c:pt>
                <c:pt idx="12">
                  <c:v>11.5</c:v>
                </c:pt>
                <c:pt idx="13">
                  <c:v>18.399999999999999</c:v>
                </c:pt>
                <c:pt idx="14">
                  <c:v>13.5</c:v>
                </c:pt>
                <c:pt idx="15">
                  <c:v>11.6</c:v>
                </c:pt>
                <c:pt idx="16">
                  <c:v>12.6</c:v>
                </c:pt>
              </c:numCache>
            </c:numRef>
          </c:val>
          <c:extLst>
            <c:ext xmlns:c16="http://schemas.microsoft.com/office/drawing/2014/chart" uri="{C3380CC4-5D6E-409C-BE32-E72D297353CC}">
              <c16:uniqueId val="{00000000-4D28-4622-867E-689BE16B3057}"/>
            </c:ext>
          </c:extLst>
        </c:ser>
        <c:ser>
          <c:idx val="1"/>
          <c:order val="1"/>
          <c:tx>
            <c:strRef>
              <c:f>Dong!$E$4</c:f>
              <c:strCache>
                <c:ptCount val="1"/>
                <c:pt idx="0">
                  <c:v>2022</c:v>
                </c:pt>
              </c:strCache>
            </c:strRef>
          </c:tx>
          <c:spPr>
            <a:solidFill>
              <a:schemeClr val="accent2"/>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Dong!$E$5:$E$21</c:f>
              <c:numCache>
                <c:formatCode>General</c:formatCode>
                <c:ptCount val="17"/>
                <c:pt idx="0">
                  <c:v>12.2</c:v>
                </c:pt>
                <c:pt idx="1">
                  <c:v>15.1</c:v>
                </c:pt>
                <c:pt idx="2">
                  <c:v>13.25</c:v>
                </c:pt>
                <c:pt idx="3">
                  <c:v>22.6</c:v>
                </c:pt>
                <c:pt idx="4">
                  <c:v>13.649999999999999</c:v>
                </c:pt>
                <c:pt idx="5">
                  <c:v>14.7</c:v>
                </c:pt>
                <c:pt idx="6">
                  <c:v>14.899999999999999</c:v>
                </c:pt>
                <c:pt idx="7">
                  <c:v>15.05</c:v>
                </c:pt>
                <c:pt idx="8">
                  <c:v>14.7</c:v>
                </c:pt>
                <c:pt idx="9">
                  <c:v>12.7</c:v>
                </c:pt>
                <c:pt idx="10">
                  <c:v>16.399999999999999</c:v>
                </c:pt>
                <c:pt idx="11">
                  <c:v>12.25</c:v>
                </c:pt>
                <c:pt idx="12">
                  <c:v>14.899999999999999</c:v>
                </c:pt>
                <c:pt idx="13">
                  <c:v>19.399999999999999</c:v>
                </c:pt>
                <c:pt idx="14">
                  <c:v>14.5</c:v>
                </c:pt>
                <c:pt idx="15">
                  <c:v>11.45</c:v>
                </c:pt>
                <c:pt idx="16">
                  <c:v>11.65</c:v>
                </c:pt>
              </c:numCache>
            </c:numRef>
          </c:val>
          <c:extLst>
            <c:ext xmlns:c16="http://schemas.microsoft.com/office/drawing/2014/chart" uri="{C3380CC4-5D6E-409C-BE32-E72D297353CC}">
              <c16:uniqueId val="{00000001-4D28-4622-867E-689BE16B3057}"/>
            </c:ext>
          </c:extLst>
        </c:ser>
        <c:ser>
          <c:idx val="2"/>
          <c:order val="2"/>
          <c:tx>
            <c:strRef>
              <c:f>Dong!$F$4</c:f>
              <c:strCache>
                <c:ptCount val="1"/>
                <c:pt idx="0">
                  <c:v>2023</c:v>
                </c:pt>
              </c:strCache>
            </c:strRef>
          </c:tx>
          <c:spPr>
            <a:solidFill>
              <a:schemeClr val="accent3"/>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Dong!$F$5:$F$21</c:f>
              <c:numCache>
                <c:formatCode>General</c:formatCode>
                <c:ptCount val="17"/>
                <c:pt idx="0">
                  <c:v>10.85</c:v>
                </c:pt>
                <c:pt idx="1">
                  <c:v>15.4</c:v>
                </c:pt>
                <c:pt idx="2">
                  <c:v>18</c:v>
                </c:pt>
                <c:pt idx="3">
                  <c:v>23.95</c:v>
                </c:pt>
                <c:pt idx="4">
                  <c:v>13.55</c:v>
                </c:pt>
                <c:pt idx="5">
                  <c:v>13</c:v>
                </c:pt>
                <c:pt idx="6">
                  <c:v>12.5</c:v>
                </c:pt>
                <c:pt idx="7">
                  <c:v>19.25</c:v>
                </c:pt>
                <c:pt idx="8">
                  <c:v>14.6</c:v>
                </c:pt>
                <c:pt idx="9">
                  <c:v>13.45</c:v>
                </c:pt>
                <c:pt idx="10">
                  <c:v>18.850000000000001</c:v>
                </c:pt>
                <c:pt idx="11">
                  <c:v>11.95</c:v>
                </c:pt>
                <c:pt idx="12">
                  <c:v>14.600000000000001</c:v>
                </c:pt>
                <c:pt idx="13">
                  <c:v>20.450000000000003</c:v>
                </c:pt>
                <c:pt idx="14">
                  <c:v>13.95</c:v>
                </c:pt>
                <c:pt idx="15">
                  <c:v>11.8</c:v>
                </c:pt>
                <c:pt idx="16">
                  <c:v>13.45</c:v>
                </c:pt>
              </c:numCache>
            </c:numRef>
          </c:val>
          <c:extLst>
            <c:ext xmlns:c16="http://schemas.microsoft.com/office/drawing/2014/chart" uri="{C3380CC4-5D6E-409C-BE32-E72D297353CC}">
              <c16:uniqueId val="{00000002-4D28-4622-867E-689BE16B3057}"/>
            </c:ext>
          </c:extLst>
        </c:ser>
        <c:ser>
          <c:idx val="3"/>
          <c:order val="3"/>
          <c:tx>
            <c:strRef>
              <c:f>Dong!$G$4</c:f>
              <c:strCache>
                <c:ptCount val="1"/>
                <c:pt idx="0">
                  <c:v>2024</c:v>
                </c:pt>
              </c:strCache>
            </c:strRef>
          </c:tx>
          <c:spPr>
            <a:solidFill>
              <a:schemeClr val="accent4"/>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Dong!$G$5:$G$21</c:f>
              <c:numCache>
                <c:formatCode>General</c:formatCode>
                <c:ptCount val="17"/>
                <c:pt idx="0">
                  <c:v>14.25</c:v>
                </c:pt>
                <c:pt idx="1">
                  <c:v>13.3</c:v>
                </c:pt>
                <c:pt idx="2">
                  <c:v>27.4</c:v>
                </c:pt>
                <c:pt idx="3">
                  <c:v>27.450000000000003</c:v>
                </c:pt>
                <c:pt idx="4">
                  <c:v>21.05</c:v>
                </c:pt>
                <c:pt idx="5">
                  <c:v>15.15</c:v>
                </c:pt>
                <c:pt idx="6">
                  <c:v>13.75</c:v>
                </c:pt>
                <c:pt idx="7">
                  <c:v>15.75</c:v>
                </c:pt>
                <c:pt idx="8">
                  <c:v>19.25</c:v>
                </c:pt>
                <c:pt idx="9">
                  <c:v>15.399999999999999</c:v>
                </c:pt>
                <c:pt idx="10">
                  <c:v>20.25</c:v>
                </c:pt>
                <c:pt idx="11">
                  <c:v>15.25</c:v>
                </c:pt>
                <c:pt idx="12">
                  <c:v>13.3</c:v>
                </c:pt>
                <c:pt idx="13">
                  <c:v>14.4</c:v>
                </c:pt>
                <c:pt idx="14">
                  <c:v>14.55</c:v>
                </c:pt>
                <c:pt idx="15">
                  <c:v>14.600000000000001</c:v>
                </c:pt>
                <c:pt idx="16">
                  <c:v>15.95</c:v>
                </c:pt>
              </c:numCache>
            </c:numRef>
          </c:val>
          <c:extLst>
            <c:ext xmlns:c16="http://schemas.microsoft.com/office/drawing/2014/chart" uri="{C3380CC4-5D6E-409C-BE32-E72D297353CC}">
              <c16:uniqueId val="{00000003-4D28-4622-867E-689BE16B3057}"/>
            </c:ext>
          </c:extLst>
        </c:ser>
        <c:ser>
          <c:idx val="4"/>
          <c:order val="4"/>
          <c:tx>
            <c:strRef>
              <c:f>Dong!$H$4</c:f>
              <c:strCache>
                <c:ptCount val="1"/>
                <c:pt idx="0">
                  <c:v>2025</c:v>
                </c:pt>
              </c:strCache>
            </c:strRef>
          </c:tx>
          <c:spPr>
            <a:solidFill>
              <a:schemeClr val="accent5"/>
            </a:solidFill>
            <a:ln>
              <a:noFill/>
            </a:ln>
            <a:effectLst/>
          </c:spPr>
          <c:invertIfNegative val="0"/>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Dong!$H$5:$H$21</c:f>
              <c:numCache>
                <c:formatCode>General</c:formatCode>
                <c:ptCount val="17"/>
                <c:pt idx="0">
                  <c:v>26.2</c:v>
                </c:pt>
                <c:pt idx="1">
                  <c:v>23.7</c:v>
                </c:pt>
                <c:pt idx="2">
                  <c:v>38.700000000000003</c:v>
                </c:pt>
                <c:pt idx="3">
                  <c:v>53.8</c:v>
                </c:pt>
                <c:pt idx="4">
                  <c:v>30.6</c:v>
                </c:pt>
                <c:pt idx="5">
                  <c:v>32.299999999999997</c:v>
                </c:pt>
                <c:pt idx="6">
                  <c:v>26.9</c:v>
                </c:pt>
                <c:pt idx="7">
                  <c:v>35.700000000000003</c:v>
                </c:pt>
                <c:pt idx="8">
                  <c:v>30.3</c:v>
                </c:pt>
                <c:pt idx="9">
                  <c:v>30.8</c:v>
                </c:pt>
                <c:pt idx="10">
                  <c:v>49.8</c:v>
                </c:pt>
                <c:pt idx="11">
                  <c:v>25.1</c:v>
                </c:pt>
                <c:pt idx="12">
                  <c:v>23.4</c:v>
                </c:pt>
                <c:pt idx="13">
                  <c:v>32</c:v>
                </c:pt>
                <c:pt idx="14">
                  <c:v>39.5</c:v>
                </c:pt>
                <c:pt idx="15">
                  <c:v>40.6</c:v>
                </c:pt>
                <c:pt idx="16">
                  <c:v>27.9</c:v>
                </c:pt>
              </c:numCache>
            </c:numRef>
          </c:val>
          <c:extLst>
            <c:ext xmlns:c16="http://schemas.microsoft.com/office/drawing/2014/chart" uri="{C3380CC4-5D6E-409C-BE32-E72D297353CC}">
              <c16:uniqueId val="{00000004-4D28-4622-867E-689BE16B305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Dong!$I$4</c:f>
              <c:strCache>
                <c:ptCount val="1"/>
                <c:pt idx="0">
                  <c:v>QCVN 03-MT:2015/BTNMT (Đất nông nghiệp)</c:v>
                </c:pt>
              </c:strCache>
            </c:strRef>
          </c:tx>
          <c:spPr>
            <a:ln w="22225" cap="rnd">
              <a:solidFill>
                <a:schemeClr val="accent6"/>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Dong!$I$5:$I$21</c:f>
              <c:numCache>
                <c:formatCode>General</c:formatCode>
                <c:ptCount val="17"/>
                <c:pt idx="11">
                  <c:v>100</c:v>
                </c:pt>
                <c:pt idx="12">
                  <c:v>100</c:v>
                </c:pt>
                <c:pt idx="13">
                  <c:v>100</c:v>
                </c:pt>
                <c:pt idx="14">
                  <c:v>100</c:v>
                </c:pt>
              </c:numCache>
            </c:numRef>
          </c:val>
          <c:smooth val="0"/>
          <c:extLst>
            <c:ext xmlns:c16="http://schemas.microsoft.com/office/drawing/2014/chart" uri="{C3380CC4-5D6E-409C-BE32-E72D297353CC}">
              <c16:uniqueId val="{00000005-4D28-4622-867E-689BE16B3057}"/>
            </c:ext>
          </c:extLst>
        </c:ser>
        <c:ser>
          <c:idx val="6"/>
          <c:order val="6"/>
          <c:tx>
            <c:strRef>
              <c:f>Dong!$J$4</c:f>
              <c:strCache>
                <c:ptCount val="1"/>
                <c:pt idx="0">
                  <c:v>QCVN 03-MT:2015/BTNMT (Đất lâm nghiệp)</c:v>
                </c:pt>
              </c:strCache>
            </c:strRef>
          </c:tx>
          <c:spPr>
            <a:ln w="22225" cap="rnd">
              <a:solidFill>
                <a:schemeClr val="accent1">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Dong!$J$5:$J$21</c:f>
              <c:numCache>
                <c:formatCode>General</c:formatCode>
                <c:ptCount val="17"/>
                <c:pt idx="15">
                  <c:v>150</c:v>
                </c:pt>
                <c:pt idx="16">
                  <c:v>150</c:v>
                </c:pt>
              </c:numCache>
            </c:numRef>
          </c:val>
          <c:smooth val="0"/>
          <c:extLst>
            <c:ext xmlns:c16="http://schemas.microsoft.com/office/drawing/2014/chart" uri="{C3380CC4-5D6E-409C-BE32-E72D297353CC}">
              <c16:uniqueId val="{00000006-4D28-4622-867E-689BE16B3057}"/>
            </c:ext>
          </c:extLst>
        </c:ser>
        <c:ser>
          <c:idx val="7"/>
          <c:order val="7"/>
          <c:tx>
            <c:strRef>
              <c:f>Dong!$K$4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Dong!$K$5:$K$21</c:f>
              <c:numCache>
                <c:formatCode>General</c:formatCode>
                <c:ptCount val="17"/>
                <c:pt idx="0">
                  <c:v>300</c:v>
                </c:pt>
                <c:pt idx="1">
                  <c:v>300</c:v>
                </c:pt>
                <c:pt idx="2">
                  <c:v>300</c:v>
                </c:pt>
                <c:pt idx="3">
                  <c:v>300</c:v>
                </c:pt>
                <c:pt idx="4">
                  <c:v>300</c:v>
                </c:pt>
                <c:pt idx="5">
                  <c:v>300</c:v>
                </c:pt>
                <c:pt idx="6">
                  <c:v>300</c:v>
                </c:pt>
                <c:pt idx="7">
                  <c:v>300</c:v>
                </c:pt>
                <c:pt idx="8">
                  <c:v>300</c:v>
                </c:pt>
                <c:pt idx="9">
                  <c:v>300</c:v>
                </c:pt>
                <c:pt idx="10">
                  <c:v>300</c:v>
                </c:pt>
              </c:numCache>
            </c:numRef>
          </c:val>
          <c:smooth val="0"/>
          <c:extLst>
            <c:ext xmlns:c16="http://schemas.microsoft.com/office/drawing/2014/chart" uri="{C3380CC4-5D6E-409C-BE32-E72D297353CC}">
              <c16:uniqueId val="{00000007-4D28-4622-867E-689BE16B3057}"/>
            </c:ext>
          </c:extLst>
        </c:ser>
        <c:ser>
          <c:idx val="8"/>
          <c:order val="8"/>
          <c:tx>
            <c:strRef>
              <c:f>Dong!$L$4</c:f>
              <c:strCache>
                <c:ptCount val="1"/>
                <c:pt idx="0">
                  <c:v>QCVN 03:2023/BTNMT (Loại 1)</c:v>
                </c:pt>
              </c:strCache>
            </c:strRef>
          </c:tx>
          <c:spPr>
            <a:ln w="22225" cap="rnd">
              <a:solidFill>
                <a:schemeClr val="accent3">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Dong!$L$5:$L$21</c:f>
              <c:numCache>
                <c:formatCode>General</c:formatCode>
                <c:ptCount val="17"/>
                <c:pt idx="11">
                  <c:v>150</c:v>
                </c:pt>
                <c:pt idx="12">
                  <c:v>150</c:v>
                </c:pt>
                <c:pt idx="13">
                  <c:v>150</c:v>
                </c:pt>
                <c:pt idx="14">
                  <c:v>150</c:v>
                </c:pt>
              </c:numCache>
            </c:numRef>
          </c:val>
          <c:smooth val="0"/>
          <c:extLst>
            <c:ext xmlns:c16="http://schemas.microsoft.com/office/drawing/2014/chart" uri="{C3380CC4-5D6E-409C-BE32-E72D297353CC}">
              <c16:uniqueId val="{00000008-4D28-4622-867E-689BE16B3057}"/>
            </c:ext>
          </c:extLst>
        </c:ser>
        <c:ser>
          <c:idx val="9"/>
          <c:order val="9"/>
          <c:tx>
            <c:strRef>
              <c:f>Dong!$M$4</c:f>
              <c:strCache>
                <c:ptCount val="1"/>
                <c:pt idx="0">
                  <c:v>QCVN 03:2023/BTNMT (Loại 2)</c:v>
                </c:pt>
              </c:strCache>
            </c:strRef>
          </c:tx>
          <c:spPr>
            <a:ln w="22225" cap="rnd">
              <a:solidFill>
                <a:schemeClr val="accent4">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Dong!$M$5:$M$21</c:f>
              <c:numCache>
                <c:formatCode>General</c:formatCode>
                <c:ptCount val="17"/>
                <c:pt idx="15">
                  <c:v>500</c:v>
                </c:pt>
                <c:pt idx="16">
                  <c:v>500</c:v>
                </c:pt>
              </c:numCache>
            </c:numRef>
          </c:val>
          <c:smooth val="0"/>
          <c:extLst>
            <c:ext xmlns:c16="http://schemas.microsoft.com/office/drawing/2014/chart" uri="{C3380CC4-5D6E-409C-BE32-E72D297353CC}">
              <c16:uniqueId val="{00000009-4D28-4622-867E-689BE16B3057}"/>
            </c:ext>
          </c:extLst>
        </c:ser>
        <c:ser>
          <c:idx val="10"/>
          <c:order val="10"/>
          <c:tx>
            <c:strRef>
              <c:f>Dong!$N$4</c:f>
              <c:strCache>
                <c:ptCount val="1"/>
                <c:pt idx="0">
                  <c:v>QCVN 03:2023/BTNMT (Loại 3)</c:v>
                </c:pt>
              </c:strCache>
            </c:strRef>
          </c:tx>
          <c:spPr>
            <a:ln w="22225" cap="rnd">
              <a:solidFill>
                <a:schemeClr val="accent5">
                  <a:lumMod val="60000"/>
                </a:schemeClr>
              </a:solidFill>
              <a:round/>
            </a:ln>
            <a:effectLst/>
          </c:spPr>
          <c:marker>
            <c:symbol val="none"/>
          </c:marker>
          <c:cat>
            <c:strRef>
              <c:f>Dong!$C$5:$C$21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Dong!$N$5:$N$21</c:f>
              <c:numCache>
                <c:formatCode>General</c:formatCode>
                <c:ptCount val="17"/>
                <c:pt idx="0">
                  <c:v>2000</c:v>
                </c:pt>
                <c:pt idx="1">
                  <c:v>2000</c:v>
                </c:pt>
                <c:pt idx="2">
                  <c:v>2000</c:v>
                </c:pt>
                <c:pt idx="3">
                  <c:v>2000</c:v>
                </c:pt>
                <c:pt idx="4">
                  <c:v>2000</c:v>
                </c:pt>
                <c:pt idx="5">
                  <c:v>2000</c:v>
                </c:pt>
                <c:pt idx="6">
                  <c:v>2000</c:v>
                </c:pt>
                <c:pt idx="7">
                  <c:v>2000</c:v>
                </c:pt>
                <c:pt idx="8">
                  <c:v>2000</c:v>
                </c:pt>
                <c:pt idx="9">
                  <c:v>2000</c:v>
                </c:pt>
                <c:pt idx="10">
                  <c:v>2000</c:v>
                </c:pt>
              </c:numCache>
            </c:numRef>
          </c:val>
          <c:smooth val="0"/>
          <c:extLst>
            <c:ext xmlns:c16="http://schemas.microsoft.com/office/drawing/2014/chart" uri="{C3380CC4-5D6E-409C-BE32-E72D297353CC}">
              <c16:uniqueId val="{0000000A-4D28-4622-867E-689BE16B305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0"/>
      </c:valAx>
      <c:spPr>
        <a:noFill/>
        <a:ln>
          <a:noFill/>
        </a:ln>
        <a:effectLst/>
      </c:spPr>
    </c:plotArea>
    <c:legend>
      <c:legendPos val="b"/>
      <c:layout>
        <c:manualLayout>
          <c:xMode val="edge"/>
          <c:yMode val="edge"/>
          <c:x val="0"/>
          <c:y val="0.79212298557888139"/>
          <c:w val="0.99647034696399761"/>
          <c:h val="0.1817215881972227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(mg/kg)</a:t>
            </a:r>
          </a:p>
        </c:rich>
      </c:tx>
      <c:layout>
        <c:manualLayout>
          <c:xMode val="edge"/>
          <c:yMode val="edge"/>
          <c:x val="1.5330900974839447E-4"/>
          <c:y val="0.1951757344900399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4839662070105023E-2"/>
          <c:y val="4.1720402233671412E-2"/>
          <c:w val="0.939016167870657"/>
          <c:h val="0.51406338667920148"/>
        </c:manualLayout>
      </c:layout>
      <c:barChart>
        <c:barDir val="col"/>
        <c:grouping val="clustered"/>
        <c:varyColors val="0"/>
        <c:ser>
          <c:idx val="0"/>
          <c:order val="0"/>
          <c:tx>
            <c:strRef>
              <c:f>Kem!$D$4</c:f>
              <c:strCache>
                <c:ptCount val="1"/>
                <c:pt idx="0">
                  <c:v>2021</c:v>
                </c:pt>
              </c:strCache>
            </c:strRef>
          </c:tx>
          <c:spPr>
            <a:solidFill>
              <a:schemeClr val="accent1"/>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Kem!$D$5:$D$21</c:f>
              <c:numCache>
                <c:formatCode>General</c:formatCode>
                <c:ptCount val="17"/>
                <c:pt idx="0">
                  <c:v>46.6</c:v>
                </c:pt>
                <c:pt idx="1">
                  <c:v>51.5</c:v>
                </c:pt>
                <c:pt idx="2">
                  <c:v>51.2</c:v>
                </c:pt>
                <c:pt idx="3">
                  <c:v>65.7</c:v>
                </c:pt>
                <c:pt idx="4">
                  <c:v>47.5</c:v>
                </c:pt>
                <c:pt idx="5">
                  <c:v>42.7</c:v>
                </c:pt>
                <c:pt idx="6">
                  <c:v>57.7</c:v>
                </c:pt>
                <c:pt idx="7">
                  <c:v>63.6</c:v>
                </c:pt>
                <c:pt idx="8">
                  <c:v>48.5</c:v>
                </c:pt>
                <c:pt idx="9">
                  <c:v>58.2</c:v>
                </c:pt>
                <c:pt idx="10">
                  <c:v>52.8</c:v>
                </c:pt>
                <c:pt idx="11">
                  <c:v>49.6</c:v>
                </c:pt>
                <c:pt idx="12">
                  <c:v>52.6</c:v>
                </c:pt>
                <c:pt idx="13">
                  <c:v>48.5</c:v>
                </c:pt>
                <c:pt idx="14">
                  <c:v>47.4</c:v>
                </c:pt>
                <c:pt idx="15">
                  <c:v>58.4</c:v>
                </c:pt>
                <c:pt idx="16">
                  <c:v>54.8</c:v>
                </c:pt>
              </c:numCache>
            </c:numRef>
          </c:val>
          <c:extLst>
            <c:ext xmlns:c16="http://schemas.microsoft.com/office/drawing/2014/chart" uri="{C3380CC4-5D6E-409C-BE32-E72D297353CC}">
              <c16:uniqueId val="{00000000-9AA2-4263-972F-B4C1283B06A7}"/>
            </c:ext>
          </c:extLst>
        </c:ser>
        <c:ser>
          <c:idx val="1"/>
          <c:order val="1"/>
          <c:tx>
            <c:strRef>
              <c:f>Kem!$E$4</c:f>
              <c:strCache>
                <c:ptCount val="1"/>
                <c:pt idx="0">
                  <c:v>2022</c:v>
                </c:pt>
              </c:strCache>
            </c:strRef>
          </c:tx>
          <c:spPr>
            <a:solidFill>
              <a:schemeClr val="accent2"/>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Kem!$E$5:$E$21</c:f>
              <c:numCache>
                <c:formatCode>General</c:formatCode>
                <c:ptCount val="17"/>
                <c:pt idx="0">
                  <c:v>41.2</c:v>
                </c:pt>
                <c:pt idx="1">
                  <c:v>45.55</c:v>
                </c:pt>
                <c:pt idx="2">
                  <c:v>49.95</c:v>
                </c:pt>
                <c:pt idx="3">
                  <c:v>67.349999999999994</c:v>
                </c:pt>
                <c:pt idx="4">
                  <c:v>47.65</c:v>
                </c:pt>
                <c:pt idx="5">
                  <c:v>46.1</c:v>
                </c:pt>
                <c:pt idx="6">
                  <c:v>54.45</c:v>
                </c:pt>
                <c:pt idx="7">
                  <c:v>46.650000000000006</c:v>
                </c:pt>
                <c:pt idx="8">
                  <c:v>53.9</c:v>
                </c:pt>
                <c:pt idx="9">
                  <c:v>51</c:v>
                </c:pt>
                <c:pt idx="10">
                  <c:v>56.3</c:v>
                </c:pt>
                <c:pt idx="11">
                  <c:v>44.650000000000006</c:v>
                </c:pt>
                <c:pt idx="12">
                  <c:v>50.650000000000006</c:v>
                </c:pt>
                <c:pt idx="13">
                  <c:v>50.75</c:v>
                </c:pt>
                <c:pt idx="14">
                  <c:v>48.05</c:v>
                </c:pt>
                <c:pt idx="15">
                  <c:v>48.1</c:v>
                </c:pt>
                <c:pt idx="16">
                  <c:v>53.400000000000006</c:v>
                </c:pt>
              </c:numCache>
            </c:numRef>
          </c:val>
          <c:extLst>
            <c:ext xmlns:c16="http://schemas.microsoft.com/office/drawing/2014/chart" uri="{C3380CC4-5D6E-409C-BE32-E72D297353CC}">
              <c16:uniqueId val="{00000001-9AA2-4263-972F-B4C1283B06A7}"/>
            </c:ext>
          </c:extLst>
        </c:ser>
        <c:ser>
          <c:idx val="2"/>
          <c:order val="2"/>
          <c:tx>
            <c:strRef>
              <c:f>Kem!$F$4</c:f>
              <c:strCache>
                <c:ptCount val="1"/>
                <c:pt idx="0">
                  <c:v>2023</c:v>
                </c:pt>
              </c:strCache>
            </c:strRef>
          </c:tx>
          <c:spPr>
            <a:solidFill>
              <a:schemeClr val="accent3"/>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Kem!$F$5:$F$21</c:f>
              <c:numCache>
                <c:formatCode>General</c:formatCode>
                <c:ptCount val="17"/>
                <c:pt idx="0">
                  <c:v>38.15</c:v>
                </c:pt>
                <c:pt idx="1">
                  <c:v>47.55</c:v>
                </c:pt>
                <c:pt idx="2">
                  <c:v>46.65</c:v>
                </c:pt>
                <c:pt idx="3">
                  <c:v>46.9</c:v>
                </c:pt>
                <c:pt idx="4">
                  <c:v>41.75</c:v>
                </c:pt>
                <c:pt idx="5">
                  <c:v>42.65</c:v>
                </c:pt>
                <c:pt idx="6">
                  <c:v>50.3</c:v>
                </c:pt>
                <c:pt idx="7">
                  <c:v>53.25</c:v>
                </c:pt>
                <c:pt idx="8">
                  <c:v>52.150000000000006</c:v>
                </c:pt>
                <c:pt idx="9">
                  <c:v>45.2</c:v>
                </c:pt>
                <c:pt idx="10">
                  <c:v>58.3</c:v>
                </c:pt>
                <c:pt idx="11">
                  <c:v>42.9</c:v>
                </c:pt>
                <c:pt idx="12">
                  <c:v>43.05</c:v>
                </c:pt>
                <c:pt idx="13">
                  <c:v>48.5</c:v>
                </c:pt>
                <c:pt idx="14">
                  <c:v>53.65</c:v>
                </c:pt>
                <c:pt idx="15">
                  <c:v>43.7</c:v>
                </c:pt>
                <c:pt idx="16">
                  <c:v>50.2</c:v>
                </c:pt>
              </c:numCache>
            </c:numRef>
          </c:val>
          <c:extLst>
            <c:ext xmlns:c16="http://schemas.microsoft.com/office/drawing/2014/chart" uri="{C3380CC4-5D6E-409C-BE32-E72D297353CC}">
              <c16:uniqueId val="{00000002-9AA2-4263-972F-B4C1283B06A7}"/>
            </c:ext>
          </c:extLst>
        </c:ser>
        <c:ser>
          <c:idx val="3"/>
          <c:order val="3"/>
          <c:tx>
            <c:strRef>
              <c:f>Kem!$G$4</c:f>
              <c:strCache>
                <c:ptCount val="1"/>
                <c:pt idx="0">
                  <c:v>2024</c:v>
                </c:pt>
              </c:strCache>
            </c:strRef>
          </c:tx>
          <c:spPr>
            <a:solidFill>
              <a:schemeClr val="accent4"/>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Kem!$G$5:$G$21</c:f>
              <c:numCache>
                <c:formatCode>General</c:formatCode>
                <c:ptCount val="17"/>
                <c:pt idx="0">
                  <c:v>62.55</c:v>
                </c:pt>
                <c:pt idx="1">
                  <c:v>56.800000000000004</c:v>
                </c:pt>
                <c:pt idx="2">
                  <c:v>45.2</c:v>
                </c:pt>
                <c:pt idx="3">
                  <c:v>47.65</c:v>
                </c:pt>
                <c:pt idx="4">
                  <c:v>49.6</c:v>
                </c:pt>
                <c:pt idx="5">
                  <c:v>50.599999999999994</c:v>
                </c:pt>
                <c:pt idx="6">
                  <c:v>30.450000000000003</c:v>
                </c:pt>
                <c:pt idx="7">
                  <c:v>42.8</c:v>
                </c:pt>
                <c:pt idx="8">
                  <c:v>29.65</c:v>
                </c:pt>
                <c:pt idx="9">
                  <c:v>50.4</c:v>
                </c:pt>
                <c:pt idx="10">
                  <c:v>33.700000000000003</c:v>
                </c:pt>
                <c:pt idx="11">
                  <c:v>38.85</c:v>
                </c:pt>
                <c:pt idx="12">
                  <c:v>45.35</c:v>
                </c:pt>
                <c:pt idx="13">
                  <c:v>49.15</c:v>
                </c:pt>
                <c:pt idx="14">
                  <c:v>45.1</c:v>
                </c:pt>
                <c:pt idx="15">
                  <c:v>51.25</c:v>
                </c:pt>
                <c:pt idx="16">
                  <c:v>28.25</c:v>
                </c:pt>
              </c:numCache>
            </c:numRef>
          </c:val>
          <c:extLst>
            <c:ext xmlns:c16="http://schemas.microsoft.com/office/drawing/2014/chart" uri="{C3380CC4-5D6E-409C-BE32-E72D297353CC}">
              <c16:uniqueId val="{00000003-9AA2-4263-972F-B4C1283B06A7}"/>
            </c:ext>
          </c:extLst>
        </c:ser>
        <c:ser>
          <c:idx val="4"/>
          <c:order val="4"/>
          <c:tx>
            <c:strRef>
              <c:f>Kem!$H$4</c:f>
              <c:strCache>
                <c:ptCount val="1"/>
                <c:pt idx="0">
                  <c:v>2025</c:v>
                </c:pt>
              </c:strCache>
            </c:strRef>
          </c:tx>
          <c:spPr>
            <a:solidFill>
              <a:schemeClr val="accent5"/>
            </a:solidFill>
            <a:ln>
              <a:noFill/>
            </a:ln>
            <a:effectLst/>
          </c:spPr>
          <c:invertIfNegative val="0"/>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Kem!$H$5:$H$21</c:f>
              <c:numCache>
                <c:formatCode>General</c:formatCode>
                <c:ptCount val="17"/>
                <c:pt idx="0">
                  <c:v>56.6</c:v>
                </c:pt>
                <c:pt idx="1">
                  <c:v>89.1</c:v>
                </c:pt>
                <c:pt idx="2">
                  <c:v>85.6</c:v>
                </c:pt>
                <c:pt idx="3">
                  <c:v>90.7</c:v>
                </c:pt>
                <c:pt idx="4">
                  <c:v>68.3</c:v>
                </c:pt>
                <c:pt idx="5">
                  <c:v>53.2</c:v>
                </c:pt>
                <c:pt idx="6">
                  <c:v>52.4</c:v>
                </c:pt>
                <c:pt idx="7">
                  <c:v>50.6</c:v>
                </c:pt>
                <c:pt idx="8">
                  <c:v>69.2</c:v>
                </c:pt>
                <c:pt idx="9">
                  <c:v>70.5</c:v>
                </c:pt>
                <c:pt idx="10">
                  <c:v>104</c:v>
                </c:pt>
                <c:pt idx="11">
                  <c:v>55.1</c:v>
                </c:pt>
                <c:pt idx="12">
                  <c:v>60.8</c:v>
                </c:pt>
                <c:pt idx="13">
                  <c:v>75.900000000000006</c:v>
                </c:pt>
                <c:pt idx="14">
                  <c:v>88.2</c:v>
                </c:pt>
                <c:pt idx="15">
                  <c:v>62.8</c:v>
                </c:pt>
                <c:pt idx="16">
                  <c:v>69.8</c:v>
                </c:pt>
              </c:numCache>
            </c:numRef>
          </c:val>
          <c:extLst>
            <c:ext xmlns:c16="http://schemas.microsoft.com/office/drawing/2014/chart" uri="{C3380CC4-5D6E-409C-BE32-E72D297353CC}">
              <c16:uniqueId val="{00000004-9AA2-4263-972F-B4C1283B06A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Kem!$I$4</c:f>
              <c:strCache>
                <c:ptCount val="1"/>
                <c:pt idx="0">
                  <c:v>QCVN 03-MT:2015/BTNMT (Đất nông nghiệp)</c:v>
                </c:pt>
              </c:strCache>
            </c:strRef>
          </c:tx>
          <c:spPr>
            <a:ln w="22225" cap="rnd">
              <a:solidFill>
                <a:schemeClr val="accent6"/>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Kem!$I$5:$I$21</c:f>
              <c:numCache>
                <c:formatCode>General</c:formatCode>
                <c:ptCount val="17"/>
                <c:pt idx="11">
                  <c:v>195</c:v>
                </c:pt>
                <c:pt idx="12">
                  <c:v>195</c:v>
                </c:pt>
                <c:pt idx="13">
                  <c:v>195</c:v>
                </c:pt>
                <c:pt idx="14">
                  <c:v>195</c:v>
                </c:pt>
              </c:numCache>
            </c:numRef>
          </c:val>
          <c:smooth val="0"/>
          <c:extLst>
            <c:ext xmlns:c16="http://schemas.microsoft.com/office/drawing/2014/chart" uri="{C3380CC4-5D6E-409C-BE32-E72D297353CC}">
              <c16:uniqueId val="{00000005-9AA2-4263-972F-B4C1283B06A7}"/>
            </c:ext>
          </c:extLst>
        </c:ser>
        <c:ser>
          <c:idx val="6"/>
          <c:order val="6"/>
          <c:tx>
            <c:strRef>
              <c:f>Kem!$J$4</c:f>
              <c:strCache>
                <c:ptCount val="1"/>
                <c:pt idx="0">
                  <c:v>QCVN 03-MT:2015/BTNMT (Đất lâm nghiệp)</c:v>
                </c:pt>
              </c:strCache>
            </c:strRef>
          </c:tx>
          <c:spPr>
            <a:ln w="22225" cap="rnd">
              <a:solidFill>
                <a:schemeClr val="accent1">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Kem!$J$5:$J$21</c:f>
              <c:numCache>
                <c:formatCode>General</c:formatCode>
                <c:ptCount val="17"/>
                <c:pt idx="15">
                  <c:v>195</c:v>
                </c:pt>
                <c:pt idx="16">
                  <c:v>195</c:v>
                </c:pt>
              </c:numCache>
            </c:numRef>
          </c:val>
          <c:smooth val="0"/>
          <c:extLst>
            <c:ext xmlns:c16="http://schemas.microsoft.com/office/drawing/2014/chart" uri="{C3380CC4-5D6E-409C-BE32-E72D297353CC}">
              <c16:uniqueId val="{00000006-9AA2-4263-972F-B4C1283B06A7}"/>
            </c:ext>
          </c:extLst>
        </c:ser>
        <c:ser>
          <c:idx val="7"/>
          <c:order val="7"/>
          <c:tx>
            <c:strRef>
              <c:f>Kem!$K$4</c:f>
              <c:strCache>
                <c:ptCount val="1"/>
                <c:pt idx="0">
                  <c:v>QCVN 03-MT:2015/BTNMT (Đất công nghiệp)</c:v>
                </c:pt>
              </c:strCache>
            </c:strRef>
          </c:tx>
          <c:spPr>
            <a:ln w="22225" cap="rnd">
              <a:solidFill>
                <a:schemeClr val="accent2">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Kem!$K$5:$K$21</c:f>
              <c:numCache>
                <c:formatCode>General</c:formatCode>
                <c:ptCount val="17"/>
                <c:pt idx="0">
                  <c:v>300</c:v>
                </c:pt>
                <c:pt idx="1">
                  <c:v>300</c:v>
                </c:pt>
                <c:pt idx="2">
                  <c:v>300</c:v>
                </c:pt>
                <c:pt idx="3">
                  <c:v>300</c:v>
                </c:pt>
                <c:pt idx="4">
                  <c:v>300</c:v>
                </c:pt>
                <c:pt idx="5">
                  <c:v>300</c:v>
                </c:pt>
                <c:pt idx="6">
                  <c:v>300</c:v>
                </c:pt>
                <c:pt idx="7">
                  <c:v>300</c:v>
                </c:pt>
                <c:pt idx="8">
                  <c:v>300</c:v>
                </c:pt>
                <c:pt idx="9">
                  <c:v>300</c:v>
                </c:pt>
                <c:pt idx="10">
                  <c:v>300</c:v>
                </c:pt>
              </c:numCache>
            </c:numRef>
          </c:val>
          <c:smooth val="0"/>
          <c:extLst>
            <c:ext xmlns:c16="http://schemas.microsoft.com/office/drawing/2014/chart" uri="{C3380CC4-5D6E-409C-BE32-E72D297353CC}">
              <c16:uniqueId val="{00000007-9AA2-4263-972F-B4C1283B06A7}"/>
            </c:ext>
          </c:extLst>
        </c:ser>
        <c:ser>
          <c:idx val="8"/>
          <c:order val="8"/>
          <c:tx>
            <c:strRef>
              <c:f>Kem!$L$4</c:f>
              <c:strCache>
                <c:ptCount val="1"/>
                <c:pt idx="0">
                  <c:v>QCVN 03:2023/BTNMT (Loại 1)</c:v>
                </c:pt>
              </c:strCache>
            </c:strRef>
          </c:tx>
          <c:spPr>
            <a:ln w="22225" cap="rnd">
              <a:solidFill>
                <a:schemeClr val="accent3">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Kem!$L$5:$L$21</c:f>
              <c:numCache>
                <c:formatCode>General</c:formatCode>
                <c:ptCount val="17"/>
                <c:pt idx="11">
                  <c:v>205</c:v>
                </c:pt>
                <c:pt idx="12">
                  <c:v>205</c:v>
                </c:pt>
                <c:pt idx="13">
                  <c:v>205</c:v>
                </c:pt>
                <c:pt idx="14">
                  <c:v>205</c:v>
                </c:pt>
              </c:numCache>
            </c:numRef>
          </c:val>
          <c:smooth val="0"/>
          <c:extLst>
            <c:ext xmlns:c16="http://schemas.microsoft.com/office/drawing/2014/chart" uri="{C3380CC4-5D6E-409C-BE32-E72D297353CC}">
              <c16:uniqueId val="{00000008-9AA2-4263-972F-B4C1283B06A7}"/>
            </c:ext>
          </c:extLst>
        </c:ser>
        <c:ser>
          <c:idx val="9"/>
          <c:order val="9"/>
          <c:tx>
            <c:strRef>
              <c:f>Kem!$M$4</c:f>
              <c:strCache>
                <c:ptCount val="1"/>
                <c:pt idx="0">
                  <c:v>QCVN 03:2023/BTNMT (Loại 2)</c:v>
                </c:pt>
              </c:strCache>
            </c:strRef>
          </c:tx>
          <c:spPr>
            <a:ln w="22225" cap="rnd">
              <a:solidFill>
                <a:schemeClr val="accent4">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Kem!$M$5:$M$21</c:f>
              <c:numCache>
                <c:formatCode>General</c:formatCode>
                <c:ptCount val="17"/>
                <c:pt idx="15">
                  <c:v>205</c:v>
                </c:pt>
                <c:pt idx="16">
                  <c:v>205</c:v>
                </c:pt>
              </c:numCache>
            </c:numRef>
          </c:val>
          <c:smooth val="0"/>
          <c:extLst>
            <c:ext xmlns:c16="http://schemas.microsoft.com/office/drawing/2014/chart" uri="{C3380CC4-5D6E-409C-BE32-E72D297353CC}">
              <c16:uniqueId val="{00000009-9AA2-4263-972F-B4C1283B06A7}"/>
            </c:ext>
          </c:extLst>
        </c:ser>
        <c:ser>
          <c:idx val="10"/>
          <c:order val="10"/>
          <c:tx>
            <c:strRef>
              <c:f>Kem!$N$4</c:f>
              <c:strCache>
                <c:ptCount val="1"/>
                <c:pt idx="0">
                  <c:v>QCVN 03:2023/BTNMT (Loại 3)</c:v>
                </c:pt>
              </c:strCache>
            </c:strRef>
          </c:tx>
          <c:spPr>
            <a:ln w="22225" cap="rnd">
              <a:solidFill>
                <a:schemeClr val="accent5">
                  <a:lumMod val="60000"/>
                </a:schemeClr>
              </a:solidFill>
              <a:round/>
            </a:ln>
            <a:effectLst/>
          </c:spPr>
          <c:marker>
            <c:symbol val="none"/>
          </c:marker>
          <c:cat>
            <c:strRef>
              <c:f>Kem!$C$5:$C$21</c:f>
              <c:strCache>
                <c:ptCount val="17"/>
                <c:pt idx="0">
                  <c:v>CCN Thạch Đồng, P. Đồng Môn</c:v>
                </c:pt>
                <c:pt idx="1">
                  <c:v>CCN Trung Lương, P. Trung Lương</c:v>
                </c:pt>
                <c:pt idx="2">
                  <c:v>CCN Nam Hồng, TX Hồng Lĩnh</c:v>
                </c:pt>
                <c:pt idx="3">
                  <c:v>Khu xử lý rác Can Lộc, TT Nghèn</c:v>
                </c:pt>
                <c:pt idx="4">
                  <c:v>KCN Gia Lách, TT. Xuân An</c:v>
                </c:pt>
                <c:pt idx="5">
                  <c:v>CCN Đức Thọ, xã Tùng Ảnh</c:v>
                </c:pt>
                <c:pt idx="6">
                  <c:v>CCN Bắc Cẩm Xuyên, xã Cẩm Vịnh</c:v>
                </c:pt>
                <c:pt idx="7">
                  <c:v>NM xử lý RSH Cẩm Quan, xã Cẩm Quan</c:v>
                </c:pt>
                <c:pt idx="8">
                  <c:v>KCN Vũng Áng I, P. Kỳ Thịnh</c:v>
                </c:pt>
                <c:pt idx="9">
                  <c:v>KCN Phú Vinh, phường Kỳ Liên</c:v>
                </c:pt>
                <c:pt idx="10">
                  <c:v>NM Xử lý chất thải CN&amp;CTNH, xã Kỳ Tân</c:v>
                </c:pt>
                <c:pt idx="11">
                  <c:v>Xóm 3, xã Thạch Trị</c:v>
                </c:pt>
                <c:pt idx="12">
                  <c:v>Vùng NTTS Hà Voọc, xã Hộ Độ</c:v>
                </c:pt>
                <c:pt idx="13">
                  <c:v>Làng chè, xã Sơn Kim II</c:v>
                </c:pt>
                <c:pt idx="14">
                  <c:v>Vùng trồng cam, xã Thọ Điền</c:v>
                </c:pt>
                <c:pt idx="15">
                  <c:v>Xóm Vĩnh Hưng, xã Hương Vĩnh</c:v>
                </c:pt>
                <c:pt idx="16">
                  <c:v>Vùng trồng cây lâm nghiệp, xã Lâm Hợp</c:v>
                </c:pt>
              </c:strCache>
            </c:strRef>
          </c:cat>
          <c:val>
            <c:numRef>
              <c:f>Kem!$N$5:$N$21</c:f>
              <c:numCache>
                <c:formatCode>General</c:formatCode>
                <c:ptCount val="17"/>
                <c:pt idx="0">
                  <c:v>700</c:v>
                </c:pt>
                <c:pt idx="1">
                  <c:v>700</c:v>
                </c:pt>
                <c:pt idx="2">
                  <c:v>700</c:v>
                </c:pt>
                <c:pt idx="3">
                  <c:v>700</c:v>
                </c:pt>
                <c:pt idx="4">
                  <c:v>700</c:v>
                </c:pt>
                <c:pt idx="5">
                  <c:v>700</c:v>
                </c:pt>
                <c:pt idx="6">
                  <c:v>700</c:v>
                </c:pt>
                <c:pt idx="7">
                  <c:v>700</c:v>
                </c:pt>
                <c:pt idx="8">
                  <c:v>700</c:v>
                </c:pt>
                <c:pt idx="9">
                  <c:v>700</c:v>
                </c:pt>
                <c:pt idx="10">
                  <c:v>700</c:v>
                </c:pt>
              </c:numCache>
            </c:numRef>
          </c:val>
          <c:smooth val="0"/>
          <c:extLst>
            <c:ext xmlns:c16="http://schemas.microsoft.com/office/drawing/2014/chart" uri="{C3380CC4-5D6E-409C-BE32-E72D297353CC}">
              <c16:uniqueId val="{0000000A-9AA2-4263-972F-B4C1283B06A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7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
      </c:valAx>
      <c:spPr>
        <a:noFill/>
        <a:ln>
          <a:noFill/>
        </a:ln>
        <a:effectLst/>
      </c:spPr>
    </c:plotArea>
    <c:legend>
      <c:legendPos val="b"/>
      <c:layout>
        <c:manualLayout>
          <c:xMode val="edge"/>
          <c:yMode val="edge"/>
          <c:x val="0"/>
          <c:y val="0.80985360127231221"/>
          <c:w val="0.99934656774714303"/>
          <c:h val="0.162711798358950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646017056042022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9288058465911943E-2"/>
          <c:y val="4.1285701193610629E-2"/>
          <c:w val="0.9022904637478576"/>
          <c:h val="0.47050055358368026"/>
        </c:manualLayout>
      </c:layout>
      <c:barChart>
        <c:barDir val="col"/>
        <c:grouping val="clustered"/>
        <c:varyColors val="0"/>
        <c:ser>
          <c:idx val="0"/>
          <c:order val="0"/>
          <c:tx>
            <c:strRef>
              <c:f>COD!$D$3</c:f>
              <c:strCache>
                <c:ptCount val="1"/>
                <c:pt idx="0">
                  <c:v>2021</c:v>
                </c:pt>
              </c:strCache>
            </c:strRef>
          </c:tx>
          <c:spPr>
            <a:solidFill>
              <a:schemeClr val="accent1"/>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COD!$D$4:$D$6</c:f>
              <c:numCache>
                <c:formatCode>0.00</c:formatCode>
                <c:ptCount val="3"/>
                <c:pt idx="0">
                  <c:v>20</c:v>
                </c:pt>
                <c:pt idx="1">
                  <c:v>5.333333333333333</c:v>
                </c:pt>
                <c:pt idx="2">
                  <c:v>13.333333333333334</c:v>
                </c:pt>
              </c:numCache>
            </c:numRef>
          </c:val>
          <c:extLst>
            <c:ext xmlns:c16="http://schemas.microsoft.com/office/drawing/2014/chart" uri="{C3380CC4-5D6E-409C-BE32-E72D297353CC}">
              <c16:uniqueId val="{00000000-3265-4835-A40D-E796EF6D5FC4}"/>
            </c:ext>
          </c:extLst>
        </c:ser>
        <c:ser>
          <c:idx val="1"/>
          <c:order val="1"/>
          <c:tx>
            <c:strRef>
              <c:f>COD!$E$3</c:f>
              <c:strCache>
                <c:ptCount val="1"/>
                <c:pt idx="0">
                  <c:v>2022</c:v>
                </c:pt>
              </c:strCache>
            </c:strRef>
          </c:tx>
          <c:spPr>
            <a:solidFill>
              <a:schemeClr val="accent2"/>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COD!$E$4:$E$6</c:f>
              <c:numCache>
                <c:formatCode>0.00</c:formatCode>
                <c:ptCount val="3"/>
                <c:pt idx="0">
                  <c:v>27.666666666666668</c:v>
                </c:pt>
                <c:pt idx="1">
                  <c:v>18</c:v>
                </c:pt>
                <c:pt idx="2">
                  <c:v>23.333333333333332</c:v>
                </c:pt>
              </c:numCache>
            </c:numRef>
          </c:val>
          <c:extLst>
            <c:ext xmlns:c16="http://schemas.microsoft.com/office/drawing/2014/chart" uri="{C3380CC4-5D6E-409C-BE32-E72D297353CC}">
              <c16:uniqueId val="{00000001-3265-4835-A40D-E796EF6D5FC4}"/>
            </c:ext>
          </c:extLst>
        </c:ser>
        <c:ser>
          <c:idx val="2"/>
          <c:order val="2"/>
          <c:tx>
            <c:strRef>
              <c:f>COD!$F$3</c:f>
              <c:strCache>
                <c:ptCount val="1"/>
                <c:pt idx="0">
                  <c:v>2023</c:v>
                </c:pt>
              </c:strCache>
            </c:strRef>
          </c:tx>
          <c:spPr>
            <a:solidFill>
              <a:schemeClr val="accent3"/>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COD!$F$4:$F$6</c:f>
              <c:numCache>
                <c:formatCode>0.00</c:formatCode>
                <c:ptCount val="3"/>
                <c:pt idx="0">
                  <c:v>32</c:v>
                </c:pt>
                <c:pt idx="1">
                  <c:v>17.333333333333332</c:v>
                </c:pt>
                <c:pt idx="2">
                  <c:v>17.333333333333332</c:v>
                </c:pt>
              </c:numCache>
            </c:numRef>
          </c:val>
          <c:extLst>
            <c:ext xmlns:c16="http://schemas.microsoft.com/office/drawing/2014/chart" uri="{C3380CC4-5D6E-409C-BE32-E72D297353CC}">
              <c16:uniqueId val="{00000002-3265-4835-A40D-E796EF6D5FC4}"/>
            </c:ext>
          </c:extLst>
        </c:ser>
        <c:ser>
          <c:idx val="3"/>
          <c:order val="3"/>
          <c:tx>
            <c:strRef>
              <c:f>COD!$G$3</c:f>
              <c:strCache>
                <c:ptCount val="1"/>
                <c:pt idx="0">
                  <c:v>2024</c:v>
                </c:pt>
              </c:strCache>
            </c:strRef>
          </c:tx>
          <c:spPr>
            <a:solidFill>
              <a:schemeClr val="accent4"/>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COD!$G$4:$G$6</c:f>
              <c:numCache>
                <c:formatCode>0.00</c:formatCode>
                <c:ptCount val="3"/>
                <c:pt idx="0">
                  <c:v>23.333333333333332</c:v>
                </c:pt>
                <c:pt idx="1">
                  <c:v>14</c:v>
                </c:pt>
                <c:pt idx="2">
                  <c:v>18.666666666666668</c:v>
                </c:pt>
              </c:numCache>
            </c:numRef>
          </c:val>
          <c:extLst>
            <c:ext xmlns:c16="http://schemas.microsoft.com/office/drawing/2014/chart" uri="{C3380CC4-5D6E-409C-BE32-E72D297353CC}">
              <c16:uniqueId val="{00000003-3265-4835-A40D-E796EF6D5FC4}"/>
            </c:ext>
          </c:extLst>
        </c:ser>
        <c:ser>
          <c:idx val="4"/>
          <c:order val="4"/>
          <c:tx>
            <c:strRef>
              <c:f>COD!$H$3</c:f>
              <c:strCache>
                <c:ptCount val="1"/>
                <c:pt idx="0">
                  <c:v>2025</c:v>
                </c:pt>
              </c:strCache>
            </c:strRef>
          </c:tx>
          <c:spPr>
            <a:solidFill>
              <a:schemeClr val="accent5"/>
            </a:solidFill>
            <a:ln>
              <a:noFill/>
            </a:ln>
            <a:effectLst/>
          </c:spPr>
          <c:invertIfNegative val="0"/>
          <c:cat>
            <c:strRef>
              <c:f>COD!$B$4:$C$6</c:f>
              <c:strCache>
                <c:ptCount val="3"/>
                <c:pt idx="0">
                  <c:v>Sông Cụt 
(tại cầu Tre)</c:v>
                </c:pt>
                <c:pt idx="1">
                  <c:v>Sông Rào Cái 
(tại cầu Phủ)</c:v>
                </c:pt>
                <c:pt idx="2">
                  <c:v>Sông Rào Cái 
(tại cầu Thạch Đồng)</c:v>
                </c:pt>
              </c:strCache>
            </c:strRef>
          </c:cat>
          <c:val>
            <c:numRef>
              <c:f>COD!$H$4:$H$6</c:f>
              <c:numCache>
                <c:formatCode>0.00</c:formatCode>
                <c:ptCount val="3"/>
                <c:pt idx="0">
                  <c:v>17.5</c:v>
                </c:pt>
                <c:pt idx="1">
                  <c:v>12</c:v>
                </c:pt>
                <c:pt idx="2">
                  <c:v>27.5</c:v>
                </c:pt>
              </c:numCache>
            </c:numRef>
          </c:val>
          <c:extLst>
            <c:ext xmlns:c16="http://schemas.microsoft.com/office/drawing/2014/chart" uri="{C3380CC4-5D6E-409C-BE32-E72D297353CC}">
              <c16:uniqueId val="{00000004-3265-4835-A40D-E796EF6D5FC4}"/>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COD!$I$3</c:f>
              <c:strCache>
                <c:ptCount val="1"/>
                <c:pt idx="0">
                  <c:v>QCVN 08-MT:2015/BTNMT (Cột B1)</c:v>
                </c:pt>
              </c:strCache>
            </c:strRef>
          </c:tx>
          <c:spPr>
            <a:ln w="22225" cap="rnd">
              <a:solidFill>
                <a:schemeClr val="accent6"/>
              </a:solidFill>
              <a:round/>
            </a:ln>
            <a:effectLst/>
          </c:spPr>
          <c:marker>
            <c:symbol val="none"/>
          </c:marker>
          <c:cat>
            <c:strRef>
              <c:f>COD!$B$4:$C$6</c:f>
              <c:strCache>
                <c:ptCount val="3"/>
                <c:pt idx="0">
                  <c:v>Sông Cụt 
(tại cầu Tre)</c:v>
                </c:pt>
                <c:pt idx="1">
                  <c:v>Sông Rào Cái 
(tại cầu Phủ)</c:v>
                </c:pt>
                <c:pt idx="2">
                  <c:v>Sông Rào Cái 
(tại cầu Thạch Đồng)</c:v>
                </c:pt>
              </c:strCache>
            </c:strRef>
          </c:cat>
          <c:val>
            <c:numRef>
              <c:f>COD!$I$4:$I$6</c:f>
              <c:numCache>
                <c:formatCode>General</c:formatCode>
                <c:ptCount val="3"/>
                <c:pt idx="0">
                  <c:v>30</c:v>
                </c:pt>
                <c:pt idx="1">
                  <c:v>30</c:v>
                </c:pt>
                <c:pt idx="2">
                  <c:v>30</c:v>
                </c:pt>
              </c:numCache>
            </c:numRef>
          </c:val>
          <c:smooth val="0"/>
          <c:extLst>
            <c:ext xmlns:c16="http://schemas.microsoft.com/office/drawing/2014/chart" uri="{C3380CC4-5D6E-409C-BE32-E72D297353CC}">
              <c16:uniqueId val="{00000005-3265-4835-A40D-E796EF6D5FC4}"/>
            </c:ext>
          </c:extLst>
        </c:ser>
        <c:ser>
          <c:idx val="6"/>
          <c:order val="6"/>
          <c:tx>
            <c:strRef>
              <c:f>COD!$J$3</c:f>
              <c:strCache>
                <c:ptCount val="1"/>
                <c:pt idx="0">
                  <c:v>QCVN 08:2023/BTNMT (Mức B)</c:v>
                </c:pt>
              </c:strCache>
            </c:strRef>
          </c:tx>
          <c:spPr>
            <a:ln w="22225" cap="rnd">
              <a:solidFill>
                <a:schemeClr val="accent1">
                  <a:lumMod val="60000"/>
                </a:schemeClr>
              </a:solidFill>
              <a:round/>
            </a:ln>
            <a:effectLst/>
          </c:spPr>
          <c:marker>
            <c:symbol val="none"/>
          </c:marker>
          <c:cat>
            <c:strRef>
              <c:f>COD!$B$4:$C$6</c:f>
              <c:strCache>
                <c:ptCount val="3"/>
                <c:pt idx="0">
                  <c:v>Sông Cụt 
(tại cầu Tre)</c:v>
                </c:pt>
                <c:pt idx="1">
                  <c:v>Sông Rào Cái 
(tại cầu Phủ)</c:v>
                </c:pt>
                <c:pt idx="2">
                  <c:v>Sông Rào Cái 
(tại cầu Thạch Đồng)</c:v>
                </c:pt>
              </c:strCache>
            </c:strRef>
          </c:cat>
          <c:val>
            <c:numRef>
              <c:f>COD!$J$4:$J$6</c:f>
              <c:numCache>
                <c:formatCode>General</c:formatCode>
                <c:ptCount val="3"/>
                <c:pt idx="0">
                  <c:v>15</c:v>
                </c:pt>
                <c:pt idx="1">
                  <c:v>15</c:v>
                </c:pt>
                <c:pt idx="2">
                  <c:v>15</c:v>
                </c:pt>
              </c:numCache>
            </c:numRef>
          </c:val>
          <c:smooth val="0"/>
          <c:extLst>
            <c:ext xmlns:c16="http://schemas.microsoft.com/office/drawing/2014/chart" uri="{C3380CC4-5D6E-409C-BE32-E72D297353CC}">
              <c16:uniqueId val="{00000006-3265-4835-A40D-E796EF6D5FC4}"/>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7.1633237822349575E-3"/>
          <c:y val="0.722232762741713"/>
          <c:w val="0.98126515318492391"/>
          <c:h val="0.2382158505745133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967252578276200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5900357341821124E-2"/>
          <c:y val="4.5038779896423006E-2"/>
          <c:w val="0.90229052809879906"/>
          <c:h val="0.55049649087430597"/>
        </c:manualLayout>
      </c:layout>
      <c:barChart>
        <c:barDir val="col"/>
        <c:grouping val="clustered"/>
        <c:varyColors val="0"/>
        <c:ser>
          <c:idx val="0"/>
          <c:order val="0"/>
          <c:tx>
            <c:strRef>
              <c:f>TSS!$D$3</c:f>
              <c:strCache>
                <c:ptCount val="1"/>
                <c:pt idx="0">
                  <c:v>2021</c:v>
                </c:pt>
              </c:strCache>
            </c:strRef>
          </c:tx>
          <c:spPr>
            <a:solidFill>
              <a:schemeClr val="accent1"/>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TSS!$D$4:$D$6</c:f>
              <c:numCache>
                <c:formatCode>0.00</c:formatCode>
                <c:ptCount val="3"/>
                <c:pt idx="0">
                  <c:v>20</c:v>
                </c:pt>
                <c:pt idx="1">
                  <c:v>16.666666666666668</c:v>
                </c:pt>
                <c:pt idx="2">
                  <c:v>17.833333333333332</c:v>
                </c:pt>
              </c:numCache>
            </c:numRef>
          </c:val>
          <c:extLst>
            <c:ext xmlns:c16="http://schemas.microsoft.com/office/drawing/2014/chart" uri="{C3380CC4-5D6E-409C-BE32-E72D297353CC}">
              <c16:uniqueId val="{00000000-6196-46B8-ACCC-985380ADD278}"/>
            </c:ext>
          </c:extLst>
        </c:ser>
        <c:ser>
          <c:idx val="1"/>
          <c:order val="1"/>
          <c:tx>
            <c:strRef>
              <c:f>TSS!$E$3</c:f>
              <c:strCache>
                <c:ptCount val="1"/>
                <c:pt idx="0">
                  <c:v>2022</c:v>
                </c:pt>
              </c:strCache>
            </c:strRef>
          </c:tx>
          <c:spPr>
            <a:solidFill>
              <a:schemeClr val="accent2"/>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TSS!$E$4:$E$6</c:f>
              <c:numCache>
                <c:formatCode>0.00</c:formatCode>
                <c:ptCount val="3"/>
                <c:pt idx="0">
                  <c:v>19.666666666666668</c:v>
                </c:pt>
                <c:pt idx="1">
                  <c:v>13.083333333333334</c:v>
                </c:pt>
                <c:pt idx="2">
                  <c:v>14.666666666666666</c:v>
                </c:pt>
              </c:numCache>
            </c:numRef>
          </c:val>
          <c:extLst>
            <c:ext xmlns:c16="http://schemas.microsoft.com/office/drawing/2014/chart" uri="{C3380CC4-5D6E-409C-BE32-E72D297353CC}">
              <c16:uniqueId val="{00000001-6196-46B8-ACCC-985380ADD278}"/>
            </c:ext>
          </c:extLst>
        </c:ser>
        <c:ser>
          <c:idx val="2"/>
          <c:order val="2"/>
          <c:tx>
            <c:strRef>
              <c:f>TSS!$F$3</c:f>
              <c:strCache>
                <c:ptCount val="1"/>
                <c:pt idx="0">
                  <c:v>2023</c:v>
                </c:pt>
              </c:strCache>
            </c:strRef>
          </c:tx>
          <c:spPr>
            <a:solidFill>
              <a:schemeClr val="accent3"/>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TSS!$F$4:$F$6</c:f>
              <c:numCache>
                <c:formatCode>0.00</c:formatCode>
                <c:ptCount val="3"/>
                <c:pt idx="0">
                  <c:v>24.333333333333332</c:v>
                </c:pt>
                <c:pt idx="1">
                  <c:v>13.666666666666666</c:v>
                </c:pt>
                <c:pt idx="2">
                  <c:v>16.666666666666668</c:v>
                </c:pt>
              </c:numCache>
            </c:numRef>
          </c:val>
          <c:extLst>
            <c:ext xmlns:c16="http://schemas.microsoft.com/office/drawing/2014/chart" uri="{C3380CC4-5D6E-409C-BE32-E72D297353CC}">
              <c16:uniqueId val="{00000002-6196-46B8-ACCC-985380ADD278}"/>
            </c:ext>
          </c:extLst>
        </c:ser>
        <c:ser>
          <c:idx val="3"/>
          <c:order val="3"/>
          <c:tx>
            <c:strRef>
              <c:f>TSS!$G$3</c:f>
              <c:strCache>
                <c:ptCount val="1"/>
                <c:pt idx="0">
                  <c:v>2024</c:v>
                </c:pt>
              </c:strCache>
            </c:strRef>
          </c:tx>
          <c:spPr>
            <a:solidFill>
              <a:schemeClr val="accent4"/>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TSS!$G$4:$G$6</c:f>
              <c:numCache>
                <c:formatCode>0.00</c:formatCode>
                <c:ptCount val="3"/>
                <c:pt idx="0">
                  <c:v>20.333333333333332</c:v>
                </c:pt>
                <c:pt idx="1">
                  <c:v>13.383333333333333</c:v>
                </c:pt>
                <c:pt idx="2">
                  <c:v>18</c:v>
                </c:pt>
              </c:numCache>
            </c:numRef>
          </c:val>
          <c:extLst>
            <c:ext xmlns:c16="http://schemas.microsoft.com/office/drawing/2014/chart" uri="{C3380CC4-5D6E-409C-BE32-E72D297353CC}">
              <c16:uniqueId val="{00000003-6196-46B8-ACCC-985380ADD278}"/>
            </c:ext>
          </c:extLst>
        </c:ser>
        <c:ser>
          <c:idx val="4"/>
          <c:order val="4"/>
          <c:tx>
            <c:strRef>
              <c:f>TSS!$H$3</c:f>
              <c:strCache>
                <c:ptCount val="1"/>
                <c:pt idx="0">
                  <c:v>2025</c:v>
                </c:pt>
              </c:strCache>
            </c:strRef>
          </c:tx>
          <c:spPr>
            <a:solidFill>
              <a:schemeClr val="accent5"/>
            </a:solidFill>
            <a:ln>
              <a:noFill/>
            </a:ln>
            <a:effectLst/>
          </c:spPr>
          <c:invertIfNegative val="0"/>
          <c:cat>
            <c:strRef>
              <c:f>TSS!$B$4:$C$6</c:f>
              <c:strCache>
                <c:ptCount val="3"/>
                <c:pt idx="0">
                  <c:v>Sông Cụt (tại cầu Tre)</c:v>
                </c:pt>
                <c:pt idx="1">
                  <c:v>Sông Rào Cái (tại cầu Phủ)</c:v>
                </c:pt>
                <c:pt idx="2">
                  <c:v>Sông Rào Cái (tại cầu Thạch Đồng)</c:v>
                </c:pt>
              </c:strCache>
            </c:strRef>
          </c:cat>
          <c:val>
            <c:numRef>
              <c:f>TSS!$H$4:$H$6</c:f>
              <c:numCache>
                <c:formatCode>0.00</c:formatCode>
                <c:ptCount val="3"/>
                <c:pt idx="0">
                  <c:v>15.85</c:v>
                </c:pt>
                <c:pt idx="1">
                  <c:v>8.25</c:v>
                </c:pt>
                <c:pt idx="2">
                  <c:v>17</c:v>
                </c:pt>
              </c:numCache>
            </c:numRef>
          </c:val>
          <c:extLst>
            <c:ext xmlns:c16="http://schemas.microsoft.com/office/drawing/2014/chart" uri="{C3380CC4-5D6E-409C-BE32-E72D297353CC}">
              <c16:uniqueId val="{00000004-6196-46B8-ACCC-985380ADD27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TSS!$I$3</c:f>
              <c:strCache>
                <c:ptCount val="1"/>
                <c:pt idx="0">
                  <c:v>QCVN 08-MT:2015/BTNMT (Cột B1)</c:v>
                </c:pt>
              </c:strCache>
            </c:strRef>
          </c:tx>
          <c:spPr>
            <a:ln w="22225" cap="rnd">
              <a:solidFill>
                <a:schemeClr val="accent6"/>
              </a:solidFill>
              <a:round/>
            </a:ln>
            <a:effectLst/>
          </c:spPr>
          <c:marker>
            <c:symbol val="none"/>
          </c:marker>
          <c:cat>
            <c:strRef>
              <c:f>TSS!$B$4:$C$6</c:f>
              <c:strCache>
                <c:ptCount val="3"/>
                <c:pt idx="0">
                  <c:v>Sông Cụt (tại cầu Tre)</c:v>
                </c:pt>
                <c:pt idx="1">
                  <c:v>Sông Rào Cái (tại cầu Phủ)</c:v>
                </c:pt>
                <c:pt idx="2">
                  <c:v>Sông Rào Cái (tại cầu Thạch Đồng)</c:v>
                </c:pt>
              </c:strCache>
            </c:strRef>
          </c:cat>
          <c:val>
            <c:numRef>
              <c:f>TSS!$I$4:$I$6</c:f>
              <c:numCache>
                <c:formatCode>0.0</c:formatCode>
                <c:ptCount val="3"/>
                <c:pt idx="0">
                  <c:v>50</c:v>
                </c:pt>
                <c:pt idx="1">
                  <c:v>50</c:v>
                </c:pt>
                <c:pt idx="2">
                  <c:v>50</c:v>
                </c:pt>
              </c:numCache>
            </c:numRef>
          </c:val>
          <c:smooth val="0"/>
          <c:extLst>
            <c:ext xmlns:c16="http://schemas.microsoft.com/office/drawing/2014/chart" uri="{C3380CC4-5D6E-409C-BE32-E72D297353CC}">
              <c16:uniqueId val="{00000005-6196-46B8-ACCC-985380ADD278}"/>
            </c:ext>
          </c:extLst>
        </c:ser>
        <c:ser>
          <c:idx val="6"/>
          <c:order val="6"/>
          <c:tx>
            <c:strRef>
              <c:f>TSS!$J$3</c:f>
              <c:strCache>
                <c:ptCount val="1"/>
                <c:pt idx="0">
                  <c:v>QCVN 08:2023/BTNMT (Mức B)</c:v>
                </c:pt>
              </c:strCache>
            </c:strRef>
          </c:tx>
          <c:spPr>
            <a:ln w="22225" cap="rnd">
              <a:solidFill>
                <a:schemeClr val="accent1">
                  <a:lumMod val="60000"/>
                </a:schemeClr>
              </a:solidFill>
              <a:round/>
            </a:ln>
            <a:effectLst/>
          </c:spPr>
          <c:marker>
            <c:symbol val="none"/>
          </c:marker>
          <c:cat>
            <c:strRef>
              <c:f>TSS!$B$4:$C$6</c:f>
              <c:strCache>
                <c:ptCount val="3"/>
                <c:pt idx="0">
                  <c:v>Sông Cụt (tại cầu Tre)</c:v>
                </c:pt>
                <c:pt idx="1">
                  <c:v>Sông Rào Cái (tại cầu Phủ)</c:v>
                </c:pt>
                <c:pt idx="2">
                  <c:v>Sông Rào Cái (tại cầu Thạch Đồng)</c:v>
                </c:pt>
              </c:strCache>
            </c:strRef>
          </c:cat>
          <c:val>
            <c:numRef>
              <c:f>TSS!$J$4:$J$6</c:f>
              <c:numCache>
                <c:formatCode>General</c:formatCode>
                <c:ptCount val="3"/>
                <c:pt idx="0">
                  <c:v>100</c:v>
                </c:pt>
                <c:pt idx="1">
                  <c:v>100</c:v>
                </c:pt>
                <c:pt idx="2">
                  <c:v>100</c:v>
                </c:pt>
              </c:numCache>
            </c:numRef>
          </c:val>
          <c:smooth val="0"/>
          <c:extLst>
            <c:ext xmlns:c16="http://schemas.microsoft.com/office/drawing/2014/chart" uri="{C3380CC4-5D6E-409C-BE32-E72D297353CC}">
              <c16:uniqueId val="{00000006-6196-46B8-ACCC-985380ADD27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0"/>
      </c:valAx>
      <c:spPr>
        <a:noFill/>
        <a:ln>
          <a:noFill/>
        </a:ln>
        <a:effectLst/>
      </c:spPr>
    </c:plotArea>
    <c:legend>
      <c:legendPos val="b"/>
      <c:layout>
        <c:manualLayout>
          <c:xMode val="edge"/>
          <c:yMode val="edge"/>
          <c:x val="6.6674013665417683E-2"/>
          <c:y val="0.73575764861453385"/>
          <c:w val="0.8842847696715892"/>
          <c:h val="0.2290104077565759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53396558763487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7083958840608882E-2"/>
          <c:y val="3.4665266841644796E-2"/>
          <c:w val="0.91551512585061756"/>
          <c:h val="0.52038868474773992"/>
        </c:manualLayout>
      </c:layout>
      <c:barChart>
        <c:barDir val="col"/>
        <c:grouping val="clustered"/>
        <c:varyColors val="0"/>
        <c:ser>
          <c:idx val="0"/>
          <c:order val="0"/>
          <c:tx>
            <c:strRef>
              <c:f>DO!$D$3</c:f>
              <c:strCache>
                <c:ptCount val="1"/>
                <c:pt idx="0">
                  <c:v>2021</c:v>
                </c:pt>
              </c:strCache>
            </c:strRef>
          </c:tx>
          <c:spPr>
            <a:solidFill>
              <a:schemeClr val="accent1"/>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DO!$D$4:$D$6</c:f>
              <c:numCache>
                <c:formatCode>0.00</c:formatCode>
                <c:ptCount val="3"/>
                <c:pt idx="0">
                  <c:v>4.75</c:v>
                </c:pt>
                <c:pt idx="1">
                  <c:v>5.5666666666666664</c:v>
                </c:pt>
                <c:pt idx="2">
                  <c:v>6.1166666666666671</c:v>
                </c:pt>
              </c:numCache>
            </c:numRef>
          </c:val>
          <c:extLst>
            <c:ext xmlns:c16="http://schemas.microsoft.com/office/drawing/2014/chart" uri="{C3380CC4-5D6E-409C-BE32-E72D297353CC}">
              <c16:uniqueId val="{00000000-61FC-41C0-A750-77FD06E92454}"/>
            </c:ext>
          </c:extLst>
        </c:ser>
        <c:ser>
          <c:idx val="1"/>
          <c:order val="1"/>
          <c:tx>
            <c:strRef>
              <c:f>DO!$E$3</c:f>
              <c:strCache>
                <c:ptCount val="1"/>
                <c:pt idx="0">
                  <c:v>2022</c:v>
                </c:pt>
              </c:strCache>
            </c:strRef>
          </c:tx>
          <c:spPr>
            <a:solidFill>
              <a:schemeClr val="accent2"/>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DO!$E$4:$E$6</c:f>
              <c:numCache>
                <c:formatCode>0.00</c:formatCode>
                <c:ptCount val="3"/>
                <c:pt idx="0">
                  <c:v>7.0166666666666666</c:v>
                </c:pt>
                <c:pt idx="1">
                  <c:v>5.8166666666666664</c:v>
                </c:pt>
                <c:pt idx="2">
                  <c:v>6.6333333333333329</c:v>
                </c:pt>
              </c:numCache>
            </c:numRef>
          </c:val>
          <c:extLst>
            <c:ext xmlns:c16="http://schemas.microsoft.com/office/drawing/2014/chart" uri="{C3380CC4-5D6E-409C-BE32-E72D297353CC}">
              <c16:uniqueId val="{00000001-61FC-41C0-A750-77FD06E92454}"/>
            </c:ext>
          </c:extLst>
        </c:ser>
        <c:ser>
          <c:idx val="2"/>
          <c:order val="2"/>
          <c:tx>
            <c:strRef>
              <c:f>DO!$F$3</c:f>
              <c:strCache>
                <c:ptCount val="1"/>
                <c:pt idx="0">
                  <c:v>2023</c:v>
                </c:pt>
              </c:strCache>
            </c:strRef>
          </c:tx>
          <c:spPr>
            <a:solidFill>
              <a:schemeClr val="accent3"/>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DO!$F$4:$F$6</c:f>
              <c:numCache>
                <c:formatCode>0.00</c:formatCode>
                <c:ptCount val="3"/>
                <c:pt idx="0">
                  <c:v>6</c:v>
                </c:pt>
                <c:pt idx="1">
                  <c:v>5.833333333333333</c:v>
                </c:pt>
                <c:pt idx="2">
                  <c:v>6.3666666666666671</c:v>
                </c:pt>
              </c:numCache>
            </c:numRef>
          </c:val>
          <c:extLst>
            <c:ext xmlns:c16="http://schemas.microsoft.com/office/drawing/2014/chart" uri="{C3380CC4-5D6E-409C-BE32-E72D297353CC}">
              <c16:uniqueId val="{00000002-61FC-41C0-A750-77FD06E92454}"/>
            </c:ext>
          </c:extLst>
        </c:ser>
        <c:ser>
          <c:idx val="3"/>
          <c:order val="3"/>
          <c:tx>
            <c:strRef>
              <c:f>DO!$G$3</c:f>
              <c:strCache>
                <c:ptCount val="1"/>
                <c:pt idx="0">
                  <c:v>2024</c:v>
                </c:pt>
              </c:strCache>
            </c:strRef>
          </c:tx>
          <c:spPr>
            <a:solidFill>
              <a:schemeClr val="accent4"/>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DO!$G$4:$G$6</c:f>
              <c:numCache>
                <c:formatCode>0.00</c:formatCode>
                <c:ptCount val="3"/>
                <c:pt idx="0">
                  <c:v>4.916666666666667</c:v>
                </c:pt>
                <c:pt idx="1">
                  <c:v>6.05</c:v>
                </c:pt>
                <c:pt idx="2">
                  <c:v>6.3166666666666664</c:v>
                </c:pt>
              </c:numCache>
            </c:numRef>
          </c:val>
          <c:extLst>
            <c:ext xmlns:c16="http://schemas.microsoft.com/office/drawing/2014/chart" uri="{C3380CC4-5D6E-409C-BE32-E72D297353CC}">
              <c16:uniqueId val="{00000003-61FC-41C0-A750-77FD06E92454}"/>
            </c:ext>
          </c:extLst>
        </c:ser>
        <c:ser>
          <c:idx val="4"/>
          <c:order val="4"/>
          <c:tx>
            <c:strRef>
              <c:f>DO!$H$3</c:f>
              <c:strCache>
                <c:ptCount val="1"/>
                <c:pt idx="0">
                  <c:v>2025</c:v>
                </c:pt>
              </c:strCache>
            </c:strRef>
          </c:tx>
          <c:spPr>
            <a:solidFill>
              <a:schemeClr val="accent5"/>
            </a:solidFill>
            <a:ln>
              <a:noFill/>
            </a:ln>
            <a:effectLst/>
          </c:spPr>
          <c:invertIfNegative val="0"/>
          <c:cat>
            <c:strRef>
              <c:f>DO!$B$4:$C$6</c:f>
              <c:strCache>
                <c:ptCount val="3"/>
                <c:pt idx="0">
                  <c:v>Sông Cụt (tại cầu Tre)</c:v>
                </c:pt>
                <c:pt idx="1">
                  <c:v>Sông Rào Cái (tại cầu Phủ)</c:v>
                </c:pt>
                <c:pt idx="2">
                  <c:v>Sông Rào Cái (tại cầu Thạch Đồng)</c:v>
                </c:pt>
              </c:strCache>
            </c:strRef>
          </c:cat>
          <c:val>
            <c:numRef>
              <c:f>DO!$H$4:$H$6</c:f>
              <c:numCache>
                <c:formatCode>0.00</c:formatCode>
                <c:ptCount val="3"/>
                <c:pt idx="0">
                  <c:v>6.25</c:v>
                </c:pt>
                <c:pt idx="1">
                  <c:v>6.5</c:v>
                </c:pt>
                <c:pt idx="2">
                  <c:v>7.15</c:v>
                </c:pt>
              </c:numCache>
            </c:numRef>
          </c:val>
          <c:extLst>
            <c:ext xmlns:c16="http://schemas.microsoft.com/office/drawing/2014/chart" uri="{C3380CC4-5D6E-409C-BE32-E72D297353CC}">
              <c16:uniqueId val="{00000004-61FC-41C0-A750-77FD06E92454}"/>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DO!$I$3</c:f>
              <c:strCache>
                <c:ptCount val="1"/>
                <c:pt idx="0">
                  <c:v>QCVN 08-MT:2015/BTNMT (Cột B1)</c:v>
                </c:pt>
              </c:strCache>
            </c:strRef>
          </c:tx>
          <c:spPr>
            <a:ln w="22225" cap="rnd">
              <a:solidFill>
                <a:schemeClr val="accent6"/>
              </a:solidFill>
              <a:round/>
            </a:ln>
            <a:effectLst/>
          </c:spPr>
          <c:marker>
            <c:symbol val="none"/>
          </c:marker>
          <c:cat>
            <c:strRef>
              <c:f>DO!$B$4:$C$6</c:f>
              <c:strCache>
                <c:ptCount val="3"/>
                <c:pt idx="0">
                  <c:v>Sông Cụt (tại cầu Tre)</c:v>
                </c:pt>
                <c:pt idx="1">
                  <c:v>Sông Rào Cái (tại cầu Phủ)</c:v>
                </c:pt>
                <c:pt idx="2">
                  <c:v>Sông Rào Cái (tại cầu Thạch Đồng)</c:v>
                </c:pt>
              </c:strCache>
            </c:strRef>
          </c:cat>
          <c:val>
            <c:numRef>
              <c:f>DO!$I$4:$I$6</c:f>
              <c:numCache>
                <c:formatCode>0.0</c:formatCode>
                <c:ptCount val="3"/>
                <c:pt idx="0">
                  <c:v>4</c:v>
                </c:pt>
                <c:pt idx="1">
                  <c:v>4</c:v>
                </c:pt>
                <c:pt idx="2">
                  <c:v>4</c:v>
                </c:pt>
              </c:numCache>
            </c:numRef>
          </c:val>
          <c:smooth val="0"/>
          <c:extLst>
            <c:ext xmlns:c16="http://schemas.microsoft.com/office/drawing/2014/chart" uri="{C3380CC4-5D6E-409C-BE32-E72D297353CC}">
              <c16:uniqueId val="{00000005-61FC-41C0-A750-77FD06E92454}"/>
            </c:ext>
          </c:extLst>
        </c:ser>
        <c:ser>
          <c:idx val="6"/>
          <c:order val="6"/>
          <c:tx>
            <c:strRef>
              <c:f>DO!$J$3</c:f>
              <c:strCache>
                <c:ptCount val="1"/>
                <c:pt idx="0">
                  <c:v>QCVN 08:2023/BTNMT (Mức B)</c:v>
                </c:pt>
              </c:strCache>
            </c:strRef>
          </c:tx>
          <c:spPr>
            <a:ln w="22225" cap="rnd">
              <a:solidFill>
                <a:schemeClr val="accent1">
                  <a:lumMod val="60000"/>
                </a:schemeClr>
              </a:solidFill>
              <a:round/>
            </a:ln>
            <a:effectLst/>
          </c:spPr>
          <c:marker>
            <c:symbol val="none"/>
          </c:marker>
          <c:cat>
            <c:strRef>
              <c:f>DO!$B$4:$C$6</c:f>
              <c:strCache>
                <c:ptCount val="3"/>
                <c:pt idx="0">
                  <c:v>Sông Cụt (tại cầu Tre)</c:v>
                </c:pt>
                <c:pt idx="1">
                  <c:v>Sông Rào Cái (tại cầu Phủ)</c:v>
                </c:pt>
                <c:pt idx="2">
                  <c:v>Sông Rào Cái (tại cầu Thạch Đồng)</c:v>
                </c:pt>
              </c:strCache>
            </c:strRef>
          </c:cat>
          <c:val>
            <c:numRef>
              <c:f>DO!$J$4:$J$6</c:f>
              <c:numCache>
                <c:formatCode>General</c:formatCode>
                <c:ptCount val="3"/>
                <c:pt idx="0">
                  <c:v>5</c:v>
                </c:pt>
                <c:pt idx="1">
                  <c:v>5</c:v>
                </c:pt>
                <c:pt idx="2">
                  <c:v>5</c:v>
                </c:pt>
              </c:numCache>
            </c:numRef>
          </c:val>
          <c:smooth val="0"/>
          <c:extLst>
            <c:ext xmlns:c16="http://schemas.microsoft.com/office/drawing/2014/chart" uri="{C3380CC4-5D6E-409C-BE32-E72D297353CC}">
              <c16:uniqueId val="{00000006-61FC-41C0-A750-77FD06E92454}"/>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6.6674013665417683E-2"/>
          <c:y val="0.71333070866141746"/>
          <c:w val="0.90632576592461978"/>
          <c:h val="0.2644472440944881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977798243361966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3696257716518063E-2"/>
          <c:y val="6.4124589870477977E-2"/>
          <c:w val="0.90449462772410227"/>
          <c:h val="0.56756932454935805"/>
        </c:manualLayout>
      </c:layout>
      <c:barChart>
        <c:barDir val="col"/>
        <c:grouping val="clustered"/>
        <c:varyColors val="0"/>
        <c:ser>
          <c:idx val="0"/>
          <c:order val="0"/>
          <c:tx>
            <c:strRef>
              <c:f>Nitrat!$D$3</c:f>
              <c:strCache>
                <c:ptCount val="1"/>
                <c:pt idx="0">
                  <c:v>2021</c:v>
                </c:pt>
              </c:strCache>
            </c:strRef>
          </c:tx>
          <c:spPr>
            <a:solidFill>
              <a:schemeClr val="accent1"/>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Nitrat!$D$4:$D$6</c:f>
              <c:numCache>
                <c:formatCode>0.00</c:formatCode>
                <c:ptCount val="3"/>
                <c:pt idx="0">
                  <c:v>0.2183333333333333</c:v>
                </c:pt>
                <c:pt idx="1">
                  <c:v>0.4383333333333333</c:v>
                </c:pt>
                <c:pt idx="2">
                  <c:v>0.56333333333333335</c:v>
                </c:pt>
              </c:numCache>
            </c:numRef>
          </c:val>
          <c:extLst>
            <c:ext xmlns:c16="http://schemas.microsoft.com/office/drawing/2014/chart" uri="{C3380CC4-5D6E-409C-BE32-E72D297353CC}">
              <c16:uniqueId val="{00000000-9ED2-4756-9626-29046B3681ED}"/>
            </c:ext>
          </c:extLst>
        </c:ser>
        <c:ser>
          <c:idx val="1"/>
          <c:order val="1"/>
          <c:tx>
            <c:strRef>
              <c:f>Nitrat!$E$3</c:f>
              <c:strCache>
                <c:ptCount val="1"/>
                <c:pt idx="0">
                  <c:v>2022</c:v>
                </c:pt>
              </c:strCache>
            </c:strRef>
          </c:tx>
          <c:spPr>
            <a:solidFill>
              <a:schemeClr val="accent2"/>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Nitrat!$E$4:$E$6</c:f>
              <c:numCache>
                <c:formatCode>0.00</c:formatCode>
                <c:ptCount val="3"/>
                <c:pt idx="0">
                  <c:v>0.20333333333333334</c:v>
                </c:pt>
                <c:pt idx="1">
                  <c:v>0.41833333333333328</c:v>
                </c:pt>
                <c:pt idx="2">
                  <c:v>0.42666666666666669</c:v>
                </c:pt>
              </c:numCache>
            </c:numRef>
          </c:val>
          <c:extLst>
            <c:ext xmlns:c16="http://schemas.microsoft.com/office/drawing/2014/chart" uri="{C3380CC4-5D6E-409C-BE32-E72D297353CC}">
              <c16:uniqueId val="{00000001-9ED2-4756-9626-29046B3681ED}"/>
            </c:ext>
          </c:extLst>
        </c:ser>
        <c:ser>
          <c:idx val="2"/>
          <c:order val="2"/>
          <c:tx>
            <c:strRef>
              <c:f>Nitrat!$F$3</c:f>
              <c:strCache>
                <c:ptCount val="1"/>
                <c:pt idx="0">
                  <c:v>2023</c:v>
                </c:pt>
              </c:strCache>
            </c:strRef>
          </c:tx>
          <c:spPr>
            <a:solidFill>
              <a:schemeClr val="accent3"/>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Nitrat!$F$4:$F$6</c:f>
              <c:numCache>
                <c:formatCode>0.00</c:formatCode>
                <c:ptCount val="3"/>
                <c:pt idx="0">
                  <c:v>0.29000000000000004</c:v>
                </c:pt>
                <c:pt idx="1">
                  <c:v>0.51166666666666671</c:v>
                </c:pt>
                <c:pt idx="2">
                  <c:v>0.42666666666666669</c:v>
                </c:pt>
              </c:numCache>
            </c:numRef>
          </c:val>
          <c:extLst>
            <c:ext xmlns:c16="http://schemas.microsoft.com/office/drawing/2014/chart" uri="{C3380CC4-5D6E-409C-BE32-E72D297353CC}">
              <c16:uniqueId val="{00000002-9ED2-4756-9626-29046B3681ED}"/>
            </c:ext>
          </c:extLst>
        </c:ser>
        <c:ser>
          <c:idx val="3"/>
          <c:order val="3"/>
          <c:tx>
            <c:strRef>
              <c:f>Nitrat!$G$3</c:f>
              <c:strCache>
                <c:ptCount val="1"/>
                <c:pt idx="0">
                  <c:v>2024</c:v>
                </c:pt>
              </c:strCache>
            </c:strRef>
          </c:tx>
          <c:spPr>
            <a:solidFill>
              <a:schemeClr val="accent4"/>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Nitrat!$G$4:$G$6</c:f>
              <c:numCache>
                <c:formatCode>0.00</c:formatCode>
                <c:ptCount val="3"/>
                <c:pt idx="0">
                  <c:v>0.18500000000000003</c:v>
                </c:pt>
                <c:pt idx="1">
                  <c:v>0.40833333333333338</c:v>
                </c:pt>
                <c:pt idx="2">
                  <c:v>0.33166666666666667</c:v>
                </c:pt>
              </c:numCache>
            </c:numRef>
          </c:val>
          <c:extLst>
            <c:ext xmlns:c16="http://schemas.microsoft.com/office/drawing/2014/chart" uri="{C3380CC4-5D6E-409C-BE32-E72D297353CC}">
              <c16:uniqueId val="{00000003-9ED2-4756-9626-29046B3681ED}"/>
            </c:ext>
          </c:extLst>
        </c:ser>
        <c:ser>
          <c:idx val="4"/>
          <c:order val="4"/>
          <c:tx>
            <c:strRef>
              <c:f>Nitrat!$H$3</c:f>
              <c:strCache>
                <c:ptCount val="1"/>
                <c:pt idx="0">
                  <c:v>2025</c:v>
                </c:pt>
              </c:strCache>
            </c:strRef>
          </c:tx>
          <c:spPr>
            <a:solidFill>
              <a:schemeClr val="accent5"/>
            </a:solidFill>
            <a:ln>
              <a:noFill/>
            </a:ln>
            <a:effectLst/>
          </c:spPr>
          <c:invertIfNegative val="0"/>
          <c:cat>
            <c:strRef>
              <c:f>Nitrat!$B$4:$C$6</c:f>
              <c:strCache>
                <c:ptCount val="3"/>
                <c:pt idx="0">
                  <c:v>Sông Cụt (tại cầu Tre)</c:v>
                </c:pt>
                <c:pt idx="1">
                  <c:v>Sông Rào Cái (tại cầu Phủ)</c:v>
                </c:pt>
                <c:pt idx="2">
                  <c:v>Sông Rào Cái (tại cầu Thạch Đồng)</c:v>
                </c:pt>
              </c:strCache>
            </c:strRef>
          </c:cat>
          <c:val>
            <c:numRef>
              <c:f>Nitrat!$H$4:$H$6</c:f>
              <c:numCache>
                <c:formatCode>0.00</c:formatCode>
                <c:ptCount val="3"/>
                <c:pt idx="0">
                  <c:v>0.47</c:v>
                </c:pt>
                <c:pt idx="1">
                  <c:v>0.8</c:v>
                </c:pt>
                <c:pt idx="2">
                  <c:v>0.72499999999999998</c:v>
                </c:pt>
              </c:numCache>
            </c:numRef>
          </c:val>
          <c:extLst>
            <c:ext xmlns:c16="http://schemas.microsoft.com/office/drawing/2014/chart" uri="{C3380CC4-5D6E-409C-BE32-E72D297353CC}">
              <c16:uniqueId val="{00000004-9ED2-4756-9626-29046B3681E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Nitrat!$I$3</c:f>
              <c:strCache>
                <c:ptCount val="1"/>
                <c:pt idx="0">
                  <c:v>QCVN 08-MT:2015/BTNMT (Cột B1)</c:v>
                </c:pt>
              </c:strCache>
            </c:strRef>
          </c:tx>
          <c:spPr>
            <a:ln w="22225" cap="rnd">
              <a:solidFill>
                <a:schemeClr val="accent6"/>
              </a:solidFill>
              <a:round/>
            </a:ln>
            <a:effectLst/>
          </c:spPr>
          <c:marker>
            <c:symbol val="none"/>
          </c:marker>
          <c:cat>
            <c:strRef>
              <c:f>Nitrat!$B$4:$C$6</c:f>
              <c:strCache>
                <c:ptCount val="3"/>
                <c:pt idx="0">
                  <c:v>Sông Cụt (tại cầu Tre)</c:v>
                </c:pt>
                <c:pt idx="1">
                  <c:v>Sông Rào Cái (tại cầu Phủ)</c:v>
                </c:pt>
                <c:pt idx="2">
                  <c:v>Sông Rào Cái (tại cầu Thạch Đồng)</c:v>
                </c:pt>
              </c:strCache>
            </c:strRef>
          </c:cat>
          <c:val>
            <c:numRef>
              <c:f>Nitrat!$I$4:$I$6</c:f>
              <c:numCache>
                <c:formatCode>0.0</c:formatCode>
                <c:ptCount val="3"/>
                <c:pt idx="0">
                  <c:v>10</c:v>
                </c:pt>
                <c:pt idx="1">
                  <c:v>10</c:v>
                </c:pt>
                <c:pt idx="2">
                  <c:v>10</c:v>
                </c:pt>
              </c:numCache>
            </c:numRef>
          </c:val>
          <c:smooth val="0"/>
          <c:extLst>
            <c:ext xmlns:c16="http://schemas.microsoft.com/office/drawing/2014/chart" uri="{C3380CC4-5D6E-409C-BE32-E72D297353CC}">
              <c16:uniqueId val="{00000005-9ED2-4756-9626-29046B3681E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2"/>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4566686162247E-4"/>
          <c:y val="0.19652776279677373"/>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8104456967124198E-2"/>
          <c:y val="3.3439998082431477E-2"/>
          <c:w val="0.89788232884819308"/>
          <c:h val="0.65981663250997735"/>
        </c:manualLayout>
      </c:layout>
      <c:barChart>
        <c:barDir val="col"/>
        <c:grouping val="clustered"/>
        <c:varyColors val="0"/>
        <c:ser>
          <c:idx val="0"/>
          <c:order val="0"/>
          <c:tx>
            <c:strRef>
              <c:f>Photphat!$D$3</c:f>
              <c:strCache>
                <c:ptCount val="1"/>
                <c:pt idx="0">
                  <c:v>2021</c:v>
                </c:pt>
              </c:strCache>
            </c:strRef>
          </c:tx>
          <c:spPr>
            <a:solidFill>
              <a:schemeClr val="accent1"/>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Photphat!$D$4:$D$6</c:f>
              <c:numCache>
                <c:formatCode>0.00</c:formatCode>
                <c:ptCount val="3"/>
                <c:pt idx="0">
                  <c:v>0.19000000000000003</c:v>
                </c:pt>
                <c:pt idx="1">
                  <c:v>5.2666666666666674E-2</c:v>
                </c:pt>
                <c:pt idx="2">
                  <c:v>4.5666666666666668E-2</c:v>
                </c:pt>
              </c:numCache>
            </c:numRef>
          </c:val>
          <c:extLst>
            <c:ext xmlns:c16="http://schemas.microsoft.com/office/drawing/2014/chart" uri="{C3380CC4-5D6E-409C-BE32-E72D297353CC}">
              <c16:uniqueId val="{00000000-8BC0-4C2D-A088-8B21AE616710}"/>
            </c:ext>
          </c:extLst>
        </c:ser>
        <c:ser>
          <c:idx val="1"/>
          <c:order val="1"/>
          <c:tx>
            <c:strRef>
              <c:f>Photphat!$E$3</c:f>
              <c:strCache>
                <c:ptCount val="1"/>
                <c:pt idx="0">
                  <c:v>2022</c:v>
                </c:pt>
              </c:strCache>
            </c:strRef>
          </c:tx>
          <c:spPr>
            <a:solidFill>
              <a:schemeClr val="accent2"/>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Photphat!$E$4:$E$6</c:f>
              <c:numCache>
                <c:formatCode>0.00</c:formatCode>
                <c:ptCount val="3"/>
                <c:pt idx="0">
                  <c:v>0.29933333333333328</c:v>
                </c:pt>
                <c:pt idx="1">
                  <c:v>5.3833333333333337E-2</c:v>
                </c:pt>
                <c:pt idx="2">
                  <c:v>8.1666666666666665E-2</c:v>
                </c:pt>
              </c:numCache>
            </c:numRef>
          </c:val>
          <c:extLst>
            <c:ext xmlns:c16="http://schemas.microsoft.com/office/drawing/2014/chart" uri="{C3380CC4-5D6E-409C-BE32-E72D297353CC}">
              <c16:uniqueId val="{00000001-8BC0-4C2D-A088-8B21AE616710}"/>
            </c:ext>
          </c:extLst>
        </c:ser>
        <c:ser>
          <c:idx val="2"/>
          <c:order val="2"/>
          <c:tx>
            <c:strRef>
              <c:f>Photphat!$F$3</c:f>
              <c:strCache>
                <c:ptCount val="1"/>
                <c:pt idx="0">
                  <c:v>2023</c:v>
                </c:pt>
              </c:strCache>
            </c:strRef>
          </c:tx>
          <c:spPr>
            <a:solidFill>
              <a:schemeClr val="accent3"/>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Photphat!$F$4:$F$6</c:f>
              <c:numCache>
                <c:formatCode>0.00</c:formatCode>
                <c:ptCount val="3"/>
                <c:pt idx="0">
                  <c:v>0.29066666666666668</c:v>
                </c:pt>
                <c:pt idx="1">
                  <c:v>7.9666666666666663E-2</c:v>
                </c:pt>
                <c:pt idx="2">
                  <c:v>3.5549999999999998E-2</c:v>
                </c:pt>
              </c:numCache>
            </c:numRef>
          </c:val>
          <c:extLst>
            <c:ext xmlns:c16="http://schemas.microsoft.com/office/drawing/2014/chart" uri="{C3380CC4-5D6E-409C-BE32-E72D297353CC}">
              <c16:uniqueId val="{00000002-8BC0-4C2D-A088-8B21AE616710}"/>
            </c:ext>
          </c:extLst>
        </c:ser>
        <c:ser>
          <c:idx val="3"/>
          <c:order val="3"/>
          <c:tx>
            <c:strRef>
              <c:f>Photphat!$G$3</c:f>
              <c:strCache>
                <c:ptCount val="1"/>
                <c:pt idx="0">
                  <c:v>2024</c:v>
                </c:pt>
              </c:strCache>
            </c:strRef>
          </c:tx>
          <c:spPr>
            <a:solidFill>
              <a:schemeClr val="accent4"/>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Photphat!$G$4:$G$6</c:f>
              <c:numCache>
                <c:formatCode>0.00</c:formatCode>
                <c:ptCount val="3"/>
                <c:pt idx="0">
                  <c:v>0.39650000000000002</c:v>
                </c:pt>
                <c:pt idx="1">
                  <c:v>4.0666666666666663E-2</c:v>
                </c:pt>
                <c:pt idx="2">
                  <c:v>6.2833333333333338E-2</c:v>
                </c:pt>
              </c:numCache>
            </c:numRef>
          </c:val>
          <c:extLst>
            <c:ext xmlns:c16="http://schemas.microsoft.com/office/drawing/2014/chart" uri="{C3380CC4-5D6E-409C-BE32-E72D297353CC}">
              <c16:uniqueId val="{00000003-8BC0-4C2D-A088-8B21AE616710}"/>
            </c:ext>
          </c:extLst>
        </c:ser>
        <c:ser>
          <c:idx val="4"/>
          <c:order val="4"/>
          <c:tx>
            <c:strRef>
              <c:f>Photphat!$H$3</c:f>
              <c:strCache>
                <c:ptCount val="1"/>
                <c:pt idx="0">
                  <c:v>2025</c:v>
                </c:pt>
              </c:strCache>
            </c:strRef>
          </c:tx>
          <c:spPr>
            <a:solidFill>
              <a:schemeClr val="accent5"/>
            </a:solidFill>
            <a:ln>
              <a:noFill/>
            </a:ln>
            <a:effectLst/>
          </c:spPr>
          <c:invertIfNegative val="0"/>
          <c:cat>
            <c:strRef>
              <c:f>Photphat!$B$4:$C$6</c:f>
              <c:strCache>
                <c:ptCount val="3"/>
                <c:pt idx="0">
                  <c:v>Sông Cụt (tại cầu Tre)</c:v>
                </c:pt>
                <c:pt idx="1">
                  <c:v>Sông Rào Cái (tại cầu Phủ)</c:v>
                </c:pt>
                <c:pt idx="2">
                  <c:v>Sông Rào Cái (tại cầu Thạch Đồng)</c:v>
                </c:pt>
              </c:strCache>
            </c:strRef>
          </c:cat>
          <c:val>
            <c:numRef>
              <c:f>Photphat!$H$4:$H$6</c:f>
              <c:numCache>
                <c:formatCode>0.00</c:formatCode>
                <c:ptCount val="3"/>
                <c:pt idx="0">
                  <c:v>0.62549999999999994</c:v>
                </c:pt>
                <c:pt idx="1">
                  <c:v>5.3500000000000006E-2</c:v>
                </c:pt>
                <c:pt idx="2">
                  <c:v>5.4499999999999993E-2</c:v>
                </c:pt>
              </c:numCache>
            </c:numRef>
          </c:val>
          <c:extLst>
            <c:ext xmlns:c16="http://schemas.microsoft.com/office/drawing/2014/chart" uri="{C3380CC4-5D6E-409C-BE32-E72D297353CC}">
              <c16:uniqueId val="{00000004-8BC0-4C2D-A088-8B21AE616710}"/>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Photphat!$I$3</c:f>
              <c:strCache>
                <c:ptCount val="1"/>
                <c:pt idx="0">
                  <c:v>QCVN 08-MT:2015/BTNMT (Cột B1)</c:v>
                </c:pt>
              </c:strCache>
            </c:strRef>
          </c:tx>
          <c:spPr>
            <a:ln w="22225" cap="rnd">
              <a:solidFill>
                <a:schemeClr val="accent6"/>
              </a:solidFill>
              <a:round/>
            </a:ln>
            <a:effectLst/>
          </c:spPr>
          <c:marker>
            <c:symbol val="none"/>
          </c:marker>
          <c:cat>
            <c:strRef>
              <c:f>Photphat!$B$4:$C$6</c:f>
              <c:strCache>
                <c:ptCount val="3"/>
                <c:pt idx="0">
                  <c:v>Sông Cụt (tại cầu Tre)</c:v>
                </c:pt>
                <c:pt idx="1">
                  <c:v>Sông Rào Cái (tại cầu Phủ)</c:v>
                </c:pt>
                <c:pt idx="2">
                  <c:v>Sông Rào Cái (tại cầu Thạch Đồng)</c:v>
                </c:pt>
              </c:strCache>
            </c:strRef>
          </c:cat>
          <c:val>
            <c:numRef>
              <c:f>Photphat!$I$4:$I$6</c:f>
              <c:numCache>
                <c:formatCode>0.0</c:formatCode>
                <c:ptCount val="3"/>
                <c:pt idx="0">
                  <c:v>0.3</c:v>
                </c:pt>
                <c:pt idx="1">
                  <c:v>0.3</c:v>
                </c:pt>
                <c:pt idx="2">
                  <c:v>0.3</c:v>
                </c:pt>
              </c:numCache>
            </c:numRef>
          </c:val>
          <c:smooth val="0"/>
          <c:extLst>
            <c:ext xmlns:c16="http://schemas.microsoft.com/office/drawing/2014/chart" uri="{C3380CC4-5D6E-409C-BE32-E72D297353CC}">
              <c16:uniqueId val="{00000005-8BC0-4C2D-A088-8B21AE616710}"/>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70000000000000007"/>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(MPN/100mll)</a:t>
            </a:r>
          </a:p>
        </c:rich>
      </c:tx>
      <c:layout>
        <c:manualLayout>
          <c:xMode val="edge"/>
          <c:yMode val="edge"/>
          <c:x val="1.5324566686162247E-4"/>
          <c:y val="0.106263107355483"/>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0.10730910674957783"/>
          <c:y val="5.737070100280018E-2"/>
          <c:w val="0.88060392329733284"/>
          <c:h val="0.53188807821040718"/>
        </c:manualLayout>
      </c:layout>
      <c:barChart>
        <c:barDir val="col"/>
        <c:grouping val="clustered"/>
        <c:varyColors val="0"/>
        <c:ser>
          <c:idx val="0"/>
          <c:order val="0"/>
          <c:tx>
            <c:strRef>
              <c:f>Coliform!$D$3</c:f>
              <c:strCache>
                <c:ptCount val="1"/>
                <c:pt idx="0">
                  <c:v>2021</c:v>
                </c:pt>
              </c:strCache>
            </c:strRef>
          </c:tx>
          <c:spPr>
            <a:solidFill>
              <a:schemeClr val="accent1"/>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Coliform!$D$4:$D$6</c:f>
              <c:numCache>
                <c:formatCode>0.00</c:formatCode>
                <c:ptCount val="3"/>
                <c:pt idx="0">
                  <c:v>3983.3333333333335</c:v>
                </c:pt>
                <c:pt idx="1">
                  <c:v>3333.3333333333335</c:v>
                </c:pt>
                <c:pt idx="2">
                  <c:v>1116.6666666666667</c:v>
                </c:pt>
              </c:numCache>
            </c:numRef>
          </c:val>
          <c:extLst>
            <c:ext xmlns:c16="http://schemas.microsoft.com/office/drawing/2014/chart" uri="{C3380CC4-5D6E-409C-BE32-E72D297353CC}">
              <c16:uniqueId val="{00000000-A0BE-4F7C-AC2B-712D29A9E7EE}"/>
            </c:ext>
          </c:extLst>
        </c:ser>
        <c:ser>
          <c:idx val="1"/>
          <c:order val="1"/>
          <c:tx>
            <c:strRef>
              <c:f>Coliform!$E$3</c:f>
              <c:strCache>
                <c:ptCount val="1"/>
                <c:pt idx="0">
                  <c:v>2022</c:v>
                </c:pt>
              </c:strCache>
            </c:strRef>
          </c:tx>
          <c:spPr>
            <a:solidFill>
              <a:schemeClr val="accent2"/>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Coliform!$E$4:$E$6</c:f>
              <c:numCache>
                <c:formatCode>0.00</c:formatCode>
                <c:ptCount val="3"/>
                <c:pt idx="0">
                  <c:v>5583.333333333333</c:v>
                </c:pt>
                <c:pt idx="1">
                  <c:v>2391.6666666666665</c:v>
                </c:pt>
                <c:pt idx="2">
                  <c:v>2221.6666666666665</c:v>
                </c:pt>
              </c:numCache>
            </c:numRef>
          </c:val>
          <c:extLst>
            <c:ext xmlns:c16="http://schemas.microsoft.com/office/drawing/2014/chart" uri="{C3380CC4-5D6E-409C-BE32-E72D297353CC}">
              <c16:uniqueId val="{00000001-A0BE-4F7C-AC2B-712D29A9E7EE}"/>
            </c:ext>
          </c:extLst>
        </c:ser>
        <c:ser>
          <c:idx val="2"/>
          <c:order val="2"/>
          <c:tx>
            <c:strRef>
              <c:f>Coliform!$F$3</c:f>
              <c:strCache>
                <c:ptCount val="1"/>
                <c:pt idx="0">
                  <c:v>2023</c:v>
                </c:pt>
              </c:strCache>
            </c:strRef>
          </c:tx>
          <c:spPr>
            <a:solidFill>
              <a:schemeClr val="accent3"/>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Coliform!$F$4:$F$6</c:f>
              <c:numCache>
                <c:formatCode>0.00</c:formatCode>
                <c:ptCount val="3"/>
                <c:pt idx="0">
                  <c:v>9116.6666666666661</c:v>
                </c:pt>
                <c:pt idx="1">
                  <c:v>3683.3333333333335</c:v>
                </c:pt>
                <c:pt idx="2">
                  <c:v>5195</c:v>
                </c:pt>
              </c:numCache>
            </c:numRef>
          </c:val>
          <c:extLst>
            <c:ext xmlns:c16="http://schemas.microsoft.com/office/drawing/2014/chart" uri="{C3380CC4-5D6E-409C-BE32-E72D297353CC}">
              <c16:uniqueId val="{00000002-A0BE-4F7C-AC2B-712D29A9E7EE}"/>
            </c:ext>
          </c:extLst>
        </c:ser>
        <c:ser>
          <c:idx val="3"/>
          <c:order val="3"/>
          <c:tx>
            <c:strRef>
              <c:f>Coliform!$G$3</c:f>
              <c:strCache>
                <c:ptCount val="1"/>
                <c:pt idx="0">
                  <c:v>2024</c:v>
                </c:pt>
              </c:strCache>
            </c:strRef>
          </c:tx>
          <c:spPr>
            <a:solidFill>
              <a:schemeClr val="accent4"/>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Coliform!$G$4:$G$6</c:f>
              <c:numCache>
                <c:formatCode>0.00</c:formatCode>
                <c:ptCount val="3"/>
                <c:pt idx="0">
                  <c:v>5166.666666666667</c:v>
                </c:pt>
                <c:pt idx="1">
                  <c:v>1525</c:v>
                </c:pt>
                <c:pt idx="2">
                  <c:v>1588.3333333333333</c:v>
                </c:pt>
              </c:numCache>
            </c:numRef>
          </c:val>
          <c:extLst>
            <c:ext xmlns:c16="http://schemas.microsoft.com/office/drawing/2014/chart" uri="{C3380CC4-5D6E-409C-BE32-E72D297353CC}">
              <c16:uniqueId val="{00000003-A0BE-4F7C-AC2B-712D29A9E7EE}"/>
            </c:ext>
          </c:extLst>
        </c:ser>
        <c:ser>
          <c:idx val="4"/>
          <c:order val="4"/>
          <c:tx>
            <c:strRef>
              <c:f>Coliform!$H$3</c:f>
              <c:strCache>
                <c:ptCount val="1"/>
                <c:pt idx="0">
                  <c:v>2025</c:v>
                </c:pt>
              </c:strCache>
            </c:strRef>
          </c:tx>
          <c:spPr>
            <a:solidFill>
              <a:schemeClr val="accent5"/>
            </a:solidFill>
            <a:ln>
              <a:noFill/>
            </a:ln>
            <a:effectLst/>
          </c:spPr>
          <c:invertIfNegative val="0"/>
          <c:cat>
            <c:strRef>
              <c:f>Coliform!$B$4:$C$6</c:f>
              <c:strCache>
                <c:ptCount val="3"/>
                <c:pt idx="0">
                  <c:v>Sông Cụt (tại cầu Tre)</c:v>
                </c:pt>
                <c:pt idx="1">
                  <c:v>Sông Rào Cái (tại cầu Phủ)</c:v>
                </c:pt>
                <c:pt idx="2">
                  <c:v>Sông Rào Cái (tại cầu Thạch Đồng)</c:v>
                </c:pt>
              </c:strCache>
            </c:strRef>
          </c:cat>
          <c:val>
            <c:numRef>
              <c:f>Coliform!$H$4:$H$6</c:f>
              <c:numCache>
                <c:formatCode>0.00</c:formatCode>
                <c:ptCount val="3"/>
                <c:pt idx="0">
                  <c:v>3950</c:v>
                </c:pt>
                <c:pt idx="1">
                  <c:v>970</c:v>
                </c:pt>
                <c:pt idx="2">
                  <c:v>1250</c:v>
                </c:pt>
              </c:numCache>
            </c:numRef>
          </c:val>
          <c:extLst>
            <c:ext xmlns:c16="http://schemas.microsoft.com/office/drawing/2014/chart" uri="{C3380CC4-5D6E-409C-BE32-E72D297353CC}">
              <c16:uniqueId val="{00000004-A0BE-4F7C-AC2B-712D29A9E7EE}"/>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Coliform!$I$3</c:f>
              <c:strCache>
                <c:ptCount val="1"/>
                <c:pt idx="0">
                  <c:v>QCVN 08-MT:2015/BTNMT (Cột B1)</c:v>
                </c:pt>
              </c:strCache>
            </c:strRef>
          </c:tx>
          <c:spPr>
            <a:ln w="22225" cap="rnd">
              <a:solidFill>
                <a:schemeClr val="accent6"/>
              </a:solidFill>
              <a:round/>
            </a:ln>
            <a:effectLst/>
          </c:spPr>
          <c:marker>
            <c:symbol val="none"/>
          </c:marker>
          <c:cat>
            <c:strRef>
              <c:f>Coliform!$B$4:$C$6</c:f>
              <c:strCache>
                <c:ptCount val="3"/>
                <c:pt idx="0">
                  <c:v>Sông Cụt (tại cầu Tre)</c:v>
                </c:pt>
                <c:pt idx="1">
                  <c:v>Sông Rào Cái (tại cầu Phủ)</c:v>
                </c:pt>
                <c:pt idx="2">
                  <c:v>Sông Rào Cái (tại cầu Thạch Đồng)</c:v>
                </c:pt>
              </c:strCache>
            </c:strRef>
          </c:cat>
          <c:val>
            <c:numRef>
              <c:f>Coliform!$I$4:$I$6</c:f>
              <c:numCache>
                <c:formatCode>0.0</c:formatCode>
                <c:ptCount val="3"/>
                <c:pt idx="0">
                  <c:v>7500</c:v>
                </c:pt>
                <c:pt idx="1">
                  <c:v>7500</c:v>
                </c:pt>
                <c:pt idx="2">
                  <c:v>7500</c:v>
                </c:pt>
              </c:numCache>
            </c:numRef>
          </c:val>
          <c:smooth val="0"/>
          <c:extLst>
            <c:ext xmlns:c16="http://schemas.microsoft.com/office/drawing/2014/chart" uri="{C3380CC4-5D6E-409C-BE32-E72D297353CC}">
              <c16:uniqueId val="{00000005-A0BE-4F7C-AC2B-712D29A9E7EE}"/>
            </c:ext>
          </c:extLst>
        </c:ser>
        <c:ser>
          <c:idx val="6"/>
          <c:order val="6"/>
          <c:tx>
            <c:strRef>
              <c:f>Coliform!$J$3</c:f>
              <c:strCache>
                <c:ptCount val="1"/>
                <c:pt idx="0">
                  <c:v>QCVN 08:2023/BTNMT (Mức B)</c:v>
                </c:pt>
              </c:strCache>
            </c:strRef>
          </c:tx>
          <c:spPr>
            <a:ln w="22225" cap="rnd">
              <a:solidFill>
                <a:schemeClr val="accent1">
                  <a:lumMod val="60000"/>
                </a:schemeClr>
              </a:solidFill>
              <a:round/>
            </a:ln>
            <a:effectLst/>
          </c:spPr>
          <c:marker>
            <c:symbol val="none"/>
          </c:marker>
          <c:cat>
            <c:strRef>
              <c:f>Coliform!$B$4:$C$6</c:f>
              <c:strCache>
                <c:ptCount val="3"/>
                <c:pt idx="0">
                  <c:v>Sông Cụt (tại cầu Tre)</c:v>
                </c:pt>
                <c:pt idx="1">
                  <c:v>Sông Rào Cái (tại cầu Phủ)</c:v>
                </c:pt>
                <c:pt idx="2">
                  <c:v>Sông Rào Cái (tại cầu Thạch Đồng)</c:v>
                </c:pt>
              </c:strCache>
            </c:strRef>
          </c:cat>
          <c:val>
            <c:numRef>
              <c:f>Coliform!$J$4:$J$6</c:f>
              <c:numCache>
                <c:formatCode>0.0</c:formatCode>
                <c:ptCount val="3"/>
                <c:pt idx="0">
                  <c:v>5000</c:v>
                </c:pt>
                <c:pt idx="1">
                  <c:v>5000</c:v>
                </c:pt>
                <c:pt idx="2">
                  <c:v>5000</c:v>
                </c:pt>
              </c:numCache>
            </c:numRef>
          </c:val>
          <c:smooth val="0"/>
          <c:extLst>
            <c:ext xmlns:c16="http://schemas.microsoft.com/office/drawing/2014/chart" uri="{C3380CC4-5D6E-409C-BE32-E72D297353CC}">
              <c16:uniqueId val="{00000006-A0BE-4F7C-AC2B-712D29A9E7EE}"/>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en-US"/>
          </a:p>
        </c:txPr>
        <c:crossAx val="632912232"/>
        <c:crosses val="autoZero"/>
        <c:auto val="1"/>
        <c:lblAlgn val="ctr"/>
        <c:lblOffset val="100"/>
        <c:noMultiLvlLbl val="0"/>
      </c:catAx>
      <c:valAx>
        <c:axId val="632912232"/>
        <c:scaling>
          <c:orientation val="minMax"/>
          <c:max val="10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00"/>
      </c:valAx>
      <c:spPr>
        <a:noFill/>
        <a:ln>
          <a:noFill/>
        </a:ln>
        <a:effectLst/>
      </c:spPr>
    </c:plotArea>
    <c:legend>
      <c:legendPos val="b"/>
      <c:layout>
        <c:manualLayout>
          <c:xMode val="edge"/>
          <c:yMode val="edge"/>
          <c:x val="5.3449415913599294E-2"/>
          <c:y val="0.74478701630186139"/>
          <c:w val="0.89310116817280139"/>
          <c:h val="0.2345373112764573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6.1884669479606191E-2"/>
          <c:w val="0.91479870669681829"/>
          <c:h val="0.56677674784322851"/>
        </c:manualLayout>
      </c:layout>
      <c:lineChart>
        <c:grouping val="standard"/>
        <c:varyColors val="0"/>
        <c:ser>
          <c:idx val="0"/>
          <c:order val="0"/>
          <c:tx>
            <c:strRef>
              <c:f>WQI!$D$8</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WQI!$D$9:$D$11</c:f>
              <c:numCache>
                <c:formatCode>General</c:formatCode>
                <c:ptCount val="3"/>
                <c:pt idx="0">
                  <c:v>75</c:v>
                </c:pt>
                <c:pt idx="1">
                  <c:v>84</c:v>
                </c:pt>
                <c:pt idx="2">
                  <c:v>94</c:v>
                </c:pt>
              </c:numCache>
            </c:numRef>
          </c:val>
          <c:smooth val="0"/>
          <c:extLst>
            <c:ext xmlns:c16="http://schemas.microsoft.com/office/drawing/2014/chart" uri="{C3380CC4-5D6E-409C-BE32-E72D297353CC}">
              <c16:uniqueId val="{00000000-1FEA-4470-94BD-3E1E78065E7B}"/>
            </c:ext>
          </c:extLst>
        </c:ser>
        <c:ser>
          <c:idx val="1"/>
          <c:order val="1"/>
          <c:tx>
            <c:strRef>
              <c:f>WQI!$E$8</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WQI!$E$9:$E$11</c:f>
              <c:numCache>
                <c:formatCode>General</c:formatCode>
                <c:ptCount val="3"/>
                <c:pt idx="0">
                  <c:v>68</c:v>
                </c:pt>
                <c:pt idx="1">
                  <c:v>83</c:v>
                </c:pt>
                <c:pt idx="2">
                  <c:v>87</c:v>
                </c:pt>
              </c:numCache>
            </c:numRef>
          </c:val>
          <c:smooth val="0"/>
          <c:extLst>
            <c:ext xmlns:c16="http://schemas.microsoft.com/office/drawing/2014/chart" uri="{C3380CC4-5D6E-409C-BE32-E72D297353CC}">
              <c16:uniqueId val="{00000001-1FEA-4470-94BD-3E1E78065E7B}"/>
            </c:ext>
          </c:extLst>
        </c:ser>
        <c:ser>
          <c:idx val="2"/>
          <c:order val="2"/>
          <c:tx>
            <c:strRef>
              <c:f>WQI!$F$8</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WQI!$F$9:$F$11</c:f>
              <c:numCache>
                <c:formatCode>General</c:formatCode>
                <c:ptCount val="3"/>
                <c:pt idx="0">
                  <c:v>49</c:v>
                </c:pt>
                <c:pt idx="1">
                  <c:v>87</c:v>
                </c:pt>
                <c:pt idx="2">
                  <c:v>76</c:v>
                </c:pt>
              </c:numCache>
            </c:numRef>
          </c:val>
          <c:smooth val="0"/>
          <c:extLst>
            <c:ext xmlns:c16="http://schemas.microsoft.com/office/drawing/2014/chart" uri="{C3380CC4-5D6E-409C-BE32-E72D297353CC}">
              <c16:uniqueId val="{00000002-1FEA-4470-94BD-3E1E78065E7B}"/>
            </c:ext>
          </c:extLst>
        </c:ser>
        <c:ser>
          <c:idx val="3"/>
          <c:order val="3"/>
          <c:tx>
            <c:strRef>
              <c:f>WQI!$G$8</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WQI!$C$9:$C$11</c:f>
              <c:strCache>
                <c:ptCount val="3"/>
                <c:pt idx="0">
                  <c:v>Sông Cụt (tại cầu Tre)</c:v>
                </c:pt>
                <c:pt idx="1">
                  <c:v>Sông Rào Cái (tại cầu Phủ)</c:v>
                </c:pt>
                <c:pt idx="2">
                  <c:v>Sông Rào Cái (tại cầu Thạch Đồng)</c:v>
                </c:pt>
              </c:strCache>
            </c:strRef>
          </c:cat>
          <c:val>
            <c:numRef>
              <c:f>WQI!$G$9:$G$11</c:f>
              <c:numCache>
                <c:formatCode>0</c:formatCode>
                <c:ptCount val="3"/>
                <c:pt idx="0" formatCode="General">
                  <c:v>63</c:v>
                </c:pt>
                <c:pt idx="1">
                  <c:v>93.333333333333329</c:v>
                </c:pt>
                <c:pt idx="2">
                  <c:v>87.666666666666671</c:v>
                </c:pt>
              </c:numCache>
            </c:numRef>
          </c:val>
          <c:smooth val="0"/>
          <c:extLst>
            <c:ext xmlns:c16="http://schemas.microsoft.com/office/drawing/2014/chart" uri="{C3380CC4-5D6E-409C-BE32-E72D297353CC}">
              <c16:uniqueId val="{00000003-1FEA-4470-94BD-3E1E78065E7B}"/>
            </c:ext>
          </c:extLst>
        </c:ser>
        <c:ser>
          <c:idx val="4"/>
          <c:order val="4"/>
          <c:tx>
            <c:strRef>
              <c:f>WQI!$H$8</c:f>
              <c:strCache>
                <c:ptCount val="1"/>
                <c:pt idx="0">
                  <c:v>WQI-Rất tốt (91-100)</c:v>
                </c:pt>
              </c:strCache>
            </c:strRef>
          </c:tx>
          <c:spPr>
            <a:ln w="28575" cap="rnd">
              <a:solidFill>
                <a:schemeClr val="accent5"/>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WQI!$H$9:$H$11</c:f>
              <c:numCache>
                <c:formatCode>General</c:formatCode>
                <c:ptCount val="3"/>
                <c:pt idx="0">
                  <c:v>91</c:v>
                </c:pt>
                <c:pt idx="1">
                  <c:v>91</c:v>
                </c:pt>
                <c:pt idx="2">
                  <c:v>91</c:v>
                </c:pt>
              </c:numCache>
            </c:numRef>
          </c:val>
          <c:smooth val="0"/>
          <c:extLst>
            <c:ext xmlns:c16="http://schemas.microsoft.com/office/drawing/2014/chart" uri="{C3380CC4-5D6E-409C-BE32-E72D297353CC}">
              <c16:uniqueId val="{00000004-1FEA-4470-94BD-3E1E78065E7B}"/>
            </c:ext>
          </c:extLst>
        </c:ser>
        <c:ser>
          <c:idx val="5"/>
          <c:order val="5"/>
          <c:tx>
            <c:strRef>
              <c:f>WQI!$I$8</c:f>
              <c:strCache>
                <c:ptCount val="1"/>
                <c:pt idx="0">
                  <c:v>WQI-Tốt (76-90)</c:v>
                </c:pt>
              </c:strCache>
            </c:strRef>
          </c:tx>
          <c:spPr>
            <a:ln w="28575" cap="rnd">
              <a:solidFill>
                <a:schemeClr val="accent6"/>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WQI!$I$9:$I$11</c:f>
              <c:numCache>
                <c:formatCode>General</c:formatCode>
                <c:ptCount val="3"/>
                <c:pt idx="0">
                  <c:v>76</c:v>
                </c:pt>
                <c:pt idx="1">
                  <c:v>76</c:v>
                </c:pt>
                <c:pt idx="2">
                  <c:v>76</c:v>
                </c:pt>
              </c:numCache>
            </c:numRef>
          </c:val>
          <c:smooth val="0"/>
          <c:extLst>
            <c:ext xmlns:c16="http://schemas.microsoft.com/office/drawing/2014/chart" uri="{C3380CC4-5D6E-409C-BE32-E72D297353CC}">
              <c16:uniqueId val="{00000005-1FEA-4470-94BD-3E1E78065E7B}"/>
            </c:ext>
          </c:extLst>
        </c:ser>
        <c:ser>
          <c:idx val="6"/>
          <c:order val="6"/>
          <c:tx>
            <c:strRef>
              <c:f>WQI!$J$8</c:f>
              <c:strCache>
                <c:ptCount val="1"/>
                <c:pt idx="0">
                  <c:v>WQI-Trung bình (51-75)</c:v>
                </c:pt>
              </c:strCache>
            </c:strRef>
          </c:tx>
          <c:spPr>
            <a:ln w="28575" cap="rnd">
              <a:solidFill>
                <a:schemeClr val="accent1">
                  <a:lumMod val="60000"/>
                </a:schemeClr>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WQI!$J$9:$J$11</c:f>
              <c:numCache>
                <c:formatCode>General</c:formatCode>
                <c:ptCount val="3"/>
                <c:pt idx="0">
                  <c:v>51</c:v>
                </c:pt>
                <c:pt idx="1">
                  <c:v>51</c:v>
                </c:pt>
                <c:pt idx="2">
                  <c:v>51</c:v>
                </c:pt>
              </c:numCache>
            </c:numRef>
          </c:val>
          <c:smooth val="0"/>
          <c:extLst>
            <c:ext xmlns:c16="http://schemas.microsoft.com/office/drawing/2014/chart" uri="{C3380CC4-5D6E-409C-BE32-E72D297353CC}">
              <c16:uniqueId val="{00000006-1FEA-4470-94BD-3E1E78065E7B}"/>
            </c:ext>
          </c:extLst>
        </c:ser>
        <c:ser>
          <c:idx val="7"/>
          <c:order val="7"/>
          <c:tx>
            <c:strRef>
              <c:f>WQI!$K$8</c:f>
              <c:strCache>
                <c:ptCount val="1"/>
                <c:pt idx="0">
                  <c:v>WQI-Xấu (26-50)</c:v>
                </c:pt>
              </c:strCache>
            </c:strRef>
          </c:tx>
          <c:spPr>
            <a:ln w="28575" cap="rnd">
              <a:solidFill>
                <a:schemeClr val="accent2">
                  <a:lumMod val="60000"/>
                </a:schemeClr>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WQI!$K$9:$K$11</c:f>
              <c:numCache>
                <c:formatCode>General</c:formatCode>
                <c:ptCount val="3"/>
                <c:pt idx="0">
                  <c:v>26</c:v>
                </c:pt>
                <c:pt idx="1">
                  <c:v>26</c:v>
                </c:pt>
                <c:pt idx="2">
                  <c:v>26</c:v>
                </c:pt>
              </c:numCache>
            </c:numRef>
          </c:val>
          <c:smooth val="0"/>
          <c:extLst>
            <c:ext xmlns:c16="http://schemas.microsoft.com/office/drawing/2014/chart" uri="{C3380CC4-5D6E-409C-BE32-E72D297353CC}">
              <c16:uniqueId val="{00000007-1FEA-4470-94BD-3E1E78065E7B}"/>
            </c:ext>
          </c:extLst>
        </c:ser>
        <c:ser>
          <c:idx val="8"/>
          <c:order val="8"/>
          <c:tx>
            <c:strRef>
              <c:f>WQI!$L$8</c:f>
              <c:strCache>
                <c:ptCount val="1"/>
                <c:pt idx="0">
                  <c:v>WQI-Kém (10-25)</c:v>
                </c:pt>
              </c:strCache>
            </c:strRef>
          </c:tx>
          <c:spPr>
            <a:ln w="28575" cap="rnd">
              <a:solidFill>
                <a:schemeClr val="accent3">
                  <a:lumMod val="60000"/>
                </a:schemeClr>
              </a:solidFill>
              <a:round/>
            </a:ln>
            <a:effectLst/>
          </c:spPr>
          <c:marker>
            <c:symbol val="none"/>
          </c:marker>
          <c:cat>
            <c:strRef>
              <c:f>WQI!$C$9:$C$11</c:f>
              <c:strCache>
                <c:ptCount val="3"/>
                <c:pt idx="0">
                  <c:v>Sông Cụt (tại cầu Tre)</c:v>
                </c:pt>
                <c:pt idx="1">
                  <c:v>Sông Rào Cái (tại cầu Phủ)</c:v>
                </c:pt>
                <c:pt idx="2">
                  <c:v>Sông Rào Cái (tại cầu Thạch Đồng)</c:v>
                </c:pt>
              </c:strCache>
            </c:strRef>
          </c:cat>
          <c:val>
            <c:numRef>
              <c:f>WQI!$L$9:$L$11</c:f>
              <c:numCache>
                <c:formatCode>General</c:formatCode>
                <c:ptCount val="3"/>
                <c:pt idx="0">
                  <c:v>10</c:v>
                </c:pt>
                <c:pt idx="1">
                  <c:v>10</c:v>
                </c:pt>
                <c:pt idx="2">
                  <c:v>10</c:v>
                </c:pt>
              </c:numCache>
            </c:numRef>
          </c:val>
          <c:smooth val="0"/>
          <c:extLst>
            <c:ext xmlns:c16="http://schemas.microsoft.com/office/drawing/2014/chart" uri="{C3380CC4-5D6E-409C-BE32-E72D297353CC}">
              <c16:uniqueId val="{00000008-1FEA-4470-94BD-3E1E78065E7B}"/>
            </c:ext>
          </c:extLst>
        </c:ser>
        <c:dLbls>
          <c:showLegendKey val="0"/>
          <c:showVal val="0"/>
          <c:showCatName val="0"/>
          <c:showSerName val="0"/>
          <c:showPercent val="0"/>
          <c:showBubbleSize val="0"/>
        </c:dLbls>
        <c:marker val="1"/>
        <c:smooth val="0"/>
        <c:axId val="452872143"/>
        <c:axId val="452875055"/>
      </c:lineChart>
      <c:catAx>
        <c:axId val="4528721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52875055"/>
        <c:crosses val="autoZero"/>
        <c:auto val="1"/>
        <c:lblAlgn val="ctr"/>
        <c:lblOffset val="100"/>
        <c:noMultiLvlLbl val="0"/>
      </c:catAx>
      <c:valAx>
        <c:axId val="4528750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52872143"/>
        <c:crosses val="autoZero"/>
        <c:crossBetween val="between"/>
      </c:valAx>
      <c:spPr>
        <a:noFill/>
        <a:ln>
          <a:noFill/>
        </a:ln>
        <a:effectLst/>
      </c:spPr>
    </c:plotArea>
    <c:legend>
      <c:legendPos val="b"/>
      <c:layout>
        <c:manualLayout>
          <c:xMode val="edge"/>
          <c:yMode val="edge"/>
          <c:x val="3.5600721278586052E-2"/>
          <c:y val="0.75754676235090868"/>
          <c:w val="0.92879838389167635"/>
          <c:h val="0.2086979633874879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363330728697080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6987464400320019E-2"/>
          <c:y val="3.514575945182425E-2"/>
          <c:w val="0.90882420830303423"/>
          <c:h val="0.40503937007874014"/>
        </c:manualLayout>
      </c:layout>
      <c:barChart>
        <c:barDir val="col"/>
        <c:grouping val="clustered"/>
        <c:varyColors val="0"/>
        <c:ser>
          <c:idx val="0"/>
          <c:order val="0"/>
          <c:tx>
            <c:strRef>
              <c:f>'BOD5'!$D$16</c:f>
              <c:strCache>
                <c:ptCount val="1"/>
                <c:pt idx="0">
                  <c:v>2021</c:v>
                </c:pt>
              </c:strCache>
            </c:strRef>
          </c:tx>
          <c:spPr>
            <a:solidFill>
              <a:schemeClr val="accent1"/>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'BOD5'!$D$17:$D$26</c:f>
              <c:numCache>
                <c:formatCode>0.00</c:formatCode>
                <c:ptCount val="10"/>
                <c:pt idx="0">
                  <c:v>7.1500000000000012</c:v>
                </c:pt>
                <c:pt idx="1">
                  <c:v>13.866666666666667</c:v>
                </c:pt>
                <c:pt idx="2">
                  <c:v>8.2333333333333325</c:v>
                </c:pt>
                <c:pt idx="3">
                  <c:v>6.4833333333333334</c:v>
                </c:pt>
                <c:pt idx="4">
                  <c:v>8.7333333333333343</c:v>
                </c:pt>
                <c:pt idx="5">
                  <c:v>8.6166666666666671</c:v>
                </c:pt>
                <c:pt idx="6">
                  <c:v>7.6000000000000005</c:v>
                </c:pt>
                <c:pt idx="7">
                  <c:v>5.3166666666666673</c:v>
                </c:pt>
                <c:pt idx="8">
                  <c:v>7.6166666666666671</c:v>
                </c:pt>
                <c:pt idx="9">
                  <c:v>3</c:v>
                </c:pt>
              </c:numCache>
            </c:numRef>
          </c:val>
          <c:extLst>
            <c:ext xmlns:c16="http://schemas.microsoft.com/office/drawing/2014/chart" uri="{C3380CC4-5D6E-409C-BE32-E72D297353CC}">
              <c16:uniqueId val="{00000000-4752-4D8E-8E3E-84387A61D582}"/>
            </c:ext>
          </c:extLst>
        </c:ser>
        <c:ser>
          <c:idx val="1"/>
          <c:order val="1"/>
          <c:tx>
            <c:strRef>
              <c:f>'BOD5'!$E$16</c:f>
              <c:strCache>
                <c:ptCount val="1"/>
                <c:pt idx="0">
                  <c:v>2022</c:v>
                </c:pt>
              </c:strCache>
            </c:strRef>
          </c:tx>
          <c:spPr>
            <a:solidFill>
              <a:schemeClr val="accent2"/>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'BOD5'!$E$17:$E$26</c:f>
              <c:numCache>
                <c:formatCode>0.00</c:formatCode>
                <c:ptCount val="10"/>
                <c:pt idx="0">
                  <c:v>8.5333333333333332</c:v>
                </c:pt>
                <c:pt idx="1">
                  <c:v>9.5333333333333332</c:v>
                </c:pt>
                <c:pt idx="2">
                  <c:v>7.1500000000000012</c:v>
                </c:pt>
                <c:pt idx="3">
                  <c:v>3.9833333333333329</c:v>
                </c:pt>
                <c:pt idx="4">
                  <c:v>6.9833333333333334</c:v>
                </c:pt>
                <c:pt idx="5">
                  <c:v>6.9666666666666659</c:v>
                </c:pt>
                <c:pt idx="6">
                  <c:v>7.6833333333333336</c:v>
                </c:pt>
                <c:pt idx="7">
                  <c:v>6.0333333333333323</c:v>
                </c:pt>
                <c:pt idx="8">
                  <c:v>6.3</c:v>
                </c:pt>
                <c:pt idx="9">
                  <c:v>5.2</c:v>
                </c:pt>
              </c:numCache>
            </c:numRef>
          </c:val>
          <c:extLst>
            <c:ext xmlns:c16="http://schemas.microsoft.com/office/drawing/2014/chart" uri="{C3380CC4-5D6E-409C-BE32-E72D297353CC}">
              <c16:uniqueId val="{00000001-4752-4D8E-8E3E-84387A61D582}"/>
            </c:ext>
          </c:extLst>
        </c:ser>
        <c:ser>
          <c:idx val="2"/>
          <c:order val="2"/>
          <c:tx>
            <c:strRef>
              <c:f>'BOD5'!$F$16</c:f>
              <c:strCache>
                <c:ptCount val="1"/>
                <c:pt idx="0">
                  <c:v>2023</c:v>
                </c:pt>
              </c:strCache>
            </c:strRef>
          </c:tx>
          <c:spPr>
            <a:solidFill>
              <a:schemeClr val="accent3"/>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'BOD5'!$F$17:$F$26</c:f>
              <c:numCache>
                <c:formatCode>0.00</c:formatCode>
                <c:ptCount val="10"/>
                <c:pt idx="0">
                  <c:v>4.5999999999999996</c:v>
                </c:pt>
                <c:pt idx="1">
                  <c:v>3.08</c:v>
                </c:pt>
                <c:pt idx="2">
                  <c:v>4.25</c:v>
                </c:pt>
                <c:pt idx="3">
                  <c:v>3.081666666666667</c:v>
                </c:pt>
                <c:pt idx="4">
                  <c:v>7</c:v>
                </c:pt>
                <c:pt idx="5">
                  <c:v>5.1749999999999998</c:v>
                </c:pt>
                <c:pt idx="6">
                  <c:v>5.0833333333333339</c:v>
                </c:pt>
                <c:pt idx="7">
                  <c:v>3.3533333333333335</c:v>
                </c:pt>
                <c:pt idx="8">
                  <c:v>4.0149999999999997</c:v>
                </c:pt>
                <c:pt idx="9">
                  <c:v>3.6833333333333336</c:v>
                </c:pt>
              </c:numCache>
            </c:numRef>
          </c:val>
          <c:extLst>
            <c:ext xmlns:c16="http://schemas.microsoft.com/office/drawing/2014/chart" uri="{C3380CC4-5D6E-409C-BE32-E72D297353CC}">
              <c16:uniqueId val="{00000002-4752-4D8E-8E3E-84387A61D582}"/>
            </c:ext>
          </c:extLst>
        </c:ser>
        <c:ser>
          <c:idx val="3"/>
          <c:order val="3"/>
          <c:tx>
            <c:strRef>
              <c:f>'BOD5'!$G$16</c:f>
              <c:strCache>
                <c:ptCount val="1"/>
                <c:pt idx="0">
                  <c:v>2024</c:v>
                </c:pt>
              </c:strCache>
            </c:strRef>
          </c:tx>
          <c:spPr>
            <a:solidFill>
              <a:schemeClr val="accent4"/>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'BOD5'!$G$17:$G$26</c:f>
              <c:numCache>
                <c:formatCode>0.00</c:formatCode>
                <c:ptCount val="10"/>
                <c:pt idx="0">
                  <c:v>3.5083333333333333</c:v>
                </c:pt>
                <c:pt idx="1">
                  <c:v>4.5616666666666665</c:v>
                </c:pt>
                <c:pt idx="2">
                  <c:v>3.1233333333333335</c:v>
                </c:pt>
                <c:pt idx="3">
                  <c:v>2.8066666666666666</c:v>
                </c:pt>
                <c:pt idx="4">
                  <c:v>4.9633333333333329</c:v>
                </c:pt>
                <c:pt idx="5">
                  <c:v>2.7083333333333335</c:v>
                </c:pt>
                <c:pt idx="6">
                  <c:v>2.6850000000000001</c:v>
                </c:pt>
                <c:pt idx="7">
                  <c:v>1.7149999999999999</c:v>
                </c:pt>
                <c:pt idx="8">
                  <c:v>3.4066666666666663</c:v>
                </c:pt>
                <c:pt idx="9">
                  <c:v>2.44</c:v>
                </c:pt>
              </c:numCache>
            </c:numRef>
          </c:val>
          <c:extLst>
            <c:ext xmlns:c16="http://schemas.microsoft.com/office/drawing/2014/chart" uri="{C3380CC4-5D6E-409C-BE32-E72D297353CC}">
              <c16:uniqueId val="{00000003-4752-4D8E-8E3E-84387A61D582}"/>
            </c:ext>
          </c:extLst>
        </c:ser>
        <c:ser>
          <c:idx val="4"/>
          <c:order val="4"/>
          <c:tx>
            <c:strRef>
              <c:f>'BOD5'!$H$16</c:f>
              <c:strCache>
                <c:ptCount val="1"/>
                <c:pt idx="0">
                  <c:v>2025</c:v>
                </c:pt>
              </c:strCache>
            </c:strRef>
          </c:tx>
          <c:spPr>
            <a:solidFill>
              <a:schemeClr val="accent5"/>
            </a:solidFill>
            <a:ln>
              <a:noFill/>
            </a:ln>
            <a:effectLst/>
          </c:spPr>
          <c:invertIfNegative val="0"/>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'BOD5'!$H$17:$H$26</c:f>
              <c:numCache>
                <c:formatCode>0.00</c:formatCode>
                <c:ptCount val="10"/>
                <c:pt idx="0">
                  <c:v>7.3999999999999995</c:v>
                </c:pt>
                <c:pt idx="1">
                  <c:v>5.9399999999999995</c:v>
                </c:pt>
                <c:pt idx="2">
                  <c:v>7.18</c:v>
                </c:pt>
                <c:pt idx="3">
                  <c:v>2.5700000000000003</c:v>
                </c:pt>
                <c:pt idx="4">
                  <c:v>3.395</c:v>
                </c:pt>
                <c:pt idx="5">
                  <c:v>6.4050000000000002</c:v>
                </c:pt>
                <c:pt idx="6">
                  <c:v>6.4</c:v>
                </c:pt>
                <c:pt idx="7">
                  <c:v>5.3</c:v>
                </c:pt>
                <c:pt idx="8">
                  <c:v>3.4649999999999999</c:v>
                </c:pt>
                <c:pt idx="9">
                  <c:v>1</c:v>
                </c:pt>
              </c:numCache>
            </c:numRef>
          </c:val>
          <c:extLst>
            <c:ext xmlns:c16="http://schemas.microsoft.com/office/drawing/2014/chart" uri="{C3380CC4-5D6E-409C-BE32-E72D297353CC}">
              <c16:uniqueId val="{00000004-4752-4D8E-8E3E-84387A61D582}"/>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'BOD5'!$I$16</c:f>
              <c:strCache>
                <c:ptCount val="1"/>
                <c:pt idx="0">
                  <c:v>QCVN 08-MT:2015/BTNMT (Cột A2)</c:v>
                </c:pt>
              </c:strCache>
            </c:strRef>
          </c:tx>
          <c:spPr>
            <a:ln w="22225" cap="rnd">
              <a:solidFill>
                <a:schemeClr val="accent6"/>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'BOD5'!$I$17:$I$26</c:f>
              <c:numCache>
                <c:formatCode>General</c:formatCode>
                <c:ptCount val="10"/>
                <c:pt idx="2">
                  <c:v>5.8</c:v>
                </c:pt>
                <c:pt idx="3">
                  <c:v>5.8</c:v>
                </c:pt>
                <c:pt idx="4">
                  <c:v>5.8</c:v>
                </c:pt>
                <c:pt idx="5">
                  <c:v>5.8</c:v>
                </c:pt>
                <c:pt idx="6">
                  <c:v>5.8</c:v>
                </c:pt>
                <c:pt idx="7">
                  <c:v>5.8</c:v>
                </c:pt>
                <c:pt idx="8">
                  <c:v>5.8</c:v>
                </c:pt>
                <c:pt idx="9">
                  <c:v>5.8</c:v>
                </c:pt>
              </c:numCache>
            </c:numRef>
          </c:val>
          <c:smooth val="0"/>
          <c:extLst>
            <c:ext xmlns:c16="http://schemas.microsoft.com/office/drawing/2014/chart" uri="{C3380CC4-5D6E-409C-BE32-E72D297353CC}">
              <c16:uniqueId val="{00000005-4752-4D8E-8E3E-84387A61D582}"/>
            </c:ext>
          </c:extLst>
        </c:ser>
        <c:ser>
          <c:idx val="6"/>
          <c:order val="6"/>
          <c:tx>
            <c:strRef>
              <c:f>'BOD5'!$J$16</c:f>
              <c:strCache>
                <c:ptCount val="1"/>
                <c:pt idx="0">
                  <c:v>QCVN 08-MT:2015/BTNMT (Cột B1)</c:v>
                </c:pt>
              </c:strCache>
            </c:strRef>
          </c:tx>
          <c:spPr>
            <a:ln w="22225" cap="rnd">
              <a:solidFill>
                <a:schemeClr val="accent1">
                  <a:lumMod val="60000"/>
                </a:schemeClr>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'BOD5'!$J$17:$J$26</c:f>
              <c:numCache>
                <c:formatCode>General</c:formatCode>
                <c:ptCount val="10"/>
                <c:pt idx="0">
                  <c:v>15</c:v>
                </c:pt>
                <c:pt idx="1">
                  <c:v>15</c:v>
                </c:pt>
              </c:numCache>
            </c:numRef>
          </c:val>
          <c:smooth val="0"/>
          <c:extLst>
            <c:ext xmlns:c16="http://schemas.microsoft.com/office/drawing/2014/chart" uri="{C3380CC4-5D6E-409C-BE32-E72D297353CC}">
              <c16:uniqueId val="{00000006-4752-4D8E-8E3E-84387A61D582}"/>
            </c:ext>
          </c:extLst>
        </c:ser>
        <c:ser>
          <c:idx val="7"/>
          <c:order val="7"/>
          <c:tx>
            <c:strRef>
              <c:f>'BOD5'!$K$16</c:f>
              <c:strCache>
                <c:ptCount val="1"/>
                <c:pt idx="0">
                  <c:v>QCVN 08:2023/BTNMT (Mức A)</c:v>
                </c:pt>
              </c:strCache>
            </c:strRef>
          </c:tx>
          <c:spPr>
            <a:ln w="22225" cap="rnd">
              <a:solidFill>
                <a:schemeClr val="accent2">
                  <a:lumMod val="60000"/>
                </a:schemeClr>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'BOD5'!$K$17:$K$26</c:f>
              <c:numCache>
                <c:formatCode>General</c:formatCode>
                <c:ptCount val="10"/>
                <c:pt idx="2">
                  <c:v>4</c:v>
                </c:pt>
                <c:pt idx="3">
                  <c:v>4</c:v>
                </c:pt>
                <c:pt idx="4">
                  <c:v>4</c:v>
                </c:pt>
                <c:pt idx="5">
                  <c:v>4</c:v>
                </c:pt>
                <c:pt idx="6">
                  <c:v>4</c:v>
                </c:pt>
                <c:pt idx="7">
                  <c:v>4</c:v>
                </c:pt>
                <c:pt idx="8">
                  <c:v>4</c:v>
                </c:pt>
                <c:pt idx="9">
                  <c:v>4</c:v>
                </c:pt>
              </c:numCache>
            </c:numRef>
          </c:val>
          <c:smooth val="0"/>
          <c:extLst>
            <c:ext xmlns:c16="http://schemas.microsoft.com/office/drawing/2014/chart" uri="{C3380CC4-5D6E-409C-BE32-E72D297353CC}">
              <c16:uniqueId val="{00000007-4752-4D8E-8E3E-84387A61D582}"/>
            </c:ext>
          </c:extLst>
        </c:ser>
        <c:ser>
          <c:idx val="8"/>
          <c:order val="8"/>
          <c:tx>
            <c:strRef>
              <c:f>'BOD5'!$L$16</c:f>
              <c:strCache>
                <c:ptCount val="1"/>
                <c:pt idx="0">
                  <c:v>QCVN 08:2023/BTNMT (Mức B)</c:v>
                </c:pt>
              </c:strCache>
            </c:strRef>
          </c:tx>
          <c:spPr>
            <a:ln w="22225" cap="rnd">
              <a:solidFill>
                <a:schemeClr val="accent3">
                  <a:lumMod val="60000"/>
                </a:schemeClr>
              </a:solidFill>
              <a:round/>
            </a:ln>
            <a:effectLst/>
          </c:spPr>
          <c:marker>
            <c:symbol val="none"/>
          </c:marker>
          <c:cat>
            <c:strRef>
              <c:f>'BOD5'!$B$17:$C$26</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'BOD5'!$L$17:$L$26</c:f>
              <c:numCache>
                <c:formatCode>0.00</c:formatCode>
                <c:ptCount val="10"/>
                <c:pt idx="0">
                  <c:v>6.2</c:v>
                </c:pt>
                <c:pt idx="1">
                  <c:v>6.2</c:v>
                </c:pt>
              </c:numCache>
            </c:numRef>
          </c:val>
          <c:smooth val="0"/>
          <c:extLst>
            <c:ext xmlns:c16="http://schemas.microsoft.com/office/drawing/2014/chart" uri="{C3380CC4-5D6E-409C-BE32-E72D297353CC}">
              <c16:uniqueId val="{00000008-4752-4D8E-8E3E-84387A61D582}"/>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8"/>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
      </c:valAx>
      <c:spPr>
        <a:noFill/>
        <a:ln>
          <a:noFill/>
        </a:ln>
        <a:effectLst/>
      </c:spPr>
    </c:plotArea>
    <c:legend>
      <c:legendPos val="b"/>
      <c:layout>
        <c:manualLayout>
          <c:xMode val="edge"/>
          <c:yMode val="edge"/>
          <c:x val="0"/>
          <c:y val="0.80575624611809016"/>
          <c:w val="0.9980826068771379"/>
          <c:h val="0.167419206187012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Sheet1!$A$5</c:f>
              <c:strCache>
                <c:ptCount val="1"/>
                <c:pt idx="0">
                  <c:v>Sơn Diệm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Sheet1!$B$4:$F$4</c:f>
              <c:strCache>
                <c:ptCount val="5"/>
                <c:pt idx="0">
                  <c:v>Năm 2020</c:v>
                </c:pt>
                <c:pt idx="1">
                  <c:v>Năm 2021</c:v>
                </c:pt>
                <c:pt idx="2">
                  <c:v>Năm 2022</c:v>
                </c:pt>
                <c:pt idx="3">
                  <c:v>Năm 2023</c:v>
                </c:pt>
                <c:pt idx="4">
                  <c:v>Năm 2024</c:v>
                </c:pt>
              </c:strCache>
            </c:strRef>
          </c:cat>
          <c:val>
            <c:numRef>
              <c:f>Sheet1!$B$5:$F$5</c:f>
              <c:numCache>
                <c:formatCode>General</c:formatCode>
                <c:ptCount val="5"/>
                <c:pt idx="0">
                  <c:v>46.5</c:v>
                </c:pt>
                <c:pt idx="1">
                  <c:v>43.8</c:v>
                </c:pt>
                <c:pt idx="2">
                  <c:v>48.1</c:v>
                </c:pt>
                <c:pt idx="3">
                  <c:v>38.799999999999997</c:v>
                </c:pt>
                <c:pt idx="4">
                  <c:v>38.799999999999997</c:v>
                </c:pt>
              </c:numCache>
            </c:numRef>
          </c:val>
          <c:smooth val="0"/>
          <c:extLst>
            <c:ext xmlns:c16="http://schemas.microsoft.com/office/drawing/2014/chart" uri="{C3380CC4-5D6E-409C-BE32-E72D297353CC}">
              <c16:uniqueId val="{00000000-2647-448C-B4A2-B7C38EBC283D}"/>
            </c:ext>
          </c:extLst>
        </c:ser>
        <c:ser>
          <c:idx val="1"/>
          <c:order val="1"/>
          <c:tx>
            <c:strRef>
              <c:f>Sheet1!$A$6</c:f>
              <c:strCache>
                <c:ptCount val="1"/>
                <c:pt idx="0">
                  <c:v>Hòa Duyệt</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Sheet1!$B$4:$F$4</c:f>
              <c:strCache>
                <c:ptCount val="5"/>
                <c:pt idx="0">
                  <c:v>Năm 2020</c:v>
                </c:pt>
                <c:pt idx="1">
                  <c:v>Năm 2021</c:v>
                </c:pt>
                <c:pt idx="2">
                  <c:v>Năm 2022</c:v>
                </c:pt>
                <c:pt idx="3">
                  <c:v>Năm 2023</c:v>
                </c:pt>
                <c:pt idx="4">
                  <c:v>Năm 2024</c:v>
                </c:pt>
              </c:strCache>
            </c:strRef>
          </c:cat>
          <c:val>
            <c:numRef>
              <c:f>Sheet1!$B$6:$F$6</c:f>
              <c:numCache>
                <c:formatCode>General</c:formatCode>
                <c:ptCount val="5"/>
                <c:pt idx="0">
                  <c:v>140</c:v>
                </c:pt>
                <c:pt idx="1">
                  <c:v>125.8</c:v>
                </c:pt>
                <c:pt idx="2">
                  <c:v>104.2</c:v>
                </c:pt>
                <c:pt idx="3">
                  <c:v>114.6</c:v>
                </c:pt>
                <c:pt idx="4">
                  <c:v>107</c:v>
                </c:pt>
              </c:numCache>
            </c:numRef>
          </c:val>
          <c:smooth val="0"/>
          <c:extLst>
            <c:ext xmlns:c16="http://schemas.microsoft.com/office/drawing/2014/chart" uri="{C3380CC4-5D6E-409C-BE32-E72D297353CC}">
              <c16:uniqueId val="{00000001-2647-448C-B4A2-B7C38EBC283D}"/>
            </c:ext>
          </c:extLst>
        </c:ser>
        <c:dLbls>
          <c:showLegendKey val="0"/>
          <c:showVal val="0"/>
          <c:showCatName val="0"/>
          <c:showSerName val="0"/>
          <c:showPercent val="0"/>
          <c:showBubbleSize val="0"/>
        </c:dLbls>
        <c:marker val="1"/>
        <c:smooth val="0"/>
        <c:axId val="525503167"/>
        <c:axId val="525490207"/>
      </c:lineChart>
      <c:catAx>
        <c:axId val="525503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25490207"/>
        <c:crosses val="autoZero"/>
        <c:auto val="1"/>
        <c:lblAlgn val="ctr"/>
        <c:lblOffset val="100"/>
        <c:noMultiLvlLbl val="0"/>
      </c:catAx>
      <c:valAx>
        <c:axId val="525490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5255031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591170643899397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8007962526835334E-2"/>
          <c:y val="4.4929093165679869E-2"/>
          <c:w val="0.90000780980182182"/>
          <c:h val="0.44908303128775567"/>
        </c:manualLayout>
      </c:layout>
      <c:barChart>
        <c:barDir val="col"/>
        <c:grouping val="clustered"/>
        <c:varyColors val="0"/>
        <c:ser>
          <c:idx val="0"/>
          <c:order val="0"/>
          <c:tx>
            <c:strRef>
              <c:f>COD!$D$10</c:f>
              <c:strCache>
                <c:ptCount val="1"/>
                <c:pt idx="0">
                  <c:v>2021</c:v>
                </c:pt>
              </c:strCache>
            </c:strRef>
          </c:tx>
          <c:spPr>
            <a:solidFill>
              <a:schemeClr val="accent1"/>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COD!$D$11:$D$20</c:f>
              <c:numCache>
                <c:formatCode>0.00</c:formatCode>
                <c:ptCount val="10"/>
                <c:pt idx="0">
                  <c:v>12.666666666666666</c:v>
                </c:pt>
                <c:pt idx="1">
                  <c:v>24.666666666666668</c:v>
                </c:pt>
                <c:pt idx="2">
                  <c:v>17.333333333333332</c:v>
                </c:pt>
                <c:pt idx="3">
                  <c:v>14</c:v>
                </c:pt>
                <c:pt idx="4">
                  <c:v>17.333333333333332</c:v>
                </c:pt>
                <c:pt idx="5">
                  <c:v>17.333333333333332</c:v>
                </c:pt>
                <c:pt idx="6">
                  <c:v>16.666666666666668</c:v>
                </c:pt>
                <c:pt idx="7">
                  <c:v>11.666666666666666</c:v>
                </c:pt>
                <c:pt idx="8">
                  <c:v>16</c:v>
                </c:pt>
                <c:pt idx="9">
                  <c:v>6.666666666666667</c:v>
                </c:pt>
              </c:numCache>
            </c:numRef>
          </c:val>
          <c:extLst>
            <c:ext xmlns:c16="http://schemas.microsoft.com/office/drawing/2014/chart" uri="{C3380CC4-5D6E-409C-BE32-E72D297353CC}">
              <c16:uniqueId val="{00000000-EB4A-48F4-B732-0EC85D06D6FB}"/>
            </c:ext>
          </c:extLst>
        </c:ser>
        <c:ser>
          <c:idx val="1"/>
          <c:order val="1"/>
          <c:tx>
            <c:strRef>
              <c:f>COD!$E$10</c:f>
              <c:strCache>
                <c:ptCount val="1"/>
                <c:pt idx="0">
                  <c:v>2022</c:v>
                </c:pt>
              </c:strCache>
            </c:strRef>
          </c:tx>
          <c:spPr>
            <a:solidFill>
              <a:schemeClr val="accent2"/>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COD!$E$11:$E$20</c:f>
              <c:numCache>
                <c:formatCode>0.00</c:formatCode>
                <c:ptCount val="10"/>
                <c:pt idx="0">
                  <c:v>19.333333333333332</c:v>
                </c:pt>
                <c:pt idx="1">
                  <c:v>19.333333333333332</c:v>
                </c:pt>
                <c:pt idx="2">
                  <c:v>16.666666666666668</c:v>
                </c:pt>
                <c:pt idx="3">
                  <c:v>9.3333333333333339</c:v>
                </c:pt>
                <c:pt idx="4">
                  <c:v>16</c:v>
                </c:pt>
                <c:pt idx="5">
                  <c:v>15.333333333333334</c:v>
                </c:pt>
                <c:pt idx="6">
                  <c:v>16</c:v>
                </c:pt>
                <c:pt idx="7">
                  <c:v>14</c:v>
                </c:pt>
                <c:pt idx="8">
                  <c:v>14</c:v>
                </c:pt>
                <c:pt idx="9">
                  <c:v>11.333333333333334</c:v>
                </c:pt>
              </c:numCache>
            </c:numRef>
          </c:val>
          <c:extLst>
            <c:ext xmlns:c16="http://schemas.microsoft.com/office/drawing/2014/chart" uri="{C3380CC4-5D6E-409C-BE32-E72D297353CC}">
              <c16:uniqueId val="{00000001-EB4A-48F4-B732-0EC85D06D6FB}"/>
            </c:ext>
          </c:extLst>
        </c:ser>
        <c:ser>
          <c:idx val="2"/>
          <c:order val="2"/>
          <c:tx>
            <c:strRef>
              <c:f>COD!$F$10</c:f>
              <c:strCache>
                <c:ptCount val="1"/>
                <c:pt idx="0">
                  <c:v>2023</c:v>
                </c:pt>
              </c:strCache>
            </c:strRef>
          </c:tx>
          <c:spPr>
            <a:solidFill>
              <a:schemeClr val="accent3"/>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COD!$F$11:$F$20</c:f>
              <c:numCache>
                <c:formatCode>0.00</c:formatCode>
                <c:ptCount val="10"/>
                <c:pt idx="0">
                  <c:v>16</c:v>
                </c:pt>
                <c:pt idx="1">
                  <c:v>15.333333333333334</c:v>
                </c:pt>
                <c:pt idx="2">
                  <c:v>16.666666666666668</c:v>
                </c:pt>
                <c:pt idx="3">
                  <c:v>14.666666666666666</c:v>
                </c:pt>
                <c:pt idx="4">
                  <c:v>17.333333333333332</c:v>
                </c:pt>
                <c:pt idx="5">
                  <c:v>16.666666666666668</c:v>
                </c:pt>
                <c:pt idx="6">
                  <c:v>19.333333333333332</c:v>
                </c:pt>
                <c:pt idx="7">
                  <c:v>10</c:v>
                </c:pt>
                <c:pt idx="8">
                  <c:v>16</c:v>
                </c:pt>
                <c:pt idx="9">
                  <c:v>12</c:v>
                </c:pt>
              </c:numCache>
            </c:numRef>
          </c:val>
          <c:extLst>
            <c:ext xmlns:c16="http://schemas.microsoft.com/office/drawing/2014/chart" uri="{C3380CC4-5D6E-409C-BE32-E72D297353CC}">
              <c16:uniqueId val="{00000002-EB4A-48F4-B732-0EC85D06D6FB}"/>
            </c:ext>
          </c:extLst>
        </c:ser>
        <c:ser>
          <c:idx val="3"/>
          <c:order val="3"/>
          <c:tx>
            <c:strRef>
              <c:f>COD!$G$10</c:f>
              <c:strCache>
                <c:ptCount val="1"/>
                <c:pt idx="0">
                  <c:v>2024</c:v>
                </c:pt>
              </c:strCache>
            </c:strRef>
          </c:tx>
          <c:spPr>
            <a:solidFill>
              <a:schemeClr val="accent4"/>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COD!$G$11:$G$20</c:f>
              <c:numCache>
                <c:formatCode>0.00</c:formatCode>
                <c:ptCount val="10"/>
                <c:pt idx="0">
                  <c:v>18.666666666666668</c:v>
                </c:pt>
                <c:pt idx="1">
                  <c:v>11.333333333333334</c:v>
                </c:pt>
                <c:pt idx="2">
                  <c:v>11.333333333333334</c:v>
                </c:pt>
                <c:pt idx="3">
                  <c:v>12.666666666666666</c:v>
                </c:pt>
                <c:pt idx="4">
                  <c:v>23.333333333333332</c:v>
                </c:pt>
                <c:pt idx="5">
                  <c:v>18.666666666666668</c:v>
                </c:pt>
                <c:pt idx="6">
                  <c:v>14</c:v>
                </c:pt>
                <c:pt idx="7">
                  <c:v>14.666666666666666</c:v>
                </c:pt>
                <c:pt idx="8">
                  <c:v>20</c:v>
                </c:pt>
                <c:pt idx="9">
                  <c:v>11.333333333333334</c:v>
                </c:pt>
              </c:numCache>
            </c:numRef>
          </c:val>
          <c:extLst>
            <c:ext xmlns:c16="http://schemas.microsoft.com/office/drawing/2014/chart" uri="{C3380CC4-5D6E-409C-BE32-E72D297353CC}">
              <c16:uniqueId val="{00000003-EB4A-48F4-B732-0EC85D06D6FB}"/>
            </c:ext>
          </c:extLst>
        </c:ser>
        <c:ser>
          <c:idx val="4"/>
          <c:order val="4"/>
          <c:tx>
            <c:strRef>
              <c:f>COD!$H$10</c:f>
              <c:strCache>
                <c:ptCount val="1"/>
                <c:pt idx="0">
                  <c:v>2025</c:v>
                </c:pt>
              </c:strCache>
            </c:strRef>
          </c:tx>
          <c:spPr>
            <a:solidFill>
              <a:schemeClr val="accent5"/>
            </a:solidFill>
            <a:ln>
              <a:noFill/>
            </a:ln>
            <a:effectLst/>
          </c:spPr>
          <c:invertIfNegative val="0"/>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COD!$H$11:$H$20</c:f>
              <c:numCache>
                <c:formatCode>0.00</c:formatCode>
                <c:ptCount val="10"/>
                <c:pt idx="0">
                  <c:v>23</c:v>
                </c:pt>
                <c:pt idx="1">
                  <c:v>20</c:v>
                </c:pt>
                <c:pt idx="2">
                  <c:v>21</c:v>
                </c:pt>
                <c:pt idx="3">
                  <c:v>12.5</c:v>
                </c:pt>
                <c:pt idx="4">
                  <c:v>11</c:v>
                </c:pt>
                <c:pt idx="5">
                  <c:v>25</c:v>
                </c:pt>
                <c:pt idx="6">
                  <c:v>24.5</c:v>
                </c:pt>
                <c:pt idx="7">
                  <c:v>14</c:v>
                </c:pt>
                <c:pt idx="8">
                  <c:v>26</c:v>
                </c:pt>
                <c:pt idx="9">
                  <c:v>5</c:v>
                </c:pt>
              </c:numCache>
            </c:numRef>
          </c:val>
          <c:extLst>
            <c:ext xmlns:c16="http://schemas.microsoft.com/office/drawing/2014/chart" uri="{C3380CC4-5D6E-409C-BE32-E72D297353CC}">
              <c16:uniqueId val="{00000004-EB4A-48F4-B732-0EC85D06D6FB}"/>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COD!$I$10</c:f>
              <c:strCache>
                <c:ptCount val="1"/>
                <c:pt idx="0">
                  <c:v>QCVN 08-MT:2015/BTNMT (Cột A2)</c:v>
                </c:pt>
              </c:strCache>
            </c:strRef>
          </c:tx>
          <c:spPr>
            <a:ln w="22225" cap="rnd">
              <a:solidFill>
                <a:schemeClr val="accent6"/>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COD!$I$11:$I$20</c:f>
              <c:numCache>
                <c:formatCode>General</c:formatCode>
                <c:ptCount val="10"/>
                <c:pt idx="2">
                  <c:v>15</c:v>
                </c:pt>
                <c:pt idx="3">
                  <c:v>15</c:v>
                </c:pt>
                <c:pt idx="4">
                  <c:v>15</c:v>
                </c:pt>
                <c:pt idx="5">
                  <c:v>15</c:v>
                </c:pt>
                <c:pt idx="6">
                  <c:v>15</c:v>
                </c:pt>
                <c:pt idx="7">
                  <c:v>15</c:v>
                </c:pt>
                <c:pt idx="8">
                  <c:v>15</c:v>
                </c:pt>
                <c:pt idx="9">
                  <c:v>15</c:v>
                </c:pt>
              </c:numCache>
            </c:numRef>
          </c:val>
          <c:smooth val="0"/>
          <c:extLst>
            <c:ext xmlns:c16="http://schemas.microsoft.com/office/drawing/2014/chart" uri="{C3380CC4-5D6E-409C-BE32-E72D297353CC}">
              <c16:uniqueId val="{00000005-EB4A-48F4-B732-0EC85D06D6FB}"/>
            </c:ext>
          </c:extLst>
        </c:ser>
        <c:ser>
          <c:idx val="6"/>
          <c:order val="6"/>
          <c:tx>
            <c:strRef>
              <c:f>COD!$J$10</c:f>
              <c:strCache>
                <c:ptCount val="1"/>
                <c:pt idx="0">
                  <c:v>QCVN 08-MT:2015/BTNMT (Cột B1)</c:v>
                </c:pt>
              </c:strCache>
            </c:strRef>
          </c:tx>
          <c:spPr>
            <a:ln w="22225" cap="rnd">
              <a:solidFill>
                <a:schemeClr val="accent1">
                  <a:lumMod val="60000"/>
                </a:schemeClr>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COD!$J$11:$J$20</c:f>
              <c:numCache>
                <c:formatCode>General</c:formatCode>
                <c:ptCount val="10"/>
                <c:pt idx="0">
                  <c:v>30</c:v>
                </c:pt>
                <c:pt idx="1">
                  <c:v>30</c:v>
                </c:pt>
              </c:numCache>
            </c:numRef>
          </c:val>
          <c:smooth val="0"/>
          <c:extLst>
            <c:ext xmlns:c16="http://schemas.microsoft.com/office/drawing/2014/chart" uri="{C3380CC4-5D6E-409C-BE32-E72D297353CC}">
              <c16:uniqueId val="{00000006-EB4A-48F4-B732-0EC85D06D6FB}"/>
            </c:ext>
          </c:extLst>
        </c:ser>
        <c:ser>
          <c:idx val="7"/>
          <c:order val="7"/>
          <c:tx>
            <c:strRef>
              <c:f>COD!$K$10</c:f>
              <c:strCache>
                <c:ptCount val="1"/>
                <c:pt idx="0">
                  <c:v>QCVN 08:2023/BTNMT (Mức A)</c:v>
                </c:pt>
              </c:strCache>
            </c:strRef>
          </c:tx>
          <c:spPr>
            <a:ln w="22225" cap="rnd">
              <a:solidFill>
                <a:schemeClr val="accent2">
                  <a:lumMod val="60000"/>
                </a:schemeClr>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COD!$K$11:$K$20</c:f>
              <c:numCache>
                <c:formatCode>General</c:formatCode>
                <c:ptCount val="10"/>
                <c:pt idx="2">
                  <c:v>10</c:v>
                </c:pt>
                <c:pt idx="3">
                  <c:v>10</c:v>
                </c:pt>
                <c:pt idx="4">
                  <c:v>10</c:v>
                </c:pt>
                <c:pt idx="5">
                  <c:v>10</c:v>
                </c:pt>
                <c:pt idx="6">
                  <c:v>10</c:v>
                </c:pt>
                <c:pt idx="7">
                  <c:v>10</c:v>
                </c:pt>
                <c:pt idx="8">
                  <c:v>10</c:v>
                </c:pt>
                <c:pt idx="9">
                  <c:v>10</c:v>
                </c:pt>
              </c:numCache>
            </c:numRef>
          </c:val>
          <c:smooth val="0"/>
          <c:extLst>
            <c:ext xmlns:c16="http://schemas.microsoft.com/office/drawing/2014/chart" uri="{C3380CC4-5D6E-409C-BE32-E72D297353CC}">
              <c16:uniqueId val="{00000007-EB4A-48F4-B732-0EC85D06D6FB}"/>
            </c:ext>
          </c:extLst>
        </c:ser>
        <c:ser>
          <c:idx val="8"/>
          <c:order val="8"/>
          <c:tx>
            <c:strRef>
              <c:f>COD!$L$10</c:f>
              <c:strCache>
                <c:ptCount val="1"/>
                <c:pt idx="0">
                  <c:v>QCVN 08:2023/BTNMT (Mức B)</c:v>
                </c:pt>
              </c:strCache>
            </c:strRef>
          </c:tx>
          <c:spPr>
            <a:ln w="22225" cap="rnd">
              <a:solidFill>
                <a:schemeClr val="accent3">
                  <a:lumMod val="60000"/>
                </a:schemeClr>
              </a:solidFill>
              <a:round/>
            </a:ln>
            <a:effectLst/>
          </c:spPr>
          <c:marker>
            <c:symbol val="none"/>
          </c:marker>
          <c:cat>
            <c:strRef>
              <c:f>COD!$B$11:$C$20</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COD!$L$11:$L$20</c:f>
              <c:numCache>
                <c:formatCode>0.00</c:formatCode>
                <c:ptCount val="10"/>
                <c:pt idx="0">
                  <c:v>15</c:v>
                </c:pt>
                <c:pt idx="1">
                  <c:v>15</c:v>
                </c:pt>
              </c:numCache>
            </c:numRef>
          </c:val>
          <c:smooth val="0"/>
          <c:extLst>
            <c:ext xmlns:c16="http://schemas.microsoft.com/office/drawing/2014/chart" uri="{C3380CC4-5D6E-409C-BE32-E72D297353CC}">
              <c16:uniqueId val="{00000008-EB4A-48F4-B732-0EC85D06D6FB}"/>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0"/>
          <c:y val="0.80265723927366217"/>
          <c:w val="1"/>
          <c:h val="0.176670630456907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421362344499837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5298046200164679E-2"/>
          <c:y val="3.5898821470845554E-2"/>
          <c:w val="0.90271774141667305"/>
          <c:h val="0.39765994846974412"/>
        </c:manualLayout>
      </c:layout>
      <c:barChart>
        <c:barDir val="col"/>
        <c:grouping val="clustered"/>
        <c:varyColors val="0"/>
        <c:ser>
          <c:idx val="0"/>
          <c:order val="0"/>
          <c:tx>
            <c:strRef>
              <c:f>TSS!$D$11</c:f>
              <c:strCache>
                <c:ptCount val="1"/>
                <c:pt idx="0">
                  <c:v>2021</c:v>
                </c:pt>
              </c:strCache>
            </c:strRef>
          </c:tx>
          <c:spPr>
            <a:solidFill>
              <a:schemeClr val="accent1"/>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TSS!$D$12:$D$21</c:f>
              <c:numCache>
                <c:formatCode>0.00</c:formatCode>
                <c:ptCount val="10"/>
                <c:pt idx="0">
                  <c:v>16.666666666666668</c:v>
                </c:pt>
                <c:pt idx="1">
                  <c:v>20.5</c:v>
                </c:pt>
                <c:pt idx="2">
                  <c:v>16.666666666666668</c:v>
                </c:pt>
                <c:pt idx="3">
                  <c:v>17.5</c:v>
                </c:pt>
                <c:pt idx="4">
                  <c:v>21.833333333333332</c:v>
                </c:pt>
                <c:pt idx="5">
                  <c:v>31.5</c:v>
                </c:pt>
                <c:pt idx="6">
                  <c:v>21</c:v>
                </c:pt>
                <c:pt idx="7">
                  <c:v>16.166666666666668</c:v>
                </c:pt>
                <c:pt idx="8">
                  <c:v>23</c:v>
                </c:pt>
                <c:pt idx="9">
                  <c:v>15.5</c:v>
                </c:pt>
              </c:numCache>
            </c:numRef>
          </c:val>
          <c:extLst>
            <c:ext xmlns:c16="http://schemas.microsoft.com/office/drawing/2014/chart" uri="{C3380CC4-5D6E-409C-BE32-E72D297353CC}">
              <c16:uniqueId val="{00000000-551E-4E7C-8C56-6AC101BCD4B7}"/>
            </c:ext>
          </c:extLst>
        </c:ser>
        <c:ser>
          <c:idx val="1"/>
          <c:order val="1"/>
          <c:tx>
            <c:strRef>
              <c:f>TSS!$E$11</c:f>
              <c:strCache>
                <c:ptCount val="1"/>
                <c:pt idx="0">
                  <c:v>2022</c:v>
                </c:pt>
              </c:strCache>
            </c:strRef>
          </c:tx>
          <c:spPr>
            <a:solidFill>
              <a:schemeClr val="accent2"/>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TSS!$E$12:$E$21</c:f>
              <c:numCache>
                <c:formatCode>0.00</c:formatCode>
                <c:ptCount val="10"/>
                <c:pt idx="0">
                  <c:v>13.75</c:v>
                </c:pt>
                <c:pt idx="1">
                  <c:v>20.5</c:v>
                </c:pt>
                <c:pt idx="2">
                  <c:v>12.9</c:v>
                </c:pt>
                <c:pt idx="3">
                  <c:v>10.283333333333333</c:v>
                </c:pt>
                <c:pt idx="4">
                  <c:v>16.25</c:v>
                </c:pt>
                <c:pt idx="5">
                  <c:v>15.316666666666665</c:v>
                </c:pt>
                <c:pt idx="6">
                  <c:v>14.283333333333333</c:v>
                </c:pt>
                <c:pt idx="7">
                  <c:v>12.183333333333332</c:v>
                </c:pt>
                <c:pt idx="8">
                  <c:v>15.333333333333334</c:v>
                </c:pt>
                <c:pt idx="9">
                  <c:v>10.483333333333333</c:v>
                </c:pt>
              </c:numCache>
            </c:numRef>
          </c:val>
          <c:extLst>
            <c:ext xmlns:c16="http://schemas.microsoft.com/office/drawing/2014/chart" uri="{C3380CC4-5D6E-409C-BE32-E72D297353CC}">
              <c16:uniqueId val="{00000001-551E-4E7C-8C56-6AC101BCD4B7}"/>
            </c:ext>
          </c:extLst>
        </c:ser>
        <c:ser>
          <c:idx val="2"/>
          <c:order val="2"/>
          <c:tx>
            <c:strRef>
              <c:f>TSS!$F$11</c:f>
              <c:strCache>
                <c:ptCount val="1"/>
                <c:pt idx="0">
                  <c:v>2023</c:v>
                </c:pt>
              </c:strCache>
            </c:strRef>
          </c:tx>
          <c:spPr>
            <a:solidFill>
              <a:schemeClr val="accent3"/>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TSS!$F$12:$F$21</c:f>
              <c:numCache>
                <c:formatCode>0.00</c:formatCode>
                <c:ptCount val="10"/>
                <c:pt idx="0">
                  <c:v>14.116666666666667</c:v>
                </c:pt>
                <c:pt idx="1">
                  <c:v>17.5</c:v>
                </c:pt>
                <c:pt idx="2">
                  <c:v>11.15</c:v>
                </c:pt>
                <c:pt idx="3">
                  <c:v>11.483333333333334</c:v>
                </c:pt>
                <c:pt idx="4">
                  <c:v>18.333333333333332</c:v>
                </c:pt>
                <c:pt idx="5">
                  <c:v>10.85</c:v>
                </c:pt>
                <c:pt idx="6">
                  <c:v>17.333333333333332</c:v>
                </c:pt>
                <c:pt idx="7">
                  <c:v>8.85</c:v>
                </c:pt>
                <c:pt idx="8">
                  <c:v>15.333333333333334</c:v>
                </c:pt>
                <c:pt idx="9">
                  <c:v>6.8666666666666663</c:v>
                </c:pt>
              </c:numCache>
            </c:numRef>
          </c:val>
          <c:extLst>
            <c:ext xmlns:c16="http://schemas.microsoft.com/office/drawing/2014/chart" uri="{C3380CC4-5D6E-409C-BE32-E72D297353CC}">
              <c16:uniqueId val="{00000002-551E-4E7C-8C56-6AC101BCD4B7}"/>
            </c:ext>
          </c:extLst>
        </c:ser>
        <c:ser>
          <c:idx val="3"/>
          <c:order val="3"/>
          <c:tx>
            <c:strRef>
              <c:f>TSS!$G$11</c:f>
              <c:strCache>
                <c:ptCount val="1"/>
                <c:pt idx="0">
                  <c:v>2024</c:v>
                </c:pt>
              </c:strCache>
            </c:strRef>
          </c:tx>
          <c:spPr>
            <a:solidFill>
              <a:schemeClr val="accent4"/>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TSS!$G$12:$G$21</c:f>
              <c:numCache>
                <c:formatCode>0.00</c:formatCode>
                <c:ptCount val="10"/>
                <c:pt idx="0">
                  <c:v>11.833333333333334</c:v>
                </c:pt>
                <c:pt idx="1">
                  <c:v>18</c:v>
                </c:pt>
                <c:pt idx="2">
                  <c:v>10.200000000000001</c:v>
                </c:pt>
                <c:pt idx="3">
                  <c:v>11.716666666666667</c:v>
                </c:pt>
                <c:pt idx="4">
                  <c:v>15.583333333333334</c:v>
                </c:pt>
                <c:pt idx="5">
                  <c:v>13.633333333333333</c:v>
                </c:pt>
                <c:pt idx="6">
                  <c:v>12.933333333333332</c:v>
                </c:pt>
                <c:pt idx="7">
                  <c:v>13.716666666666667</c:v>
                </c:pt>
                <c:pt idx="8">
                  <c:v>12.5</c:v>
                </c:pt>
                <c:pt idx="9">
                  <c:v>4.5999999999999996</c:v>
                </c:pt>
              </c:numCache>
            </c:numRef>
          </c:val>
          <c:extLst>
            <c:ext xmlns:c16="http://schemas.microsoft.com/office/drawing/2014/chart" uri="{C3380CC4-5D6E-409C-BE32-E72D297353CC}">
              <c16:uniqueId val="{00000003-551E-4E7C-8C56-6AC101BCD4B7}"/>
            </c:ext>
          </c:extLst>
        </c:ser>
        <c:ser>
          <c:idx val="4"/>
          <c:order val="4"/>
          <c:tx>
            <c:strRef>
              <c:f>TSS!$H$11</c:f>
              <c:strCache>
                <c:ptCount val="1"/>
                <c:pt idx="0">
                  <c:v>2025</c:v>
                </c:pt>
              </c:strCache>
            </c:strRef>
          </c:tx>
          <c:spPr>
            <a:solidFill>
              <a:schemeClr val="accent5"/>
            </a:solidFill>
            <a:ln>
              <a:noFill/>
            </a:ln>
            <a:effectLst/>
          </c:spPr>
          <c:invertIfNegative val="0"/>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TSS!$H$12:$H$21</c:f>
              <c:numCache>
                <c:formatCode>0.00</c:formatCode>
                <c:ptCount val="10"/>
                <c:pt idx="0">
                  <c:v>12</c:v>
                </c:pt>
                <c:pt idx="1">
                  <c:v>14</c:v>
                </c:pt>
                <c:pt idx="2">
                  <c:v>8.5</c:v>
                </c:pt>
                <c:pt idx="3">
                  <c:v>10.15</c:v>
                </c:pt>
                <c:pt idx="4">
                  <c:v>11</c:v>
                </c:pt>
                <c:pt idx="5">
                  <c:v>13.8</c:v>
                </c:pt>
                <c:pt idx="6">
                  <c:v>10.35</c:v>
                </c:pt>
                <c:pt idx="7">
                  <c:v>8.5</c:v>
                </c:pt>
                <c:pt idx="8">
                  <c:v>14.5</c:v>
                </c:pt>
                <c:pt idx="9">
                  <c:v>5</c:v>
                </c:pt>
              </c:numCache>
            </c:numRef>
          </c:val>
          <c:extLst>
            <c:ext xmlns:c16="http://schemas.microsoft.com/office/drawing/2014/chart" uri="{C3380CC4-5D6E-409C-BE32-E72D297353CC}">
              <c16:uniqueId val="{00000004-551E-4E7C-8C56-6AC101BCD4B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TSS!$I$11</c:f>
              <c:strCache>
                <c:ptCount val="1"/>
                <c:pt idx="0">
                  <c:v>QCVN 08-MT:2015/BTNMT (Cột A2)</c:v>
                </c:pt>
              </c:strCache>
            </c:strRef>
          </c:tx>
          <c:spPr>
            <a:ln w="22225" cap="rnd">
              <a:solidFill>
                <a:schemeClr val="accent6"/>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TSS!$I$12:$I$21</c:f>
              <c:numCache>
                <c:formatCode>General</c:formatCode>
                <c:ptCount val="10"/>
                <c:pt idx="2" formatCode="0.0">
                  <c:v>30</c:v>
                </c:pt>
                <c:pt idx="3" formatCode="0.0">
                  <c:v>30</c:v>
                </c:pt>
                <c:pt idx="4" formatCode="0.0">
                  <c:v>30</c:v>
                </c:pt>
                <c:pt idx="5" formatCode="0.0">
                  <c:v>30</c:v>
                </c:pt>
                <c:pt idx="6" formatCode="0.0">
                  <c:v>30</c:v>
                </c:pt>
                <c:pt idx="7" formatCode="0.0">
                  <c:v>30</c:v>
                </c:pt>
                <c:pt idx="8" formatCode="0.0">
                  <c:v>30</c:v>
                </c:pt>
                <c:pt idx="9" formatCode="0.0">
                  <c:v>30</c:v>
                </c:pt>
              </c:numCache>
            </c:numRef>
          </c:val>
          <c:smooth val="0"/>
          <c:extLst>
            <c:ext xmlns:c16="http://schemas.microsoft.com/office/drawing/2014/chart" uri="{C3380CC4-5D6E-409C-BE32-E72D297353CC}">
              <c16:uniqueId val="{00000005-551E-4E7C-8C56-6AC101BCD4B7}"/>
            </c:ext>
          </c:extLst>
        </c:ser>
        <c:ser>
          <c:idx val="6"/>
          <c:order val="6"/>
          <c:tx>
            <c:strRef>
              <c:f>TSS!$J$11</c:f>
              <c:strCache>
                <c:ptCount val="1"/>
                <c:pt idx="0">
                  <c:v>QCVN 08-MT:2015/BTNMT (Cột B1)</c:v>
                </c:pt>
              </c:strCache>
            </c:strRef>
          </c:tx>
          <c:spPr>
            <a:ln w="22225" cap="rnd">
              <a:solidFill>
                <a:schemeClr val="accent1">
                  <a:lumMod val="60000"/>
                </a:schemeClr>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TSS!$J$12:$J$21</c:f>
              <c:numCache>
                <c:formatCode>General</c:formatCode>
                <c:ptCount val="10"/>
                <c:pt idx="0">
                  <c:v>50</c:v>
                </c:pt>
                <c:pt idx="1">
                  <c:v>50</c:v>
                </c:pt>
              </c:numCache>
            </c:numRef>
          </c:val>
          <c:smooth val="0"/>
          <c:extLst>
            <c:ext xmlns:c16="http://schemas.microsoft.com/office/drawing/2014/chart" uri="{C3380CC4-5D6E-409C-BE32-E72D297353CC}">
              <c16:uniqueId val="{00000006-551E-4E7C-8C56-6AC101BCD4B7}"/>
            </c:ext>
          </c:extLst>
        </c:ser>
        <c:ser>
          <c:idx val="7"/>
          <c:order val="7"/>
          <c:tx>
            <c:strRef>
              <c:f>TSS!$K$11</c:f>
              <c:strCache>
                <c:ptCount val="1"/>
                <c:pt idx="0">
                  <c:v>QCVN 08:2023/BTNMT (Mức A)</c:v>
                </c:pt>
              </c:strCache>
            </c:strRef>
          </c:tx>
          <c:spPr>
            <a:ln w="22225" cap="rnd">
              <a:solidFill>
                <a:schemeClr val="accent2">
                  <a:lumMod val="60000"/>
                </a:schemeClr>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TSS!$K$12:$K$21</c:f>
              <c:numCache>
                <c:formatCode>General</c:formatCode>
                <c:ptCount val="10"/>
                <c:pt idx="2">
                  <c:v>25</c:v>
                </c:pt>
                <c:pt idx="3">
                  <c:v>25</c:v>
                </c:pt>
                <c:pt idx="4">
                  <c:v>25</c:v>
                </c:pt>
                <c:pt idx="5">
                  <c:v>25</c:v>
                </c:pt>
                <c:pt idx="6">
                  <c:v>25</c:v>
                </c:pt>
                <c:pt idx="7">
                  <c:v>25</c:v>
                </c:pt>
                <c:pt idx="8">
                  <c:v>25</c:v>
                </c:pt>
                <c:pt idx="9">
                  <c:v>25</c:v>
                </c:pt>
              </c:numCache>
            </c:numRef>
          </c:val>
          <c:smooth val="0"/>
          <c:extLst>
            <c:ext xmlns:c16="http://schemas.microsoft.com/office/drawing/2014/chart" uri="{C3380CC4-5D6E-409C-BE32-E72D297353CC}">
              <c16:uniqueId val="{00000007-551E-4E7C-8C56-6AC101BCD4B7}"/>
            </c:ext>
          </c:extLst>
        </c:ser>
        <c:ser>
          <c:idx val="8"/>
          <c:order val="8"/>
          <c:tx>
            <c:strRef>
              <c:f>TSS!$L$11</c:f>
              <c:strCache>
                <c:ptCount val="1"/>
                <c:pt idx="0">
                  <c:v>QCVN 08:2023/BTNMT (Mức B)</c:v>
                </c:pt>
              </c:strCache>
            </c:strRef>
          </c:tx>
          <c:spPr>
            <a:ln w="22225" cap="rnd">
              <a:solidFill>
                <a:schemeClr val="accent3">
                  <a:lumMod val="60000"/>
                </a:schemeClr>
              </a:solidFill>
              <a:round/>
            </a:ln>
            <a:effectLst/>
          </c:spPr>
          <c:marker>
            <c:symbol val="none"/>
          </c:marker>
          <c:cat>
            <c:strRef>
              <c:f>TSS!$B$12:$C$21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TSS!$L$12:$L$21</c:f>
              <c:numCache>
                <c:formatCode>0.0</c:formatCode>
                <c:ptCount val="10"/>
                <c:pt idx="0">
                  <c:v>100</c:v>
                </c:pt>
                <c:pt idx="1">
                  <c:v>100</c:v>
                </c:pt>
              </c:numCache>
            </c:numRef>
          </c:val>
          <c:smooth val="0"/>
          <c:extLst>
            <c:ext xmlns:c16="http://schemas.microsoft.com/office/drawing/2014/chart" uri="{C3380CC4-5D6E-409C-BE32-E72D297353CC}">
              <c16:uniqueId val="{00000008-551E-4E7C-8C56-6AC101BCD4B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0"/>
      </c:valAx>
      <c:spPr>
        <a:noFill/>
        <a:ln>
          <a:noFill/>
        </a:ln>
        <a:effectLst/>
      </c:spPr>
    </c:plotArea>
    <c:legend>
      <c:legendPos val="b"/>
      <c:layout>
        <c:manualLayout>
          <c:xMode val="edge"/>
          <c:yMode val="edge"/>
          <c:x val="0"/>
          <c:y val="0.80006599175103121"/>
          <c:w val="0.9980826068771379"/>
          <c:h val="0.177044726552038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2055661382938486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0375246718232573E-2"/>
          <c:y val="3.197973615743447E-2"/>
          <c:w val="0.91764054089860514"/>
          <c:h val="0.46778622104551343"/>
        </c:manualLayout>
      </c:layout>
      <c:barChart>
        <c:barDir val="col"/>
        <c:grouping val="clustered"/>
        <c:varyColors val="0"/>
        <c:ser>
          <c:idx val="0"/>
          <c:order val="0"/>
          <c:tx>
            <c:strRef>
              <c:f>DO!$D$11</c:f>
              <c:strCache>
                <c:ptCount val="1"/>
                <c:pt idx="0">
                  <c:v>2021</c:v>
                </c:pt>
              </c:strCache>
            </c:strRef>
          </c:tx>
          <c:spPr>
            <a:solidFill>
              <a:schemeClr val="accent1"/>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DO!$D$12:$D$21</c:f>
              <c:numCache>
                <c:formatCode>0.00</c:formatCode>
                <c:ptCount val="10"/>
                <c:pt idx="0">
                  <c:v>5.6000000000000005</c:v>
                </c:pt>
                <c:pt idx="1">
                  <c:v>6</c:v>
                </c:pt>
                <c:pt idx="2">
                  <c:v>5.6333333333333337</c:v>
                </c:pt>
                <c:pt idx="3">
                  <c:v>5.55</c:v>
                </c:pt>
                <c:pt idx="4">
                  <c:v>5.6999999999999993</c:v>
                </c:pt>
                <c:pt idx="5">
                  <c:v>5.7166666666666677</c:v>
                </c:pt>
                <c:pt idx="6">
                  <c:v>5.6333333333333329</c:v>
                </c:pt>
                <c:pt idx="7">
                  <c:v>6.0333333333333341</c:v>
                </c:pt>
                <c:pt idx="8">
                  <c:v>6.9333333333333336</c:v>
                </c:pt>
                <c:pt idx="9">
                  <c:v>6.8000000000000007</c:v>
                </c:pt>
              </c:numCache>
            </c:numRef>
          </c:val>
          <c:extLst>
            <c:ext xmlns:c16="http://schemas.microsoft.com/office/drawing/2014/chart" uri="{C3380CC4-5D6E-409C-BE32-E72D297353CC}">
              <c16:uniqueId val="{00000000-DB9C-4B5C-8F2C-06C0D21FF5E5}"/>
            </c:ext>
          </c:extLst>
        </c:ser>
        <c:ser>
          <c:idx val="1"/>
          <c:order val="1"/>
          <c:tx>
            <c:strRef>
              <c:f>DO!$E$11</c:f>
              <c:strCache>
                <c:ptCount val="1"/>
                <c:pt idx="0">
                  <c:v>2022</c:v>
                </c:pt>
              </c:strCache>
            </c:strRef>
          </c:tx>
          <c:spPr>
            <a:solidFill>
              <a:schemeClr val="accent2"/>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DO!$E$12:$E$21</c:f>
              <c:numCache>
                <c:formatCode>0.00</c:formatCode>
                <c:ptCount val="10"/>
                <c:pt idx="0">
                  <c:v>6.2666666666666666</c:v>
                </c:pt>
                <c:pt idx="1">
                  <c:v>6.5500000000000007</c:v>
                </c:pt>
                <c:pt idx="2">
                  <c:v>5.2666666666666666</c:v>
                </c:pt>
                <c:pt idx="3">
                  <c:v>5.9000000000000012</c:v>
                </c:pt>
                <c:pt idx="4">
                  <c:v>5.0166666666666666</c:v>
                </c:pt>
                <c:pt idx="5">
                  <c:v>6.3833333333333337</c:v>
                </c:pt>
                <c:pt idx="6">
                  <c:v>5.9833333333333334</c:v>
                </c:pt>
                <c:pt idx="7">
                  <c:v>5.833333333333333</c:v>
                </c:pt>
                <c:pt idx="8">
                  <c:v>6.9666666666666677</c:v>
                </c:pt>
                <c:pt idx="9">
                  <c:v>7.3833333333333329</c:v>
                </c:pt>
              </c:numCache>
            </c:numRef>
          </c:val>
          <c:extLst>
            <c:ext xmlns:c16="http://schemas.microsoft.com/office/drawing/2014/chart" uri="{C3380CC4-5D6E-409C-BE32-E72D297353CC}">
              <c16:uniqueId val="{00000001-DB9C-4B5C-8F2C-06C0D21FF5E5}"/>
            </c:ext>
          </c:extLst>
        </c:ser>
        <c:ser>
          <c:idx val="2"/>
          <c:order val="2"/>
          <c:tx>
            <c:strRef>
              <c:f>DO!$F$11</c:f>
              <c:strCache>
                <c:ptCount val="1"/>
                <c:pt idx="0">
                  <c:v>2023</c:v>
                </c:pt>
              </c:strCache>
            </c:strRef>
          </c:tx>
          <c:spPr>
            <a:solidFill>
              <a:schemeClr val="accent3"/>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DO!$F$12:$F$21</c:f>
              <c:numCache>
                <c:formatCode>0.00</c:formatCode>
                <c:ptCount val="10"/>
                <c:pt idx="0">
                  <c:v>5.9333333333333336</c:v>
                </c:pt>
                <c:pt idx="1">
                  <c:v>6.6166666666666671</c:v>
                </c:pt>
                <c:pt idx="2">
                  <c:v>4.9333333333333336</c:v>
                </c:pt>
                <c:pt idx="3">
                  <c:v>6.8166666666666664</c:v>
                </c:pt>
                <c:pt idx="4">
                  <c:v>5.5666666666666664</c:v>
                </c:pt>
                <c:pt idx="5">
                  <c:v>5.5166666666666666</c:v>
                </c:pt>
                <c:pt idx="6">
                  <c:v>6.7500000000000009</c:v>
                </c:pt>
                <c:pt idx="7">
                  <c:v>6.5666666666666664</c:v>
                </c:pt>
                <c:pt idx="8">
                  <c:v>6.45</c:v>
                </c:pt>
                <c:pt idx="9">
                  <c:v>7.5500000000000007</c:v>
                </c:pt>
              </c:numCache>
            </c:numRef>
          </c:val>
          <c:extLst>
            <c:ext xmlns:c16="http://schemas.microsoft.com/office/drawing/2014/chart" uri="{C3380CC4-5D6E-409C-BE32-E72D297353CC}">
              <c16:uniqueId val="{00000002-DB9C-4B5C-8F2C-06C0D21FF5E5}"/>
            </c:ext>
          </c:extLst>
        </c:ser>
        <c:ser>
          <c:idx val="3"/>
          <c:order val="3"/>
          <c:tx>
            <c:strRef>
              <c:f>DO!$G$11</c:f>
              <c:strCache>
                <c:ptCount val="1"/>
                <c:pt idx="0">
                  <c:v>2024</c:v>
                </c:pt>
              </c:strCache>
            </c:strRef>
          </c:tx>
          <c:spPr>
            <a:solidFill>
              <a:schemeClr val="accent4"/>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DO!$G$12:$G$21</c:f>
              <c:numCache>
                <c:formatCode>0.00</c:formatCode>
                <c:ptCount val="10"/>
                <c:pt idx="0">
                  <c:v>6.083333333333333</c:v>
                </c:pt>
                <c:pt idx="1">
                  <c:v>6.583333333333333</c:v>
                </c:pt>
                <c:pt idx="2">
                  <c:v>5.8833333333333337</c:v>
                </c:pt>
                <c:pt idx="3">
                  <c:v>6.9666666666666659</c:v>
                </c:pt>
                <c:pt idx="4">
                  <c:v>6.05</c:v>
                </c:pt>
                <c:pt idx="5">
                  <c:v>6.416666666666667</c:v>
                </c:pt>
                <c:pt idx="6">
                  <c:v>7.1499999999999995</c:v>
                </c:pt>
                <c:pt idx="7">
                  <c:v>6.7166666666666659</c:v>
                </c:pt>
                <c:pt idx="8">
                  <c:v>6.8166666666666664</c:v>
                </c:pt>
                <c:pt idx="9">
                  <c:v>7.6166666666666671</c:v>
                </c:pt>
              </c:numCache>
            </c:numRef>
          </c:val>
          <c:extLst>
            <c:ext xmlns:c16="http://schemas.microsoft.com/office/drawing/2014/chart" uri="{C3380CC4-5D6E-409C-BE32-E72D297353CC}">
              <c16:uniqueId val="{00000003-DB9C-4B5C-8F2C-06C0D21FF5E5}"/>
            </c:ext>
          </c:extLst>
        </c:ser>
        <c:ser>
          <c:idx val="4"/>
          <c:order val="4"/>
          <c:tx>
            <c:strRef>
              <c:f>DO!$H$11</c:f>
              <c:strCache>
                <c:ptCount val="1"/>
                <c:pt idx="0">
                  <c:v>2025</c:v>
                </c:pt>
              </c:strCache>
            </c:strRef>
          </c:tx>
          <c:spPr>
            <a:solidFill>
              <a:schemeClr val="accent5"/>
            </a:solidFill>
            <a:ln>
              <a:noFill/>
            </a:ln>
            <a:effectLst/>
          </c:spPr>
          <c:invertIfNegative val="0"/>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DO!$H$12:$H$21</c:f>
              <c:numCache>
                <c:formatCode>0.00</c:formatCode>
                <c:ptCount val="10"/>
                <c:pt idx="0">
                  <c:v>6.55</c:v>
                </c:pt>
                <c:pt idx="1">
                  <c:v>7.35</c:v>
                </c:pt>
                <c:pt idx="2">
                  <c:v>6.85</c:v>
                </c:pt>
                <c:pt idx="3">
                  <c:v>7.5</c:v>
                </c:pt>
                <c:pt idx="4">
                  <c:v>6.7</c:v>
                </c:pt>
                <c:pt idx="5">
                  <c:v>7.25</c:v>
                </c:pt>
                <c:pt idx="6">
                  <c:v>7.5</c:v>
                </c:pt>
                <c:pt idx="7">
                  <c:v>7.5500000000000007</c:v>
                </c:pt>
                <c:pt idx="8">
                  <c:v>6.8000000000000007</c:v>
                </c:pt>
                <c:pt idx="9">
                  <c:v>7.9499999999999993</c:v>
                </c:pt>
              </c:numCache>
            </c:numRef>
          </c:val>
          <c:extLst>
            <c:ext xmlns:c16="http://schemas.microsoft.com/office/drawing/2014/chart" uri="{C3380CC4-5D6E-409C-BE32-E72D297353CC}">
              <c16:uniqueId val="{00000004-DB9C-4B5C-8F2C-06C0D21FF5E5}"/>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DO!$I$11</c:f>
              <c:strCache>
                <c:ptCount val="1"/>
                <c:pt idx="0">
                  <c:v>QCVN 08-MT:2015/BTNMT (Cột A2)</c:v>
                </c:pt>
              </c:strCache>
            </c:strRef>
          </c:tx>
          <c:spPr>
            <a:ln w="22225" cap="rnd">
              <a:solidFill>
                <a:schemeClr val="accent6"/>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DO!$I$12:$I$21</c:f>
              <c:numCache>
                <c:formatCode>General</c:formatCode>
                <c:ptCount val="10"/>
                <c:pt idx="2" formatCode="0.0">
                  <c:v>5</c:v>
                </c:pt>
                <c:pt idx="3" formatCode="0.0">
                  <c:v>5</c:v>
                </c:pt>
                <c:pt idx="4" formatCode="0.0">
                  <c:v>5</c:v>
                </c:pt>
                <c:pt idx="5" formatCode="0.0">
                  <c:v>5</c:v>
                </c:pt>
                <c:pt idx="6" formatCode="0.0">
                  <c:v>5</c:v>
                </c:pt>
                <c:pt idx="7" formatCode="0.0">
                  <c:v>5</c:v>
                </c:pt>
                <c:pt idx="8" formatCode="0.0">
                  <c:v>5</c:v>
                </c:pt>
                <c:pt idx="9" formatCode="0.0">
                  <c:v>5</c:v>
                </c:pt>
              </c:numCache>
            </c:numRef>
          </c:val>
          <c:smooth val="0"/>
          <c:extLst>
            <c:ext xmlns:c16="http://schemas.microsoft.com/office/drawing/2014/chart" uri="{C3380CC4-5D6E-409C-BE32-E72D297353CC}">
              <c16:uniqueId val="{00000005-DB9C-4B5C-8F2C-06C0D21FF5E5}"/>
            </c:ext>
          </c:extLst>
        </c:ser>
        <c:ser>
          <c:idx val="6"/>
          <c:order val="6"/>
          <c:tx>
            <c:strRef>
              <c:f>DO!$J$11</c:f>
              <c:strCache>
                <c:ptCount val="1"/>
                <c:pt idx="0">
                  <c:v>QCVN 08-MT:2015/BTNMT (Cột B1)</c:v>
                </c:pt>
              </c:strCache>
            </c:strRef>
          </c:tx>
          <c:spPr>
            <a:ln w="22225" cap="rnd">
              <a:solidFill>
                <a:schemeClr val="accent1">
                  <a:lumMod val="60000"/>
                </a:schemeClr>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DO!$J$12:$J$21</c:f>
              <c:numCache>
                <c:formatCode>General</c:formatCode>
                <c:ptCount val="10"/>
                <c:pt idx="0">
                  <c:v>4</c:v>
                </c:pt>
                <c:pt idx="1">
                  <c:v>4</c:v>
                </c:pt>
              </c:numCache>
            </c:numRef>
          </c:val>
          <c:smooth val="0"/>
          <c:extLst>
            <c:ext xmlns:c16="http://schemas.microsoft.com/office/drawing/2014/chart" uri="{C3380CC4-5D6E-409C-BE32-E72D297353CC}">
              <c16:uniqueId val="{00000006-DB9C-4B5C-8F2C-06C0D21FF5E5}"/>
            </c:ext>
          </c:extLst>
        </c:ser>
        <c:ser>
          <c:idx val="7"/>
          <c:order val="7"/>
          <c:tx>
            <c:strRef>
              <c:f>DO!$K$11</c:f>
              <c:strCache>
                <c:ptCount val="1"/>
                <c:pt idx="0">
                  <c:v>QCVN 08:2023/BTNMT (Mức A)</c:v>
                </c:pt>
              </c:strCache>
            </c:strRef>
          </c:tx>
          <c:spPr>
            <a:ln w="22225" cap="rnd">
              <a:solidFill>
                <a:schemeClr val="accent2">
                  <a:lumMod val="60000"/>
                </a:schemeClr>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DO!$K$12:$K$21</c:f>
              <c:numCache>
                <c:formatCode>General</c:formatCode>
                <c:ptCount val="10"/>
                <c:pt idx="2">
                  <c:v>6</c:v>
                </c:pt>
                <c:pt idx="3">
                  <c:v>6</c:v>
                </c:pt>
                <c:pt idx="4">
                  <c:v>6</c:v>
                </c:pt>
                <c:pt idx="5">
                  <c:v>6</c:v>
                </c:pt>
                <c:pt idx="6">
                  <c:v>6</c:v>
                </c:pt>
                <c:pt idx="7">
                  <c:v>6</c:v>
                </c:pt>
                <c:pt idx="8">
                  <c:v>6</c:v>
                </c:pt>
                <c:pt idx="9">
                  <c:v>6</c:v>
                </c:pt>
              </c:numCache>
            </c:numRef>
          </c:val>
          <c:smooth val="0"/>
          <c:extLst>
            <c:ext xmlns:c16="http://schemas.microsoft.com/office/drawing/2014/chart" uri="{C3380CC4-5D6E-409C-BE32-E72D297353CC}">
              <c16:uniqueId val="{00000007-DB9C-4B5C-8F2C-06C0D21FF5E5}"/>
            </c:ext>
          </c:extLst>
        </c:ser>
        <c:ser>
          <c:idx val="8"/>
          <c:order val="8"/>
          <c:tx>
            <c:strRef>
              <c:f>DO!$L$11</c:f>
              <c:strCache>
                <c:ptCount val="1"/>
                <c:pt idx="0">
                  <c:v>QCVN 08:2023/BTNMT (Mức B)</c:v>
                </c:pt>
              </c:strCache>
            </c:strRef>
          </c:tx>
          <c:spPr>
            <a:ln w="22225" cap="rnd">
              <a:solidFill>
                <a:schemeClr val="accent3">
                  <a:lumMod val="60000"/>
                </a:schemeClr>
              </a:solidFill>
              <a:round/>
            </a:ln>
            <a:effectLst/>
          </c:spPr>
          <c:marker>
            <c:symbol val="none"/>
          </c:marker>
          <c:cat>
            <c:strRef>
              <c:f>DO!$B$12:$C$21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DO!$L$12:$L$21</c:f>
              <c:numCache>
                <c:formatCode>0.0</c:formatCode>
                <c:ptCount val="10"/>
                <c:pt idx="0">
                  <c:v>5</c:v>
                </c:pt>
                <c:pt idx="1">
                  <c:v>5</c:v>
                </c:pt>
              </c:numCache>
            </c:numRef>
          </c:val>
          <c:smooth val="0"/>
          <c:extLst>
            <c:ext xmlns:c16="http://schemas.microsoft.com/office/drawing/2014/chart" uri="{C3380CC4-5D6E-409C-BE32-E72D297353CC}">
              <c16:uniqueId val="{00000008-DB9C-4B5C-8F2C-06C0D21FF5E5}"/>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9"/>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
      </c:valAx>
      <c:spPr>
        <a:noFill/>
        <a:ln>
          <a:noFill/>
        </a:ln>
        <a:effectLst/>
      </c:spPr>
    </c:plotArea>
    <c:legend>
      <c:legendPos val="b"/>
      <c:layout>
        <c:manualLayout>
          <c:xMode val="edge"/>
          <c:yMode val="edge"/>
          <c:x val="0"/>
          <c:y val="0.84351912342834889"/>
          <c:w val="0.9980826068771379"/>
          <c:h val="0.1564808765716512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0"/>
          <c:y val="0.1350029744639498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9.0212062152138409E-2"/>
          <c:y val="3.7928190010731416E-2"/>
          <c:w val="0.89780371017651883"/>
          <c:h val="0.38670884889388829"/>
        </c:manualLayout>
      </c:layout>
      <c:barChart>
        <c:barDir val="col"/>
        <c:grouping val="clustered"/>
        <c:varyColors val="0"/>
        <c:ser>
          <c:idx val="0"/>
          <c:order val="0"/>
          <c:tx>
            <c:strRef>
              <c:f>Nitrat!$D$11</c:f>
              <c:strCache>
                <c:ptCount val="1"/>
                <c:pt idx="0">
                  <c:v>2021</c:v>
                </c:pt>
              </c:strCache>
            </c:strRef>
          </c:tx>
          <c:spPr>
            <a:solidFill>
              <a:schemeClr val="accent1"/>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Nitrat!$D$12:$D$21</c:f>
              <c:numCache>
                <c:formatCode>0.00</c:formatCode>
                <c:ptCount val="10"/>
                <c:pt idx="0">
                  <c:v>0.255</c:v>
                </c:pt>
                <c:pt idx="1">
                  <c:v>0.30666666666666664</c:v>
                </c:pt>
                <c:pt idx="2">
                  <c:v>0.26833333333333337</c:v>
                </c:pt>
                <c:pt idx="3">
                  <c:v>0.37833333333333335</c:v>
                </c:pt>
                <c:pt idx="4">
                  <c:v>0.29833333333333334</c:v>
                </c:pt>
                <c:pt idx="5">
                  <c:v>0.19999999999999998</c:v>
                </c:pt>
                <c:pt idx="6">
                  <c:v>0.31</c:v>
                </c:pt>
                <c:pt idx="7">
                  <c:v>0.31666666666666671</c:v>
                </c:pt>
                <c:pt idx="8">
                  <c:v>0.29000000000000004</c:v>
                </c:pt>
                <c:pt idx="9">
                  <c:v>0.27333333333333326</c:v>
                </c:pt>
              </c:numCache>
            </c:numRef>
          </c:val>
          <c:extLst>
            <c:ext xmlns:c16="http://schemas.microsoft.com/office/drawing/2014/chart" uri="{C3380CC4-5D6E-409C-BE32-E72D297353CC}">
              <c16:uniqueId val="{00000000-5F9A-4FD7-8D67-BF46764AD398}"/>
            </c:ext>
          </c:extLst>
        </c:ser>
        <c:ser>
          <c:idx val="1"/>
          <c:order val="1"/>
          <c:tx>
            <c:strRef>
              <c:f>Nitrat!$E$11</c:f>
              <c:strCache>
                <c:ptCount val="1"/>
                <c:pt idx="0">
                  <c:v>2022</c:v>
                </c:pt>
              </c:strCache>
            </c:strRef>
          </c:tx>
          <c:spPr>
            <a:solidFill>
              <a:schemeClr val="accent2"/>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Nitrat!$E$12:$E$21</c:f>
              <c:numCache>
                <c:formatCode>0.00</c:formatCode>
                <c:ptCount val="10"/>
                <c:pt idx="0">
                  <c:v>0.30333333333333334</c:v>
                </c:pt>
                <c:pt idx="1">
                  <c:v>0.23833333333333329</c:v>
                </c:pt>
                <c:pt idx="2">
                  <c:v>0.12833333333333333</c:v>
                </c:pt>
                <c:pt idx="3">
                  <c:v>0.38833333333333336</c:v>
                </c:pt>
                <c:pt idx="4">
                  <c:v>0.30333333333333334</c:v>
                </c:pt>
                <c:pt idx="5">
                  <c:v>0.36166666666666675</c:v>
                </c:pt>
                <c:pt idx="6">
                  <c:v>0.36833333333333335</c:v>
                </c:pt>
                <c:pt idx="7">
                  <c:v>0.22833333333333336</c:v>
                </c:pt>
                <c:pt idx="8">
                  <c:v>0.20333333333333334</c:v>
                </c:pt>
                <c:pt idx="9">
                  <c:v>0.39833333333333337</c:v>
                </c:pt>
              </c:numCache>
            </c:numRef>
          </c:val>
          <c:extLst>
            <c:ext xmlns:c16="http://schemas.microsoft.com/office/drawing/2014/chart" uri="{C3380CC4-5D6E-409C-BE32-E72D297353CC}">
              <c16:uniqueId val="{00000001-5F9A-4FD7-8D67-BF46764AD398}"/>
            </c:ext>
          </c:extLst>
        </c:ser>
        <c:ser>
          <c:idx val="2"/>
          <c:order val="2"/>
          <c:tx>
            <c:strRef>
              <c:f>Nitrat!$F$11</c:f>
              <c:strCache>
                <c:ptCount val="1"/>
                <c:pt idx="0">
                  <c:v>2023</c:v>
                </c:pt>
              </c:strCache>
            </c:strRef>
          </c:tx>
          <c:spPr>
            <a:solidFill>
              <a:schemeClr val="accent3"/>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Nitrat!$F$12:$F$21</c:f>
              <c:numCache>
                <c:formatCode>0.00</c:formatCode>
                <c:ptCount val="10"/>
                <c:pt idx="0">
                  <c:v>0.26500000000000001</c:v>
                </c:pt>
                <c:pt idx="1">
                  <c:v>0.44</c:v>
                </c:pt>
                <c:pt idx="2">
                  <c:v>0.28333333333333333</c:v>
                </c:pt>
                <c:pt idx="3">
                  <c:v>0.34333333333333332</c:v>
                </c:pt>
                <c:pt idx="4">
                  <c:v>0.6366666666666666</c:v>
                </c:pt>
                <c:pt idx="5">
                  <c:v>0.21</c:v>
                </c:pt>
                <c:pt idx="6">
                  <c:v>0.65166666666666673</c:v>
                </c:pt>
                <c:pt idx="7">
                  <c:v>0.44166666666666671</c:v>
                </c:pt>
                <c:pt idx="8">
                  <c:v>0.25499999999999995</c:v>
                </c:pt>
                <c:pt idx="9">
                  <c:v>0.53333333333333333</c:v>
                </c:pt>
              </c:numCache>
            </c:numRef>
          </c:val>
          <c:extLst>
            <c:ext xmlns:c16="http://schemas.microsoft.com/office/drawing/2014/chart" uri="{C3380CC4-5D6E-409C-BE32-E72D297353CC}">
              <c16:uniqueId val="{00000002-5F9A-4FD7-8D67-BF46764AD398}"/>
            </c:ext>
          </c:extLst>
        </c:ser>
        <c:ser>
          <c:idx val="3"/>
          <c:order val="3"/>
          <c:tx>
            <c:strRef>
              <c:f>Nitrat!$G$11</c:f>
              <c:strCache>
                <c:ptCount val="1"/>
                <c:pt idx="0">
                  <c:v>2024</c:v>
                </c:pt>
              </c:strCache>
            </c:strRef>
          </c:tx>
          <c:spPr>
            <a:solidFill>
              <a:schemeClr val="accent4"/>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Nitrat!$G$12:$G$21</c:f>
              <c:numCache>
                <c:formatCode>0.00</c:formatCode>
                <c:ptCount val="10"/>
                <c:pt idx="0">
                  <c:v>0.42666666666666658</c:v>
                </c:pt>
                <c:pt idx="1">
                  <c:v>0.80833333333333346</c:v>
                </c:pt>
                <c:pt idx="2">
                  <c:v>0.28333333333333333</c:v>
                </c:pt>
                <c:pt idx="3">
                  <c:v>0.44333333333333336</c:v>
                </c:pt>
                <c:pt idx="4">
                  <c:v>0.38500000000000001</c:v>
                </c:pt>
                <c:pt idx="5">
                  <c:v>0.34166666666666673</c:v>
                </c:pt>
                <c:pt idx="6">
                  <c:v>0.30333333333333329</c:v>
                </c:pt>
                <c:pt idx="7">
                  <c:v>0.29499999999999998</c:v>
                </c:pt>
                <c:pt idx="8">
                  <c:v>0.3116666666666667</c:v>
                </c:pt>
                <c:pt idx="9">
                  <c:v>0.15833333333333333</c:v>
                </c:pt>
              </c:numCache>
            </c:numRef>
          </c:val>
          <c:extLst>
            <c:ext xmlns:c16="http://schemas.microsoft.com/office/drawing/2014/chart" uri="{C3380CC4-5D6E-409C-BE32-E72D297353CC}">
              <c16:uniqueId val="{00000003-5F9A-4FD7-8D67-BF46764AD398}"/>
            </c:ext>
          </c:extLst>
        </c:ser>
        <c:ser>
          <c:idx val="4"/>
          <c:order val="4"/>
          <c:tx>
            <c:strRef>
              <c:f>Nitrat!$H$11</c:f>
              <c:strCache>
                <c:ptCount val="1"/>
                <c:pt idx="0">
                  <c:v>2025</c:v>
                </c:pt>
              </c:strCache>
            </c:strRef>
          </c:tx>
          <c:spPr>
            <a:solidFill>
              <a:schemeClr val="accent5"/>
            </a:solidFill>
            <a:ln>
              <a:noFill/>
            </a:ln>
            <a:effectLst/>
          </c:spPr>
          <c:invertIfNegative val="0"/>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Nitrat!$H$12:$H$21</c:f>
              <c:numCache>
                <c:formatCode>0.00</c:formatCode>
                <c:ptCount val="10"/>
                <c:pt idx="0">
                  <c:v>0.56000000000000005</c:v>
                </c:pt>
                <c:pt idx="1">
                  <c:v>1.2</c:v>
                </c:pt>
                <c:pt idx="2">
                  <c:v>0.36</c:v>
                </c:pt>
                <c:pt idx="3">
                  <c:v>0.45499999999999996</c:v>
                </c:pt>
                <c:pt idx="4">
                  <c:v>0.19</c:v>
                </c:pt>
                <c:pt idx="5">
                  <c:v>0.65500000000000003</c:v>
                </c:pt>
                <c:pt idx="6">
                  <c:v>0.28000000000000003</c:v>
                </c:pt>
                <c:pt idx="7">
                  <c:v>0.71</c:v>
                </c:pt>
                <c:pt idx="8">
                  <c:v>0.59</c:v>
                </c:pt>
                <c:pt idx="9">
                  <c:v>0.79999999999999993</c:v>
                </c:pt>
              </c:numCache>
            </c:numRef>
          </c:val>
          <c:extLst>
            <c:ext xmlns:c16="http://schemas.microsoft.com/office/drawing/2014/chart" uri="{C3380CC4-5D6E-409C-BE32-E72D297353CC}">
              <c16:uniqueId val="{00000004-5F9A-4FD7-8D67-BF46764AD39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Nitrat!$I$11</c:f>
              <c:strCache>
                <c:ptCount val="1"/>
                <c:pt idx="0">
                  <c:v>QCVN 08-MT:2015/BTNMT (Cột A2)</c:v>
                </c:pt>
              </c:strCache>
            </c:strRef>
          </c:tx>
          <c:spPr>
            <a:ln w="22225" cap="rnd">
              <a:solidFill>
                <a:schemeClr val="accent6"/>
              </a:solidFill>
              <a:round/>
            </a:ln>
            <a:effectLst/>
          </c:spPr>
          <c:marker>
            <c:symbol val="none"/>
          </c:marker>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Nitrat!$I$12:$I$21</c:f>
              <c:numCache>
                <c:formatCode>General</c:formatCode>
                <c:ptCount val="10"/>
                <c:pt idx="2" formatCode="0.0">
                  <c:v>5</c:v>
                </c:pt>
                <c:pt idx="3" formatCode="0.0">
                  <c:v>5</c:v>
                </c:pt>
                <c:pt idx="4" formatCode="0.0">
                  <c:v>5</c:v>
                </c:pt>
                <c:pt idx="5" formatCode="0.0">
                  <c:v>5</c:v>
                </c:pt>
                <c:pt idx="6" formatCode="0.0">
                  <c:v>5</c:v>
                </c:pt>
                <c:pt idx="7" formatCode="0.0">
                  <c:v>5</c:v>
                </c:pt>
                <c:pt idx="8" formatCode="0.0">
                  <c:v>5</c:v>
                </c:pt>
                <c:pt idx="9" formatCode="0.0">
                  <c:v>5</c:v>
                </c:pt>
              </c:numCache>
            </c:numRef>
          </c:val>
          <c:smooth val="0"/>
          <c:extLst>
            <c:ext xmlns:c16="http://schemas.microsoft.com/office/drawing/2014/chart" uri="{C3380CC4-5D6E-409C-BE32-E72D297353CC}">
              <c16:uniqueId val="{00000005-5F9A-4FD7-8D67-BF46764AD398}"/>
            </c:ext>
          </c:extLst>
        </c:ser>
        <c:ser>
          <c:idx val="6"/>
          <c:order val="6"/>
          <c:tx>
            <c:strRef>
              <c:f>Nitrat!$J$11</c:f>
              <c:strCache>
                <c:ptCount val="1"/>
                <c:pt idx="0">
                  <c:v>QCVN 08-MT:2015/BTNMT (Cột B1)</c:v>
                </c:pt>
              </c:strCache>
            </c:strRef>
          </c:tx>
          <c:spPr>
            <a:ln w="22225" cap="rnd">
              <a:solidFill>
                <a:schemeClr val="accent1">
                  <a:lumMod val="60000"/>
                </a:schemeClr>
              </a:solidFill>
              <a:round/>
            </a:ln>
            <a:effectLst/>
          </c:spPr>
          <c:marker>
            <c:symbol val="none"/>
          </c:marker>
          <c:cat>
            <c:strRef>
              <c:f>Nitrat!$B$12:$C$21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Nitrat!$J$12:$J$21</c:f>
              <c:numCache>
                <c:formatCode>General</c:formatCode>
                <c:ptCount val="10"/>
                <c:pt idx="0">
                  <c:v>10</c:v>
                </c:pt>
                <c:pt idx="1">
                  <c:v>10</c:v>
                </c:pt>
              </c:numCache>
            </c:numRef>
          </c:val>
          <c:smooth val="0"/>
          <c:extLst>
            <c:ext xmlns:c16="http://schemas.microsoft.com/office/drawing/2014/chart" uri="{C3380CC4-5D6E-409C-BE32-E72D297353CC}">
              <c16:uniqueId val="{00000006-5F9A-4FD7-8D67-BF46764AD39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
      </c:valAx>
      <c:spPr>
        <a:noFill/>
        <a:ln>
          <a:noFill/>
        </a:ln>
        <a:effectLst/>
      </c:spPr>
    </c:plotArea>
    <c:legend>
      <c:legendPos val="b"/>
      <c:layout>
        <c:manualLayout>
          <c:xMode val="edge"/>
          <c:yMode val="edge"/>
          <c:x val="0"/>
          <c:y val="0.7736974162633341"/>
          <c:w val="0.9980826068771379"/>
          <c:h val="0.1896053360302439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0"/>
          <c:y val="0.1456618513237026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8.3599763276229214E-2"/>
          <c:y val="3.6254255346794523E-2"/>
          <c:w val="0.90662010867773113"/>
          <c:h val="0.38743307086614176"/>
        </c:manualLayout>
      </c:layout>
      <c:barChart>
        <c:barDir val="col"/>
        <c:grouping val="clustered"/>
        <c:varyColors val="0"/>
        <c:ser>
          <c:idx val="0"/>
          <c:order val="0"/>
          <c:tx>
            <c:strRef>
              <c:f>Photphat!$D$11</c:f>
              <c:strCache>
                <c:ptCount val="1"/>
                <c:pt idx="0">
                  <c:v>2021</c:v>
                </c:pt>
              </c:strCache>
            </c:strRef>
          </c:tx>
          <c:spPr>
            <a:solidFill>
              <a:schemeClr val="accent1"/>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Photphat!$D$12:$D$21</c:f>
              <c:numCache>
                <c:formatCode>0.00</c:formatCode>
                <c:ptCount val="10"/>
                <c:pt idx="0">
                  <c:v>6.1666666666666675E-2</c:v>
                </c:pt>
                <c:pt idx="1">
                  <c:v>4.1666666666666664E-2</c:v>
                </c:pt>
                <c:pt idx="2">
                  <c:v>5.7000000000000002E-2</c:v>
                </c:pt>
                <c:pt idx="3">
                  <c:v>5.8000000000000003E-2</c:v>
                </c:pt>
                <c:pt idx="4">
                  <c:v>6.4166666666666664E-2</c:v>
                </c:pt>
                <c:pt idx="5">
                  <c:v>5.6666666666666671E-2</c:v>
                </c:pt>
                <c:pt idx="6">
                  <c:v>0.08</c:v>
                </c:pt>
                <c:pt idx="7">
                  <c:v>3.0000000000000002E-2</c:v>
                </c:pt>
                <c:pt idx="8">
                  <c:v>2.6666666666666668E-2</c:v>
                </c:pt>
                <c:pt idx="9">
                  <c:v>3.0666666666666665E-2</c:v>
                </c:pt>
              </c:numCache>
            </c:numRef>
          </c:val>
          <c:extLst>
            <c:ext xmlns:c16="http://schemas.microsoft.com/office/drawing/2014/chart" uri="{C3380CC4-5D6E-409C-BE32-E72D297353CC}">
              <c16:uniqueId val="{00000000-F1FB-4DF9-8087-82DC1572A162}"/>
            </c:ext>
          </c:extLst>
        </c:ser>
        <c:ser>
          <c:idx val="1"/>
          <c:order val="1"/>
          <c:tx>
            <c:strRef>
              <c:f>Photphat!$E$11</c:f>
              <c:strCache>
                <c:ptCount val="1"/>
                <c:pt idx="0">
                  <c:v>2022</c:v>
                </c:pt>
              </c:strCache>
            </c:strRef>
          </c:tx>
          <c:spPr>
            <a:solidFill>
              <a:schemeClr val="accent2"/>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Photphat!$E$12:$E$21</c:f>
              <c:numCache>
                <c:formatCode>0.00</c:formatCode>
                <c:ptCount val="10"/>
                <c:pt idx="0">
                  <c:v>2.6166666666666668E-2</c:v>
                </c:pt>
                <c:pt idx="1">
                  <c:v>0.10766666666666667</c:v>
                </c:pt>
                <c:pt idx="2">
                  <c:v>4.7333333333333338E-2</c:v>
                </c:pt>
                <c:pt idx="3">
                  <c:v>5.050000000000001E-2</c:v>
                </c:pt>
                <c:pt idx="4">
                  <c:v>7.3833333333333348E-2</c:v>
                </c:pt>
                <c:pt idx="5">
                  <c:v>2.9666666666666664E-2</c:v>
                </c:pt>
                <c:pt idx="6">
                  <c:v>0.10283333333333333</c:v>
                </c:pt>
                <c:pt idx="7">
                  <c:v>3.6166666666666673E-2</c:v>
                </c:pt>
                <c:pt idx="8">
                  <c:v>0.21133333333333335</c:v>
                </c:pt>
                <c:pt idx="9">
                  <c:v>5.9666666666666673E-2</c:v>
                </c:pt>
              </c:numCache>
            </c:numRef>
          </c:val>
          <c:extLst>
            <c:ext xmlns:c16="http://schemas.microsoft.com/office/drawing/2014/chart" uri="{C3380CC4-5D6E-409C-BE32-E72D297353CC}">
              <c16:uniqueId val="{00000001-F1FB-4DF9-8087-82DC1572A162}"/>
            </c:ext>
          </c:extLst>
        </c:ser>
        <c:ser>
          <c:idx val="2"/>
          <c:order val="2"/>
          <c:tx>
            <c:strRef>
              <c:f>Photphat!$F$11</c:f>
              <c:strCache>
                <c:ptCount val="1"/>
                <c:pt idx="0">
                  <c:v>2023</c:v>
                </c:pt>
              </c:strCache>
            </c:strRef>
          </c:tx>
          <c:spPr>
            <a:solidFill>
              <a:schemeClr val="accent3"/>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Photphat!$F$12:$F$21</c:f>
              <c:numCache>
                <c:formatCode>0.00</c:formatCode>
                <c:ptCount val="10"/>
                <c:pt idx="0">
                  <c:v>6.8499999999999991E-2</c:v>
                </c:pt>
                <c:pt idx="1">
                  <c:v>4.2666666666666665E-2</c:v>
                </c:pt>
                <c:pt idx="2">
                  <c:v>3.4500000000000003E-2</c:v>
                </c:pt>
                <c:pt idx="3">
                  <c:v>1.7000000000000001E-2</c:v>
                </c:pt>
                <c:pt idx="4">
                  <c:v>6.3166666666666663E-2</c:v>
                </c:pt>
                <c:pt idx="5">
                  <c:v>3.2833333333333332E-2</c:v>
                </c:pt>
                <c:pt idx="6">
                  <c:v>6.9333333333333316E-2</c:v>
                </c:pt>
                <c:pt idx="7">
                  <c:v>2.7333333333333334E-2</c:v>
                </c:pt>
                <c:pt idx="8">
                  <c:v>2.2333333333333334E-2</c:v>
                </c:pt>
                <c:pt idx="9">
                  <c:v>0.14883333333333335</c:v>
                </c:pt>
              </c:numCache>
            </c:numRef>
          </c:val>
          <c:extLst>
            <c:ext xmlns:c16="http://schemas.microsoft.com/office/drawing/2014/chart" uri="{C3380CC4-5D6E-409C-BE32-E72D297353CC}">
              <c16:uniqueId val="{00000002-F1FB-4DF9-8087-82DC1572A162}"/>
            </c:ext>
          </c:extLst>
        </c:ser>
        <c:ser>
          <c:idx val="3"/>
          <c:order val="3"/>
          <c:tx>
            <c:strRef>
              <c:f>Photphat!$G$11</c:f>
              <c:strCache>
                <c:ptCount val="1"/>
                <c:pt idx="0">
                  <c:v>2024</c:v>
                </c:pt>
              </c:strCache>
            </c:strRef>
          </c:tx>
          <c:spPr>
            <a:solidFill>
              <a:schemeClr val="accent4"/>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Photphat!$G$12:$G$21</c:f>
              <c:numCache>
                <c:formatCode>0.00</c:formatCode>
                <c:ptCount val="10"/>
                <c:pt idx="0">
                  <c:v>7.6999999999999999E-2</c:v>
                </c:pt>
                <c:pt idx="1">
                  <c:v>0.11399999999999999</c:v>
                </c:pt>
                <c:pt idx="2">
                  <c:v>3.3000000000000002E-2</c:v>
                </c:pt>
                <c:pt idx="3">
                  <c:v>4.5000000000000005E-2</c:v>
                </c:pt>
                <c:pt idx="4">
                  <c:v>0.12383333333333334</c:v>
                </c:pt>
                <c:pt idx="5">
                  <c:v>7.566666666666666E-2</c:v>
                </c:pt>
                <c:pt idx="6">
                  <c:v>4.1166666666666664E-2</c:v>
                </c:pt>
                <c:pt idx="7">
                  <c:v>1.9166666666666665E-2</c:v>
                </c:pt>
                <c:pt idx="8">
                  <c:v>5.3333333333333337E-2</c:v>
                </c:pt>
                <c:pt idx="9">
                  <c:v>0.3618333333333334</c:v>
                </c:pt>
              </c:numCache>
            </c:numRef>
          </c:val>
          <c:extLst>
            <c:ext xmlns:c16="http://schemas.microsoft.com/office/drawing/2014/chart" uri="{C3380CC4-5D6E-409C-BE32-E72D297353CC}">
              <c16:uniqueId val="{00000003-F1FB-4DF9-8087-82DC1572A162}"/>
            </c:ext>
          </c:extLst>
        </c:ser>
        <c:ser>
          <c:idx val="4"/>
          <c:order val="4"/>
          <c:tx>
            <c:strRef>
              <c:f>Photphat!$H$11</c:f>
              <c:strCache>
                <c:ptCount val="1"/>
                <c:pt idx="0">
                  <c:v>2025</c:v>
                </c:pt>
              </c:strCache>
            </c:strRef>
          </c:tx>
          <c:spPr>
            <a:solidFill>
              <a:schemeClr val="accent5"/>
            </a:solidFill>
            <a:ln>
              <a:noFill/>
            </a:ln>
            <a:effectLst/>
          </c:spPr>
          <c:invertIfNegative val="0"/>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Photphat!$H$12:$H$21</c:f>
              <c:numCache>
                <c:formatCode>0.00</c:formatCode>
                <c:ptCount val="10"/>
                <c:pt idx="0">
                  <c:v>4.4499999999999998E-2</c:v>
                </c:pt>
                <c:pt idx="1">
                  <c:v>3.0499999999999999E-2</c:v>
                </c:pt>
                <c:pt idx="2">
                  <c:v>1.4999999999999999E-2</c:v>
                </c:pt>
                <c:pt idx="3">
                  <c:v>2.3E-2</c:v>
                </c:pt>
                <c:pt idx="4">
                  <c:v>5.3999999999999999E-2</c:v>
                </c:pt>
                <c:pt idx="5">
                  <c:v>1.8500000000000003E-2</c:v>
                </c:pt>
                <c:pt idx="6">
                  <c:v>2.3E-2</c:v>
                </c:pt>
                <c:pt idx="7">
                  <c:v>4.0000000000000001E-3</c:v>
                </c:pt>
                <c:pt idx="8">
                  <c:v>2.5500000000000002E-2</c:v>
                </c:pt>
                <c:pt idx="9">
                  <c:v>0.15100000000000002</c:v>
                </c:pt>
              </c:numCache>
            </c:numRef>
          </c:val>
          <c:extLst>
            <c:ext xmlns:c16="http://schemas.microsoft.com/office/drawing/2014/chart" uri="{C3380CC4-5D6E-409C-BE32-E72D297353CC}">
              <c16:uniqueId val="{00000004-F1FB-4DF9-8087-82DC1572A162}"/>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Photphat!$I$11</c:f>
              <c:strCache>
                <c:ptCount val="1"/>
                <c:pt idx="0">
                  <c:v>QCVN 08-MT:2015/BTNMT (Cột A2)</c:v>
                </c:pt>
              </c:strCache>
            </c:strRef>
          </c:tx>
          <c:spPr>
            <a:ln w="22225" cap="rnd">
              <a:solidFill>
                <a:schemeClr val="accent6"/>
              </a:solidFill>
              <a:round/>
            </a:ln>
            <a:effectLst/>
          </c:spPr>
          <c:marker>
            <c:symbol val="none"/>
          </c:marker>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Photphat!$I$12:$I$21</c:f>
              <c:numCache>
                <c:formatCode>General</c:formatCode>
                <c:ptCount val="10"/>
                <c:pt idx="2" formatCode="0.0">
                  <c:v>0.2</c:v>
                </c:pt>
                <c:pt idx="3" formatCode="0.0">
                  <c:v>0.2</c:v>
                </c:pt>
                <c:pt idx="4" formatCode="0.0">
                  <c:v>0.2</c:v>
                </c:pt>
                <c:pt idx="5" formatCode="0.0">
                  <c:v>0.2</c:v>
                </c:pt>
                <c:pt idx="6" formatCode="0.0">
                  <c:v>0.2</c:v>
                </c:pt>
                <c:pt idx="7" formatCode="0.0">
                  <c:v>0.2</c:v>
                </c:pt>
                <c:pt idx="8" formatCode="0.0">
                  <c:v>0.2</c:v>
                </c:pt>
                <c:pt idx="9" formatCode="0.0">
                  <c:v>0.2</c:v>
                </c:pt>
              </c:numCache>
            </c:numRef>
          </c:val>
          <c:smooth val="0"/>
          <c:extLst>
            <c:ext xmlns:c16="http://schemas.microsoft.com/office/drawing/2014/chart" uri="{C3380CC4-5D6E-409C-BE32-E72D297353CC}">
              <c16:uniqueId val="{00000005-F1FB-4DF9-8087-82DC1572A162}"/>
            </c:ext>
          </c:extLst>
        </c:ser>
        <c:ser>
          <c:idx val="6"/>
          <c:order val="6"/>
          <c:tx>
            <c:strRef>
              <c:f>Photphat!$J$11</c:f>
              <c:strCache>
                <c:ptCount val="1"/>
                <c:pt idx="0">
                  <c:v>QCVN 08-MT:2015/BTNMT (Cột B1)</c:v>
                </c:pt>
              </c:strCache>
            </c:strRef>
          </c:tx>
          <c:spPr>
            <a:ln w="22225" cap="rnd">
              <a:solidFill>
                <a:schemeClr val="accent1">
                  <a:lumMod val="60000"/>
                </a:schemeClr>
              </a:solidFill>
              <a:round/>
            </a:ln>
            <a:effectLst/>
          </c:spPr>
          <c:marker>
            <c:symbol val="none"/>
          </c:marker>
          <c:cat>
            <c:strRef>
              <c:f>Photphat!$B$12:$C$21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Photphat!$J$12:$J$21</c:f>
              <c:numCache>
                <c:formatCode>General</c:formatCode>
                <c:ptCount val="10"/>
                <c:pt idx="0">
                  <c:v>0.3</c:v>
                </c:pt>
                <c:pt idx="1">
                  <c:v>0.3</c:v>
                </c:pt>
              </c:numCache>
            </c:numRef>
          </c:val>
          <c:smooth val="0"/>
          <c:extLst>
            <c:ext xmlns:c16="http://schemas.microsoft.com/office/drawing/2014/chart" uri="{C3380CC4-5D6E-409C-BE32-E72D297353CC}">
              <c16:uniqueId val="{00000006-F1FB-4DF9-8087-82DC1572A162}"/>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5"/>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1"/>
      </c:valAx>
      <c:spPr>
        <a:noFill/>
        <a:ln>
          <a:noFill/>
        </a:ln>
        <a:effectLst/>
      </c:spPr>
    </c:plotArea>
    <c:legend>
      <c:legendPos val="b"/>
      <c:layout>
        <c:manualLayout>
          <c:xMode val="edge"/>
          <c:yMode val="edge"/>
          <c:x val="0"/>
          <c:y val="0.77092233514863506"/>
          <c:w val="0.9980826068771379"/>
          <c:h val="0.2055828043520991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204965645549541E-3"/>
          <c:y val="3.189946084325667E-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0.10178983302643704"/>
          <c:y val="3.6896587926509183E-2"/>
          <c:w val="0.8877485035551953"/>
          <c:h val="0.39566894138232717"/>
        </c:manualLayout>
      </c:layout>
      <c:barChart>
        <c:barDir val="col"/>
        <c:grouping val="clustered"/>
        <c:varyColors val="0"/>
        <c:ser>
          <c:idx val="0"/>
          <c:order val="0"/>
          <c:tx>
            <c:strRef>
              <c:f>Coliform!$D$11</c:f>
              <c:strCache>
                <c:ptCount val="1"/>
                <c:pt idx="0">
                  <c:v>2021</c:v>
                </c:pt>
              </c:strCache>
            </c:strRef>
          </c:tx>
          <c:spPr>
            <a:solidFill>
              <a:schemeClr val="accent1"/>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Coliform!$D$12:$D$21</c:f>
              <c:numCache>
                <c:formatCode>0.00</c:formatCode>
                <c:ptCount val="10"/>
                <c:pt idx="0">
                  <c:v>1155</c:v>
                </c:pt>
                <c:pt idx="1">
                  <c:v>706.66666666666663</c:v>
                </c:pt>
                <c:pt idx="2">
                  <c:v>743.33333333333337</c:v>
                </c:pt>
                <c:pt idx="3">
                  <c:v>1051.6666666666667</c:v>
                </c:pt>
                <c:pt idx="4">
                  <c:v>2373.3333333333335</c:v>
                </c:pt>
                <c:pt idx="5">
                  <c:v>3325</c:v>
                </c:pt>
                <c:pt idx="6">
                  <c:v>1276.6666666666667</c:v>
                </c:pt>
                <c:pt idx="7">
                  <c:v>1056.6666666666667</c:v>
                </c:pt>
                <c:pt idx="8">
                  <c:v>326.66666666666669</c:v>
                </c:pt>
                <c:pt idx="9">
                  <c:v>606.66666666666663</c:v>
                </c:pt>
              </c:numCache>
            </c:numRef>
          </c:val>
          <c:extLst>
            <c:ext xmlns:c16="http://schemas.microsoft.com/office/drawing/2014/chart" uri="{C3380CC4-5D6E-409C-BE32-E72D297353CC}">
              <c16:uniqueId val="{00000000-E649-44C9-A192-AE0F0802CCB1}"/>
            </c:ext>
          </c:extLst>
        </c:ser>
        <c:ser>
          <c:idx val="1"/>
          <c:order val="1"/>
          <c:tx>
            <c:strRef>
              <c:f>Coliform!$E$11</c:f>
              <c:strCache>
                <c:ptCount val="1"/>
                <c:pt idx="0">
                  <c:v>2022</c:v>
                </c:pt>
              </c:strCache>
            </c:strRef>
          </c:tx>
          <c:spPr>
            <a:solidFill>
              <a:schemeClr val="accent2"/>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Coliform!$E$12:$E$21</c:f>
              <c:numCache>
                <c:formatCode>0.00</c:formatCode>
                <c:ptCount val="10"/>
                <c:pt idx="0">
                  <c:v>1746.6666666666667</c:v>
                </c:pt>
                <c:pt idx="1">
                  <c:v>2383.3333333333335</c:v>
                </c:pt>
                <c:pt idx="2">
                  <c:v>735</c:v>
                </c:pt>
                <c:pt idx="3">
                  <c:v>751.66666666666663</c:v>
                </c:pt>
                <c:pt idx="4">
                  <c:v>1925</c:v>
                </c:pt>
                <c:pt idx="5">
                  <c:v>875</c:v>
                </c:pt>
                <c:pt idx="6">
                  <c:v>1980</c:v>
                </c:pt>
                <c:pt idx="7">
                  <c:v>826.66666666666663</c:v>
                </c:pt>
                <c:pt idx="8">
                  <c:v>1033.3333333333333</c:v>
                </c:pt>
                <c:pt idx="9">
                  <c:v>1373.3333333333333</c:v>
                </c:pt>
              </c:numCache>
            </c:numRef>
          </c:val>
          <c:extLst>
            <c:ext xmlns:c16="http://schemas.microsoft.com/office/drawing/2014/chart" uri="{C3380CC4-5D6E-409C-BE32-E72D297353CC}">
              <c16:uniqueId val="{00000001-E649-44C9-A192-AE0F0802CCB1}"/>
            </c:ext>
          </c:extLst>
        </c:ser>
        <c:ser>
          <c:idx val="2"/>
          <c:order val="2"/>
          <c:tx>
            <c:strRef>
              <c:f>Coliform!$F$11</c:f>
              <c:strCache>
                <c:ptCount val="1"/>
                <c:pt idx="0">
                  <c:v>2023</c:v>
                </c:pt>
              </c:strCache>
            </c:strRef>
          </c:tx>
          <c:spPr>
            <a:solidFill>
              <a:schemeClr val="accent3"/>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Coliform!$F$12:$F$21</c:f>
              <c:numCache>
                <c:formatCode>0.00</c:formatCode>
                <c:ptCount val="10"/>
                <c:pt idx="0">
                  <c:v>3631.6666666666665</c:v>
                </c:pt>
                <c:pt idx="1">
                  <c:v>5841.666666666667</c:v>
                </c:pt>
                <c:pt idx="2">
                  <c:v>3390</c:v>
                </c:pt>
                <c:pt idx="3">
                  <c:v>1476.6666666666667</c:v>
                </c:pt>
                <c:pt idx="4">
                  <c:v>2366.6666666666665</c:v>
                </c:pt>
                <c:pt idx="5">
                  <c:v>1215</c:v>
                </c:pt>
                <c:pt idx="6">
                  <c:v>2966.6666666666665</c:v>
                </c:pt>
                <c:pt idx="7">
                  <c:v>1186.6666666666667</c:v>
                </c:pt>
                <c:pt idx="8">
                  <c:v>1593.3333333333333</c:v>
                </c:pt>
                <c:pt idx="9">
                  <c:v>2488.1666666666665</c:v>
                </c:pt>
              </c:numCache>
            </c:numRef>
          </c:val>
          <c:extLst>
            <c:ext xmlns:c16="http://schemas.microsoft.com/office/drawing/2014/chart" uri="{C3380CC4-5D6E-409C-BE32-E72D297353CC}">
              <c16:uniqueId val="{00000002-E649-44C9-A192-AE0F0802CCB1}"/>
            </c:ext>
          </c:extLst>
        </c:ser>
        <c:ser>
          <c:idx val="3"/>
          <c:order val="3"/>
          <c:tx>
            <c:strRef>
              <c:f>Coliform!$G$11</c:f>
              <c:strCache>
                <c:ptCount val="1"/>
                <c:pt idx="0">
                  <c:v>2024</c:v>
                </c:pt>
              </c:strCache>
            </c:strRef>
          </c:tx>
          <c:spPr>
            <a:solidFill>
              <a:schemeClr val="accent4"/>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Coliform!$G$12:$G$21</c:f>
              <c:numCache>
                <c:formatCode>0.00</c:formatCode>
                <c:ptCount val="10"/>
                <c:pt idx="0">
                  <c:v>2088.3333333333335</c:v>
                </c:pt>
                <c:pt idx="1">
                  <c:v>2485</c:v>
                </c:pt>
                <c:pt idx="2">
                  <c:v>705</c:v>
                </c:pt>
                <c:pt idx="3">
                  <c:v>1038.3333333333333</c:v>
                </c:pt>
                <c:pt idx="4">
                  <c:v>1550</c:v>
                </c:pt>
                <c:pt idx="5">
                  <c:v>1763.3333333333333</c:v>
                </c:pt>
                <c:pt idx="6">
                  <c:v>756.66666666666663</c:v>
                </c:pt>
                <c:pt idx="7">
                  <c:v>788.33333333333337</c:v>
                </c:pt>
                <c:pt idx="8">
                  <c:v>1566.6666666666667</c:v>
                </c:pt>
                <c:pt idx="9">
                  <c:v>386.66666666666669</c:v>
                </c:pt>
              </c:numCache>
            </c:numRef>
          </c:val>
          <c:extLst>
            <c:ext xmlns:c16="http://schemas.microsoft.com/office/drawing/2014/chart" uri="{C3380CC4-5D6E-409C-BE32-E72D297353CC}">
              <c16:uniqueId val="{00000003-E649-44C9-A192-AE0F0802CCB1}"/>
            </c:ext>
          </c:extLst>
        </c:ser>
        <c:ser>
          <c:idx val="4"/>
          <c:order val="4"/>
          <c:tx>
            <c:strRef>
              <c:f>Coliform!$H$11</c:f>
              <c:strCache>
                <c:ptCount val="1"/>
                <c:pt idx="0">
                  <c:v>2025</c:v>
                </c:pt>
              </c:strCache>
            </c:strRef>
          </c:tx>
          <c:spPr>
            <a:solidFill>
              <a:schemeClr val="accent5"/>
            </a:solidFill>
            <a:ln>
              <a:noFill/>
            </a:ln>
            <a:effectLst/>
          </c:spPr>
          <c:invertIfNegative val="0"/>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Coliform!$H$12:$H$21</c:f>
              <c:numCache>
                <c:formatCode>0.00</c:formatCode>
                <c:ptCount val="10"/>
                <c:pt idx="0">
                  <c:v>890</c:v>
                </c:pt>
                <c:pt idx="1">
                  <c:v>1550</c:v>
                </c:pt>
                <c:pt idx="2">
                  <c:v>340</c:v>
                </c:pt>
                <c:pt idx="3">
                  <c:v>1150</c:v>
                </c:pt>
                <c:pt idx="4">
                  <c:v>310</c:v>
                </c:pt>
                <c:pt idx="5">
                  <c:v>1900</c:v>
                </c:pt>
                <c:pt idx="6">
                  <c:v>1000</c:v>
                </c:pt>
                <c:pt idx="7">
                  <c:v>230</c:v>
                </c:pt>
                <c:pt idx="8">
                  <c:v>1040</c:v>
                </c:pt>
                <c:pt idx="9">
                  <c:v>440</c:v>
                </c:pt>
              </c:numCache>
            </c:numRef>
          </c:val>
          <c:extLst>
            <c:ext xmlns:c16="http://schemas.microsoft.com/office/drawing/2014/chart" uri="{C3380CC4-5D6E-409C-BE32-E72D297353CC}">
              <c16:uniqueId val="{00000004-E649-44C9-A192-AE0F0802CCB1}"/>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Coliform!$I$11</c:f>
              <c:strCache>
                <c:ptCount val="1"/>
                <c:pt idx="0">
                  <c:v>QCVN 08-MT:2015/BTNMT (Cột A2)</c:v>
                </c:pt>
              </c:strCache>
            </c:strRef>
          </c:tx>
          <c:spPr>
            <a:ln w="22225" cap="rnd">
              <a:solidFill>
                <a:schemeClr val="accent6"/>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Coliform!$I$12:$I$21</c:f>
              <c:numCache>
                <c:formatCode>General</c:formatCode>
                <c:ptCount val="10"/>
                <c:pt idx="2" formatCode="0.0">
                  <c:v>5000</c:v>
                </c:pt>
                <c:pt idx="3" formatCode="0.0">
                  <c:v>5000</c:v>
                </c:pt>
                <c:pt idx="4" formatCode="0.0">
                  <c:v>5000</c:v>
                </c:pt>
                <c:pt idx="5" formatCode="0.0">
                  <c:v>5000</c:v>
                </c:pt>
                <c:pt idx="6" formatCode="0.0">
                  <c:v>5000</c:v>
                </c:pt>
                <c:pt idx="7" formatCode="0.0">
                  <c:v>5000</c:v>
                </c:pt>
                <c:pt idx="8" formatCode="0.0">
                  <c:v>5000</c:v>
                </c:pt>
                <c:pt idx="9" formatCode="0.0">
                  <c:v>5000</c:v>
                </c:pt>
              </c:numCache>
            </c:numRef>
          </c:val>
          <c:smooth val="0"/>
          <c:extLst>
            <c:ext xmlns:c16="http://schemas.microsoft.com/office/drawing/2014/chart" uri="{C3380CC4-5D6E-409C-BE32-E72D297353CC}">
              <c16:uniqueId val="{00000005-E649-44C9-A192-AE0F0802CCB1}"/>
            </c:ext>
          </c:extLst>
        </c:ser>
        <c:ser>
          <c:idx val="6"/>
          <c:order val="6"/>
          <c:tx>
            <c:strRef>
              <c:f>Coliform!$J$11</c:f>
              <c:strCache>
                <c:ptCount val="1"/>
                <c:pt idx="0">
                  <c:v>QCVN 08-MT:2015/BTNMT (Cột B1)</c:v>
                </c:pt>
              </c:strCache>
            </c:strRef>
          </c:tx>
          <c:spPr>
            <a:ln w="22225" cap="rnd">
              <a:solidFill>
                <a:schemeClr val="accent1">
                  <a:lumMod val="60000"/>
                </a:schemeClr>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Coliform!$J$12:$J$21</c:f>
              <c:numCache>
                <c:formatCode>General</c:formatCode>
                <c:ptCount val="10"/>
                <c:pt idx="0">
                  <c:v>7500</c:v>
                </c:pt>
                <c:pt idx="1">
                  <c:v>7500</c:v>
                </c:pt>
              </c:numCache>
            </c:numRef>
          </c:val>
          <c:smooth val="0"/>
          <c:extLst>
            <c:ext xmlns:c16="http://schemas.microsoft.com/office/drawing/2014/chart" uri="{C3380CC4-5D6E-409C-BE32-E72D297353CC}">
              <c16:uniqueId val="{00000006-E649-44C9-A192-AE0F0802CCB1}"/>
            </c:ext>
          </c:extLst>
        </c:ser>
        <c:ser>
          <c:idx val="7"/>
          <c:order val="7"/>
          <c:tx>
            <c:strRef>
              <c:f>Coliform!$K$11</c:f>
              <c:strCache>
                <c:ptCount val="1"/>
                <c:pt idx="0">
                  <c:v>QCVN 08:2023/BTNMT (Mức A)</c:v>
                </c:pt>
              </c:strCache>
            </c:strRef>
          </c:tx>
          <c:spPr>
            <a:ln w="22225" cap="rnd">
              <a:solidFill>
                <a:schemeClr val="accent2">
                  <a:lumMod val="60000"/>
                </a:schemeClr>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Coliform!$K$12:$K$21</c:f>
              <c:numCache>
                <c:formatCode>General</c:formatCode>
                <c:ptCount val="10"/>
                <c:pt idx="2">
                  <c:v>1000</c:v>
                </c:pt>
                <c:pt idx="3">
                  <c:v>1000</c:v>
                </c:pt>
                <c:pt idx="4">
                  <c:v>1000</c:v>
                </c:pt>
                <c:pt idx="5">
                  <c:v>1000</c:v>
                </c:pt>
                <c:pt idx="6">
                  <c:v>1000</c:v>
                </c:pt>
                <c:pt idx="7">
                  <c:v>1000</c:v>
                </c:pt>
                <c:pt idx="8">
                  <c:v>1000</c:v>
                </c:pt>
                <c:pt idx="9">
                  <c:v>1000</c:v>
                </c:pt>
              </c:numCache>
            </c:numRef>
          </c:val>
          <c:smooth val="0"/>
          <c:extLst>
            <c:ext xmlns:c16="http://schemas.microsoft.com/office/drawing/2014/chart" uri="{C3380CC4-5D6E-409C-BE32-E72D297353CC}">
              <c16:uniqueId val="{00000007-E649-44C9-A192-AE0F0802CCB1}"/>
            </c:ext>
          </c:extLst>
        </c:ser>
        <c:ser>
          <c:idx val="8"/>
          <c:order val="8"/>
          <c:tx>
            <c:strRef>
              <c:f>Coliform!$L$11</c:f>
              <c:strCache>
                <c:ptCount val="1"/>
                <c:pt idx="0">
                  <c:v>QCVN 08:2023/BTNMT (Mức B)</c:v>
                </c:pt>
              </c:strCache>
            </c:strRef>
          </c:tx>
          <c:spPr>
            <a:ln w="22225" cap="rnd">
              <a:solidFill>
                <a:schemeClr val="accent3">
                  <a:lumMod val="60000"/>
                </a:schemeClr>
              </a:solidFill>
              <a:round/>
            </a:ln>
            <a:effectLst/>
          </c:spPr>
          <c:marker>
            <c:symbol val="none"/>
          </c:marker>
          <c:cat>
            <c:strRef>
              <c:f>Coliform!$B$12:$C$21</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Coliform!$L$12:$L$21</c:f>
              <c:numCache>
                <c:formatCode>0.0</c:formatCode>
                <c:ptCount val="10"/>
                <c:pt idx="0">
                  <c:v>5000</c:v>
                </c:pt>
                <c:pt idx="1">
                  <c:v>5000</c:v>
                </c:pt>
              </c:numCache>
            </c:numRef>
          </c:val>
          <c:smooth val="0"/>
          <c:extLst>
            <c:ext xmlns:c16="http://schemas.microsoft.com/office/drawing/2014/chart" uri="{C3380CC4-5D6E-409C-BE32-E72D297353CC}">
              <c16:uniqueId val="{00000008-E649-44C9-A192-AE0F0802CCB1}"/>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7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00"/>
      </c:valAx>
      <c:spPr>
        <a:noFill/>
        <a:ln>
          <a:noFill/>
        </a:ln>
        <a:effectLst/>
      </c:spPr>
    </c:plotArea>
    <c:legend>
      <c:legendPos val="b"/>
      <c:layout>
        <c:manualLayout>
          <c:xMode val="edge"/>
          <c:yMode val="edge"/>
          <c:x val="0"/>
          <c:y val="0.78739317585301838"/>
          <c:w val="0.9980826068771379"/>
          <c:h val="0.1850494021580635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9935699298332692E-2"/>
          <c:y val="5.4553498273033331E-2"/>
          <c:w val="0.93943797965487974"/>
          <c:h val="0.45661038401945786"/>
        </c:manualLayout>
      </c:layout>
      <c:lineChart>
        <c:grouping val="standard"/>
        <c:varyColors val="0"/>
        <c:ser>
          <c:idx val="0"/>
          <c:order val="0"/>
          <c:tx>
            <c:strRef>
              <c:f>WQI!$D$17</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WQI!$D$18:$D$27</c:f>
              <c:numCache>
                <c:formatCode>General</c:formatCode>
                <c:ptCount val="10"/>
                <c:pt idx="0">
                  <c:v>93</c:v>
                </c:pt>
                <c:pt idx="1">
                  <c:v>89</c:v>
                </c:pt>
                <c:pt idx="2">
                  <c:v>87</c:v>
                </c:pt>
                <c:pt idx="3">
                  <c:v>88</c:v>
                </c:pt>
                <c:pt idx="4">
                  <c:v>72</c:v>
                </c:pt>
                <c:pt idx="5">
                  <c:v>91</c:v>
                </c:pt>
                <c:pt idx="6">
                  <c:v>95</c:v>
                </c:pt>
                <c:pt idx="7">
                  <c:v>92</c:v>
                </c:pt>
                <c:pt idx="8">
                  <c:v>78</c:v>
                </c:pt>
                <c:pt idx="9">
                  <c:v>98</c:v>
                </c:pt>
              </c:numCache>
            </c:numRef>
          </c:val>
          <c:smooth val="0"/>
          <c:extLst>
            <c:ext xmlns:c16="http://schemas.microsoft.com/office/drawing/2014/chart" uri="{C3380CC4-5D6E-409C-BE32-E72D297353CC}">
              <c16:uniqueId val="{00000000-1092-4F8E-849F-0C8963AFC01D}"/>
            </c:ext>
          </c:extLst>
        </c:ser>
        <c:ser>
          <c:idx val="1"/>
          <c:order val="1"/>
          <c:tx>
            <c:strRef>
              <c:f>WQI!$E$17</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WQI!$E$18:$E$27</c:f>
              <c:numCache>
                <c:formatCode>0</c:formatCode>
                <c:ptCount val="10"/>
                <c:pt idx="0" formatCode="General">
                  <c:v>84</c:v>
                </c:pt>
                <c:pt idx="1">
                  <c:v>85.681204826521139</c:v>
                </c:pt>
                <c:pt idx="2" formatCode="General">
                  <c:v>76</c:v>
                </c:pt>
                <c:pt idx="3">
                  <c:v>87.104592225042452</c:v>
                </c:pt>
                <c:pt idx="4">
                  <c:v>87.052501711944402</c:v>
                </c:pt>
                <c:pt idx="5">
                  <c:v>78.622043329407717</c:v>
                </c:pt>
                <c:pt idx="6">
                  <c:v>90.519063117857471</c:v>
                </c:pt>
                <c:pt idx="7">
                  <c:v>90.82752981352526</c:v>
                </c:pt>
                <c:pt idx="8">
                  <c:v>89.766574902115678</c:v>
                </c:pt>
                <c:pt idx="9">
                  <c:v>93</c:v>
                </c:pt>
              </c:numCache>
            </c:numRef>
          </c:val>
          <c:smooth val="0"/>
          <c:extLst>
            <c:ext xmlns:c16="http://schemas.microsoft.com/office/drawing/2014/chart" uri="{C3380CC4-5D6E-409C-BE32-E72D297353CC}">
              <c16:uniqueId val="{00000001-1092-4F8E-849F-0C8963AFC01D}"/>
            </c:ext>
          </c:extLst>
        </c:ser>
        <c:ser>
          <c:idx val="2"/>
          <c:order val="2"/>
          <c:tx>
            <c:strRef>
              <c:f>WQI!$F$17</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WQI!$F$18:$F$27</c:f>
              <c:numCache>
                <c:formatCode>0</c:formatCode>
                <c:ptCount val="10"/>
                <c:pt idx="0" formatCode="General">
                  <c:v>87</c:v>
                </c:pt>
                <c:pt idx="1">
                  <c:v>71.5</c:v>
                </c:pt>
                <c:pt idx="2" formatCode="General">
                  <c:v>86</c:v>
                </c:pt>
                <c:pt idx="3">
                  <c:v>96.833333333333329</c:v>
                </c:pt>
                <c:pt idx="4">
                  <c:v>87.5</c:v>
                </c:pt>
                <c:pt idx="5">
                  <c:v>87.833333333333329</c:v>
                </c:pt>
                <c:pt idx="6">
                  <c:v>93.666666666666671</c:v>
                </c:pt>
                <c:pt idx="7">
                  <c:v>80.666666666666671</c:v>
                </c:pt>
                <c:pt idx="8">
                  <c:v>90.5</c:v>
                </c:pt>
                <c:pt idx="9">
                  <c:v>87</c:v>
                </c:pt>
              </c:numCache>
            </c:numRef>
          </c:val>
          <c:smooth val="0"/>
          <c:extLst>
            <c:ext xmlns:c16="http://schemas.microsoft.com/office/drawing/2014/chart" uri="{C3380CC4-5D6E-409C-BE32-E72D297353CC}">
              <c16:uniqueId val="{00000002-1092-4F8E-849F-0C8963AFC01D}"/>
            </c:ext>
          </c:extLst>
        </c:ser>
        <c:ser>
          <c:idx val="3"/>
          <c:order val="3"/>
          <c:tx>
            <c:strRef>
              <c:f>WQI!$G$17</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WQI!$G$18:$G$27</c:f>
              <c:numCache>
                <c:formatCode>0</c:formatCode>
                <c:ptCount val="10"/>
                <c:pt idx="0" formatCode="General">
                  <c:v>89</c:v>
                </c:pt>
                <c:pt idx="1">
                  <c:v>87</c:v>
                </c:pt>
                <c:pt idx="2" formatCode="General">
                  <c:v>94</c:v>
                </c:pt>
                <c:pt idx="3">
                  <c:v>96</c:v>
                </c:pt>
                <c:pt idx="4">
                  <c:v>85.166666666666671</c:v>
                </c:pt>
                <c:pt idx="5">
                  <c:v>91</c:v>
                </c:pt>
                <c:pt idx="6">
                  <c:v>97</c:v>
                </c:pt>
                <c:pt idx="7">
                  <c:v>92</c:v>
                </c:pt>
                <c:pt idx="8">
                  <c:v>91</c:v>
                </c:pt>
                <c:pt idx="9">
                  <c:v>91</c:v>
                </c:pt>
              </c:numCache>
            </c:numRef>
          </c:val>
          <c:smooth val="0"/>
          <c:extLst>
            <c:ext xmlns:c16="http://schemas.microsoft.com/office/drawing/2014/chart" uri="{C3380CC4-5D6E-409C-BE32-E72D297353CC}">
              <c16:uniqueId val="{00000003-1092-4F8E-849F-0C8963AFC01D}"/>
            </c:ext>
          </c:extLst>
        </c:ser>
        <c:ser>
          <c:idx val="4"/>
          <c:order val="4"/>
          <c:tx>
            <c:strRef>
              <c:f>WQI!$H$17</c:f>
              <c:strCache>
                <c:ptCount val="1"/>
                <c:pt idx="0">
                  <c:v>WQI-Rất tốt (91-100)</c:v>
                </c:pt>
              </c:strCache>
            </c:strRef>
          </c:tx>
          <c:spPr>
            <a:ln w="28575" cap="rnd">
              <a:solidFill>
                <a:schemeClr val="accent5"/>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WQI!$H$18:$H$27</c:f>
              <c:numCache>
                <c:formatCode>General</c:formatCode>
                <c:ptCount val="10"/>
                <c:pt idx="0">
                  <c:v>91</c:v>
                </c:pt>
                <c:pt idx="1">
                  <c:v>91</c:v>
                </c:pt>
                <c:pt idx="2">
                  <c:v>91</c:v>
                </c:pt>
                <c:pt idx="3">
                  <c:v>91</c:v>
                </c:pt>
                <c:pt idx="4">
                  <c:v>91</c:v>
                </c:pt>
                <c:pt idx="5">
                  <c:v>91</c:v>
                </c:pt>
                <c:pt idx="6">
                  <c:v>91</c:v>
                </c:pt>
                <c:pt idx="7">
                  <c:v>91</c:v>
                </c:pt>
                <c:pt idx="8">
                  <c:v>91</c:v>
                </c:pt>
                <c:pt idx="9">
                  <c:v>91</c:v>
                </c:pt>
              </c:numCache>
            </c:numRef>
          </c:val>
          <c:smooth val="0"/>
          <c:extLst>
            <c:ext xmlns:c16="http://schemas.microsoft.com/office/drawing/2014/chart" uri="{C3380CC4-5D6E-409C-BE32-E72D297353CC}">
              <c16:uniqueId val="{00000004-1092-4F8E-849F-0C8963AFC01D}"/>
            </c:ext>
          </c:extLst>
        </c:ser>
        <c:ser>
          <c:idx val="5"/>
          <c:order val="5"/>
          <c:tx>
            <c:strRef>
              <c:f>WQI!$I$17</c:f>
              <c:strCache>
                <c:ptCount val="1"/>
                <c:pt idx="0">
                  <c:v>WQI-Tốt (76-90)</c:v>
                </c:pt>
              </c:strCache>
            </c:strRef>
          </c:tx>
          <c:spPr>
            <a:ln w="28575" cap="rnd">
              <a:solidFill>
                <a:schemeClr val="accent6"/>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WQI!$I$18:$I$27</c:f>
              <c:numCache>
                <c:formatCode>General</c:formatCode>
                <c:ptCount val="10"/>
                <c:pt idx="0">
                  <c:v>76</c:v>
                </c:pt>
                <c:pt idx="1">
                  <c:v>76</c:v>
                </c:pt>
                <c:pt idx="2">
                  <c:v>76</c:v>
                </c:pt>
                <c:pt idx="3">
                  <c:v>76</c:v>
                </c:pt>
                <c:pt idx="4">
                  <c:v>76</c:v>
                </c:pt>
                <c:pt idx="5">
                  <c:v>76</c:v>
                </c:pt>
                <c:pt idx="6">
                  <c:v>76</c:v>
                </c:pt>
                <c:pt idx="7">
                  <c:v>76</c:v>
                </c:pt>
                <c:pt idx="8">
                  <c:v>76</c:v>
                </c:pt>
                <c:pt idx="9">
                  <c:v>76</c:v>
                </c:pt>
              </c:numCache>
            </c:numRef>
          </c:val>
          <c:smooth val="0"/>
          <c:extLst>
            <c:ext xmlns:c16="http://schemas.microsoft.com/office/drawing/2014/chart" uri="{C3380CC4-5D6E-409C-BE32-E72D297353CC}">
              <c16:uniqueId val="{00000005-1092-4F8E-849F-0C8963AFC01D}"/>
            </c:ext>
          </c:extLst>
        </c:ser>
        <c:ser>
          <c:idx val="6"/>
          <c:order val="6"/>
          <c:tx>
            <c:strRef>
              <c:f>WQI!$J$17</c:f>
              <c:strCache>
                <c:ptCount val="1"/>
                <c:pt idx="0">
                  <c:v>WQI-Trung bình (51-75)</c:v>
                </c:pt>
              </c:strCache>
            </c:strRef>
          </c:tx>
          <c:spPr>
            <a:ln w="28575" cap="rnd">
              <a:solidFill>
                <a:schemeClr val="accent1">
                  <a:lumMod val="60000"/>
                </a:schemeClr>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WQI!$J$18:$J$27</c:f>
              <c:numCache>
                <c:formatCode>General</c:formatCode>
                <c:ptCount val="10"/>
                <c:pt idx="0">
                  <c:v>51</c:v>
                </c:pt>
                <c:pt idx="1">
                  <c:v>51</c:v>
                </c:pt>
                <c:pt idx="2">
                  <c:v>51</c:v>
                </c:pt>
                <c:pt idx="3">
                  <c:v>51</c:v>
                </c:pt>
                <c:pt idx="4">
                  <c:v>51</c:v>
                </c:pt>
                <c:pt idx="5">
                  <c:v>51</c:v>
                </c:pt>
                <c:pt idx="6">
                  <c:v>51</c:v>
                </c:pt>
                <c:pt idx="7">
                  <c:v>51</c:v>
                </c:pt>
                <c:pt idx="8">
                  <c:v>51</c:v>
                </c:pt>
                <c:pt idx="9">
                  <c:v>51</c:v>
                </c:pt>
              </c:numCache>
            </c:numRef>
          </c:val>
          <c:smooth val="0"/>
          <c:extLst>
            <c:ext xmlns:c16="http://schemas.microsoft.com/office/drawing/2014/chart" uri="{C3380CC4-5D6E-409C-BE32-E72D297353CC}">
              <c16:uniqueId val="{00000006-1092-4F8E-849F-0C8963AFC01D}"/>
            </c:ext>
          </c:extLst>
        </c:ser>
        <c:ser>
          <c:idx val="7"/>
          <c:order val="7"/>
          <c:tx>
            <c:strRef>
              <c:f>WQI!$K$17</c:f>
              <c:strCache>
                <c:ptCount val="1"/>
                <c:pt idx="0">
                  <c:v>WQI-Xấu (26-50)</c:v>
                </c:pt>
              </c:strCache>
            </c:strRef>
          </c:tx>
          <c:spPr>
            <a:ln w="28575" cap="rnd">
              <a:solidFill>
                <a:schemeClr val="accent2">
                  <a:lumMod val="60000"/>
                </a:schemeClr>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WQI!$K$18:$K$27</c:f>
              <c:numCache>
                <c:formatCode>General</c:formatCode>
                <c:ptCount val="10"/>
                <c:pt idx="0">
                  <c:v>26</c:v>
                </c:pt>
                <c:pt idx="1">
                  <c:v>26</c:v>
                </c:pt>
                <c:pt idx="2">
                  <c:v>26</c:v>
                </c:pt>
                <c:pt idx="3">
                  <c:v>26</c:v>
                </c:pt>
                <c:pt idx="4">
                  <c:v>26</c:v>
                </c:pt>
                <c:pt idx="5">
                  <c:v>26</c:v>
                </c:pt>
                <c:pt idx="6">
                  <c:v>26</c:v>
                </c:pt>
                <c:pt idx="7">
                  <c:v>26</c:v>
                </c:pt>
                <c:pt idx="8">
                  <c:v>26</c:v>
                </c:pt>
                <c:pt idx="9">
                  <c:v>26</c:v>
                </c:pt>
              </c:numCache>
            </c:numRef>
          </c:val>
          <c:smooth val="0"/>
          <c:extLst>
            <c:ext xmlns:c16="http://schemas.microsoft.com/office/drawing/2014/chart" uri="{C3380CC4-5D6E-409C-BE32-E72D297353CC}">
              <c16:uniqueId val="{00000007-1092-4F8E-849F-0C8963AFC01D}"/>
            </c:ext>
          </c:extLst>
        </c:ser>
        <c:ser>
          <c:idx val="8"/>
          <c:order val="8"/>
          <c:tx>
            <c:strRef>
              <c:f>WQI!$L$17</c:f>
              <c:strCache>
                <c:ptCount val="1"/>
                <c:pt idx="0">
                  <c:v>WQI-Kém (10-25)</c:v>
                </c:pt>
              </c:strCache>
            </c:strRef>
          </c:tx>
          <c:spPr>
            <a:ln w="28575" cap="rnd">
              <a:solidFill>
                <a:schemeClr val="accent3">
                  <a:lumMod val="60000"/>
                </a:schemeClr>
              </a:solidFill>
              <a:round/>
            </a:ln>
            <a:effectLst/>
          </c:spPr>
          <c:marker>
            <c:symbol val="none"/>
          </c:marker>
          <c:cat>
            <c:strRef>
              <c:f>WQI!$C$18:$C$27</c:f>
              <c:strCache>
                <c:ptCount val="10"/>
                <c:pt idx="0">
                  <c:v>Sông Cày 
(tại P. Thạch Trung)</c:v>
                </c:pt>
                <c:pt idx="1">
                  <c:v>Sông Nghèn 
(tại cầu Cửa Sót)</c:v>
                </c:pt>
                <c:pt idx="2">
                  <c:v>Sông Già 
(tại chân cầu Già)</c:v>
                </c:pt>
                <c:pt idx="3">
                  <c:v>Kênh Nhà Lê 
(tại cống Trung Lương)</c:v>
                </c:pt>
                <c:pt idx="4">
                  <c:v>Kênh nhà Lê 
(tại cầu Đức Thịnh I)</c:v>
                </c:pt>
                <c:pt idx="5">
                  <c:v>Sông Nghèn 
(tại cầu Thuận Lộc)</c:v>
                </c:pt>
                <c:pt idx="6">
                  <c:v>Sông Nghèn 
(tại cầu Thuần Thiện)</c:v>
                </c:pt>
                <c:pt idx="7">
                  <c:v>Sông Nghèn 
(tại cống Đò Điệm)</c:v>
                </c:pt>
                <c:pt idx="8">
                  <c:v>Sông Én 
(tại Cầu Trù)</c:v>
                </c:pt>
                <c:pt idx="9">
                  <c:v>Khe Nhà Trò 
(tại P. Đậu Liêu)</c:v>
                </c:pt>
              </c:strCache>
            </c:strRef>
          </c:cat>
          <c:val>
            <c:numRef>
              <c:f>WQI!$L$18:$L$27</c:f>
              <c:numCache>
                <c:formatCode>General</c:formatCode>
                <c:ptCount val="10"/>
                <c:pt idx="0">
                  <c:v>10</c:v>
                </c:pt>
                <c:pt idx="1">
                  <c:v>10</c:v>
                </c:pt>
                <c:pt idx="2">
                  <c:v>10</c:v>
                </c:pt>
                <c:pt idx="3">
                  <c:v>10</c:v>
                </c:pt>
                <c:pt idx="4">
                  <c:v>10</c:v>
                </c:pt>
                <c:pt idx="5">
                  <c:v>10</c:v>
                </c:pt>
                <c:pt idx="6">
                  <c:v>10</c:v>
                </c:pt>
                <c:pt idx="7">
                  <c:v>10</c:v>
                </c:pt>
                <c:pt idx="8">
                  <c:v>10</c:v>
                </c:pt>
                <c:pt idx="9">
                  <c:v>10</c:v>
                </c:pt>
              </c:numCache>
            </c:numRef>
          </c:val>
          <c:smooth val="0"/>
          <c:extLst>
            <c:ext xmlns:c16="http://schemas.microsoft.com/office/drawing/2014/chart" uri="{C3380CC4-5D6E-409C-BE32-E72D297353CC}">
              <c16:uniqueId val="{00000008-1092-4F8E-849F-0C8963AFC01D}"/>
            </c:ext>
          </c:extLst>
        </c:ser>
        <c:dLbls>
          <c:showLegendKey val="0"/>
          <c:showVal val="0"/>
          <c:showCatName val="0"/>
          <c:showSerName val="0"/>
          <c:showPercent val="0"/>
          <c:showBubbleSize val="0"/>
        </c:dLbls>
        <c:marker val="1"/>
        <c:smooth val="0"/>
        <c:axId val="380584527"/>
        <c:axId val="380597007"/>
      </c:lineChart>
      <c:catAx>
        <c:axId val="3805845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0597007"/>
        <c:crosses val="autoZero"/>
        <c:auto val="1"/>
        <c:lblAlgn val="ctr"/>
        <c:lblOffset val="100"/>
        <c:noMultiLvlLbl val="0"/>
      </c:catAx>
      <c:valAx>
        <c:axId val="3805970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0584527"/>
        <c:crosses val="autoZero"/>
        <c:crossBetween val="between"/>
      </c:valAx>
      <c:spPr>
        <a:noFill/>
        <a:ln>
          <a:noFill/>
        </a:ln>
        <a:effectLst/>
      </c:spPr>
    </c:plotArea>
    <c:legend>
      <c:legendPos val="b"/>
      <c:layout>
        <c:manualLayout>
          <c:xMode val="edge"/>
          <c:yMode val="edge"/>
          <c:x val="7.1659659879797388E-2"/>
          <c:y val="0.79968932454871711"/>
          <c:w val="0.88562305898519988"/>
          <c:h val="0.1769758938862801"/>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17883550270501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2636189927438255E-2"/>
          <c:y val="3.9461099472657669E-2"/>
          <c:w val="0.91504428157633044"/>
          <c:h val="0.35138721945471107"/>
        </c:manualLayout>
      </c:layout>
      <c:barChart>
        <c:barDir val="col"/>
        <c:grouping val="clustered"/>
        <c:varyColors val="0"/>
        <c:ser>
          <c:idx val="0"/>
          <c:order val="0"/>
          <c:tx>
            <c:strRef>
              <c:f>'BOD5'!$D$29</c:f>
              <c:strCache>
                <c:ptCount val="1"/>
                <c:pt idx="0">
                  <c:v>2021</c:v>
                </c:pt>
              </c:strCache>
            </c:strRef>
          </c:tx>
          <c:spPr>
            <a:solidFill>
              <a:schemeClr val="accent1"/>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'BOD5'!$D$30:$D$41</c:f>
              <c:numCache>
                <c:formatCode>0.00</c:formatCode>
                <c:ptCount val="12"/>
                <c:pt idx="0">
                  <c:v>0.85</c:v>
                </c:pt>
                <c:pt idx="1">
                  <c:v>2.7333333333333329</c:v>
                </c:pt>
                <c:pt idx="2">
                  <c:v>0.70000000000000007</c:v>
                </c:pt>
                <c:pt idx="3">
                  <c:v>2.85</c:v>
                </c:pt>
                <c:pt idx="4">
                  <c:v>0.6166666666666667</c:v>
                </c:pt>
                <c:pt idx="5">
                  <c:v>3.3666666666666667</c:v>
                </c:pt>
                <c:pt idx="6">
                  <c:v>3.3166666666666664</c:v>
                </c:pt>
                <c:pt idx="7">
                  <c:v>3.7833333333333337</c:v>
                </c:pt>
                <c:pt idx="8">
                  <c:v>1.2166666666666666</c:v>
                </c:pt>
                <c:pt idx="9">
                  <c:v>2.9</c:v>
                </c:pt>
                <c:pt idx="10">
                  <c:v>3.8000000000000003</c:v>
                </c:pt>
                <c:pt idx="11">
                  <c:v>6.3666666666666671</c:v>
                </c:pt>
              </c:numCache>
            </c:numRef>
          </c:val>
          <c:extLst>
            <c:ext xmlns:c16="http://schemas.microsoft.com/office/drawing/2014/chart" uri="{C3380CC4-5D6E-409C-BE32-E72D297353CC}">
              <c16:uniqueId val="{00000000-22E9-4EDF-872F-6DBB7471A967}"/>
            </c:ext>
          </c:extLst>
        </c:ser>
        <c:ser>
          <c:idx val="1"/>
          <c:order val="1"/>
          <c:tx>
            <c:strRef>
              <c:f>'BOD5'!$E$29</c:f>
              <c:strCache>
                <c:ptCount val="1"/>
                <c:pt idx="0">
                  <c:v>2022</c:v>
                </c:pt>
              </c:strCache>
            </c:strRef>
          </c:tx>
          <c:spPr>
            <a:solidFill>
              <a:schemeClr val="accent2"/>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'BOD5'!$E$30:$E$41</c:f>
              <c:numCache>
                <c:formatCode>0.00</c:formatCode>
                <c:ptCount val="12"/>
                <c:pt idx="0">
                  <c:v>2.1833333333333336</c:v>
                </c:pt>
                <c:pt idx="1">
                  <c:v>2.0333333333333332</c:v>
                </c:pt>
                <c:pt idx="2">
                  <c:v>1.3</c:v>
                </c:pt>
                <c:pt idx="3">
                  <c:v>0.78333333333333321</c:v>
                </c:pt>
                <c:pt idx="4">
                  <c:v>0.70000000000000007</c:v>
                </c:pt>
                <c:pt idx="5">
                  <c:v>4.7333333333333334</c:v>
                </c:pt>
                <c:pt idx="6">
                  <c:v>5.7833333333333341</c:v>
                </c:pt>
                <c:pt idx="7">
                  <c:v>4.416666666666667</c:v>
                </c:pt>
                <c:pt idx="8">
                  <c:v>1.8166666666666664</c:v>
                </c:pt>
                <c:pt idx="9">
                  <c:v>4.6833333333333327</c:v>
                </c:pt>
                <c:pt idx="10">
                  <c:v>4.2</c:v>
                </c:pt>
                <c:pt idx="11">
                  <c:v>3.6999999999999997</c:v>
                </c:pt>
              </c:numCache>
            </c:numRef>
          </c:val>
          <c:extLst>
            <c:ext xmlns:c16="http://schemas.microsoft.com/office/drawing/2014/chart" uri="{C3380CC4-5D6E-409C-BE32-E72D297353CC}">
              <c16:uniqueId val="{00000001-22E9-4EDF-872F-6DBB7471A967}"/>
            </c:ext>
          </c:extLst>
        </c:ser>
        <c:ser>
          <c:idx val="2"/>
          <c:order val="2"/>
          <c:tx>
            <c:strRef>
              <c:f>'BOD5'!$F$29</c:f>
              <c:strCache>
                <c:ptCount val="1"/>
                <c:pt idx="0">
                  <c:v>2023</c:v>
                </c:pt>
              </c:strCache>
            </c:strRef>
          </c:tx>
          <c:spPr>
            <a:solidFill>
              <a:schemeClr val="accent3"/>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'BOD5'!$F$30:$F$41</c:f>
              <c:numCache>
                <c:formatCode>0.00</c:formatCode>
                <c:ptCount val="12"/>
                <c:pt idx="0">
                  <c:v>1.1466666666666667</c:v>
                </c:pt>
                <c:pt idx="1">
                  <c:v>1.5533333333333335</c:v>
                </c:pt>
                <c:pt idx="2">
                  <c:v>1.1500000000000001</c:v>
                </c:pt>
                <c:pt idx="3">
                  <c:v>1.7666666666666668</c:v>
                </c:pt>
                <c:pt idx="4">
                  <c:v>1.9833333333333332</c:v>
                </c:pt>
                <c:pt idx="5">
                  <c:v>1.3499999999999999</c:v>
                </c:pt>
                <c:pt idx="6">
                  <c:v>1.2483333333333333</c:v>
                </c:pt>
                <c:pt idx="7">
                  <c:v>2.2233333333333332</c:v>
                </c:pt>
                <c:pt idx="8">
                  <c:v>1.5666666666666667</c:v>
                </c:pt>
                <c:pt idx="9">
                  <c:v>1.75</c:v>
                </c:pt>
                <c:pt idx="10">
                  <c:v>3.5583333333333331</c:v>
                </c:pt>
                <c:pt idx="11">
                  <c:v>2.7749999999999999</c:v>
                </c:pt>
              </c:numCache>
            </c:numRef>
          </c:val>
          <c:extLst>
            <c:ext xmlns:c16="http://schemas.microsoft.com/office/drawing/2014/chart" uri="{C3380CC4-5D6E-409C-BE32-E72D297353CC}">
              <c16:uniqueId val="{00000002-22E9-4EDF-872F-6DBB7471A967}"/>
            </c:ext>
          </c:extLst>
        </c:ser>
        <c:ser>
          <c:idx val="3"/>
          <c:order val="3"/>
          <c:tx>
            <c:strRef>
              <c:f>'BOD5'!$G$29</c:f>
              <c:strCache>
                <c:ptCount val="1"/>
                <c:pt idx="0">
                  <c:v>2024</c:v>
                </c:pt>
              </c:strCache>
            </c:strRef>
          </c:tx>
          <c:spPr>
            <a:solidFill>
              <a:schemeClr val="accent4"/>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'BOD5'!$G$30:$G$41</c:f>
              <c:numCache>
                <c:formatCode>0.00</c:formatCode>
                <c:ptCount val="12"/>
                <c:pt idx="0">
                  <c:v>1.1416666666666666</c:v>
                </c:pt>
                <c:pt idx="1">
                  <c:v>0.94999999999999984</c:v>
                </c:pt>
                <c:pt idx="2">
                  <c:v>0.53666666666666674</c:v>
                </c:pt>
                <c:pt idx="3">
                  <c:v>0.69166666666666676</c:v>
                </c:pt>
                <c:pt idx="4">
                  <c:v>0.58833333333333337</c:v>
                </c:pt>
                <c:pt idx="5">
                  <c:v>1.5983333333333334</c:v>
                </c:pt>
                <c:pt idx="6">
                  <c:v>1.4133333333333333</c:v>
                </c:pt>
                <c:pt idx="7">
                  <c:v>1.2116666666666667</c:v>
                </c:pt>
                <c:pt idx="8">
                  <c:v>1.1499999999999999</c:v>
                </c:pt>
                <c:pt idx="9">
                  <c:v>0.83333333333333337</c:v>
                </c:pt>
                <c:pt idx="10">
                  <c:v>2.3583333333333338</c:v>
                </c:pt>
                <c:pt idx="11">
                  <c:v>1.7949999999999999</c:v>
                </c:pt>
              </c:numCache>
            </c:numRef>
          </c:val>
          <c:extLst>
            <c:ext xmlns:c16="http://schemas.microsoft.com/office/drawing/2014/chart" uri="{C3380CC4-5D6E-409C-BE32-E72D297353CC}">
              <c16:uniqueId val="{00000003-22E9-4EDF-872F-6DBB7471A967}"/>
            </c:ext>
          </c:extLst>
        </c:ser>
        <c:ser>
          <c:idx val="4"/>
          <c:order val="4"/>
          <c:tx>
            <c:strRef>
              <c:f>'BOD5'!$H$29</c:f>
              <c:strCache>
                <c:ptCount val="1"/>
                <c:pt idx="0">
                  <c:v>2025</c:v>
                </c:pt>
              </c:strCache>
            </c:strRef>
          </c:tx>
          <c:spPr>
            <a:solidFill>
              <a:schemeClr val="accent5"/>
            </a:solidFill>
            <a:ln>
              <a:noFill/>
            </a:ln>
            <a:effectLst/>
          </c:spPr>
          <c:invertIfNegative val="0"/>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'BOD5'!$H$30:$H$41</c:f>
              <c:numCache>
                <c:formatCode>0.00</c:formatCode>
                <c:ptCount val="12"/>
                <c:pt idx="0">
                  <c:v>2.7</c:v>
                </c:pt>
                <c:pt idx="1">
                  <c:v>1</c:v>
                </c:pt>
                <c:pt idx="2">
                  <c:v>1</c:v>
                </c:pt>
                <c:pt idx="3">
                  <c:v>1.01</c:v>
                </c:pt>
                <c:pt idx="4">
                  <c:v>1</c:v>
                </c:pt>
                <c:pt idx="5">
                  <c:v>3.15</c:v>
                </c:pt>
                <c:pt idx="6">
                  <c:v>1</c:v>
                </c:pt>
                <c:pt idx="7">
                  <c:v>1.4449999999999998</c:v>
                </c:pt>
                <c:pt idx="8">
                  <c:v>1.73</c:v>
                </c:pt>
                <c:pt idx="9">
                  <c:v>1.7</c:v>
                </c:pt>
                <c:pt idx="10">
                  <c:v>4.7</c:v>
                </c:pt>
                <c:pt idx="11">
                  <c:v>8.9</c:v>
                </c:pt>
              </c:numCache>
            </c:numRef>
          </c:val>
          <c:extLst>
            <c:ext xmlns:c16="http://schemas.microsoft.com/office/drawing/2014/chart" uri="{C3380CC4-5D6E-409C-BE32-E72D297353CC}">
              <c16:uniqueId val="{00000004-22E9-4EDF-872F-6DBB7471A96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'BOD5'!$I$29</c:f>
              <c:strCache>
                <c:ptCount val="1"/>
                <c:pt idx="0">
                  <c:v>QCVN 08-MT:2015/BTNMT (Cột A2)</c:v>
                </c:pt>
              </c:strCache>
            </c:strRef>
          </c:tx>
          <c:spPr>
            <a:ln w="22225" cap="rnd">
              <a:solidFill>
                <a:schemeClr val="accent6"/>
              </a:solidFill>
              <a:round/>
            </a:ln>
            <a:effectLst/>
          </c:spPr>
          <c:marker>
            <c:symbol val="none"/>
          </c:marker>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'BOD5'!$I$30:$I$41</c:f>
              <c:numCache>
                <c:formatCode>General</c:formatCode>
                <c:ptCount val="12"/>
                <c:pt idx="0">
                  <c:v>6</c:v>
                </c:pt>
                <c:pt idx="1">
                  <c:v>6</c:v>
                </c:pt>
                <c:pt idx="2">
                  <c:v>6</c:v>
                </c:pt>
                <c:pt idx="3">
                  <c:v>6</c:v>
                </c:pt>
                <c:pt idx="4">
                  <c:v>6</c:v>
                </c:pt>
                <c:pt idx="5">
                  <c:v>6</c:v>
                </c:pt>
                <c:pt idx="6">
                  <c:v>6</c:v>
                </c:pt>
                <c:pt idx="7">
                  <c:v>6</c:v>
                </c:pt>
                <c:pt idx="8">
                  <c:v>6</c:v>
                </c:pt>
                <c:pt idx="9">
                  <c:v>6</c:v>
                </c:pt>
                <c:pt idx="10">
                  <c:v>6</c:v>
                </c:pt>
                <c:pt idx="11">
                  <c:v>6</c:v>
                </c:pt>
              </c:numCache>
            </c:numRef>
          </c:val>
          <c:smooth val="0"/>
          <c:extLst>
            <c:ext xmlns:c16="http://schemas.microsoft.com/office/drawing/2014/chart" uri="{C3380CC4-5D6E-409C-BE32-E72D297353CC}">
              <c16:uniqueId val="{00000005-22E9-4EDF-872F-6DBB7471A967}"/>
            </c:ext>
          </c:extLst>
        </c:ser>
        <c:ser>
          <c:idx val="6"/>
          <c:order val="6"/>
          <c:tx>
            <c:strRef>
              <c:f>'BOD5'!$J$29</c:f>
              <c:strCache>
                <c:ptCount val="1"/>
                <c:pt idx="0">
                  <c:v>QCVN 08:2023/BTNMT (Mức A)</c:v>
                </c:pt>
              </c:strCache>
            </c:strRef>
          </c:tx>
          <c:spPr>
            <a:ln w="22225" cap="rnd">
              <a:solidFill>
                <a:schemeClr val="accent1">
                  <a:lumMod val="60000"/>
                </a:schemeClr>
              </a:solidFill>
              <a:round/>
            </a:ln>
            <a:effectLst/>
          </c:spPr>
          <c:marker>
            <c:symbol val="none"/>
          </c:marker>
          <c:cat>
            <c:strRef>
              <c:f>'BOD5'!$B$30:$C$41</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'BOD5'!$J$30:$J$41</c:f>
              <c:numCache>
                <c:formatCode>General</c:formatCode>
                <c:ptCount val="12"/>
                <c:pt idx="0">
                  <c:v>4</c:v>
                </c:pt>
                <c:pt idx="1">
                  <c:v>4</c:v>
                </c:pt>
                <c:pt idx="2">
                  <c:v>4</c:v>
                </c:pt>
                <c:pt idx="3">
                  <c:v>4</c:v>
                </c:pt>
                <c:pt idx="4">
                  <c:v>4</c:v>
                </c:pt>
                <c:pt idx="5">
                  <c:v>4</c:v>
                </c:pt>
                <c:pt idx="6">
                  <c:v>4</c:v>
                </c:pt>
                <c:pt idx="7">
                  <c:v>4</c:v>
                </c:pt>
                <c:pt idx="8">
                  <c:v>4</c:v>
                </c:pt>
                <c:pt idx="9">
                  <c:v>4</c:v>
                </c:pt>
                <c:pt idx="10">
                  <c:v>4</c:v>
                </c:pt>
                <c:pt idx="11">
                  <c:v>4</c:v>
                </c:pt>
              </c:numCache>
            </c:numRef>
          </c:val>
          <c:smooth val="0"/>
          <c:extLst>
            <c:ext xmlns:c16="http://schemas.microsoft.com/office/drawing/2014/chart" uri="{C3380CC4-5D6E-409C-BE32-E72D297353CC}">
              <c16:uniqueId val="{00000006-22E9-4EDF-872F-6DBB7471A96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0"/>
          <c:y val="0.77304696487407154"/>
          <c:w val="0.9980826068771379"/>
          <c:h val="0.2042579996649354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359980911476974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4726439997292601E-2"/>
          <c:y val="3.6520243480203274E-2"/>
          <c:w val="0.91286309070303839"/>
          <c:h val="0.38298497794158703"/>
        </c:manualLayout>
      </c:layout>
      <c:barChart>
        <c:barDir val="col"/>
        <c:grouping val="clustered"/>
        <c:varyColors val="0"/>
        <c:ser>
          <c:idx val="0"/>
          <c:order val="0"/>
          <c:tx>
            <c:strRef>
              <c:f>COD!$D$23</c:f>
              <c:strCache>
                <c:ptCount val="1"/>
                <c:pt idx="0">
                  <c:v>2021</c:v>
                </c:pt>
              </c:strCache>
            </c:strRef>
          </c:tx>
          <c:spPr>
            <a:solidFill>
              <a:schemeClr val="accent1"/>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COD!$D$24:$D$35</c:f>
              <c:numCache>
                <c:formatCode>0.00</c:formatCode>
                <c:ptCount val="12"/>
                <c:pt idx="0">
                  <c:v>2.6666666666666665</c:v>
                </c:pt>
                <c:pt idx="1">
                  <c:v>4.666666666666667</c:v>
                </c:pt>
                <c:pt idx="2">
                  <c:v>2</c:v>
                </c:pt>
                <c:pt idx="3">
                  <c:v>6.666666666666667</c:v>
                </c:pt>
                <c:pt idx="4">
                  <c:v>2</c:v>
                </c:pt>
                <c:pt idx="5">
                  <c:v>12.666666666666666</c:v>
                </c:pt>
                <c:pt idx="6">
                  <c:v>6.666666666666667</c:v>
                </c:pt>
                <c:pt idx="7">
                  <c:v>11.333333333333334</c:v>
                </c:pt>
                <c:pt idx="8">
                  <c:v>5.333333333333333</c:v>
                </c:pt>
                <c:pt idx="9">
                  <c:v>8.6666666666666661</c:v>
                </c:pt>
                <c:pt idx="10">
                  <c:v>8.6666666666666661</c:v>
                </c:pt>
                <c:pt idx="11">
                  <c:v>9.3333333333333339</c:v>
                </c:pt>
              </c:numCache>
            </c:numRef>
          </c:val>
          <c:extLst>
            <c:ext xmlns:c16="http://schemas.microsoft.com/office/drawing/2014/chart" uri="{C3380CC4-5D6E-409C-BE32-E72D297353CC}">
              <c16:uniqueId val="{00000000-CEA6-4FA2-A6BB-BEBAD0B3622C}"/>
            </c:ext>
          </c:extLst>
        </c:ser>
        <c:ser>
          <c:idx val="1"/>
          <c:order val="1"/>
          <c:tx>
            <c:strRef>
              <c:f>COD!$E$23</c:f>
              <c:strCache>
                <c:ptCount val="1"/>
                <c:pt idx="0">
                  <c:v>2022</c:v>
                </c:pt>
              </c:strCache>
            </c:strRef>
          </c:tx>
          <c:spPr>
            <a:solidFill>
              <a:schemeClr val="accent2"/>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COD!$E$24:$E$35</c:f>
              <c:numCache>
                <c:formatCode>0.00</c:formatCode>
                <c:ptCount val="12"/>
                <c:pt idx="0">
                  <c:v>6</c:v>
                </c:pt>
                <c:pt idx="1">
                  <c:v>5.333333333333333</c:v>
                </c:pt>
                <c:pt idx="2">
                  <c:v>4.666666666666667</c:v>
                </c:pt>
                <c:pt idx="3">
                  <c:v>2</c:v>
                </c:pt>
                <c:pt idx="4">
                  <c:v>4</c:v>
                </c:pt>
                <c:pt idx="5">
                  <c:v>8.6666666666666661</c:v>
                </c:pt>
                <c:pt idx="6">
                  <c:v>12.666666666666666</c:v>
                </c:pt>
                <c:pt idx="7">
                  <c:v>9.3333333333333339</c:v>
                </c:pt>
                <c:pt idx="8">
                  <c:v>5.333333333333333</c:v>
                </c:pt>
                <c:pt idx="9">
                  <c:v>10.666666666666666</c:v>
                </c:pt>
                <c:pt idx="10">
                  <c:v>8.6666666666666661</c:v>
                </c:pt>
                <c:pt idx="11">
                  <c:v>8.6666666666666661</c:v>
                </c:pt>
              </c:numCache>
            </c:numRef>
          </c:val>
          <c:extLst>
            <c:ext xmlns:c16="http://schemas.microsoft.com/office/drawing/2014/chart" uri="{C3380CC4-5D6E-409C-BE32-E72D297353CC}">
              <c16:uniqueId val="{00000001-CEA6-4FA2-A6BB-BEBAD0B3622C}"/>
            </c:ext>
          </c:extLst>
        </c:ser>
        <c:ser>
          <c:idx val="2"/>
          <c:order val="2"/>
          <c:tx>
            <c:strRef>
              <c:f>COD!$F$23</c:f>
              <c:strCache>
                <c:ptCount val="1"/>
                <c:pt idx="0">
                  <c:v>2023</c:v>
                </c:pt>
              </c:strCache>
            </c:strRef>
          </c:tx>
          <c:spPr>
            <a:solidFill>
              <a:schemeClr val="accent3"/>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COD!$F$24:$F$35</c:f>
              <c:numCache>
                <c:formatCode>0.00</c:formatCode>
                <c:ptCount val="12"/>
                <c:pt idx="0">
                  <c:v>6.666666666666667</c:v>
                </c:pt>
                <c:pt idx="1">
                  <c:v>6</c:v>
                </c:pt>
                <c:pt idx="2">
                  <c:v>6.666666666666667</c:v>
                </c:pt>
                <c:pt idx="3">
                  <c:v>8</c:v>
                </c:pt>
                <c:pt idx="4">
                  <c:v>8</c:v>
                </c:pt>
                <c:pt idx="5">
                  <c:v>6.666666666666667</c:v>
                </c:pt>
                <c:pt idx="6">
                  <c:v>8</c:v>
                </c:pt>
                <c:pt idx="7">
                  <c:v>8</c:v>
                </c:pt>
                <c:pt idx="8">
                  <c:v>4</c:v>
                </c:pt>
                <c:pt idx="9">
                  <c:v>8.6666666666666661</c:v>
                </c:pt>
                <c:pt idx="10">
                  <c:v>10</c:v>
                </c:pt>
                <c:pt idx="11">
                  <c:v>8</c:v>
                </c:pt>
              </c:numCache>
            </c:numRef>
          </c:val>
          <c:extLst>
            <c:ext xmlns:c16="http://schemas.microsoft.com/office/drawing/2014/chart" uri="{C3380CC4-5D6E-409C-BE32-E72D297353CC}">
              <c16:uniqueId val="{00000002-CEA6-4FA2-A6BB-BEBAD0B3622C}"/>
            </c:ext>
          </c:extLst>
        </c:ser>
        <c:ser>
          <c:idx val="3"/>
          <c:order val="3"/>
          <c:tx>
            <c:strRef>
              <c:f>COD!$G$23</c:f>
              <c:strCache>
                <c:ptCount val="1"/>
                <c:pt idx="0">
                  <c:v>2024</c:v>
                </c:pt>
              </c:strCache>
            </c:strRef>
          </c:tx>
          <c:spPr>
            <a:solidFill>
              <a:schemeClr val="accent4"/>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COD!$G$24:$G$35</c:f>
              <c:numCache>
                <c:formatCode>0.00</c:formatCode>
                <c:ptCount val="12"/>
                <c:pt idx="0">
                  <c:v>7.333333333333333</c:v>
                </c:pt>
                <c:pt idx="1">
                  <c:v>5.333333333333333</c:v>
                </c:pt>
                <c:pt idx="2">
                  <c:v>6.666666666666667</c:v>
                </c:pt>
                <c:pt idx="3">
                  <c:v>8</c:v>
                </c:pt>
                <c:pt idx="4">
                  <c:v>6.666666666666667</c:v>
                </c:pt>
                <c:pt idx="5">
                  <c:v>5.333333333333333</c:v>
                </c:pt>
                <c:pt idx="6">
                  <c:v>4.666666666666667</c:v>
                </c:pt>
                <c:pt idx="7">
                  <c:v>6.666666666666667</c:v>
                </c:pt>
                <c:pt idx="8">
                  <c:v>4.666666666666667</c:v>
                </c:pt>
                <c:pt idx="9">
                  <c:v>8</c:v>
                </c:pt>
                <c:pt idx="10">
                  <c:v>8.6666666666666661</c:v>
                </c:pt>
                <c:pt idx="11">
                  <c:v>8</c:v>
                </c:pt>
              </c:numCache>
            </c:numRef>
          </c:val>
          <c:extLst>
            <c:ext xmlns:c16="http://schemas.microsoft.com/office/drawing/2014/chart" uri="{C3380CC4-5D6E-409C-BE32-E72D297353CC}">
              <c16:uniqueId val="{00000003-CEA6-4FA2-A6BB-BEBAD0B3622C}"/>
            </c:ext>
          </c:extLst>
        </c:ser>
        <c:ser>
          <c:idx val="4"/>
          <c:order val="4"/>
          <c:tx>
            <c:strRef>
              <c:f>COD!$H$23</c:f>
              <c:strCache>
                <c:ptCount val="1"/>
                <c:pt idx="0">
                  <c:v>2025</c:v>
                </c:pt>
              </c:strCache>
            </c:strRef>
          </c:tx>
          <c:spPr>
            <a:solidFill>
              <a:schemeClr val="accent5"/>
            </a:solidFill>
            <a:ln>
              <a:noFill/>
            </a:ln>
            <a:effectLst/>
          </c:spPr>
          <c:invertIfNegative val="0"/>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COD!$H$24:$H$35</c:f>
              <c:numCache>
                <c:formatCode>0.00</c:formatCode>
                <c:ptCount val="12"/>
                <c:pt idx="0">
                  <c:v>13</c:v>
                </c:pt>
                <c:pt idx="1">
                  <c:v>7</c:v>
                </c:pt>
                <c:pt idx="2">
                  <c:v>5</c:v>
                </c:pt>
                <c:pt idx="3">
                  <c:v>3</c:v>
                </c:pt>
                <c:pt idx="4">
                  <c:v>3</c:v>
                </c:pt>
                <c:pt idx="5">
                  <c:v>10</c:v>
                </c:pt>
                <c:pt idx="6">
                  <c:v>4</c:v>
                </c:pt>
                <c:pt idx="7">
                  <c:v>7</c:v>
                </c:pt>
                <c:pt idx="8">
                  <c:v>10</c:v>
                </c:pt>
                <c:pt idx="9">
                  <c:v>8</c:v>
                </c:pt>
                <c:pt idx="10">
                  <c:v>14</c:v>
                </c:pt>
                <c:pt idx="11">
                  <c:v>25</c:v>
                </c:pt>
              </c:numCache>
            </c:numRef>
          </c:val>
          <c:extLst>
            <c:ext xmlns:c16="http://schemas.microsoft.com/office/drawing/2014/chart" uri="{C3380CC4-5D6E-409C-BE32-E72D297353CC}">
              <c16:uniqueId val="{00000004-CEA6-4FA2-A6BB-BEBAD0B3622C}"/>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COD!$I$23</c:f>
              <c:strCache>
                <c:ptCount val="1"/>
                <c:pt idx="0">
                  <c:v>QCVN 08-MT:2015/BTNMT (Cột A2)</c:v>
                </c:pt>
              </c:strCache>
            </c:strRef>
          </c:tx>
          <c:spPr>
            <a:ln w="22225" cap="rnd">
              <a:solidFill>
                <a:schemeClr val="accent6"/>
              </a:solidFill>
              <a:round/>
            </a:ln>
            <a:effectLst/>
          </c:spPr>
          <c:marker>
            <c:symbol val="none"/>
          </c:marker>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COD!$I$24:$I$35</c:f>
              <c:numCache>
                <c:formatCode>General</c:formatCode>
                <c:ptCount val="12"/>
                <c:pt idx="0">
                  <c:v>15</c:v>
                </c:pt>
                <c:pt idx="1">
                  <c:v>15</c:v>
                </c:pt>
                <c:pt idx="2">
                  <c:v>15</c:v>
                </c:pt>
                <c:pt idx="3">
                  <c:v>15</c:v>
                </c:pt>
                <c:pt idx="4">
                  <c:v>15</c:v>
                </c:pt>
                <c:pt idx="5">
                  <c:v>15</c:v>
                </c:pt>
                <c:pt idx="6">
                  <c:v>15</c:v>
                </c:pt>
                <c:pt idx="7">
                  <c:v>15</c:v>
                </c:pt>
                <c:pt idx="8">
                  <c:v>15</c:v>
                </c:pt>
                <c:pt idx="9">
                  <c:v>15</c:v>
                </c:pt>
                <c:pt idx="10">
                  <c:v>15</c:v>
                </c:pt>
                <c:pt idx="11">
                  <c:v>15</c:v>
                </c:pt>
              </c:numCache>
            </c:numRef>
          </c:val>
          <c:smooth val="0"/>
          <c:extLst>
            <c:ext xmlns:c16="http://schemas.microsoft.com/office/drawing/2014/chart" uri="{C3380CC4-5D6E-409C-BE32-E72D297353CC}">
              <c16:uniqueId val="{00000005-CEA6-4FA2-A6BB-BEBAD0B3622C}"/>
            </c:ext>
          </c:extLst>
        </c:ser>
        <c:ser>
          <c:idx val="6"/>
          <c:order val="6"/>
          <c:tx>
            <c:strRef>
              <c:f>COD!$J$23</c:f>
              <c:strCache>
                <c:ptCount val="1"/>
                <c:pt idx="0">
                  <c:v>QCVN 08:2023/BTNMT (Mức A)</c:v>
                </c:pt>
              </c:strCache>
            </c:strRef>
          </c:tx>
          <c:spPr>
            <a:ln w="22225" cap="rnd">
              <a:solidFill>
                <a:schemeClr val="accent1">
                  <a:lumMod val="60000"/>
                </a:schemeClr>
              </a:solidFill>
              <a:round/>
            </a:ln>
            <a:effectLst/>
          </c:spPr>
          <c:marker>
            <c:symbol val="none"/>
          </c:marker>
          <c:cat>
            <c:strRef>
              <c:f>COD!$B$24:$C$35</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COD!$J$24:$J$35</c:f>
              <c:numCache>
                <c:formatCode>General</c:formatCode>
                <c:ptCount val="12"/>
                <c:pt idx="0">
                  <c:v>10</c:v>
                </c:pt>
                <c:pt idx="1">
                  <c:v>10</c:v>
                </c:pt>
                <c:pt idx="2">
                  <c:v>10</c:v>
                </c:pt>
                <c:pt idx="3">
                  <c:v>10</c:v>
                </c:pt>
                <c:pt idx="4">
                  <c:v>10</c:v>
                </c:pt>
                <c:pt idx="5">
                  <c:v>10</c:v>
                </c:pt>
                <c:pt idx="6">
                  <c:v>10</c:v>
                </c:pt>
                <c:pt idx="7">
                  <c:v>10</c:v>
                </c:pt>
                <c:pt idx="8">
                  <c:v>10</c:v>
                </c:pt>
                <c:pt idx="9">
                  <c:v>10</c:v>
                </c:pt>
                <c:pt idx="10">
                  <c:v>10</c:v>
                </c:pt>
                <c:pt idx="11">
                  <c:v>10</c:v>
                </c:pt>
              </c:numCache>
            </c:numRef>
          </c:val>
          <c:smooth val="0"/>
          <c:extLst>
            <c:ext xmlns:c16="http://schemas.microsoft.com/office/drawing/2014/chart" uri="{C3380CC4-5D6E-409C-BE32-E72D297353CC}">
              <c16:uniqueId val="{00000006-CEA6-4FA2-A6BB-BEBAD0B3622C}"/>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0"/>
          <c:y val="0.80708951806556084"/>
          <c:w val="0.9980826068771379"/>
          <c:h val="0.192910481934439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327161027948429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7.2704221978864947E-2"/>
          <c:y val="3.5591748750037427E-2"/>
          <c:w val="0.91497329915532655"/>
          <c:h val="0.38165220606165484"/>
        </c:manualLayout>
      </c:layout>
      <c:barChart>
        <c:barDir val="col"/>
        <c:grouping val="clustered"/>
        <c:varyColors val="0"/>
        <c:ser>
          <c:idx val="0"/>
          <c:order val="0"/>
          <c:tx>
            <c:strRef>
              <c:f>TSS!$D$24</c:f>
              <c:strCache>
                <c:ptCount val="1"/>
                <c:pt idx="0">
                  <c:v>2021</c:v>
                </c:pt>
              </c:strCache>
            </c:strRef>
          </c:tx>
          <c:spPr>
            <a:solidFill>
              <a:schemeClr val="accent1"/>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TSS!$D$25:$D$36</c:f>
              <c:numCache>
                <c:formatCode>0.00</c:formatCode>
                <c:ptCount val="12"/>
                <c:pt idx="0">
                  <c:v>10</c:v>
                </c:pt>
                <c:pt idx="1">
                  <c:v>11.833333333333334</c:v>
                </c:pt>
                <c:pt idx="2">
                  <c:v>4</c:v>
                </c:pt>
                <c:pt idx="3">
                  <c:v>18</c:v>
                </c:pt>
                <c:pt idx="4">
                  <c:v>9.8333333333333339</c:v>
                </c:pt>
                <c:pt idx="5">
                  <c:v>14</c:v>
                </c:pt>
                <c:pt idx="6">
                  <c:v>8.5</c:v>
                </c:pt>
                <c:pt idx="7">
                  <c:v>7.166666666666667</c:v>
                </c:pt>
                <c:pt idx="8">
                  <c:v>6.5</c:v>
                </c:pt>
                <c:pt idx="9">
                  <c:v>15.5</c:v>
                </c:pt>
                <c:pt idx="10">
                  <c:v>14.333333333333334</c:v>
                </c:pt>
                <c:pt idx="11">
                  <c:v>16</c:v>
                </c:pt>
              </c:numCache>
            </c:numRef>
          </c:val>
          <c:extLst>
            <c:ext xmlns:c16="http://schemas.microsoft.com/office/drawing/2014/chart" uri="{C3380CC4-5D6E-409C-BE32-E72D297353CC}">
              <c16:uniqueId val="{00000000-706F-48CE-96BD-CC726BD79E16}"/>
            </c:ext>
          </c:extLst>
        </c:ser>
        <c:ser>
          <c:idx val="1"/>
          <c:order val="1"/>
          <c:tx>
            <c:strRef>
              <c:f>TSS!$E$24</c:f>
              <c:strCache>
                <c:ptCount val="1"/>
                <c:pt idx="0">
                  <c:v>2022</c:v>
                </c:pt>
              </c:strCache>
            </c:strRef>
          </c:tx>
          <c:spPr>
            <a:solidFill>
              <a:schemeClr val="accent2"/>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TSS!$E$25:$E$36</c:f>
              <c:numCache>
                <c:formatCode>0.00</c:formatCode>
                <c:ptCount val="12"/>
                <c:pt idx="0">
                  <c:v>1.5666666666666667</c:v>
                </c:pt>
                <c:pt idx="1">
                  <c:v>5.3999999999999995</c:v>
                </c:pt>
                <c:pt idx="2">
                  <c:v>3.3333333333333335</c:v>
                </c:pt>
                <c:pt idx="3">
                  <c:v>1.2666666666666666</c:v>
                </c:pt>
                <c:pt idx="4">
                  <c:v>3.7333333333333338</c:v>
                </c:pt>
                <c:pt idx="5">
                  <c:v>8.6166666666666671</c:v>
                </c:pt>
                <c:pt idx="6">
                  <c:v>11.333333333333334</c:v>
                </c:pt>
                <c:pt idx="7">
                  <c:v>10.166666666666666</c:v>
                </c:pt>
                <c:pt idx="8">
                  <c:v>9</c:v>
                </c:pt>
                <c:pt idx="9">
                  <c:v>10.4</c:v>
                </c:pt>
                <c:pt idx="10">
                  <c:v>10.433333333333334</c:v>
                </c:pt>
                <c:pt idx="11">
                  <c:v>10.483333333333333</c:v>
                </c:pt>
              </c:numCache>
            </c:numRef>
          </c:val>
          <c:extLst>
            <c:ext xmlns:c16="http://schemas.microsoft.com/office/drawing/2014/chart" uri="{C3380CC4-5D6E-409C-BE32-E72D297353CC}">
              <c16:uniqueId val="{00000001-706F-48CE-96BD-CC726BD79E16}"/>
            </c:ext>
          </c:extLst>
        </c:ser>
        <c:ser>
          <c:idx val="2"/>
          <c:order val="2"/>
          <c:tx>
            <c:strRef>
              <c:f>TSS!$F$24</c:f>
              <c:strCache>
                <c:ptCount val="1"/>
                <c:pt idx="0">
                  <c:v>2023</c:v>
                </c:pt>
              </c:strCache>
            </c:strRef>
          </c:tx>
          <c:spPr>
            <a:solidFill>
              <a:schemeClr val="accent3"/>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TSS!$F$25:$F$36</c:f>
              <c:numCache>
                <c:formatCode>0.00</c:formatCode>
                <c:ptCount val="12"/>
                <c:pt idx="0">
                  <c:v>5</c:v>
                </c:pt>
                <c:pt idx="1">
                  <c:v>0.96666666666666667</c:v>
                </c:pt>
                <c:pt idx="2">
                  <c:v>0.93333333333333324</c:v>
                </c:pt>
                <c:pt idx="3">
                  <c:v>2</c:v>
                </c:pt>
                <c:pt idx="4">
                  <c:v>6.7833333333333323</c:v>
                </c:pt>
                <c:pt idx="5">
                  <c:v>0.95000000000000007</c:v>
                </c:pt>
                <c:pt idx="6">
                  <c:v>2.6166666666666667</c:v>
                </c:pt>
                <c:pt idx="7">
                  <c:v>4.7833333333333341</c:v>
                </c:pt>
                <c:pt idx="8">
                  <c:v>1.0333333333333334</c:v>
                </c:pt>
                <c:pt idx="9">
                  <c:v>6.7166666666666659</c:v>
                </c:pt>
                <c:pt idx="10">
                  <c:v>9.4666666666666668</c:v>
                </c:pt>
                <c:pt idx="11">
                  <c:v>12.616666666666667</c:v>
                </c:pt>
              </c:numCache>
            </c:numRef>
          </c:val>
          <c:extLst>
            <c:ext xmlns:c16="http://schemas.microsoft.com/office/drawing/2014/chart" uri="{C3380CC4-5D6E-409C-BE32-E72D297353CC}">
              <c16:uniqueId val="{00000002-706F-48CE-96BD-CC726BD79E16}"/>
            </c:ext>
          </c:extLst>
        </c:ser>
        <c:ser>
          <c:idx val="3"/>
          <c:order val="3"/>
          <c:tx>
            <c:strRef>
              <c:f>TSS!$G$24</c:f>
              <c:strCache>
                <c:ptCount val="1"/>
                <c:pt idx="0">
                  <c:v>2024</c:v>
                </c:pt>
              </c:strCache>
            </c:strRef>
          </c:tx>
          <c:spPr>
            <a:solidFill>
              <a:schemeClr val="accent4"/>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TSS!$G$25:$G$36</c:f>
              <c:numCache>
                <c:formatCode>0.00</c:formatCode>
                <c:ptCount val="12"/>
                <c:pt idx="0">
                  <c:v>5</c:v>
                </c:pt>
                <c:pt idx="1">
                  <c:v>5</c:v>
                </c:pt>
                <c:pt idx="2">
                  <c:v>5</c:v>
                </c:pt>
                <c:pt idx="3">
                  <c:v>2.1666666666666665</c:v>
                </c:pt>
                <c:pt idx="4">
                  <c:v>1.1166666666666667</c:v>
                </c:pt>
                <c:pt idx="5">
                  <c:v>2.1666666666666665</c:v>
                </c:pt>
                <c:pt idx="6">
                  <c:v>1.1500000000000001</c:v>
                </c:pt>
                <c:pt idx="7">
                  <c:v>1.1166666666666667</c:v>
                </c:pt>
                <c:pt idx="8">
                  <c:v>8.7666666666666657</c:v>
                </c:pt>
                <c:pt idx="9">
                  <c:v>8.4</c:v>
                </c:pt>
                <c:pt idx="10">
                  <c:v>14.366666666666667</c:v>
                </c:pt>
                <c:pt idx="11">
                  <c:v>11.016666666666666</c:v>
                </c:pt>
              </c:numCache>
            </c:numRef>
          </c:val>
          <c:extLst>
            <c:ext xmlns:c16="http://schemas.microsoft.com/office/drawing/2014/chart" uri="{C3380CC4-5D6E-409C-BE32-E72D297353CC}">
              <c16:uniqueId val="{00000003-706F-48CE-96BD-CC726BD79E16}"/>
            </c:ext>
          </c:extLst>
        </c:ser>
        <c:ser>
          <c:idx val="4"/>
          <c:order val="4"/>
          <c:tx>
            <c:strRef>
              <c:f>TSS!$H$24</c:f>
              <c:strCache>
                <c:ptCount val="1"/>
                <c:pt idx="0">
                  <c:v>2025</c:v>
                </c:pt>
              </c:strCache>
            </c:strRef>
          </c:tx>
          <c:spPr>
            <a:solidFill>
              <a:schemeClr val="accent5"/>
            </a:solidFill>
            <a:ln>
              <a:noFill/>
            </a:ln>
            <a:effectLst/>
          </c:spPr>
          <c:invertIfNegative val="0"/>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TSS!$H$25:$H$36</c:f>
              <c:numCache>
                <c:formatCode>0.00</c:formatCode>
                <c:ptCount val="12"/>
                <c:pt idx="0">
                  <c:v>5</c:v>
                </c:pt>
                <c:pt idx="1">
                  <c:v>5</c:v>
                </c:pt>
                <c:pt idx="2">
                  <c:v>5</c:v>
                </c:pt>
                <c:pt idx="3">
                  <c:v>5</c:v>
                </c:pt>
                <c:pt idx="4">
                  <c:v>5</c:v>
                </c:pt>
                <c:pt idx="5">
                  <c:v>5</c:v>
                </c:pt>
                <c:pt idx="6">
                  <c:v>5</c:v>
                </c:pt>
                <c:pt idx="7">
                  <c:v>5</c:v>
                </c:pt>
                <c:pt idx="8">
                  <c:v>5</c:v>
                </c:pt>
                <c:pt idx="9">
                  <c:v>5</c:v>
                </c:pt>
                <c:pt idx="10">
                  <c:v>11.15</c:v>
                </c:pt>
                <c:pt idx="11">
                  <c:v>9.8999999999999986</c:v>
                </c:pt>
              </c:numCache>
            </c:numRef>
          </c:val>
          <c:extLst>
            <c:ext xmlns:c16="http://schemas.microsoft.com/office/drawing/2014/chart" uri="{C3380CC4-5D6E-409C-BE32-E72D297353CC}">
              <c16:uniqueId val="{00000004-706F-48CE-96BD-CC726BD79E16}"/>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TSS!$I$24</c:f>
              <c:strCache>
                <c:ptCount val="1"/>
                <c:pt idx="0">
                  <c:v>QCVN 08-MT:2015/BTNMT (Cột A2)</c:v>
                </c:pt>
              </c:strCache>
            </c:strRef>
          </c:tx>
          <c:spPr>
            <a:ln w="22225" cap="rnd">
              <a:solidFill>
                <a:schemeClr val="accent6"/>
              </a:solidFill>
              <a:round/>
            </a:ln>
            <a:effectLst/>
          </c:spPr>
          <c:marker>
            <c:symbol val="none"/>
          </c:marker>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TSS!$I$25:$I$36</c:f>
              <c:numCache>
                <c:formatCode>General</c:formatCode>
                <c:ptCount val="12"/>
                <c:pt idx="0">
                  <c:v>30</c:v>
                </c:pt>
                <c:pt idx="1">
                  <c:v>30</c:v>
                </c:pt>
                <c:pt idx="2">
                  <c:v>30</c:v>
                </c:pt>
                <c:pt idx="3">
                  <c:v>30</c:v>
                </c:pt>
                <c:pt idx="4">
                  <c:v>30</c:v>
                </c:pt>
                <c:pt idx="5">
                  <c:v>30</c:v>
                </c:pt>
                <c:pt idx="6">
                  <c:v>30</c:v>
                </c:pt>
                <c:pt idx="7">
                  <c:v>30</c:v>
                </c:pt>
                <c:pt idx="8">
                  <c:v>30</c:v>
                </c:pt>
                <c:pt idx="9">
                  <c:v>30</c:v>
                </c:pt>
                <c:pt idx="10">
                  <c:v>30</c:v>
                </c:pt>
                <c:pt idx="11">
                  <c:v>30</c:v>
                </c:pt>
              </c:numCache>
            </c:numRef>
          </c:val>
          <c:smooth val="0"/>
          <c:extLst>
            <c:ext xmlns:c16="http://schemas.microsoft.com/office/drawing/2014/chart" uri="{C3380CC4-5D6E-409C-BE32-E72D297353CC}">
              <c16:uniqueId val="{00000005-706F-48CE-96BD-CC726BD79E16}"/>
            </c:ext>
          </c:extLst>
        </c:ser>
        <c:ser>
          <c:idx val="6"/>
          <c:order val="6"/>
          <c:tx>
            <c:strRef>
              <c:f>TSS!$J$24</c:f>
              <c:strCache>
                <c:ptCount val="1"/>
                <c:pt idx="0">
                  <c:v>QCVN 08:2023/BTNMT (Mức A)</c:v>
                </c:pt>
              </c:strCache>
            </c:strRef>
          </c:tx>
          <c:spPr>
            <a:ln w="22225" cap="rnd">
              <a:solidFill>
                <a:schemeClr val="accent1">
                  <a:lumMod val="60000"/>
                </a:schemeClr>
              </a:solidFill>
              <a:round/>
            </a:ln>
            <a:effectLst/>
          </c:spPr>
          <c:marker>
            <c:symbol val="none"/>
          </c:marker>
          <c:cat>
            <c:strRef>
              <c:f>TSS!$B$25:$C$36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TSS!$J$25:$J$36</c:f>
              <c:numCache>
                <c:formatCode>General</c:formatCode>
                <c:ptCount val="12"/>
                <c:pt idx="0">
                  <c:v>25</c:v>
                </c:pt>
                <c:pt idx="1">
                  <c:v>25</c:v>
                </c:pt>
                <c:pt idx="2">
                  <c:v>25</c:v>
                </c:pt>
                <c:pt idx="3">
                  <c:v>25</c:v>
                </c:pt>
                <c:pt idx="4">
                  <c:v>25</c:v>
                </c:pt>
                <c:pt idx="5">
                  <c:v>25</c:v>
                </c:pt>
                <c:pt idx="6">
                  <c:v>25</c:v>
                </c:pt>
                <c:pt idx="7">
                  <c:v>25</c:v>
                </c:pt>
                <c:pt idx="8">
                  <c:v>25</c:v>
                </c:pt>
                <c:pt idx="9">
                  <c:v>25</c:v>
                </c:pt>
                <c:pt idx="10">
                  <c:v>25</c:v>
                </c:pt>
                <c:pt idx="11">
                  <c:v>25</c:v>
                </c:pt>
              </c:numCache>
            </c:numRef>
          </c:val>
          <c:smooth val="0"/>
          <c:extLst>
            <c:ext xmlns:c16="http://schemas.microsoft.com/office/drawing/2014/chart" uri="{C3380CC4-5D6E-409C-BE32-E72D297353CC}">
              <c16:uniqueId val="{00000006-706F-48CE-96BD-CC726BD79E16}"/>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0"/>
          <c:y val="0.82584776902887125"/>
          <c:w val="1"/>
          <c:h val="0.1741522309711286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08333333333333"/>
          <c:y val="7.6527777777777792E-2"/>
          <c:w val="0.84369444444444441"/>
          <c:h val="0.64138560804899392"/>
        </c:manualLayout>
      </c:layout>
      <c:barChart>
        <c:barDir val="bar"/>
        <c:grouping val="clustered"/>
        <c:varyColors val="0"/>
        <c:ser>
          <c:idx val="0"/>
          <c:order val="0"/>
          <c:tx>
            <c:strRef>
              <c:f>Sheet1!$C$22</c:f>
              <c:strCache>
                <c:ptCount val="1"/>
                <c:pt idx="0">
                  <c:v>Công nghiệp và xây dựng</c:v>
                </c:pt>
              </c:strCache>
            </c:strRef>
          </c:tx>
          <c:spPr>
            <a:solidFill>
              <a:srgbClr val="0070C0"/>
            </a:solidFill>
            <a:ln>
              <a:no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Sheet1!$C$23:$C$27</c:f>
              <c:numCache>
                <c:formatCode>General</c:formatCode>
                <c:ptCount val="5"/>
                <c:pt idx="0">
                  <c:v>40.49</c:v>
                </c:pt>
                <c:pt idx="1">
                  <c:v>43.95</c:v>
                </c:pt>
                <c:pt idx="2">
                  <c:v>39.82</c:v>
                </c:pt>
                <c:pt idx="3">
                  <c:v>39.78</c:v>
                </c:pt>
                <c:pt idx="4">
                  <c:v>41.38</c:v>
                </c:pt>
              </c:numCache>
            </c:numRef>
          </c:val>
          <c:extLst>
            <c:ext xmlns:c16="http://schemas.microsoft.com/office/drawing/2014/chart" uri="{C3380CC4-5D6E-409C-BE32-E72D297353CC}">
              <c16:uniqueId val="{00000000-666C-46B4-B401-31CFB605DC61}"/>
            </c:ext>
          </c:extLst>
        </c:ser>
        <c:ser>
          <c:idx val="1"/>
          <c:order val="1"/>
          <c:tx>
            <c:strRef>
              <c:f>Sheet1!$D$22</c:f>
              <c:strCache>
                <c:ptCount val="1"/>
                <c:pt idx="0">
                  <c:v>Nông, lâm nghiệp và thủy sản</c:v>
                </c:pt>
              </c:strCache>
            </c:strRef>
          </c:tx>
          <c:spPr>
            <a:solidFill>
              <a:srgbClr val="FF6600"/>
            </a:solidFill>
            <a:ln>
              <a:no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Sheet1!$D$23:$D$27</c:f>
              <c:numCache>
                <c:formatCode>General</c:formatCode>
                <c:ptCount val="5"/>
                <c:pt idx="0">
                  <c:v>16.3</c:v>
                </c:pt>
                <c:pt idx="1">
                  <c:v>15.52</c:v>
                </c:pt>
                <c:pt idx="2">
                  <c:v>15.23</c:v>
                </c:pt>
                <c:pt idx="3">
                  <c:v>14.71</c:v>
                </c:pt>
                <c:pt idx="4">
                  <c:v>14.07</c:v>
                </c:pt>
              </c:numCache>
            </c:numRef>
          </c:val>
          <c:extLst>
            <c:ext xmlns:c16="http://schemas.microsoft.com/office/drawing/2014/chart" uri="{C3380CC4-5D6E-409C-BE32-E72D297353CC}">
              <c16:uniqueId val="{00000001-666C-46B4-B401-31CFB605DC61}"/>
            </c:ext>
          </c:extLst>
        </c:ser>
        <c:ser>
          <c:idx val="2"/>
          <c:order val="2"/>
          <c:tx>
            <c:strRef>
              <c:f>Sheet1!$E$22</c:f>
              <c:strCache>
                <c:ptCount val="1"/>
                <c:pt idx="0">
                  <c:v> Dịch vụ</c:v>
                </c:pt>
              </c:strCache>
            </c:strRef>
          </c:tx>
          <c:spPr>
            <a:solidFill>
              <a:schemeClr val="bg1">
                <a:lumMod val="65000"/>
              </a:schemeClr>
            </a:solidFill>
            <a:ln>
              <a:no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Sheet1!$E$23:$E$27</c:f>
              <c:numCache>
                <c:formatCode>General</c:formatCode>
                <c:ptCount val="5"/>
                <c:pt idx="0">
                  <c:v>34.590000000000003</c:v>
                </c:pt>
                <c:pt idx="1">
                  <c:v>31.76</c:v>
                </c:pt>
                <c:pt idx="2">
                  <c:v>34.950000000000003</c:v>
                </c:pt>
                <c:pt idx="3">
                  <c:v>35.58</c:v>
                </c:pt>
                <c:pt idx="4">
                  <c:v>35.64</c:v>
                </c:pt>
              </c:numCache>
            </c:numRef>
          </c:val>
          <c:extLst>
            <c:ext xmlns:c16="http://schemas.microsoft.com/office/drawing/2014/chart" uri="{C3380CC4-5D6E-409C-BE32-E72D297353CC}">
              <c16:uniqueId val="{00000002-666C-46B4-B401-31CFB605DC61}"/>
            </c:ext>
          </c:extLst>
        </c:ser>
        <c:ser>
          <c:idx val="3"/>
          <c:order val="3"/>
          <c:tx>
            <c:strRef>
              <c:f>Sheet1!$F$22</c:f>
              <c:strCache>
                <c:ptCount val="1"/>
                <c:pt idx="0">
                  <c:v>Thuế sản phẩm trừ trợ cấp sản phẩm</c:v>
                </c:pt>
              </c:strCache>
            </c:strRef>
          </c:tx>
          <c:spPr>
            <a:solidFill>
              <a:srgbClr val="FFC000"/>
            </a:solidFill>
            <a:ln>
              <a:solidFill>
                <a:srgbClr val="FFC000"/>
              </a:solidFill>
            </a:ln>
            <a:effectLst/>
          </c:spPr>
          <c:invertIfNegative val="0"/>
          <c:cat>
            <c:numRef>
              <c:f>Sheet1!$B$23:$B$27</c:f>
              <c:numCache>
                <c:formatCode>General</c:formatCode>
                <c:ptCount val="5"/>
                <c:pt idx="0">
                  <c:v>2020</c:v>
                </c:pt>
                <c:pt idx="1">
                  <c:v>2021</c:v>
                </c:pt>
                <c:pt idx="2">
                  <c:v>2022</c:v>
                </c:pt>
                <c:pt idx="3">
                  <c:v>2023</c:v>
                </c:pt>
                <c:pt idx="4">
                  <c:v>2024</c:v>
                </c:pt>
              </c:numCache>
            </c:numRef>
          </c:cat>
          <c:val>
            <c:numRef>
              <c:f>Sheet1!$F$23:$F$27</c:f>
              <c:numCache>
                <c:formatCode>General</c:formatCode>
                <c:ptCount val="5"/>
                <c:pt idx="0">
                  <c:v>8.6199999999999992</c:v>
                </c:pt>
                <c:pt idx="1">
                  <c:v>8.77</c:v>
                </c:pt>
                <c:pt idx="2">
                  <c:v>10</c:v>
                </c:pt>
                <c:pt idx="3">
                  <c:v>9.93</c:v>
                </c:pt>
                <c:pt idx="4">
                  <c:v>8.91</c:v>
                </c:pt>
              </c:numCache>
            </c:numRef>
          </c:val>
          <c:extLst>
            <c:ext xmlns:c16="http://schemas.microsoft.com/office/drawing/2014/chart" uri="{C3380CC4-5D6E-409C-BE32-E72D297353CC}">
              <c16:uniqueId val="{00000003-666C-46B4-B401-31CFB605DC61}"/>
            </c:ext>
          </c:extLst>
        </c:ser>
        <c:dLbls>
          <c:showLegendKey val="0"/>
          <c:showVal val="0"/>
          <c:showCatName val="0"/>
          <c:showSerName val="0"/>
          <c:showPercent val="0"/>
          <c:showBubbleSize val="0"/>
        </c:dLbls>
        <c:gapWidth val="100"/>
        <c:axId val="1262976016"/>
        <c:axId val="1262966416"/>
      </c:barChart>
      <c:catAx>
        <c:axId val="1262976016"/>
        <c:scaling>
          <c:orientation val="minMax"/>
        </c:scaling>
        <c:delete val="0"/>
        <c:axPos val="l"/>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62966416"/>
        <c:crosses val="autoZero"/>
        <c:auto val="1"/>
        <c:lblAlgn val="ctr"/>
        <c:lblOffset val="100"/>
        <c:noMultiLvlLbl val="0"/>
      </c:catAx>
      <c:valAx>
        <c:axId val="1262966416"/>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62976016"/>
        <c:crosses val="autoZero"/>
        <c:crossBetween val="between"/>
      </c:valAx>
      <c:spPr>
        <a:noFill/>
        <a:ln>
          <a:noFill/>
        </a:ln>
        <a:effectLst/>
      </c:spPr>
    </c:plotArea>
    <c:legend>
      <c:legendPos val="b"/>
      <c:layout>
        <c:manualLayout>
          <c:xMode val="edge"/>
          <c:yMode val="edge"/>
          <c:x val="0"/>
          <c:y val="0.82531277340332454"/>
          <c:w val="1"/>
          <c:h val="0.14690944881889764"/>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55573356134779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6.6098865149019692E-2"/>
          <c:y val="3.4272282790727172E-2"/>
          <c:w val="0.9238322035765234"/>
          <c:h val="0.39805665370666843"/>
        </c:manualLayout>
      </c:layout>
      <c:barChart>
        <c:barDir val="col"/>
        <c:grouping val="clustered"/>
        <c:varyColors val="0"/>
        <c:ser>
          <c:idx val="0"/>
          <c:order val="0"/>
          <c:tx>
            <c:strRef>
              <c:f>DO!$D$24</c:f>
              <c:strCache>
                <c:ptCount val="1"/>
                <c:pt idx="0">
                  <c:v>2021</c:v>
                </c:pt>
              </c:strCache>
            </c:strRef>
          </c:tx>
          <c:spPr>
            <a:solidFill>
              <a:schemeClr val="accent1"/>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DO!$D$25:$D$36</c:f>
              <c:numCache>
                <c:formatCode>0.00</c:formatCode>
                <c:ptCount val="12"/>
                <c:pt idx="0">
                  <c:v>7.666666666666667</c:v>
                </c:pt>
                <c:pt idx="1">
                  <c:v>8.2333333333333343</c:v>
                </c:pt>
                <c:pt idx="2">
                  <c:v>7.9166666666666679</c:v>
                </c:pt>
                <c:pt idx="3">
                  <c:v>7.2666666666666666</c:v>
                </c:pt>
                <c:pt idx="4">
                  <c:v>6.6333333333333329</c:v>
                </c:pt>
                <c:pt idx="5">
                  <c:v>6.8166666666666664</c:v>
                </c:pt>
                <c:pt idx="6">
                  <c:v>6.916666666666667</c:v>
                </c:pt>
                <c:pt idx="7">
                  <c:v>7.0333333333333341</c:v>
                </c:pt>
                <c:pt idx="8">
                  <c:v>7.3000000000000007</c:v>
                </c:pt>
                <c:pt idx="9">
                  <c:v>6.8666666666666663</c:v>
                </c:pt>
                <c:pt idx="10">
                  <c:v>6.7666666666666666</c:v>
                </c:pt>
                <c:pt idx="11">
                  <c:v>6.9499999999999993</c:v>
                </c:pt>
              </c:numCache>
            </c:numRef>
          </c:val>
          <c:extLst>
            <c:ext xmlns:c16="http://schemas.microsoft.com/office/drawing/2014/chart" uri="{C3380CC4-5D6E-409C-BE32-E72D297353CC}">
              <c16:uniqueId val="{00000000-4962-413A-90F1-1740C3C47EE3}"/>
            </c:ext>
          </c:extLst>
        </c:ser>
        <c:ser>
          <c:idx val="1"/>
          <c:order val="1"/>
          <c:tx>
            <c:strRef>
              <c:f>DO!$E$24</c:f>
              <c:strCache>
                <c:ptCount val="1"/>
                <c:pt idx="0">
                  <c:v>2022</c:v>
                </c:pt>
              </c:strCache>
            </c:strRef>
          </c:tx>
          <c:spPr>
            <a:solidFill>
              <a:schemeClr val="accent2"/>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DO!$E$25:$E$36</c:f>
              <c:numCache>
                <c:formatCode>0.00</c:formatCode>
                <c:ptCount val="12"/>
                <c:pt idx="0">
                  <c:v>7.6000000000000005</c:v>
                </c:pt>
                <c:pt idx="1">
                  <c:v>7.2666666666666666</c:v>
                </c:pt>
                <c:pt idx="2">
                  <c:v>7.2333333333333334</c:v>
                </c:pt>
                <c:pt idx="3">
                  <c:v>7.416666666666667</c:v>
                </c:pt>
                <c:pt idx="4">
                  <c:v>7.05</c:v>
                </c:pt>
                <c:pt idx="5">
                  <c:v>7.083333333333333</c:v>
                </c:pt>
                <c:pt idx="6">
                  <c:v>7.3666666666666671</c:v>
                </c:pt>
                <c:pt idx="7">
                  <c:v>7.0666666666666673</c:v>
                </c:pt>
                <c:pt idx="8">
                  <c:v>6.666666666666667</c:v>
                </c:pt>
                <c:pt idx="9">
                  <c:v>6.7833333333333341</c:v>
                </c:pt>
                <c:pt idx="10">
                  <c:v>6.4666666666666659</c:v>
                </c:pt>
                <c:pt idx="11">
                  <c:v>7.166666666666667</c:v>
                </c:pt>
              </c:numCache>
            </c:numRef>
          </c:val>
          <c:extLst>
            <c:ext xmlns:c16="http://schemas.microsoft.com/office/drawing/2014/chart" uri="{C3380CC4-5D6E-409C-BE32-E72D297353CC}">
              <c16:uniqueId val="{00000001-4962-413A-90F1-1740C3C47EE3}"/>
            </c:ext>
          </c:extLst>
        </c:ser>
        <c:ser>
          <c:idx val="2"/>
          <c:order val="2"/>
          <c:tx>
            <c:strRef>
              <c:f>DO!$F$24</c:f>
              <c:strCache>
                <c:ptCount val="1"/>
                <c:pt idx="0">
                  <c:v>2023</c:v>
                </c:pt>
              </c:strCache>
            </c:strRef>
          </c:tx>
          <c:spPr>
            <a:solidFill>
              <a:schemeClr val="accent3"/>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DO!$F$25:$F$36</c:f>
              <c:numCache>
                <c:formatCode>0.00</c:formatCode>
                <c:ptCount val="12"/>
                <c:pt idx="0">
                  <c:v>7.4666666666666677</c:v>
                </c:pt>
                <c:pt idx="1">
                  <c:v>7.4833333333333343</c:v>
                </c:pt>
                <c:pt idx="2">
                  <c:v>7.3</c:v>
                </c:pt>
                <c:pt idx="3">
                  <c:v>7.3500000000000005</c:v>
                </c:pt>
                <c:pt idx="4">
                  <c:v>6.9666666666666677</c:v>
                </c:pt>
                <c:pt idx="5">
                  <c:v>7.3833333333333329</c:v>
                </c:pt>
                <c:pt idx="6">
                  <c:v>7.5333333333333341</c:v>
                </c:pt>
                <c:pt idx="7">
                  <c:v>7.333333333333333</c:v>
                </c:pt>
                <c:pt idx="8">
                  <c:v>6.5333333333333323</c:v>
                </c:pt>
                <c:pt idx="9">
                  <c:v>7.2833333333333341</c:v>
                </c:pt>
                <c:pt idx="10">
                  <c:v>7.2166666666666677</c:v>
                </c:pt>
                <c:pt idx="11">
                  <c:v>7.1333333333333337</c:v>
                </c:pt>
              </c:numCache>
            </c:numRef>
          </c:val>
          <c:extLst>
            <c:ext xmlns:c16="http://schemas.microsoft.com/office/drawing/2014/chart" uri="{C3380CC4-5D6E-409C-BE32-E72D297353CC}">
              <c16:uniqueId val="{00000002-4962-413A-90F1-1740C3C47EE3}"/>
            </c:ext>
          </c:extLst>
        </c:ser>
        <c:ser>
          <c:idx val="3"/>
          <c:order val="3"/>
          <c:tx>
            <c:strRef>
              <c:f>DO!$G$24</c:f>
              <c:strCache>
                <c:ptCount val="1"/>
                <c:pt idx="0">
                  <c:v>2024</c:v>
                </c:pt>
              </c:strCache>
            </c:strRef>
          </c:tx>
          <c:spPr>
            <a:solidFill>
              <a:schemeClr val="accent4"/>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DO!$G$25:$G$36</c:f>
              <c:numCache>
                <c:formatCode>0.00</c:formatCode>
                <c:ptCount val="12"/>
                <c:pt idx="0">
                  <c:v>7.8500000000000005</c:v>
                </c:pt>
                <c:pt idx="1">
                  <c:v>7.7166666666666659</c:v>
                </c:pt>
                <c:pt idx="2">
                  <c:v>7.6833333333333327</c:v>
                </c:pt>
                <c:pt idx="3">
                  <c:v>7.4000000000000012</c:v>
                </c:pt>
                <c:pt idx="4">
                  <c:v>7.416666666666667</c:v>
                </c:pt>
                <c:pt idx="5">
                  <c:v>7.3</c:v>
                </c:pt>
                <c:pt idx="6">
                  <c:v>7.4166666666666652</c:v>
                </c:pt>
                <c:pt idx="7">
                  <c:v>6.95</c:v>
                </c:pt>
                <c:pt idx="8">
                  <c:v>6.333333333333333</c:v>
                </c:pt>
                <c:pt idx="9">
                  <c:v>7.1333333333333329</c:v>
                </c:pt>
                <c:pt idx="10">
                  <c:v>7.25</c:v>
                </c:pt>
                <c:pt idx="11">
                  <c:v>7.1666666666666652</c:v>
                </c:pt>
              </c:numCache>
            </c:numRef>
          </c:val>
          <c:extLst>
            <c:ext xmlns:c16="http://schemas.microsoft.com/office/drawing/2014/chart" uri="{C3380CC4-5D6E-409C-BE32-E72D297353CC}">
              <c16:uniqueId val="{00000003-4962-413A-90F1-1740C3C47EE3}"/>
            </c:ext>
          </c:extLst>
        </c:ser>
        <c:ser>
          <c:idx val="4"/>
          <c:order val="4"/>
          <c:tx>
            <c:strRef>
              <c:f>DO!$H$24</c:f>
              <c:strCache>
                <c:ptCount val="1"/>
                <c:pt idx="0">
                  <c:v>2025</c:v>
                </c:pt>
              </c:strCache>
            </c:strRef>
          </c:tx>
          <c:spPr>
            <a:solidFill>
              <a:schemeClr val="accent5"/>
            </a:solidFill>
            <a:ln>
              <a:noFill/>
            </a:ln>
            <a:effectLst/>
          </c:spPr>
          <c:invertIfNegative val="0"/>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DO!$H$25:$H$36</c:f>
              <c:numCache>
                <c:formatCode>0.00</c:formatCode>
                <c:ptCount val="12"/>
                <c:pt idx="0">
                  <c:v>7.8999999999999995</c:v>
                </c:pt>
                <c:pt idx="1">
                  <c:v>7.75</c:v>
                </c:pt>
                <c:pt idx="2">
                  <c:v>7.4550000000000001</c:v>
                </c:pt>
                <c:pt idx="3">
                  <c:v>7.2549999999999999</c:v>
                </c:pt>
                <c:pt idx="4">
                  <c:v>7.65</c:v>
                </c:pt>
                <c:pt idx="5">
                  <c:v>7.75</c:v>
                </c:pt>
                <c:pt idx="6">
                  <c:v>7.5</c:v>
                </c:pt>
                <c:pt idx="7">
                  <c:v>7.8000000000000007</c:v>
                </c:pt>
                <c:pt idx="8">
                  <c:v>7.625</c:v>
                </c:pt>
                <c:pt idx="9">
                  <c:v>7.7</c:v>
                </c:pt>
                <c:pt idx="10">
                  <c:v>7.8000000000000007</c:v>
                </c:pt>
                <c:pt idx="11">
                  <c:v>8.1</c:v>
                </c:pt>
              </c:numCache>
            </c:numRef>
          </c:val>
          <c:extLst>
            <c:ext xmlns:c16="http://schemas.microsoft.com/office/drawing/2014/chart" uri="{C3380CC4-5D6E-409C-BE32-E72D297353CC}">
              <c16:uniqueId val="{00000004-4962-413A-90F1-1740C3C47EE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DO!$I$24</c:f>
              <c:strCache>
                <c:ptCount val="1"/>
                <c:pt idx="0">
                  <c:v>QCVN 08-MT:2015/BTNMT (Cột A2)</c:v>
                </c:pt>
              </c:strCache>
            </c:strRef>
          </c:tx>
          <c:spPr>
            <a:ln w="22225" cap="rnd">
              <a:solidFill>
                <a:schemeClr val="accent6"/>
              </a:solidFill>
              <a:round/>
            </a:ln>
            <a:effectLst/>
          </c:spPr>
          <c:marker>
            <c:symbol val="none"/>
          </c:marker>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DO!$I$25:$I$36</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mooth val="0"/>
          <c:extLst>
            <c:ext xmlns:c16="http://schemas.microsoft.com/office/drawing/2014/chart" uri="{C3380CC4-5D6E-409C-BE32-E72D297353CC}">
              <c16:uniqueId val="{00000005-4962-413A-90F1-1740C3C47EE3}"/>
            </c:ext>
          </c:extLst>
        </c:ser>
        <c:ser>
          <c:idx val="6"/>
          <c:order val="6"/>
          <c:tx>
            <c:strRef>
              <c:f>DO!$J$24</c:f>
              <c:strCache>
                <c:ptCount val="1"/>
                <c:pt idx="0">
                  <c:v>QCVN 08:2023/BTNMT (Mức A)</c:v>
                </c:pt>
              </c:strCache>
            </c:strRef>
          </c:tx>
          <c:spPr>
            <a:ln w="22225" cap="rnd">
              <a:solidFill>
                <a:schemeClr val="accent1">
                  <a:lumMod val="60000"/>
                </a:schemeClr>
              </a:solidFill>
              <a:round/>
            </a:ln>
            <a:effectLst/>
          </c:spPr>
          <c:marker>
            <c:symbol val="none"/>
          </c:marker>
          <c:cat>
            <c:strRef>
              <c:f>DO!$B$25:$C$36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DO!$J$25:$J$36</c:f>
              <c:numCache>
                <c:formatCode>General</c:formatCode>
                <c:ptCount val="12"/>
                <c:pt idx="0">
                  <c:v>6</c:v>
                </c:pt>
                <c:pt idx="1">
                  <c:v>6</c:v>
                </c:pt>
                <c:pt idx="2">
                  <c:v>6</c:v>
                </c:pt>
                <c:pt idx="3">
                  <c:v>6</c:v>
                </c:pt>
                <c:pt idx="4">
                  <c:v>6</c:v>
                </c:pt>
                <c:pt idx="5">
                  <c:v>6</c:v>
                </c:pt>
                <c:pt idx="6">
                  <c:v>6</c:v>
                </c:pt>
                <c:pt idx="7">
                  <c:v>6</c:v>
                </c:pt>
                <c:pt idx="8">
                  <c:v>6</c:v>
                </c:pt>
                <c:pt idx="9">
                  <c:v>6</c:v>
                </c:pt>
                <c:pt idx="10">
                  <c:v>6</c:v>
                </c:pt>
                <c:pt idx="11">
                  <c:v>6</c:v>
                </c:pt>
              </c:numCache>
            </c:numRef>
          </c:val>
          <c:smooth val="0"/>
          <c:extLst>
            <c:ext xmlns:c16="http://schemas.microsoft.com/office/drawing/2014/chart" uri="{C3380CC4-5D6E-409C-BE32-E72D297353CC}">
              <c16:uniqueId val="{00000006-4962-413A-90F1-1740C3C47EE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0"/>
          <c:y val="0.82900043222520814"/>
          <c:w val="0.9980826068771379"/>
          <c:h val="0.1590665377354146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731448167519206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7.303032459271884E-2"/>
          <c:y val="5.440820023346566E-2"/>
          <c:w val="0.91463296534704153"/>
          <c:h val="0.4385557574533952"/>
        </c:manualLayout>
      </c:layout>
      <c:barChart>
        <c:barDir val="col"/>
        <c:grouping val="clustered"/>
        <c:varyColors val="0"/>
        <c:ser>
          <c:idx val="0"/>
          <c:order val="0"/>
          <c:tx>
            <c:strRef>
              <c:f>Nitrat!$D$24</c:f>
              <c:strCache>
                <c:ptCount val="1"/>
                <c:pt idx="0">
                  <c:v>2021</c:v>
                </c:pt>
              </c:strCache>
            </c:strRef>
          </c:tx>
          <c:spPr>
            <a:solidFill>
              <a:schemeClr val="accent1"/>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Nitrat!$D$25:$D$36</c:f>
              <c:numCache>
                <c:formatCode>0.00</c:formatCode>
                <c:ptCount val="12"/>
                <c:pt idx="0">
                  <c:v>0.48166666666666674</c:v>
                </c:pt>
                <c:pt idx="1">
                  <c:v>0.80500000000000005</c:v>
                </c:pt>
                <c:pt idx="2">
                  <c:v>0.3133333333333333</c:v>
                </c:pt>
                <c:pt idx="3">
                  <c:v>0.60166666666666668</c:v>
                </c:pt>
                <c:pt idx="4">
                  <c:v>0.53333333333333333</c:v>
                </c:pt>
                <c:pt idx="5">
                  <c:v>0.48166666666666663</c:v>
                </c:pt>
                <c:pt idx="6">
                  <c:v>0.79666666666666675</c:v>
                </c:pt>
                <c:pt idx="7">
                  <c:v>0.59</c:v>
                </c:pt>
                <c:pt idx="8">
                  <c:v>0.39666666666666667</c:v>
                </c:pt>
                <c:pt idx="9">
                  <c:v>0.47166666666666668</c:v>
                </c:pt>
                <c:pt idx="10">
                  <c:v>0.39500000000000002</c:v>
                </c:pt>
                <c:pt idx="11">
                  <c:v>0.51166666666666671</c:v>
                </c:pt>
              </c:numCache>
            </c:numRef>
          </c:val>
          <c:extLst>
            <c:ext xmlns:c16="http://schemas.microsoft.com/office/drawing/2014/chart" uri="{C3380CC4-5D6E-409C-BE32-E72D297353CC}">
              <c16:uniqueId val="{00000000-5A94-4089-96BA-4D04074D2AD6}"/>
            </c:ext>
          </c:extLst>
        </c:ser>
        <c:ser>
          <c:idx val="1"/>
          <c:order val="1"/>
          <c:tx>
            <c:strRef>
              <c:f>Nitrat!$E$24</c:f>
              <c:strCache>
                <c:ptCount val="1"/>
                <c:pt idx="0">
                  <c:v>2022</c:v>
                </c:pt>
              </c:strCache>
            </c:strRef>
          </c:tx>
          <c:spPr>
            <a:solidFill>
              <a:schemeClr val="accent2"/>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Nitrat!$E$25:$E$36</c:f>
              <c:numCache>
                <c:formatCode>0.00</c:formatCode>
                <c:ptCount val="12"/>
                <c:pt idx="0">
                  <c:v>0.48833333333333329</c:v>
                </c:pt>
                <c:pt idx="1">
                  <c:v>0.75</c:v>
                </c:pt>
                <c:pt idx="2">
                  <c:v>0.42333333333333334</c:v>
                </c:pt>
                <c:pt idx="3">
                  <c:v>0.42</c:v>
                </c:pt>
                <c:pt idx="4">
                  <c:v>0.64</c:v>
                </c:pt>
                <c:pt idx="5">
                  <c:v>0.4366666666666667</c:v>
                </c:pt>
                <c:pt idx="6">
                  <c:v>0.49666666666666676</c:v>
                </c:pt>
                <c:pt idx="7">
                  <c:v>0.61666666666666659</c:v>
                </c:pt>
                <c:pt idx="8">
                  <c:v>0.41</c:v>
                </c:pt>
                <c:pt idx="9">
                  <c:v>0.43833333333333341</c:v>
                </c:pt>
                <c:pt idx="10">
                  <c:v>0.38500000000000001</c:v>
                </c:pt>
                <c:pt idx="11">
                  <c:v>0.44333333333333336</c:v>
                </c:pt>
              </c:numCache>
            </c:numRef>
          </c:val>
          <c:extLst>
            <c:ext xmlns:c16="http://schemas.microsoft.com/office/drawing/2014/chart" uri="{C3380CC4-5D6E-409C-BE32-E72D297353CC}">
              <c16:uniqueId val="{00000001-5A94-4089-96BA-4D04074D2AD6}"/>
            </c:ext>
          </c:extLst>
        </c:ser>
        <c:ser>
          <c:idx val="2"/>
          <c:order val="2"/>
          <c:tx>
            <c:strRef>
              <c:f>Nitrat!$F$24</c:f>
              <c:strCache>
                <c:ptCount val="1"/>
                <c:pt idx="0">
                  <c:v>2023</c:v>
                </c:pt>
              </c:strCache>
            </c:strRef>
          </c:tx>
          <c:spPr>
            <a:solidFill>
              <a:schemeClr val="accent3"/>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Nitrat!$F$25:$F$36</c:f>
              <c:numCache>
                <c:formatCode>0.00</c:formatCode>
                <c:ptCount val="12"/>
                <c:pt idx="0">
                  <c:v>0.38500000000000001</c:v>
                </c:pt>
                <c:pt idx="1">
                  <c:v>1.0066666666666666</c:v>
                </c:pt>
                <c:pt idx="2">
                  <c:v>0.17166666666666666</c:v>
                </c:pt>
                <c:pt idx="3">
                  <c:v>0.52</c:v>
                </c:pt>
                <c:pt idx="4">
                  <c:v>0.44333333333333336</c:v>
                </c:pt>
                <c:pt idx="5">
                  <c:v>0.59166666666666667</c:v>
                </c:pt>
                <c:pt idx="6">
                  <c:v>0.57333333333333336</c:v>
                </c:pt>
                <c:pt idx="7">
                  <c:v>0.54333333333333333</c:v>
                </c:pt>
                <c:pt idx="8">
                  <c:v>0.38166666666666665</c:v>
                </c:pt>
                <c:pt idx="9">
                  <c:v>0.44666666666666677</c:v>
                </c:pt>
                <c:pt idx="10">
                  <c:v>0.64833333333333343</c:v>
                </c:pt>
                <c:pt idx="11">
                  <c:v>0.61166666666666669</c:v>
                </c:pt>
              </c:numCache>
            </c:numRef>
          </c:val>
          <c:extLst>
            <c:ext xmlns:c16="http://schemas.microsoft.com/office/drawing/2014/chart" uri="{C3380CC4-5D6E-409C-BE32-E72D297353CC}">
              <c16:uniqueId val="{00000002-5A94-4089-96BA-4D04074D2AD6}"/>
            </c:ext>
          </c:extLst>
        </c:ser>
        <c:ser>
          <c:idx val="3"/>
          <c:order val="3"/>
          <c:tx>
            <c:strRef>
              <c:f>Nitrat!$G$24</c:f>
              <c:strCache>
                <c:ptCount val="1"/>
                <c:pt idx="0">
                  <c:v>2024</c:v>
                </c:pt>
              </c:strCache>
            </c:strRef>
          </c:tx>
          <c:spPr>
            <a:solidFill>
              <a:schemeClr val="accent4"/>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Nitrat!$G$25:$G$36</c:f>
              <c:numCache>
                <c:formatCode>0.00</c:formatCode>
                <c:ptCount val="12"/>
                <c:pt idx="0">
                  <c:v>0.52500000000000002</c:v>
                </c:pt>
                <c:pt idx="1">
                  <c:v>0.67833333333333334</c:v>
                </c:pt>
                <c:pt idx="2">
                  <c:v>0.6349999999999999</c:v>
                </c:pt>
                <c:pt idx="3">
                  <c:v>0.64499999999999991</c:v>
                </c:pt>
                <c:pt idx="4">
                  <c:v>0.5099999999999999</c:v>
                </c:pt>
                <c:pt idx="5">
                  <c:v>0.41333333333333333</c:v>
                </c:pt>
                <c:pt idx="6">
                  <c:v>0.49166666666666664</c:v>
                </c:pt>
                <c:pt idx="7">
                  <c:v>0.49000000000000005</c:v>
                </c:pt>
                <c:pt idx="8">
                  <c:v>0.32</c:v>
                </c:pt>
                <c:pt idx="9">
                  <c:v>0.375</c:v>
                </c:pt>
                <c:pt idx="10">
                  <c:v>0.41499999999999998</c:v>
                </c:pt>
                <c:pt idx="11">
                  <c:v>0.36000000000000004</c:v>
                </c:pt>
              </c:numCache>
            </c:numRef>
          </c:val>
          <c:extLst>
            <c:ext xmlns:c16="http://schemas.microsoft.com/office/drawing/2014/chart" uri="{C3380CC4-5D6E-409C-BE32-E72D297353CC}">
              <c16:uniqueId val="{00000003-5A94-4089-96BA-4D04074D2AD6}"/>
            </c:ext>
          </c:extLst>
        </c:ser>
        <c:ser>
          <c:idx val="4"/>
          <c:order val="4"/>
          <c:tx>
            <c:strRef>
              <c:f>Nitrat!$H$24</c:f>
              <c:strCache>
                <c:ptCount val="1"/>
                <c:pt idx="0">
                  <c:v>2025</c:v>
                </c:pt>
              </c:strCache>
            </c:strRef>
          </c:tx>
          <c:spPr>
            <a:solidFill>
              <a:schemeClr val="accent5"/>
            </a:solidFill>
            <a:ln>
              <a:noFill/>
            </a:ln>
            <a:effectLst/>
          </c:spPr>
          <c:invertIfNegative val="0"/>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Nitrat!$H$25:$H$36</c:f>
              <c:numCache>
                <c:formatCode>0.00</c:formatCode>
                <c:ptCount val="12"/>
                <c:pt idx="0">
                  <c:v>0.23</c:v>
                </c:pt>
                <c:pt idx="1">
                  <c:v>0.24</c:v>
                </c:pt>
                <c:pt idx="2">
                  <c:v>0.24</c:v>
                </c:pt>
                <c:pt idx="3">
                  <c:v>0.2</c:v>
                </c:pt>
                <c:pt idx="4">
                  <c:v>0.59000000000000008</c:v>
                </c:pt>
                <c:pt idx="5">
                  <c:v>0.48</c:v>
                </c:pt>
                <c:pt idx="6">
                  <c:v>0.8</c:v>
                </c:pt>
                <c:pt idx="7">
                  <c:v>0.38</c:v>
                </c:pt>
                <c:pt idx="8">
                  <c:v>1.2549999999999999</c:v>
                </c:pt>
                <c:pt idx="9">
                  <c:v>0.35149999999999998</c:v>
                </c:pt>
                <c:pt idx="10">
                  <c:v>0.75</c:v>
                </c:pt>
                <c:pt idx="11">
                  <c:v>0.55499999999999994</c:v>
                </c:pt>
              </c:numCache>
            </c:numRef>
          </c:val>
          <c:extLst>
            <c:ext xmlns:c16="http://schemas.microsoft.com/office/drawing/2014/chart" uri="{C3380CC4-5D6E-409C-BE32-E72D297353CC}">
              <c16:uniqueId val="{00000004-5A94-4089-96BA-4D04074D2AD6}"/>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Nitrat!$I$24</c:f>
              <c:strCache>
                <c:ptCount val="1"/>
                <c:pt idx="0">
                  <c:v>QCVN 08-MT:2015/BTNMT (Cột A2)</c:v>
                </c:pt>
              </c:strCache>
            </c:strRef>
          </c:tx>
          <c:spPr>
            <a:ln w="22225" cap="rnd">
              <a:solidFill>
                <a:schemeClr val="accent6"/>
              </a:solidFill>
              <a:round/>
            </a:ln>
            <a:effectLst/>
          </c:spPr>
          <c:marker>
            <c:symbol val="none"/>
          </c:marker>
          <c:cat>
            <c:strRef>
              <c:f>Nitrat!$B$25:$C$36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Nitrat!$I$25:$I$36</c:f>
              <c:numCache>
                <c:formatCode>General</c:formatCode>
                <c:ptCount val="12"/>
                <c:pt idx="0">
                  <c:v>5</c:v>
                </c:pt>
                <c:pt idx="1">
                  <c:v>5</c:v>
                </c:pt>
                <c:pt idx="2">
                  <c:v>5</c:v>
                </c:pt>
                <c:pt idx="3">
                  <c:v>5</c:v>
                </c:pt>
                <c:pt idx="4">
                  <c:v>5</c:v>
                </c:pt>
                <c:pt idx="5">
                  <c:v>5</c:v>
                </c:pt>
                <c:pt idx="6">
                  <c:v>5</c:v>
                </c:pt>
                <c:pt idx="7">
                  <c:v>5</c:v>
                </c:pt>
                <c:pt idx="8">
                  <c:v>5</c:v>
                </c:pt>
                <c:pt idx="9">
                  <c:v>5</c:v>
                </c:pt>
                <c:pt idx="10">
                  <c:v>5</c:v>
                </c:pt>
                <c:pt idx="11">
                  <c:v>5</c:v>
                </c:pt>
              </c:numCache>
            </c:numRef>
          </c:val>
          <c:smooth val="0"/>
          <c:extLst>
            <c:ext xmlns:c16="http://schemas.microsoft.com/office/drawing/2014/chart" uri="{C3380CC4-5D6E-409C-BE32-E72D297353CC}">
              <c16:uniqueId val="{00000005-5A94-4089-96BA-4D04074D2AD6}"/>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(mg/l)</a:t>
            </a:r>
          </a:p>
        </c:rich>
      </c:tx>
      <c:layout>
        <c:manualLayout>
          <c:xMode val="edge"/>
          <c:yMode val="edge"/>
          <c:x val="1.2047920943979425E-3"/>
          <c:y val="0.1506547985849594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8.1078585696955405E-2"/>
          <c:y val="3.6254255346794523E-2"/>
          <c:w val="0.90594742441413467"/>
          <c:h val="0.39700527533068269"/>
        </c:manualLayout>
      </c:layout>
      <c:barChart>
        <c:barDir val="col"/>
        <c:grouping val="clustered"/>
        <c:varyColors val="0"/>
        <c:ser>
          <c:idx val="0"/>
          <c:order val="0"/>
          <c:tx>
            <c:strRef>
              <c:f>Photphat!$D$24</c:f>
              <c:strCache>
                <c:ptCount val="1"/>
                <c:pt idx="0">
                  <c:v>2021</c:v>
                </c:pt>
              </c:strCache>
            </c:strRef>
          </c:tx>
          <c:spPr>
            <a:solidFill>
              <a:schemeClr val="accent1"/>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Photphat!$D$25:$D$35</c:f>
              <c:numCache>
                <c:formatCode>0.00</c:formatCode>
                <c:ptCount val="11"/>
                <c:pt idx="0">
                  <c:v>6.6666666666666671E-3</c:v>
                </c:pt>
                <c:pt idx="1">
                  <c:v>6.5000000000000002E-2</c:v>
                </c:pt>
                <c:pt idx="2">
                  <c:v>5.0000000000000001E-3</c:v>
                </c:pt>
                <c:pt idx="3">
                  <c:v>2.3333333333333334E-2</c:v>
                </c:pt>
                <c:pt idx="4">
                  <c:v>1.5000000000000001E-2</c:v>
                </c:pt>
                <c:pt idx="5">
                  <c:v>3.3333333333333335E-3</c:v>
                </c:pt>
                <c:pt idx="6">
                  <c:v>1.6666666666666666E-2</c:v>
                </c:pt>
                <c:pt idx="7">
                  <c:v>1.6833333333333336E-2</c:v>
                </c:pt>
                <c:pt idx="8">
                  <c:v>5.0000000000000001E-3</c:v>
                </c:pt>
                <c:pt idx="9">
                  <c:v>1.8333333333333333E-2</c:v>
                </c:pt>
                <c:pt idx="10">
                  <c:v>2.5000000000000005E-2</c:v>
                </c:pt>
              </c:numCache>
            </c:numRef>
          </c:val>
          <c:extLst>
            <c:ext xmlns:c16="http://schemas.microsoft.com/office/drawing/2014/chart" uri="{C3380CC4-5D6E-409C-BE32-E72D297353CC}">
              <c16:uniqueId val="{00000000-8745-4643-A536-02F854592D0D}"/>
            </c:ext>
          </c:extLst>
        </c:ser>
        <c:ser>
          <c:idx val="1"/>
          <c:order val="1"/>
          <c:tx>
            <c:strRef>
              <c:f>Photphat!$E$24</c:f>
              <c:strCache>
                <c:ptCount val="1"/>
                <c:pt idx="0">
                  <c:v>2022</c:v>
                </c:pt>
              </c:strCache>
            </c:strRef>
          </c:tx>
          <c:spPr>
            <a:solidFill>
              <a:schemeClr val="accent2"/>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Photphat!$E$25:$E$35</c:f>
              <c:numCache>
                <c:formatCode>0.00</c:formatCode>
                <c:ptCount val="11"/>
                <c:pt idx="0">
                  <c:v>2.6333333333333334E-2</c:v>
                </c:pt>
                <c:pt idx="1">
                  <c:v>0.27516666666666667</c:v>
                </c:pt>
                <c:pt idx="2">
                  <c:v>1.3333333333333331E-2</c:v>
                </c:pt>
                <c:pt idx="3">
                  <c:v>2.2000000000000002E-2</c:v>
                </c:pt>
                <c:pt idx="4">
                  <c:v>2.8000000000000008E-2</c:v>
                </c:pt>
                <c:pt idx="5">
                  <c:v>1.1833333333333335E-2</c:v>
                </c:pt>
                <c:pt idx="6">
                  <c:v>2.6333333333333337E-2</c:v>
                </c:pt>
                <c:pt idx="7">
                  <c:v>2.9499999999999998E-2</c:v>
                </c:pt>
                <c:pt idx="8">
                  <c:v>9.6666666666666672E-3</c:v>
                </c:pt>
                <c:pt idx="9">
                  <c:v>1.1999999999999999E-2</c:v>
                </c:pt>
                <c:pt idx="10">
                  <c:v>0.11583333333333333</c:v>
                </c:pt>
              </c:numCache>
            </c:numRef>
          </c:val>
          <c:extLst>
            <c:ext xmlns:c16="http://schemas.microsoft.com/office/drawing/2014/chart" uri="{C3380CC4-5D6E-409C-BE32-E72D297353CC}">
              <c16:uniqueId val="{00000001-8745-4643-A536-02F854592D0D}"/>
            </c:ext>
          </c:extLst>
        </c:ser>
        <c:ser>
          <c:idx val="2"/>
          <c:order val="2"/>
          <c:tx>
            <c:strRef>
              <c:f>Photphat!$F$24</c:f>
              <c:strCache>
                <c:ptCount val="1"/>
                <c:pt idx="0">
                  <c:v>2023</c:v>
                </c:pt>
              </c:strCache>
            </c:strRef>
          </c:tx>
          <c:spPr>
            <a:solidFill>
              <a:schemeClr val="accent3"/>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Photphat!$F$25:$F$35</c:f>
              <c:numCache>
                <c:formatCode>0.00</c:formatCode>
                <c:ptCount val="11"/>
                <c:pt idx="0">
                  <c:v>9.1666666666666684E-3</c:v>
                </c:pt>
                <c:pt idx="1">
                  <c:v>0.12066666666666669</c:v>
                </c:pt>
                <c:pt idx="2">
                  <c:v>1.1433333333333332E-2</c:v>
                </c:pt>
                <c:pt idx="3">
                  <c:v>2.416666666666667E-2</c:v>
                </c:pt>
                <c:pt idx="4">
                  <c:v>7.9166666666666663E-2</c:v>
                </c:pt>
                <c:pt idx="5">
                  <c:v>2.5000000000000005E-2</c:v>
                </c:pt>
                <c:pt idx="6">
                  <c:v>1.8500000000000003E-2</c:v>
                </c:pt>
                <c:pt idx="7">
                  <c:v>3.15E-2</c:v>
                </c:pt>
                <c:pt idx="8">
                  <c:v>1.1000000000000001E-2</c:v>
                </c:pt>
                <c:pt idx="9">
                  <c:v>2.0333333333333335E-2</c:v>
                </c:pt>
                <c:pt idx="10">
                  <c:v>5.0666666666666672E-2</c:v>
                </c:pt>
              </c:numCache>
            </c:numRef>
          </c:val>
          <c:extLst>
            <c:ext xmlns:c16="http://schemas.microsoft.com/office/drawing/2014/chart" uri="{C3380CC4-5D6E-409C-BE32-E72D297353CC}">
              <c16:uniqueId val="{00000002-8745-4643-A536-02F854592D0D}"/>
            </c:ext>
          </c:extLst>
        </c:ser>
        <c:ser>
          <c:idx val="3"/>
          <c:order val="3"/>
          <c:tx>
            <c:strRef>
              <c:f>Photphat!$G$24</c:f>
              <c:strCache>
                <c:ptCount val="1"/>
                <c:pt idx="0">
                  <c:v>2024</c:v>
                </c:pt>
              </c:strCache>
            </c:strRef>
          </c:tx>
          <c:spPr>
            <a:solidFill>
              <a:schemeClr val="accent4"/>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Photphat!$G$25:$G$35</c:f>
              <c:numCache>
                <c:formatCode>0.00</c:formatCode>
                <c:ptCount val="11"/>
                <c:pt idx="0">
                  <c:v>6.4999999999999988E-3</c:v>
                </c:pt>
                <c:pt idx="1">
                  <c:v>0.11233333333333334</c:v>
                </c:pt>
                <c:pt idx="2">
                  <c:v>6.8000000000000005E-2</c:v>
                </c:pt>
                <c:pt idx="3">
                  <c:v>6.0166666666666667E-2</c:v>
                </c:pt>
                <c:pt idx="4">
                  <c:v>7.0333333333333345E-2</c:v>
                </c:pt>
                <c:pt idx="5">
                  <c:v>9.1666666666666667E-3</c:v>
                </c:pt>
                <c:pt idx="6">
                  <c:v>2.7166666666666672E-2</c:v>
                </c:pt>
                <c:pt idx="7">
                  <c:v>1.4333333333333332E-2</c:v>
                </c:pt>
                <c:pt idx="8">
                  <c:v>3.4999999999999996E-3</c:v>
                </c:pt>
                <c:pt idx="9">
                  <c:v>2.8833333333333339E-2</c:v>
                </c:pt>
                <c:pt idx="10">
                  <c:v>8.0166666666666664E-2</c:v>
                </c:pt>
              </c:numCache>
            </c:numRef>
          </c:val>
          <c:extLst>
            <c:ext xmlns:c16="http://schemas.microsoft.com/office/drawing/2014/chart" uri="{C3380CC4-5D6E-409C-BE32-E72D297353CC}">
              <c16:uniqueId val="{00000003-8745-4643-A536-02F854592D0D}"/>
            </c:ext>
          </c:extLst>
        </c:ser>
        <c:ser>
          <c:idx val="4"/>
          <c:order val="4"/>
          <c:tx>
            <c:strRef>
              <c:f>Photphat!$H$24</c:f>
              <c:strCache>
                <c:ptCount val="1"/>
                <c:pt idx="0">
                  <c:v>2025</c:v>
                </c:pt>
              </c:strCache>
            </c:strRef>
          </c:tx>
          <c:spPr>
            <a:solidFill>
              <a:schemeClr val="accent5"/>
            </a:solidFill>
            <a:ln>
              <a:noFill/>
            </a:ln>
            <a:effectLst/>
          </c:spPr>
          <c:invertIfNegative val="0"/>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Photphat!$H$25:$H$35</c:f>
              <c:numCache>
                <c:formatCode>0.00</c:formatCode>
                <c:ptCount val="11"/>
                <c:pt idx="0">
                  <c:v>2.35E-2</c:v>
                </c:pt>
                <c:pt idx="1">
                  <c:v>0.127</c:v>
                </c:pt>
                <c:pt idx="2">
                  <c:v>2.1499999999999998E-2</c:v>
                </c:pt>
                <c:pt idx="3">
                  <c:v>4.1499999999999995E-2</c:v>
                </c:pt>
                <c:pt idx="4">
                  <c:v>3.4999999999999996E-2</c:v>
                </c:pt>
                <c:pt idx="5">
                  <c:v>3.0000000000000001E-3</c:v>
                </c:pt>
                <c:pt idx="6">
                  <c:v>6.0000000000000001E-3</c:v>
                </c:pt>
                <c:pt idx="7">
                  <c:v>5.9499999999999997E-2</c:v>
                </c:pt>
                <c:pt idx="8">
                  <c:v>1.1000000000000001E-2</c:v>
                </c:pt>
                <c:pt idx="9">
                  <c:v>1.6500000000000001E-2</c:v>
                </c:pt>
                <c:pt idx="10">
                  <c:v>2.7000000000000003E-2</c:v>
                </c:pt>
              </c:numCache>
            </c:numRef>
          </c:val>
          <c:extLst>
            <c:ext xmlns:c16="http://schemas.microsoft.com/office/drawing/2014/chart" uri="{C3380CC4-5D6E-409C-BE32-E72D297353CC}">
              <c16:uniqueId val="{00000004-8745-4643-A536-02F854592D0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Photphat!$I$24</c:f>
              <c:strCache>
                <c:ptCount val="1"/>
                <c:pt idx="0">
                  <c:v>QCVN 08-MT:2015/BTNMT (Cột A2)</c:v>
                </c:pt>
              </c:strCache>
            </c:strRef>
          </c:tx>
          <c:spPr>
            <a:ln w="22225" cap="rnd">
              <a:solidFill>
                <a:schemeClr val="accent6"/>
              </a:solidFill>
              <a:round/>
            </a:ln>
            <a:effectLst/>
          </c:spPr>
          <c:marker>
            <c:symbol val="none"/>
          </c:marker>
          <c:cat>
            <c:strRef>
              <c:f>Photphat!$B$25:$C$36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Photphat!$I$25:$I$36</c:f>
              <c:numCache>
                <c:formatCode>0.0</c:formatCode>
                <c:ptCount val="12"/>
                <c:pt idx="0">
                  <c:v>0.2</c:v>
                </c:pt>
                <c:pt idx="1">
                  <c:v>0.2</c:v>
                </c:pt>
                <c:pt idx="2">
                  <c:v>0.2</c:v>
                </c:pt>
                <c:pt idx="3">
                  <c:v>0.2</c:v>
                </c:pt>
                <c:pt idx="4">
                  <c:v>0.2</c:v>
                </c:pt>
                <c:pt idx="5">
                  <c:v>0.2</c:v>
                </c:pt>
                <c:pt idx="6">
                  <c:v>0.2</c:v>
                </c:pt>
                <c:pt idx="7">
                  <c:v>0.2</c:v>
                </c:pt>
                <c:pt idx="8">
                  <c:v>0.2</c:v>
                </c:pt>
                <c:pt idx="9">
                  <c:v>0.2</c:v>
                </c:pt>
                <c:pt idx="10">
                  <c:v>0.2</c:v>
                </c:pt>
                <c:pt idx="11">
                  <c:v>0.2</c:v>
                </c:pt>
              </c:numCache>
            </c:numRef>
          </c:val>
          <c:smooth val="0"/>
          <c:extLst>
            <c:ext xmlns:c16="http://schemas.microsoft.com/office/drawing/2014/chart" uri="{C3380CC4-5D6E-409C-BE32-E72D297353CC}">
              <c16:uniqueId val="{00000005-8745-4643-A536-02F854592D0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300000000000000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1"/>
      </c:valAx>
      <c:spPr>
        <a:noFill/>
        <a:ln>
          <a:noFill/>
        </a:ln>
        <a:effectLst/>
      </c:spPr>
    </c:plotArea>
    <c:legend>
      <c:legendPos val="b"/>
      <c:layout>
        <c:manualLayout>
          <c:xMode val="edge"/>
          <c:yMode val="edge"/>
          <c:x val="3.2367116221999691E-2"/>
          <c:y val="0.88403036446791461"/>
          <c:w val="0.94628609213136439"/>
          <c:h val="7.636602663131356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r>
              <a:rPr lang="en-US" sz="1000" b="0">
                <a:latin typeface="Times New Roman" panose="02020603050405020304" pitchFamily="18" charset="0"/>
                <a:cs typeface="Times New Roman" panose="02020603050405020304" pitchFamily="18" charset="0"/>
              </a:rPr>
              <a:t>(MPN/100mll)</a:t>
            </a:r>
          </a:p>
        </c:rich>
      </c:tx>
      <c:layout>
        <c:manualLayout>
          <c:xMode val="edge"/>
          <c:yMode val="edge"/>
          <c:x val="1.2047920943979425E-3"/>
          <c:y val="7.8917727876608015E-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9.5110716957162375E-2"/>
          <c:y val="3.0137282222438246E-2"/>
          <c:w val="0.89178235297180319"/>
          <c:h val="0.45810094725813594"/>
        </c:manualLayout>
      </c:layout>
      <c:barChart>
        <c:barDir val="col"/>
        <c:grouping val="clustered"/>
        <c:varyColors val="0"/>
        <c:ser>
          <c:idx val="0"/>
          <c:order val="0"/>
          <c:tx>
            <c:strRef>
              <c:f>Coliform!$D$24</c:f>
              <c:strCache>
                <c:ptCount val="1"/>
                <c:pt idx="0">
                  <c:v>2021</c:v>
                </c:pt>
              </c:strCache>
            </c:strRef>
          </c:tx>
          <c:spPr>
            <a:solidFill>
              <a:schemeClr val="accent1"/>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Coliform!$D$25:$D$36</c:f>
              <c:numCache>
                <c:formatCode>0.00</c:formatCode>
                <c:ptCount val="12"/>
                <c:pt idx="0">
                  <c:v>426.66666666666669</c:v>
                </c:pt>
                <c:pt idx="1">
                  <c:v>1143.3333333333333</c:v>
                </c:pt>
                <c:pt idx="2">
                  <c:v>710</c:v>
                </c:pt>
                <c:pt idx="3">
                  <c:v>968.33333333333337</c:v>
                </c:pt>
                <c:pt idx="4">
                  <c:v>1156.6666666666667</c:v>
                </c:pt>
                <c:pt idx="5">
                  <c:v>1325</c:v>
                </c:pt>
                <c:pt idx="6">
                  <c:v>1671.6666666666667</c:v>
                </c:pt>
                <c:pt idx="7">
                  <c:v>1758.3333333333333</c:v>
                </c:pt>
                <c:pt idx="8">
                  <c:v>650</c:v>
                </c:pt>
                <c:pt idx="9">
                  <c:v>1016.6666666666666</c:v>
                </c:pt>
                <c:pt idx="10">
                  <c:v>1228.3333333333333</c:v>
                </c:pt>
                <c:pt idx="11">
                  <c:v>1026.6666666666667</c:v>
                </c:pt>
              </c:numCache>
            </c:numRef>
          </c:val>
          <c:extLst>
            <c:ext xmlns:c16="http://schemas.microsoft.com/office/drawing/2014/chart" uri="{C3380CC4-5D6E-409C-BE32-E72D297353CC}">
              <c16:uniqueId val="{00000000-893E-421C-A2C7-8219E07E88A7}"/>
            </c:ext>
          </c:extLst>
        </c:ser>
        <c:ser>
          <c:idx val="1"/>
          <c:order val="1"/>
          <c:tx>
            <c:strRef>
              <c:f>Coliform!$E$24</c:f>
              <c:strCache>
                <c:ptCount val="1"/>
                <c:pt idx="0">
                  <c:v>2022</c:v>
                </c:pt>
              </c:strCache>
            </c:strRef>
          </c:tx>
          <c:spPr>
            <a:solidFill>
              <a:schemeClr val="accent2"/>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Coliform!$E$25:$E$36</c:f>
              <c:numCache>
                <c:formatCode>0.00</c:formatCode>
                <c:ptCount val="12"/>
                <c:pt idx="0">
                  <c:v>580.5</c:v>
                </c:pt>
                <c:pt idx="1">
                  <c:v>1006.6666666666666</c:v>
                </c:pt>
                <c:pt idx="2">
                  <c:v>608.33333333333337</c:v>
                </c:pt>
                <c:pt idx="3">
                  <c:v>590</c:v>
                </c:pt>
                <c:pt idx="4">
                  <c:v>750.33333333333337</c:v>
                </c:pt>
                <c:pt idx="5">
                  <c:v>1843.3333333333333</c:v>
                </c:pt>
                <c:pt idx="6">
                  <c:v>2498.3333333333335</c:v>
                </c:pt>
                <c:pt idx="7">
                  <c:v>3700</c:v>
                </c:pt>
                <c:pt idx="8">
                  <c:v>933.33333333333337</c:v>
                </c:pt>
                <c:pt idx="9">
                  <c:v>1320</c:v>
                </c:pt>
                <c:pt idx="10">
                  <c:v>1310</c:v>
                </c:pt>
                <c:pt idx="11">
                  <c:v>1916.6666666666667</c:v>
                </c:pt>
              </c:numCache>
            </c:numRef>
          </c:val>
          <c:extLst>
            <c:ext xmlns:c16="http://schemas.microsoft.com/office/drawing/2014/chart" uri="{C3380CC4-5D6E-409C-BE32-E72D297353CC}">
              <c16:uniqueId val="{00000001-893E-421C-A2C7-8219E07E88A7}"/>
            </c:ext>
          </c:extLst>
        </c:ser>
        <c:ser>
          <c:idx val="2"/>
          <c:order val="2"/>
          <c:tx>
            <c:strRef>
              <c:f>Coliform!$F$24</c:f>
              <c:strCache>
                <c:ptCount val="1"/>
                <c:pt idx="0">
                  <c:v>2023</c:v>
                </c:pt>
              </c:strCache>
            </c:strRef>
          </c:tx>
          <c:spPr>
            <a:solidFill>
              <a:schemeClr val="accent3"/>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Coliform!$F$25:$F$36</c:f>
              <c:numCache>
                <c:formatCode>0.00</c:formatCode>
                <c:ptCount val="12"/>
                <c:pt idx="0">
                  <c:v>513.33333333333337</c:v>
                </c:pt>
                <c:pt idx="1">
                  <c:v>1331.6666666666667</c:v>
                </c:pt>
                <c:pt idx="2">
                  <c:v>2658.3333333333335</c:v>
                </c:pt>
                <c:pt idx="3">
                  <c:v>3256.6666666666665</c:v>
                </c:pt>
                <c:pt idx="4">
                  <c:v>3716.6666666666665</c:v>
                </c:pt>
                <c:pt idx="5">
                  <c:v>2191.5</c:v>
                </c:pt>
                <c:pt idx="6">
                  <c:v>6156.666666666667</c:v>
                </c:pt>
                <c:pt idx="7">
                  <c:v>5473.333333333333</c:v>
                </c:pt>
                <c:pt idx="8">
                  <c:v>651.66666666666663</c:v>
                </c:pt>
                <c:pt idx="9">
                  <c:v>675</c:v>
                </c:pt>
                <c:pt idx="10">
                  <c:v>1723.3333333333333</c:v>
                </c:pt>
                <c:pt idx="11">
                  <c:v>2661.6666666666665</c:v>
                </c:pt>
              </c:numCache>
            </c:numRef>
          </c:val>
          <c:extLst>
            <c:ext xmlns:c16="http://schemas.microsoft.com/office/drawing/2014/chart" uri="{C3380CC4-5D6E-409C-BE32-E72D297353CC}">
              <c16:uniqueId val="{00000002-893E-421C-A2C7-8219E07E88A7}"/>
            </c:ext>
          </c:extLst>
        </c:ser>
        <c:ser>
          <c:idx val="3"/>
          <c:order val="3"/>
          <c:tx>
            <c:strRef>
              <c:f>Coliform!$G$24</c:f>
              <c:strCache>
                <c:ptCount val="1"/>
                <c:pt idx="0">
                  <c:v>2024</c:v>
                </c:pt>
              </c:strCache>
            </c:strRef>
          </c:tx>
          <c:spPr>
            <a:solidFill>
              <a:schemeClr val="accent4"/>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Coliform!$G$25:$G$36</c:f>
              <c:numCache>
                <c:formatCode>0.00</c:formatCode>
                <c:ptCount val="12"/>
                <c:pt idx="0">
                  <c:v>446.66666666666669</c:v>
                </c:pt>
                <c:pt idx="1">
                  <c:v>985</c:v>
                </c:pt>
                <c:pt idx="2">
                  <c:v>766.66666666666663</c:v>
                </c:pt>
                <c:pt idx="3">
                  <c:v>1446.6666666666667</c:v>
                </c:pt>
                <c:pt idx="4">
                  <c:v>833.33333333333337</c:v>
                </c:pt>
                <c:pt idx="5">
                  <c:v>1186.6666666666667</c:v>
                </c:pt>
                <c:pt idx="6">
                  <c:v>1973.3333333333333</c:v>
                </c:pt>
                <c:pt idx="7">
                  <c:v>793.33333333333337</c:v>
                </c:pt>
                <c:pt idx="8">
                  <c:v>435</c:v>
                </c:pt>
                <c:pt idx="9">
                  <c:v>1091.6666666666667</c:v>
                </c:pt>
                <c:pt idx="10">
                  <c:v>1370</c:v>
                </c:pt>
                <c:pt idx="11">
                  <c:v>830</c:v>
                </c:pt>
              </c:numCache>
            </c:numRef>
          </c:val>
          <c:extLst>
            <c:ext xmlns:c16="http://schemas.microsoft.com/office/drawing/2014/chart" uri="{C3380CC4-5D6E-409C-BE32-E72D297353CC}">
              <c16:uniqueId val="{00000003-893E-421C-A2C7-8219E07E88A7}"/>
            </c:ext>
          </c:extLst>
        </c:ser>
        <c:ser>
          <c:idx val="4"/>
          <c:order val="4"/>
          <c:tx>
            <c:strRef>
              <c:f>Coliform!$H$24</c:f>
              <c:strCache>
                <c:ptCount val="1"/>
                <c:pt idx="0">
                  <c:v>2025</c:v>
                </c:pt>
              </c:strCache>
            </c:strRef>
          </c:tx>
          <c:spPr>
            <a:solidFill>
              <a:schemeClr val="accent5"/>
            </a:solidFill>
            <a:ln>
              <a:noFill/>
            </a:ln>
            <a:effectLst/>
          </c:spPr>
          <c:invertIfNegative val="0"/>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Coliform!$H$25:$H$36</c:f>
              <c:numCache>
                <c:formatCode>0.00</c:formatCode>
                <c:ptCount val="12"/>
                <c:pt idx="0">
                  <c:v>570</c:v>
                </c:pt>
                <c:pt idx="1">
                  <c:v>640</c:v>
                </c:pt>
                <c:pt idx="2">
                  <c:v>240</c:v>
                </c:pt>
                <c:pt idx="3">
                  <c:v>635</c:v>
                </c:pt>
                <c:pt idx="4">
                  <c:v>530</c:v>
                </c:pt>
                <c:pt idx="5">
                  <c:v>570</c:v>
                </c:pt>
                <c:pt idx="6">
                  <c:v>2715</c:v>
                </c:pt>
                <c:pt idx="7">
                  <c:v>1420</c:v>
                </c:pt>
                <c:pt idx="8">
                  <c:v>520</c:v>
                </c:pt>
                <c:pt idx="9">
                  <c:v>410</c:v>
                </c:pt>
                <c:pt idx="10">
                  <c:v>1100</c:v>
                </c:pt>
                <c:pt idx="11">
                  <c:v>665</c:v>
                </c:pt>
              </c:numCache>
            </c:numRef>
          </c:val>
          <c:extLst>
            <c:ext xmlns:c16="http://schemas.microsoft.com/office/drawing/2014/chart" uri="{C3380CC4-5D6E-409C-BE32-E72D297353CC}">
              <c16:uniqueId val="{00000004-893E-421C-A2C7-8219E07E88A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Coliform!$I$24</c:f>
              <c:strCache>
                <c:ptCount val="1"/>
                <c:pt idx="0">
                  <c:v>QCVN 08-MT:2015/BTNMT (Cột A2)</c:v>
                </c:pt>
              </c:strCache>
            </c:strRef>
          </c:tx>
          <c:spPr>
            <a:ln w="22225" cap="rnd">
              <a:solidFill>
                <a:schemeClr val="accent6"/>
              </a:solidFill>
              <a:round/>
            </a:ln>
            <a:effectLst/>
          </c:spPr>
          <c:marker>
            <c:symbol val="none"/>
          </c:marker>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Coliform!$I$25:$I$36</c:f>
              <c:numCache>
                <c:formatCode>General</c:formatCode>
                <c:ptCount val="12"/>
                <c:pt idx="0">
                  <c:v>5000</c:v>
                </c:pt>
                <c:pt idx="1">
                  <c:v>5000</c:v>
                </c:pt>
                <c:pt idx="2">
                  <c:v>5000</c:v>
                </c:pt>
                <c:pt idx="3">
                  <c:v>5000</c:v>
                </c:pt>
                <c:pt idx="4">
                  <c:v>5000</c:v>
                </c:pt>
                <c:pt idx="5">
                  <c:v>5000</c:v>
                </c:pt>
                <c:pt idx="6">
                  <c:v>5000</c:v>
                </c:pt>
                <c:pt idx="7">
                  <c:v>5000</c:v>
                </c:pt>
                <c:pt idx="8">
                  <c:v>5000</c:v>
                </c:pt>
                <c:pt idx="9">
                  <c:v>5000</c:v>
                </c:pt>
                <c:pt idx="10">
                  <c:v>5000</c:v>
                </c:pt>
                <c:pt idx="11">
                  <c:v>5000</c:v>
                </c:pt>
              </c:numCache>
            </c:numRef>
          </c:val>
          <c:smooth val="0"/>
          <c:extLst>
            <c:ext xmlns:c16="http://schemas.microsoft.com/office/drawing/2014/chart" uri="{C3380CC4-5D6E-409C-BE32-E72D297353CC}">
              <c16:uniqueId val="{00000005-893E-421C-A2C7-8219E07E88A7}"/>
            </c:ext>
          </c:extLst>
        </c:ser>
        <c:ser>
          <c:idx val="6"/>
          <c:order val="6"/>
          <c:tx>
            <c:strRef>
              <c:f>Coliform!$J$24</c:f>
              <c:strCache>
                <c:ptCount val="1"/>
                <c:pt idx="0">
                  <c:v>QCVN 08:2023/BTNMT (Mức A)</c:v>
                </c:pt>
              </c:strCache>
            </c:strRef>
          </c:tx>
          <c:spPr>
            <a:ln w="22225" cap="rnd">
              <a:solidFill>
                <a:schemeClr val="accent1">
                  <a:lumMod val="60000"/>
                </a:schemeClr>
              </a:solidFill>
              <a:round/>
            </a:ln>
            <a:effectLst/>
          </c:spPr>
          <c:marker>
            <c:symbol val="none"/>
          </c:marker>
          <c:cat>
            <c:strRef>
              <c:f>Coliform!$B$25:$C$36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Coliform!$J$25:$J$36</c:f>
              <c:numCache>
                <c:formatCode>General</c:formatCode>
                <c:ptCount val="12"/>
                <c:pt idx="0">
                  <c:v>1000</c:v>
                </c:pt>
                <c:pt idx="1">
                  <c:v>1000</c:v>
                </c:pt>
                <c:pt idx="2">
                  <c:v>1000</c:v>
                </c:pt>
                <c:pt idx="3">
                  <c:v>1000</c:v>
                </c:pt>
                <c:pt idx="4">
                  <c:v>1000</c:v>
                </c:pt>
                <c:pt idx="5">
                  <c:v>1000</c:v>
                </c:pt>
                <c:pt idx="6">
                  <c:v>1000</c:v>
                </c:pt>
                <c:pt idx="7">
                  <c:v>1000</c:v>
                </c:pt>
                <c:pt idx="8">
                  <c:v>1000</c:v>
                </c:pt>
                <c:pt idx="9">
                  <c:v>1000</c:v>
                </c:pt>
                <c:pt idx="10">
                  <c:v>1000</c:v>
                </c:pt>
                <c:pt idx="11">
                  <c:v>1000</c:v>
                </c:pt>
              </c:numCache>
            </c:numRef>
          </c:val>
          <c:smooth val="0"/>
          <c:extLst>
            <c:ext xmlns:c16="http://schemas.microsoft.com/office/drawing/2014/chart" uri="{C3380CC4-5D6E-409C-BE32-E72D297353CC}">
              <c16:uniqueId val="{00000006-893E-421C-A2C7-8219E07E88A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7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0"/>
      </c:valAx>
      <c:spPr>
        <a:noFill/>
        <a:ln>
          <a:noFill/>
        </a:ln>
        <a:effectLst/>
      </c:spPr>
    </c:plotArea>
    <c:legend>
      <c:legendPos val="b"/>
      <c:layout>
        <c:manualLayout>
          <c:xMode val="edge"/>
          <c:yMode val="edge"/>
          <c:x val="0"/>
          <c:y val="0.8519815296040848"/>
          <c:w val="0.9980826068771379"/>
          <c:h val="0.1150383497348191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5.146198830409357E-2"/>
          <c:w val="0.91479870669681829"/>
          <c:h val="0.39898475848413684"/>
        </c:manualLayout>
      </c:layout>
      <c:lineChart>
        <c:grouping val="standard"/>
        <c:varyColors val="0"/>
        <c:ser>
          <c:idx val="0"/>
          <c:order val="0"/>
          <c:tx>
            <c:strRef>
              <c:f>WQI!$D$34</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WQI!$D$35:$D$46</c:f>
              <c:numCache>
                <c:formatCode>0</c:formatCode>
                <c:ptCount val="12"/>
                <c:pt idx="0">
                  <c:v>90.5</c:v>
                </c:pt>
                <c:pt idx="1">
                  <c:v>98.333333333333329</c:v>
                </c:pt>
                <c:pt idx="2">
                  <c:v>84.666666666666671</c:v>
                </c:pt>
                <c:pt idx="3">
                  <c:v>90</c:v>
                </c:pt>
                <c:pt idx="4">
                  <c:v>83.833333333333329</c:v>
                </c:pt>
                <c:pt idx="5">
                  <c:v>96.333333333333329</c:v>
                </c:pt>
                <c:pt idx="6">
                  <c:v>96.166666666666671</c:v>
                </c:pt>
                <c:pt idx="7">
                  <c:v>80.333333333333329</c:v>
                </c:pt>
                <c:pt idx="8">
                  <c:v>64.166666666666671</c:v>
                </c:pt>
                <c:pt idx="9">
                  <c:v>79</c:v>
                </c:pt>
                <c:pt idx="10" formatCode="General">
                  <c:v>96.5</c:v>
                </c:pt>
                <c:pt idx="11" formatCode="General">
                  <c:v>83.5</c:v>
                </c:pt>
              </c:numCache>
            </c:numRef>
          </c:val>
          <c:smooth val="0"/>
          <c:extLst>
            <c:ext xmlns:c16="http://schemas.microsoft.com/office/drawing/2014/chart" uri="{C3380CC4-5D6E-409C-BE32-E72D297353CC}">
              <c16:uniqueId val="{00000000-1533-4FDF-8584-16E035FF4E38}"/>
            </c:ext>
          </c:extLst>
        </c:ser>
        <c:ser>
          <c:idx val="1"/>
          <c:order val="1"/>
          <c:tx>
            <c:strRef>
              <c:f>WQI!$E$34</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WQI!$E$35:$E$46</c:f>
              <c:numCache>
                <c:formatCode>0</c:formatCode>
                <c:ptCount val="12"/>
                <c:pt idx="0">
                  <c:v>93.895323952977492</c:v>
                </c:pt>
                <c:pt idx="1">
                  <c:v>93.450422199734689</c:v>
                </c:pt>
                <c:pt idx="2">
                  <c:v>95.796287591948555</c:v>
                </c:pt>
                <c:pt idx="3">
                  <c:v>99.46303263282978</c:v>
                </c:pt>
                <c:pt idx="4">
                  <c:v>97.253406424146092</c:v>
                </c:pt>
                <c:pt idx="5">
                  <c:v>87.919914678889725</c:v>
                </c:pt>
                <c:pt idx="6">
                  <c:v>86.636337922959811</c:v>
                </c:pt>
                <c:pt idx="7">
                  <c:v>88.453690726532656</c:v>
                </c:pt>
                <c:pt idx="8">
                  <c:v>97.524705019268765</c:v>
                </c:pt>
                <c:pt idx="9">
                  <c:v>94.521301252177409</c:v>
                </c:pt>
                <c:pt idx="10" formatCode="General">
                  <c:v>94.859109118212345</c:v>
                </c:pt>
                <c:pt idx="11" formatCode="General">
                  <c:v>92.194764494674203</c:v>
                </c:pt>
              </c:numCache>
            </c:numRef>
          </c:val>
          <c:smooth val="0"/>
          <c:extLst>
            <c:ext xmlns:c16="http://schemas.microsoft.com/office/drawing/2014/chart" uri="{C3380CC4-5D6E-409C-BE32-E72D297353CC}">
              <c16:uniqueId val="{00000001-1533-4FDF-8584-16E035FF4E38}"/>
            </c:ext>
          </c:extLst>
        </c:ser>
        <c:ser>
          <c:idx val="2"/>
          <c:order val="2"/>
          <c:tx>
            <c:strRef>
              <c:f>WQI!$F$34</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WQI!$F$35:$F$46</c:f>
              <c:numCache>
                <c:formatCode>0</c:formatCode>
                <c:ptCount val="12"/>
                <c:pt idx="0">
                  <c:v>98.166666666666671</c:v>
                </c:pt>
                <c:pt idx="1">
                  <c:v>95</c:v>
                </c:pt>
                <c:pt idx="2">
                  <c:v>90.666666666666671</c:v>
                </c:pt>
                <c:pt idx="3">
                  <c:v>93.333333333333329</c:v>
                </c:pt>
                <c:pt idx="4">
                  <c:v>88.833333333333329</c:v>
                </c:pt>
                <c:pt idx="5">
                  <c:v>95.666666666666671</c:v>
                </c:pt>
                <c:pt idx="6">
                  <c:v>86.5</c:v>
                </c:pt>
                <c:pt idx="7">
                  <c:v>79.166666666666671</c:v>
                </c:pt>
                <c:pt idx="8">
                  <c:v>98</c:v>
                </c:pt>
                <c:pt idx="9">
                  <c:v>97</c:v>
                </c:pt>
                <c:pt idx="10" formatCode="General">
                  <c:v>88</c:v>
                </c:pt>
                <c:pt idx="11" formatCode="General">
                  <c:v>94</c:v>
                </c:pt>
              </c:numCache>
            </c:numRef>
          </c:val>
          <c:smooth val="0"/>
          <c:extLst>
            <c:ext xmlns:c16="http://schemas.microsoft.com/office/drawing/2014/chart" uri="{C3380CC4-5D6E-409C-BE32-E72D297353CC}">
              <c16:uniqueId val="{00000002-1533-4FDF-8584-16E035FF4E38}"/>
            </c:ext>
          </c:extLst>
        </c:ser>
        <c:ser>
          <c:idx val="3"/>
          <c:order val="3"/>
          <c:tx>
            <c:strRef>
              <c:f>WQI!$G$34</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WQI!$G$35:$G$46</c:f>
              <c:numCache>
                <c:formatCode>0</c:formatCode>
                <c:ptCount val="12"/>
                <c:pt idx="0">
                  <c:v>97.833333333333329</c:v>
                </c:pt>
                <c:pt idx="1">
                  <c:v>97.333333333333329</c:v>
                </c:pt>
                <c:pt idx="2">
                  <c:v>97.833333333333329</c:v>
                </c:pt>
                <c:pt idx="3">
                  <c:v>96.833333333333329</c:v>
                </c:pt>
                <c:pt idx="4">
                  <c:v>97.666666666666671</c:v>
                </c:pt>
                <c:pt idx="5">
                  <c:v>98.333333333333329</c:v>
                </c:pt>
                <c:pt idx="6">
                  <c:v>96</c:v>
                </c:pt>
                <c:pt idx="7">
                  <c:v>97.666666666666671</c:v>
                </c:pt>
                <c:pt idx="8">
                  <c:v>98.166666666666671</c:v>
                </c:pt>
                <c:pt idx="9">
                  <c:v>97.666666666666671</c:v>
                </c:pt>
                <c:pt idx="10" formatCode="General">
                  <c:v>98</c:v>
                </c:pt>
                <c:pt idx="11" formatCode="General">
                  <c:v>98</c:v>
                </c:pt>
              </c:numCache>
            </c:numRef>
          </c:val>
          <c:smooth val="0"/>
          <c:extLst>
            <c:ext xmlns:c16="http://schemas.microsoft.com/office/drawing/2014/chart" uri="{C3380CC4-5D6E-409C-BE32-E72D297353CC}">
              <c16:uniqueId val="{00000003-1533-4FDF-8584-16E035FF4E38}"/>
            </c:ext>
          </c:extLst>
        </c:ser>
        <c:ser>
          <c:idx val="4"/>
          <c:order val="4"/>
          <c:tx>
            <c:strRef>
              <c:f>WQI!$H$34</c:f>
              <c:strCache>
                <c:ptCount val="1"/>
                <c:pt idx="0">
                  <c:v>WQI-Rất tốt (91-100)</c:v>
                </c:pt>
              </c:strCache>
            </c:strRef>
          </c:tx>
          <c:spPr>
            <a:ln w="28575" cap="rnd">
              <a:solidFill>
                <a:schemeClr val="accent5"/>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WQI!$H$35:$H$46</c:f>
              <c:numCache>
                <c:formatCode>General</c:formatCode>
                <c:ptCount val="12"/>
                <c:pt idx="0">
                  <c:v>91</c:v>
                </c:pt>
                <c:pt idx="1">
                  <c:v>91</c:v>
                </c:pt>
                <c:pt idx="2">
                  <c:v>91</c:v>
                </c:pt>
                <c:pt idx="3">
                  <c:v>91</c:v>
                </c:pt>
                <c:pt idx="4">
                  <c:v>91</c:v>
                </c:pt>
                <c:pt idx="5">
                  <c:v>91</c:v>
                </c:pt>
                <c:pt idx="6">
                  <c:v>91</c:v>
                </c:pt>
                <c:pt idx="7">
                  <c:v>91</c:v>
                </c:pt>
                <c:pt idx="8">
                  <c:v>91</c:v>
                </c:pt>
                <c:pt idx="9">
                  <c:v>91</c:v>
                </c:pt>
                <c:pt idx="10">
                  <c:v>91</c:v>
                </c:pt>
                <c:pt idx="11">
                  <c:v>91</c:v>
                </c:pt>
              </c:numCache>
            </c:numRef>
          </c:val>
          <c:smooth val="0"/>
          <c:extLst>
            <c:ext xmlns:c16="http://schemas.microsoft.com/office/drawing/2014/chart" uri="{C3380CC4-5D6E-409C-BE32-E72D297353CC}">
              <c16:uniqueId val="{00000004-1533-4FDF-8584-16E035FF4E38}"/>
            </c:ext>
          </c:extLst>
        </c:ser>
        <c:ser>
          <c:idx val="5"/>
          <c:order val="5"/>
          <c:tx>
            <c:strRef>
              <c:f>WQI!$I$34</c:f>
              <c:strCache>
                <c:ptCount val="1"/>
                <c:pt idx="0">
                  <c:v>WQI-Tốt (76-90)</c:v>
                </c:pt>
              </c:strCache>
            </c:strRef>
          </c:tx>
          <c:spPr>
            <a:ln w="28575" cap="rnd">
              <a:solidFill>
                <a:schemeClr val="accent6"/>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WQI!$I$35:$I$46</c:f>
              <c:numCache>
                <c:formatCode>General</c:formatCode>
                <c:ptCount val="12"/>
                <c:pt idx="0">
                  <c:v>76</c:v>
                </c:pt>
                <c:pt idx="1">
                  <c:v>76</c:v>
                </c:pt>
                <c:pt idx="2">
                  <c:v>76</c:v>
                </c:pt>
                <c:pt idx="3">
                  <c:v>76</c:v>
                </c:pt>
                <c:pt idx="4">
                  <c:v>76</c:v>
                </c:pt>
                <c:pt idx="5">
                  <c:v>76</c:v>
                </c:pt>
                <c:pt idx="6">
                  <c:v>76</c:v>
                </c:pt>
                <c:pt idx="7">
                  <c:v>76</c:v>
                </c:pt>
                <c:pt idx="8">
                  <c:v>76</c:v>
                </c:pt>
                <c:pt idx="9">
                  <c:v>76</c:v>
                </c:pt>
                <c:pt idx="10">
                  <c:v>76</c:v>
                </c:pt>
                <c:pt idx="11">
                  <c:v>76</c:v>
                </c:pt>
              </c:numCache>
            </c:numRef>
          </c:val>
          <c:smooth val="0"/>
          <c:extLst>
            <c:ext xmlns:c16="http://schemas.microsoft.com/office/drawing/2014/chart" uri="{C3380CC4-5D6E-409C-BE32-E72D297353CC}">
              <c16:uniqueId val="{00000005-1533-4FDF-8584-16E035FF4E38}"/>
            </c:ext>
          </c:extLst>
        </c:ser>
        <c:ser>
          <c:idx val="6"/>
          <c:order val="6"/>
          <c:tx>
            <c:strRef>
              <c:f>WQI!$J$34</c:f>
              <c:strCache>
                <c:ptCount val="1"/>
                <c:pt idx="0">
                  <c:v>WQI-Trung bình (51-75)</c:v>
                </c:pt>
              </c:strCache>
            </c:strRef>
          </c:tx>
          <c:spPr>
            <a:ln w="28575" cap="rnd">
              <a:solidFill>
                <a:schemeClr val="accent1">
                  <a:lumMod val="60000"/>
                </a:schemeClr>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WQI!$J$35:$J$46</c:f>
              <c:numCache>
                <c:formatCode>General</c:formatCode>
                <c:ptCount val="12"/>
                <c:pt idx="0">
                  <c:v>51</c:v>
                </c:pt>
                <c:pt idx="1">
                  <c:v>51</c:v>
                </c:pt>
                <c:pt idx="2">
                  <c:v>51</c:v>
                </c:pt>
                <c:pt idx="3">
                  <c:v>51</c:v>
                </c:pt>
                <c:pt idx="4">
                  <c:v>51</c:v>
                </c:pt>
                <c:pt idx="5">
                  <c:v>51</c:v>
                </c:pt>
                <c:pt idx="6">
                  <c:v>51</c:v>
                </c:pt>
                <c:pt idx="7">
                  <c:v>51</c:v>
                </c:pt>
                <c:pt idx="8">
                  <c:v>51</c:v>
                </c:pt>
                <c:pt idx="9">
                  <c:v>51</c:v>
                </c:pt>
                <c:pt idx="10">
                  <c:v>51</c:v>
                </c:pt>
                <c:pt idx="11">
                  <c:v>51</c:v>
                </c:pt>
              </c:numCache>
            </c:numRef>
          </c:val>
          <c:smooth val="0"/>
          <c:extLst>
            <c:ext xmlns:c16="http://schemas.microsoft.com/office/drawing/2014/chart" uri="{C3380CC4-5D6E-409C-BE32-E72D297353CC}">
              <c16:uniqueId val="{00000006-1533-4FDF-8584-16E035FF4E38}"/>
            </c:ext>
          </c:extLst>
        </c:ser>
        <c:ser>
          <c:idx val="7"/>
          <c:order val="7"/>
          <c:tx>
            <c:strRef>
              <c:f>WQI!$K$34</c:f>
              <c:strCache>
                <c:ptCount val="1"/>
                <c:pt idx="0">
                  <c:v>WQI-Xấu (26-50)</c:v>
                </c:pt>
              </c:strCache>
            </c:strRef>
          </c:tx>
          <c:spPr>
            <a:ln w="28575" cap="rnd">
              <a:solidFill>
                <a:schemeClr val="accent2">
                  <a:lumMod val="60000"/>
                </a:schemeClr>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WQI!$K$35:$K$46</c:f>
              <c:numCache>
                <c:formatCode>General</c:formatCode>
                <c:ptCount val="12"/>
                <c:pt idx="0">
                  <c:v>26</c:v>
                </c:pt>
                <c:pt idx="1">
                  <c:v>26</c:v>
                </c:pt>
                <c:pt idx="2">
                  <c:v>26</c:v>
                </c:pt>
                <c:pt idx="3">
                  <c:v>26</c:v>
                </c:pt>
                <c:pt idx="4">
                  <c:v>26</c:v>
                </c:pt>
                <c:pt idx="5">
                  <c:v>26</c:v>
                </c:pt>
                <c:pt idx="6">
                  <c:v>26</c:v>
                </c:pt>
                <c:pt idx="7">
                  <c:v>26</c:v>
                </c:pt>
                <c:pt idx="8">
                  <c:v>26</c:v>
                </c:pt>
                <c:pt idx="9">
                  <c:v>26</c:v>
                </c:pt>
                <c:pt idx="10">
                  <c:v>26</c:v>
                </c:pt>
                <c:pt idx="11">
                  <c:v>26</c:v>
                </c:pt>
              </c:numCache>
            </c:numRef>
          </c:val>
          <c:smooth val="0"/>
          <c:extLst>
            <c:ext xmlns:c16="http://schemas.microsoft.com/office/drawing/2014/chart" uri="{C3380CC4-5D6E-409C-BE32-E72D297353CC}">
              <c16:uniqueId val="{00000007-1533-4FDF-8584-16E035FF4E38}"/>
            </c:ext>
          </c:extLst>
        </c:ser>
        <c:ser>
          <c:idx val="8"/>
          <c:order val="8"/>
          <c:tx>
            <c:strRef>
              <c:f>WQI!$L$34</c:f>
              <c:strCache>
                <c:ptCount val="1"/>
                <c:pt idx="0">
                  <c:v>WQI-Kém (10-25)</c:v>
                </c:pt>
              </c:strCache>
            </c:strRef>
          </c:tx>
          <c:spPr>
            <a:ln w="28575" cap="rnd">
              <a:solidFill>
                <a:schemeClr val="accent3">
                  <a:lumMod val="60000"/>
                </a:schemeClr>
              </a:solidFill>
              <a:round/>
            </a:ln>
            <a:effectLst/>
          </c:spPr>
          <c:marker>
            <c:symbol val="none"/>
          </c:marker>
          <c:cat>
            <c:strRef>
              <c:f>WQI!$C$35:$C$46</c:f>
              <c:strCache>
                <c:ptCount val="12"/>
                <c:pt idx="0">
                  <c:v>Suối Rào An 
(tại xã Sơn Kim 1)</c:v>
                </c:pt>
                <c:pt idx="1">
                  <c:v>Suối Rào Mắc 
(tại cầu Rào Mắc)</c:v>
                </c:pt>
                <c:pt idx="2">
                  <c:v>Suối Rào Qua 
(tại TBNMN TT. Tây Sơn)</c:v>
                </c:pt>
                <c:pt idx="3">
                  <c:v>Sông Ngàn Phố 
(tại TBNMN TT. Phố Châu)</c:v>
                </c:pt>
                <c:pt idx="4">
                  <c:v>Sông Ngàn Phố 
(tại xã Tân Mỹ Hà)</c:v>
                </c:pt>
                <c:pt idx="5">
                  <c:v>Sông Ngàn Sâu 
(tại xã Hương Trạch)</c:v>
                </c:pt>
                <c:pt idx="6">
                  <c:v>Sông Tiêm 
(tại TB NMN TT. Hương Khê)</c:v>
                </c:pt>
                <c:pt idx="7">
                  <c:v>Khe Trươi 
(tại cầu Khe Trươi)</c:v>
                </c:pt>
                <c:pt idx="8">
                  <c:v>Sông Ngàn Trươi 
(tại TBNMN TT. Vũ Quang)</c:v>
                </c:pt>
                <c:pt idx="9">
                  <c:v>Sông Ngàn Trươi 
(tại xã Đức Liên)</c:v>
                </c:pt>
                <c:pt idx="10">
                  <c:v>Sông La 
(tại cầu Linh Cảm II)</c:v>
                </c:pt>
                <c:pt idx="11">
                  <c:v>Kênh 19/5 
(tại xã Bùi La Nhân)</c:v>
                </c:pt>
              </c:strCache>
            </c:strRef>
          </c:cat>
          <c:val>
            <c:numRef>
              <c:f>WQI!$L$35:$L$46</c:f>
              <c:numCache>
                <c:formatCode>General</c:formatCode>
                <c:ptCount val="12"/>
                <c:pt idx="0">
                  <c:v>10</c:v>
                </c:pt>
                <c:pt idx="1">
                  <c:v>10</c:v>
                </c:pt>
                <c:pt idx="2">
                  <c:v>10</c:v>
                </c:pt>
                <c:pt idx="3">
                  <c:v>10</c:v>
                </c:pt>
                <c:pt idx="4">
                  <c:v>10</c:v>
                </c:pt>
                <c:pt idx="5">
                  <c:v>10</c:v>
                </c:pt>
                <c:pt idx="6">
                  <c:v>10</c:v>
                </c:pt>
                <c:pt idx="7">
                  <c:v>10</c:v>
                </c:pt>
                <c:pt idx="8">
                  <c:v>10</c:v>
                </c:pt>
                <c:pt idx="9">
                  <c:v>10</c:v>
                </c:pt>
                <c:pt idx="10">
                  <c:v>10</c:v>
                </c:pt>
                <c:pt idx="11">
                  <c:v>10</c:v>
                </c:pt>
              </c:numCache>
            </c:numRef>
          </c:val>
          <c:smooth val="0"/>
          <c:extLst>
            <c:ext xmlns:c16="http://schemas.microsoft.com/office/drawing/2014/chart" uri="{C3380CC4-5D6E-409C-BE32-E72D297353CC}">
              <c16:uniqueId val="{00000008-1533-4FDF-8584-16E035FF4E38}"/>
            </c:ext>
          </c:extLst>
        </c:ser>
        <c:dLbls>
          <c:showLegendKey val="0"/>
          <c:showVal val="0"/>
          <c:showCatName val="0"/>
          <c:showSerName val="0"/>
          <c:showPercent val="0"/>
          <c:showBubbleSize val="0"/>
        </c:dLbls>
        <c:marker val="1"/>
        <c:smooth val="0"/>
        <c:axId val="452813487"/>
        <c:axId val="452808911"/>
      </c:lineChart>
      <c:catAx>
        <c:axId val="4528134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52808911"/>
        <c:crosses val="autoZero"/>
        <c:auto val="1"/>
        <c:lblAlgn val="ctr"/>
        <c:lblOffset val="100"/>
        <c:noMultiLvlLbl val="0"/>
      </c:catAx>
      <c:valAx>
        <c:axId val="45280891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52813487"/>
        <c:crosses val="autoZero"/>
        <c:crossBetween val="between"/>
      </c:valAx>
      <c:spPr>
        <a:noFill/>
        <a:ln>
          <a:noFill/>
        </a:ln>
        <a:effectLst/>
      </c:spPr>
    </c:plotArea>
    <c:legend>
      <c:legendPos val="b"/>
      <c:layout>
        <c:manualLayout>
          <c:xMode val="edge"/>
          <c:yMode val="edge"/>
          <c:x val="3.4311152319714378E-2"/>
          <c:y val="0.80584316434129943"/>
          <c:w val="0.94364369367520373"/>
          <c:h val="0.1685654556338352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0"/>
          <c:y val="0.1538877797755595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6674551673987637E-2"/>
          <c:y val="3.4598549197098392E-2"/>
          <c:w val="0.9150158191874681"/>
          <c:h val="0.51212251224502447"/>
        </c:manualLayout>
      </c:layout>
      <c:barChart>
        <c:barDir val="col"/>
        <c:grouping val="clustered"/>
        <c:varyColors val="0"/>
        <c:ser>
          <c:idx val="0"/>
          <c:order val="0"/>
          <c:tx>
            <c:strRef>
              <c:f>'BOD5'!$D$44</c:f>
              <c:strCache>
                <c:ptCount val="1"/>
                <c:pt idx="0">
                  <c:v>2021</c:v>
                </c:pt>
              </c:strCache>
            </c:strRef>
          </c:tx>
          <c:spPr>
            <a:solidFill>
              <a:schemeClr val="accent1"/>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'BOD5'!$D$45:$D$51</c:f>
              <c:numCache>
                <c:formatCode>0.00</c:formatCode>
                <c:ptCount val="7"/>
                <c:pt idx="0">
                  <c:v>4.5166666666666666</c:v>
                </c:pt>
                <c:pt idx="1">
                  <c:v>8.4333333333333318</c:v>
                </c:pt>
                <c:pt idx="2">
                  <c:v>4.0333333333333332</c:v>
                </c:pt>
                <c:pt idx="3">
                  <c:v>8.2833333333333332</c:v>
                </c:pt>
                <c:pt idx="4">
                  <c:v>1</c:v>
                </c:pt>
                <c:pt idx="5">
                  <c:v>3</c:v>
                </c:pt>
                <c:pt idx="6">
                  <c:v>4.55</c:v>
                </c:pt>
              </c:numCache>
            </c:numRef>
          </c:val>
          <c:extLst>
            <c:ext xmlns:c16="http://schemas.microsoft.com/office/drawing/2014/chart" uri="{C3380CC4-5D6E-409C-BE32-E72D297353CC}">
              <c16:uniqueId val="{00000000-D095-4E5B-BD19-492C52C8FE00}"/>
            </c:ext>
          </c:extLst>
        </c:ser>
        <c:ser>
          <c:idx val="1"/>
          <c:order val="1"/>
          <c:tx>
            <c:strRef>
              <c:f>'BOD5'!$E$44</c:f>
              <c:strCache>
                <c:ptCount val="1"/>
                <c:pt idx="0">
                  <c:v>2022</c:v>
                </c:pt>
              </c:strCache>
            </c:strRef>
          </c:tx>
          <c:spPr>
            <a:solidFill>
              <a:schemeClr val="accent2"/>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'BOD5'!$E$45:$E$51</c:f>
              <c:numCache>
                <c:formatCode>0.00</c:formatCode>
                <c:ptCount val="7"/>
                <c:pt idx="0">
                  <c:v>8.4166666666666679</c:v>
                </c:pt>
                <c:pt idx="1">
                  <c:v>15.350000000000001</c:v>
                </c:pt>
                <c:pt idx="2">
                  <c:v>4.1500000000000004</c:v>
                </c:pt>
                <c:pt idx="3">
                  <c:v>7.8166666666666673</c:v>
                </c:pt>
                <c:pt idx="4">
                  <c:v>1.7333333333333332</c:v>
                </c:pt>
                <c:pt idx="5">
                  <c:v>3.2833333333333332</c:v>
                </c:pt>
                <c:pt idx="6">
                  <c:v>4.4833333333333334</c:v>
                </c:pt>
              </c:numCache>
            </c:numRef>
          </c:val>
          <c:extLst>
            <c:ext xmlns:c16="http://schemas.microsoft.com/office/drawing/2014/chart" uri="{C3380CC4-5D6E-409C-BE32-E72D297353CC}">
              <c16:uniqueId val="{00000001-D095-4E5B-BD19-492C52C8FE00}"/>
            </c:ext>
          </c:extLst>
        </c:ser>
        <c:ser>
          <c:idx val="2"/>
          <c:order val="2"/>
          <c:tx>
            <c:strRef>
              <c:f>'BOD5'!$F$44</c:f>
              <c:strCache>
                <c:ptCount val="1"/>
                <c:pt idx="0">
                  <c:v>2023</c:v>
                </c:pt>
              </c:strCache>
            </c:strRef>
          </c:tx>
          <c:spPr>
            <a:solidFill>
              <a:schemeClr val="accent3"/>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'BOD5'!$F$45:$F$51</c:f>
              <c:numCache>
                <c:formatCode>0.00</c:formatCode>
                <c:ptCount val="7"/>
                <c:pt idx="0">
                  <c:v>4.25</c:v>
                </c:pt>
                <c:pt idx="1">
                  <c:v>2.1200000000000006</c:v>
                </c:pt>
                <c:pt idx="2">
                  <c:v>4.416666666666667</c:v>
                </c:pt>
                <c:pt idx="3">
                  <c:v>2.0166666666666662</c:v>
                </c:pt>
                <c:pt idx="4">
                  <c:v>2.1716666666666669</c:v>
                </c:pt>
                <c:pt idx="5">
                  <c:v>1.4716666666666667</c:v>
                </c:pt>
                <c:pt idx="6">
                  <c:v>3.7399999999999998</c:v>
                </c:pt>
              </c:numCache>
            </c:numRef>
          </c:val>
          <c:extLst>
            <c:ext xmlns:c16="http://schemas.microsoft.com/office/drawing/2014/chart" uri="{C3380CC4-5D6E-409C-BE32-E72D297353CC}">
              <c16:uniqueId val="{00000002-D095-4E5B-BD19-492C52C8FE00}"/>
            </c:ext>
          </c:extLst>
        </c:ser>
        <c:ser>
          <c:idx val="3"/>
          <c:order val="3"/>
          <c:tx>
            <c:strRef>
              <c:f>'BOD5'!$G$44</c:f>
              <c:strCache>
                <c:ptCount val="1"/>
                <c:pt idx="0">
                  <c:v>2024</c:v>
                </c:pt>
              </c:strCache>
            </c:strRef>
          </c:tx>
          <c:spPr>
            <a:solidFill>
              <a:schemeClr val="accent4"/>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'BOD5'!$G$45:$G$51</c:f>
              <c:numCache>
                <c:formatCode>0.00</c:formatCode>
                <c:ptCount val="7"/>
                <c:pt idx="0">
                  <c:v>1.0216666666666667</c:v>
                </c:pt>
                <c:pt idx="1">
                  <c:v>1.5733333333333333</c:v>
                </c:pt>
                <c:pt idx="2">
                  <c:v>1.2266666666666666</c:v>
                </c:pt>
                <c:pt idx="3">
                  <c:v>4.2766666666666664</c:v>
                </c:pt>
                <c:pt idx="4">
                  <c:v>1.7416666666666665</c:v>
                </c:pt>
                <c:pt idx="5">
                  <c:v>0.38999999999999996</c:v>
                </c:pt>
                <c:pt idx="6">
                  <c:v>1.4000000000000001</c:v>
                </c:pt>
              </c:numCache>
            </c:numRef>
          </c:val>
          <c:extLst>
            <c:ext xmlns:c16="http://schemas.microsoft.com/office/drawing/2014/chart" uri="{C3380CC4-5D6E-409C-BE32-E72D297353CC}">
              <c16:uniqueId val="{00000003-D095-4E5B-BD19-492C52C8FE00}"/>
            </c:ext>
          </c:extLst>
        </c:ser>
        <c:ser>
          <c:idx val="4"/>
          <c:order val="4"/>
          <c:tx>
            <c:strRef>
              <c:f>'BOD5'!$H$44</c:f>
              <c:strCache>
                <c:ptCount val="1"/>
                <c:pt idx="0">
                  <c:v>2025</c:v>
                </c:pt>
              </c:strCache>
            </c:strRef>
          </c:tx>
          <c:spPr>
            <a:solidFill>
              <a:schemeClr val="accent5"/>
            </a:solidFill>
            <a:ln>
              <a:noFill/>
            </a:ln>
            <a:effectLst/>
          </c:spPr>
          <c:invertIfNegative val="0"/>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'BOD5'!$H$45:$H$51</c:f>
              <c:numCache>
                <c:formatCode>0.00</c:formatCode>
                <c:ptCount val="7"/>
                <c:pt idx="0">
                  <c:v>1</c:v>
                </c:pt>
                <c:pt idx="1">
                  <c:v>1.6</c:v>
                </c:pt>
                <c:pt idx="2">
                  <c:v>1.31</c:v>
                </c:pt>
                <c:pt idx="3">
                  <c:v>1.59</c:v>
                </c:pt>
                <c:pt idx="4">
                  <c:v>1.25</c:v>
                </c:pt>
                <c:pt idx="5">
                  <c:v>1</c:v>
                </c:pt>
                <c:pt idx="6">
                  <c:v>1.59</c:v>
                </c:pt>
              </c:numCache>
            </c:numRef>
          </c:val>
          <c:extLst>
            <c:ext xmlns:c16="http://schemas.microsoft.com/office/drawing/2014/chart" uri="{C3380CC4-5D6E-409C-BE32-E72D297353CC}">
              <c16:uniqueId val="{00000004-D095-4E5B-BD19-492C52C8FE00}"/>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'BOD5'!$I$44</c:f>
              <c:strCache>
                <c:ptCount val="1"/>
                <c:pt idx="0">
                  <c:v>QCVN 08-MT:2015/BTNMT (Cột B1)</c:v>
                </c:pt>
              </c:strCache>
            </c:strRef>
          </c:tx>
          <c:spPr>
            <a:ln w="22225" cap="rnd">
              <a:solidFill>
                <a:schemeClr val="accent6"/>
              </a:solidFill>
              <a:round/>
            </a:ln>
            <a:effectLst/>
          </c:spPr>
          <c:marker>
            <c:symbol val="none"/>
          </c:marker>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'BOD5'!$I$45:$I$51</c:f>
              <c:numCache>
                <c:formatCode>General</c:formatCode>
                <c:ptCount val="7"/>
                <c:pt idx="0">
                  <c:v>15</c:v>
                </c:pt>
                <c:pt idx="1">
                  <c:v>15</c:v>
                </c:pt>
                <c:pt idx="2">
                  <c:v>15</c:v>
                </c:pt>
                <c:pt idx="3">
                  <c:v>15</c:v>
                </c:pt>
                <c:pt idx="4">
                  <c:v>15</c:v>
                </c:pt>
                <c:pt idx="5">
                  <c:v>15</c:v>
                </c:pt>
                <c:pt idx="6">
                  <c:v>15</c:v>
                </c:pt>
              </c:numCache>
            </c:numRef>
          </c:val>
          <c:smooth val="0"/>
          <c:extLst>
            <c:ext xmlns:c16="http://schemas.microsoft.com/office/drawing/2014/chart" uri="{C3380CC4-5D6E-409C-BE32-E72D297353CC}">
              <c16:uniqueId val="{00000005-D095-4E5B-BD19-492C52C8FE00}"/>
            </c:ext>
          </c:extLst>
        </c:ser>
        <c:ser>
          <c:idx val="6"/>
          <c:order val="6"/>
          <c:tx>
            <c:strRef>
              <c:f>'BOD5'!$J$44</c:f>
              <c:strCache>
                <c:ptCount val="1"/>
                <c:pt idx="0">
                  <c:v>QCVN 08:2023/BTNMT (Mức B)</c:v>
                </c:pt>
              </c:strCache>
            </c:strRef>
          </c:tx>
          <c:spPr>
            <a:ln w="22225" cap="rnd">
              <a:solidFill>
                <a:schemeClr val="accent1">
                  <a:lumMod val="60000"/>
                </a:schemeClr>
              </a:solidFill>
              <a:round/>
            </a:ln>
            <a:effectLst/>
          </c:spPr>
          <c:marker>
            <c:symbol val="none"/>
          </c:marker>
          <c:cat>
            <c:strRef>
              <c:f>'BOD5'!$B$45:$C$51</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'BOD5'!$J$45:$J$51</c:f>
              <c:numCache>
                <c:formatCode>0.00</c:formatCode>
                <c:ptCount val="7"/>
                <c:pt idx="0">
                  <c:v>6</c:v>
                </c:pt>
                <c:pt idx="1">
                  <c:v>6</c:v>
                </c:pt>
                <c:pt idx="2">
                  <c:v>6</c:v>
                </c:pt>
                <c:pt idx="3">
                  <c:v>6</c:v>
                </c:pt>
                <c:pt idx="4">
                  <c:v>6</c:v>
                </c:pt>
                <c:pt idx="5">
                  <c:v>6</c:v>
                </c:pt>
                <c:pt idx="6">
                  <c:v>6</c:v>
                </c:pt>
              </c:numCache>
            </c:numRef>
          </c:val>
          <c:smooth val="0"/>
          <c:extLst>
            <c:ext xmlns:c16="http://schemas.microsoft.com/office/drawing/2014/chart" uri="{C3380CC4-5D6E-409C-BE32-E72D297353CC}">
              <c16:uniqueId val="{00000006-D095-4E5B-BD19-492C52C8FE00}"/>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8"/>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
      </c:valAx>
      <c:spPr>
        <a:noFill/>
        <a:ln>
          <a:noFill/>
        </a:ln>
        <a:effectLst/>
      </c:spPr>
    </c:plotArea>
    <c:legend>
      <c:legendPos val="b"/>
      <c:layout>
        <c:manualLayout>
          <c:xMode val="edge"/>
          <c:yMode val="edge"/>
          <c:x val="5.5102490632576596E-4"/>
          <c:y val="0.77952458304916605"/>
          <c:w val="0.9988979501873485"/>
          <c:h val="0.195278566557133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528665673547563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6674551673987637E-2"/>
          <c:y val="3.2988106216452671E-2"/>
          <c:w val="0.9150158191874681"/>
          <c:h val="0.53363599820292729"/>
        </c:manualLayout>
      </c:layout>
      <c:barChart>
        <c:barDir val="col"/>
        <c:grouping val="clustered"/>
        <c:varyColors val="0"/>
        <c:ser>
          <c:idx val="0"/>
          <c:order val="0"/>
          <c:tx>
            <c:strRef>
              <c:f>COD!$D$38</c:f>
              <c:strCache>
                <c:ptCount val="1"/>
                <c:pt idx="0">
                  <c:v>2021</c:v>
                </c:pt>
              </c:strCache>
            </c:strRef>
          </c:tx>
          <c:spPr>
            <a:solidFill>
              <a:schemeClr val="accent1"/>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COD!$D$39:$D$45</c:f>
              <c:numCache>
                <c:formatCode>0.00</c:formatCode>
                <c:ptCount val="7"/>
                <c:pt idx="0">
                  <c:v>6.666666666666667</c:v>
                </c:pt>
                <c:pt idx="1">
                  <c:v>16.666666666666668</c:v>
                </c:pt>
                <c:pt idx="2">
                  <c:v>5.333333333333333</c:v>
                </c:pt>
                <c:pt idx="3">
                  <c:v>13.5</c:v>
                </c:pt>
                <c:pt idx="4">
                  <c:v>1.6666666666666667</c:v>
                </c:pt>
                <c:pt idx="5">
                  <c:v>10</c:v>
                </c:pt>
                <c:pt idx="6">
                  <c:v>8.6666666666666661</c:v>
                </c:pt>
              </c:numCache>
            </c:numRef>
          </c:val>
          <c:extLst>
            <c:ext xmlns:c16="http://schemas.microsoft.com/office/drawing/2014/chart" uri="{C3380CC4-5D6E-409C-BE32-E72D297353CC}">
              <c16:uniqueId val="{00000000-8BD1-48BC-B798-8B0D76C72F1C}"/>
            </c:ext>
          </c:extLst>
        </c:ser>
        <c:ser>
          <c:idx val="1"/>
          <c:order val="1"/>
          <c:tx>
            <c:strRef>
              <c:f>COD!$E$38</c:f>
              <c:strCache>
                <c:ptCount val="1"/>
                <c:pt idx="0">
                  <c:v>2022</c:v>
                </c:pt>
              </c:strCache>
            </c:strRef>
          </c:tx>
          <c:spPr>
            <a:solidFill>
              <a:schemeClr val="accent2"/>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COD!$E$39:$E$45</c:f>
              <c:numCache>
                <c:formatCode>0.00</c:formatCode>
                <c:ptCount val="7"/>
                <c:pt idx="0">
                  <c:v>20</c:v>
                </c:pt>
                <c:pt idx="1">
                  <c:v>28.666666666666668</c:v>
                </c:pt>
                <c:pt idx="2">
                  <c:v>10.666666666666666</c:v>
                </c:pt>
                <c:pt idx="3">
                  <c:v>16</c:v>
                </c:pt>
                <c:pt idx="4">
                  <c:v>6</c:v>
                </c:pt>
                <c:pt idx="5">
                  <c:v>9.3333333333333339</c:v>
                </c:pt>
                <c:pt idx="6">
                  <c:v>8</c:v>
                </c:pt>
              </c:numCache>
            </c:numRef>
          </c:val>
          <c:extLst>
            <c:ext xmlns:c16="http://schemas.microsoft.com/office/drawing/2014/chart" uri="{C3380CC4-5D6E-409C-BE32-E72D297353CC}">
              <c16:uniqueId val="{00000001-8BD1-48BC-B798-8B0D76C72F1C}"/>
            </c:ext>
          </c:extLst>
        </c:ser>
        <c:ser>
          <c:idx val="2"/>
          <c:order val="2"/>
          <c:tx>
            <c:strRef>
              <c:f>COD!$F$38</c:f>
              <c:strCache>
                <c:ptCount val="1"/>
                <c:pt idx="0">
                  <c:v>2023</c:v>
                </c:pt>
              </c:strCache>
            </c:strRef>
          </c:tx>
          <c:spPr>
            <a:solidFill>
              <a:schemeClr val="accent3"/>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COD!$F$39:$F$45</c:f>
              <c:numCache>
                <c:formatCode>0.00</c:formatCode>
                <c:ptCount val="7"/>
                <c:pt idx="0">
                  <c:v>11.333333333333334</c:v>
                </c:pt>
                <c:pt idx="1">
                  <c:v>10.666666666666666</c:v>
                </c:pt>
                <c:pt idx="2">
                  <c:v>12</c:v>
                </c:pt>
                <c:pt idx="3">
                  <c:v>4</c:v>
                </c:pt>
                <c:pt idx="4">
                  <c:v>6.666666666666667</c:v>
                </c:pt>
                <c:pt idx="5">
                  <c:v>6</c:v>
                </c:pt>
                <c:pt idx="6">
                  <c:v>10</c:v>
                </c:pt>
              </c:numCache>
            </c:numRef>
          </c:val>
          <c:extLst>
            <c:ext xmlns:c16="http://schemas.microsoft.com/office/drawing/2014/chart" uri="{C3380CC4-5D6E-409C-BE32-E72D297353CC}">
              <c16:uniqueId val="{00000002-8BD1-48BC-B798-8B0D76C72F1C}"/>
            </c:ext>
          </c:extLst>
        </c:ser>
        <c:ser>
          <c:idx val="3"/>
          <c:order val="3"/>
          <c:tx>
            <c:strRef>
              <c:f>COD!$G$38</c:f>
              <c:strCache>
                <c:ptCount val="1"/>
                <c:pt idx="0">
                  <c:v>2024</c:v>
                </c:pt>
              </c:strCache>
            </c:strRef>
          </c:tx>
          <c:spPr>
            <a:solidFill>
              <a:schemeClr val="accent4"/>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COD!$G$39:$G$45</c:f>
              <c:numCache>
                <c:formatCode>0.00</c:formatCode>
                <c:ptCount val="7"/>
                <c:pt idx="0">
                  <c:v>14.666666666666666</c:v>
                </c:pt>
                <c:pt idx="1">
                  <c:v>8</c:v>
                </c:pt>
                <c:pt idx="2">
                  <c:v>10.666666666666666</c:v>
                </c:pt>
                <c:pt idx="3">
                  <c:v>16</c:v>
                </c:pt>
                <c:pt idx="4">
                  <c:v>8.6666666666666661</c:v>
                </c:pt>
                <c:pt idx="5">
                  <c:v>4</c:v>
                </c:pt>
                <c:pt idx="6">
                  <c:v>6.666666666666667</c:v>
                </c:pt>
              </c:numCache>
            </c:numRef>
          </c:val>
          <c:extLst>
            <c:ext xmlns:c16="http://schemas.microsoft.com/office/drawing/2014/chart" uri="{C3380CC4-5D6E-409C-BE32-E72D297353CC}">
              <c16:uniqueId val="{00000003-8BD1-48BC-B798-8B0D76C72F1C}"/>
            </c:ext>
          </c:extLst>
        </c:ser>
        <c:ser>
          <c:idx val="4"/>
          <c:order val="4"/>
          <c:tx>
            <c:strRef>
              <c:f>COD!$H$38</c:f>
              <c:strCache>
                <c:ptCount val="1"/>
                <c:pt idx="0">
                  <c:v>2025</c:v>
                </c:pt>
              </c:strCache>
            </c:strRef>
          </c:tx>
          <c:spPr>
            <a:solidFill>
              <a:schemeClr val="accent5"/>
            </a:solidFill>
            <a:ln>
              <a:noFill/>
            </a:ln>
            <a:effectLst/>
          </c:spPr>
          <c:invertIfNegative val="0"/>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COD!$H$39:$H$45</c:f>
              <c:numCache>
                <c:formatCode>0.00</c:formatCode>
                <c:ptCount val="7"/>
                <c:pt idx="0">
                  <c:v>10</c:v>
                </c:pt>
                <c:pt idx="1">
                  <c:v>9</c:v>
                </c:pt>
                <c:pt idx="2">
                  <c:v>5</c:v>
                </c:pt>
                <c:pt idx="3">
                  <c:v>7</c:v>
                </c:pt>
                <c:pt idx="4">
                  <c:v>3</c:v>
                </c:pt>
                <c:pt idx="5">
                  <c:v>3</c:v>
                </c:pt>
                <c:pt idx="6">
                  <c:v>6</c:v>
                </c:pt>
              </c:numCache>
            </c:numRef>
          </c:val>
          <c:extLst>
            <c:ext xmlns:c16="http://schemas.microsoft.com/office/drawing/2014/chart" uri="{C3380CC4-5D6E-409C-BE32-E72D297353CC}">
              <c16:uniqueId val="{00000004-8BD1-48BC-B798-8B0D76C72F1C}"/>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COD!$I$38</c:f>
              <c:strCache>
                <c:ptCount val="1"/>
                <c:pt idx="0">
                  <c:v>QCVN 08-MT:2015/BTNMT (Cột B1)</c:v>
                </c:pt>
              </c:strCache>
            </c:strRef>
          </c:tx>
          <c:spPr>
            <a:ln w="22225" cap="rnd">
              <a:solidFill>
                <a:schemeClr val="accent6"/>
              </a:solidFill>
              <a:round/>
            </a:ln>
            <a:effectLst/>
          </c:spPr>
          <c:marker>
            <c:symbol val="none"/>
          </c:marker>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COD!$I$39:$I$45</c:f>
              <c:numCache>
                <c:formatCode>General</c:formatCode>
                <c:ptCount val="7"/>
                <c:pt idx="0">
                  <c:v>30</c:v>
                </c:pt>
                <c:pt idx="1">
                  <c:v>30</c:v>
                </c:pt>
                <c:pt idx="2">
                  <c:v>30</c:v>
                </c:pt>
                <c:pt idx="3">
                  <c:v>30</c:v>
                </c:pt>
                <c:pt idx="4">
                  <c:v>30</c:v>
                </c:pt>
                <c:pt idx="5">
                  <c:v>30</c:v>
                </c:pt>
                <c:pt idx="6">
                  <c:v>30</c:v>
                </c:pt>
              </c:numCache>
            </c:numRef>
          </c:val>
          <c:smooth val="0"/>
          <c:extLst>
            <c:ext xmlns:c16="http://schemas.microsoft.com/office/drawing/2014/chart" uri="{C3380CC4-5D6E-409C-BE32-E72D297353CC}">
              <c16:uniqueId val="{00000005-8BD1-48BC-B798-8B0D76C72F1C}"/>
            </c:ext>
          </c:extLst>
        </c:ser>
        <c:ser>
          <c:idx val="6"/>
          <c:order val="6"/>
          <c:tx>
            <c:strRef>
              <c:f>COD!$J$38</c:f>
              <c:strCache>
                <c:ptCount val="1"/>
                <c:pt idx="0">
                  <c:v>QCVN 08:2023/BTNMT (Mức B)</c:v>
                </c:pt>
              </c:strCache>
            </c:strRef>
          </c:tx>
          <c:spPr>
            <a:ln w="22225" cap="rnd">
              <a:solidFill>
                <a:schemeClr val="accent1">
                  <a:lumMod val="60000"/>
                </a:schemeClr>
              </a:solidFill>
              <a:round/>
            </a:ln>
            <a:effectLst/>
          </c:spPr>
          <c:marker>
            <c:symbol val="none"/>
          </c:marker>
          <c:cat>
            <c:strRef>
              <c:f>COD!$B$39:$C$45</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COD!$J$39:$J$45</c:f>
              <c:numCache>
                <c:formatCode>0.00</c:formatCode>
                <c:ptCount val="7"/>
                <c:pt idx="0">
                  <c:v>15</c:v>
                </c:pt>
                <c:pt idx="1">
                  <c:v>15</c:v>
                </c:pt>
                <c:pt idx="2">
                  <c:v>15</c:v>
                </c:pt>
                <c:pt idx="3">
                  <c:v>15</c:v>
                </c:pt>
                <c:pt idx="4">
                  <c:v>15</c:v>
                </c:pt>
                <c:pt idx="5">
                  <c:v>15</c:v>
                </c:pt>
                <c:pt idx="6">
                  <c:v>15</c:v>
                </c:pt>
              </c:numCache>
            </c:numRef>
          </c:val>
          <c:smooth val="0"/>
          <c:extLst>
            <c:ext xmlns:c16="http://schemas.microsoft.com/office/drawing/2014/chart" uri="{C3380CC4-5D6E-409C-BE32-E72D297353CC}">
              <c16:uniqueId val="{00000006-8BD1-48BC-B798-8B0D76C72F1C}"/>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5.5102490632576596E-4"/>
          <c:y val="0.76576292828261328"/>
          <c:w val="0.9988979501873485"/>
          <c:h val="0.1982010356813506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0"/>
          <c:y val="0.1565838811137247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2871021990666413E-2"/>
          <c:y val="3.3727477341353208E-2"/>
          <c:w val="0.90840352031155902"/>
          <c:h val="0.51858021124700526"/>
        </c:manualLayout>
      </c:layout>
      <c:barChart>
        <c:barDir val="col"/>
        <c:grouping val="clustered"/>
        <c:varyColors val="0"/>
        <c:ser>
          <c:idx val="0"/>
          <c:order val="0"/>
          <c:tx>
            <c:strRef>
              <c:f>TSS!$D$39</c:f>
              <c:strCache>
                <c:ptCount val="1"/>
                <c:pt idx="0">
                  <c:v>2021</c:v>
                </c:pt>
              </c:strCache>
            </c:strRef>
          </c:tx>
          <c:spPr>
            <a:solidFill>
              <a:schemeClr val="accent1"/>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TSS!$D$40:$D$46</c:f>
              <c:numCache>
                <c:formatCode>0.00</c:formatCode>
                <c:ptCount val="7"/>
                <c:pt idx="0">
                  <c:v>16.166666666666668</c:v>
                </c:pt>
                <c:pt idx="1">
                  <c:v>16.166666666666668</c:v>
                </c:pt>
                <c:pt idx="2">
                  <c:v>15.5</c:v>
                </c:pt>
                <c:pt idx="3">
                  <c:v>16.333333333333332</c:v>
                </c:pt>
                <c:pt idx="4">
                  <c:v>14.166666666666666</c:v>
                </c:pt>
                <c:pt idx="5">
                  <c:v>13.5</c:v>
                </c:pt>
                <c:pt idx="6">
                  <c:v>17.833333333333332</c:v>
                </c:pt>
              </c:numCache>
            </c:numRef>
          </c:val>
          <c:extLst>
            <c:ext xmlns:c16="http://schemas.microsoft.com/office/drawing/2014/chart" uri="{C3380CC4-5D6E-409C-BE32-E72D297353CC}">
              <c16:uniqueId val="{00000000-7DE8-44C4-BFDE-0EF5A532D4B3}"/>
            </c:ext>
          </c:extLst>
        </c:ser>
        <c:ser>
          <c:idx val="1"/>
          <c:order val="1"/>
          <c:tx>
            <c:strRef>
              <c:f>TSS!$E$39</c:f>
              <c:strCache>
                <c:ptCount val="1"/>
                <c:pt idx="0">
                  <c:v>2022</c:v>
                </c:pt>
              </c:strCache>
            </c:strRef>
          </c:tx>
          <c:spPr>
            <a:solidFill>
              <a:schemeClr val="accent2"/>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TSS!$E$40:$E$46</c:f>
              <c:numCache>
                <c:formatCode>0.00</c:formatCode>
                <c:ptCount val="7"/>
                <c:pt idx="0">
                  <c:v>14.083333333333334</c:v>
                </c:pt>
                <c:pt idx="1">
                  <c:v>18.233333333333334</c:v>
                </c:pt>
                <c:pt idx="2">
                  <c:v>11.933333333333332</c:v>
                </c:pt>
                <c:pt idx="3">
                  <c:v>14</c:v>
                </c:pt>
                <c:pt idx="4">
                  <c:v>8.6999999999999993</c:v>
                </c:pt>
                <c:pt idx="5">
                  <c:v>8.1833333333333318</c:v>
                </c:pt>
                <c:pt idx="6">
                  <c:v>13.066666666666668</c:v>
                </c:pt>
              </c:numCache>
            </c:numRef>
          </c:val>
          <c:extLst>
            <c:ext xmlns:c16="http://schemas.microsoft.com/office/drawing/2014/chart" uri="{C3380CC4-5D6E-409C-BE32-E72D297353CC}">
              <c16:uniqueId val="{00000001-7DE8-44C4-BFDE-0EF5A532D4B3}"/>
            </c:ext>
          </c:extLst>
        </c:ser>
        <c:ser>
          <c:idx val="2"/>
          <c:order val="2"/>
          <c:tx>
            <c:strRef>
              <c:f>TSS!$F$39</c:f>
              <c:strCache>
                <c:ptCount val="1"/>
                <c:pt idx="0">
                  <c:v>2023</c:v>
                </c:pt>
              </c:strCache>
            </c:strRef>
          </c:tx>
          <c:spPr>
            <a:solidFill>
              <a:schemeClr val="accent3"/>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TSS!$F$40:$F$46</c:f>
              <c:numCache>
                <c:formatCode>0.00</c:formatCode>
                <c:ptCount val="7"/>
                <c:pt idx="0">
                  <c:v>18.666666666666668</c:v>
                </c:pt>
                <c:pt idx="1">
                  <c:v>9.3833333333333329</c:v>
                </c:pt>
                <c:pt idx="2">
                  <c:v>9.35</c:v>
                </c:pt>
                <c:pt idx="3">
                  <c:v>6.8833333333333329</c:v>
                </c:pt>
                <c:pt idx="4">
                  <c:v>8.4666666666666668</c:v>
                </c:pt>
                <c:pt idx="5">
                  <c:v>5.1666666666666661</c:v>
                </c:pt>
                <c:pt idx="6">
                  <c:v>9.8666666666666671</c:v>
                </c:pt>
              </c:numCache>
            </c:numRef>
          </c:val>
          <c:extLst>
            <c:ext xmlns:c16="http://schemas.microsoft.com/office/drawing/2014/chart" uri="{C3380CC4-5D6E-409C-BE32-E72D297353CC}">
              <c16:uniqueId val="{00000002-7DE8-44C4-BFDE-0EF5A532D4B3}"/>
            </c:ext>
          </c:extLst>
        </c:ser>
        <c:ser>
          <c:idx val="3"/>
          <c:order val="3"/>
          <c:tx>
            <c:strRef>
              <c:f>TSS!$G$39</c:f>
              <c:strCache>
                <c:ptCount val="1"/>
                <c:pt idx="0">
                  <c:v>2024</c:v>
                </c:pt>
              </c:strCache>
            </c:strRef>
          </c:tx>
          <c:spPr>
            <a:solidFill>
              <a:schemeClr val="accent4"/>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TSS!$G$40:$G$46</c:f>
              <c:numCache>
                <c:formatCode>0.00</c:formatCode>
                <c:ptCount val="7"/>
                <c:pt idx="0">
                  <c:v>18.833333333333332</c:v>
                </c:pt>
                <c:pt idx="1">
                  <c:v>4.2166666666666668</c:v>
                </c:pt>
                <c:pt idx="2">
                  <c:v>8.8333333333333339</c:v>
                </c:pt>
                <c:pt idx="3">
                  <c:v>12.233333333333334</c:v>
                </c:pt>
                <c:pt idx="4">
                  <c:v>9.8166666666666664</c:v>
                </c:pt>
                <c:pt idx="5">
                  <c:v>1.2</c:v>
                </c:pt>
                <c:pt idx="6">
                  <c:v>7.4499999999999993</c:v>
                </c:pt>
              </c:numCache>
            </c:numRef>
          </c:val>
          <c:extLst>
            <c:ext xmlns:c16="http://schemas.microsoft.com/office/drawing/2014/chart" uri="{C3380CC4-5D6E-409C-BE32-E72D297353CC}">
              <c16:uniqueId val="{00000003-7DE8-44C4-BFDE-0EF5A532D4B3}"/>
            </c:ext>
          </c:extLst>
        </c:ser>
        <c:ser>
          <c:idx val="4"/>
          <c:order val="4"/>
          <c:tx>
            <c:strRef>
              <c:f>TSS!$H$39</c:f>
              <c:strCache>
                <c:ptCount val="1"/>
                <c:pt idx="0">
                  <c:v>2025</c:v>
                </c:pt>
              </c:strCache>
            </c:strRef>
          </c:tx>
          <c:spPr>
            <a:solidFill>
              <a:schemeClr val="accent5"/>
            </a:solidFill>
            <a:ln>
              <a:noFill/>
            </a:ln>
            <a:effectLst/>
          </c:spPr>
          <c:invertIfNegative val="0"/>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TSS!$H$40:$H$46</c:f>
              <c:numCache>
                <c:formatCode>0.00</c:formatCode>
                <c:ptCount val="7"/>
                <c:pt idx="0">
                  <c:v>16</c:v>
                </c:pt>
                <c:pt idx="1">
                  <c:v>7.15</c:v>
                </c:pt>
                <c:pt idx="2">
                  <c:v>11</c:v>
                </c:pt>
                <c:pt idx="3">
                  <c:v>5</c:v>
                </c:pt>
                <c:pt idx="4">
                  <c:v>11.8</c:v>
                </c:pt>
                <c:pt idx="5">
                  <c:v>5</c:v>
                </c:pt>
                <c:pt idx="6">
                  <c:v>5</c:v>
                </c:pt>
              </c:numCache>
            </c:numRef>
          </c:val>
          <c:extLst>
            <c:ext xmlns:c16="http://schemas.microsoft.com/office/drawing/2014/chart" uri="{C3380CC4-5D6E-409C-BE32-E72D297353CC}">
              <c16:uniqueId val="{00000004-7DE8-44C4-BFDE-0EF5A532D4B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TSS!$I$39</c:f>
              <c:strCache>
                <c:ptCount val="1"/>
                <c:pt idx="0">
                  <c:v>QCVN 08-MT:2015/BTNMT (Cột B1)</c:v>
                </c:pt>
              </c:strCache>
            </c:strRef>
          </c:tx>
          <c:spPr>
            <a:ln w="22225" cap="rnd">
              <a:solidFill>
                <a:schemeClr val="accent6"/>
              </a:solidFill>
              <a:round/>
            </a:ln>
            <a:effectLst/>
          </c:spPr>
          <c:marker>
            <c:symbol val="none"/>
          </c:marker>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TSS!$I$40:$I$46</c:f>
              <c:numCache>
                <c:formatCode>General</c:formatCode>
                <c:ptCount val="7"/>
                <c:pt idx="0">
                  <c:v>50</c:v>
                </c:pt>
                <c:pt idx="1">
                  <c:v>50</c:v>
                </c:pt>
                <c:pt idx="2">
                  <c:v>50</c:v>
                </c:pt>
                <c:pt idx="3">
                  <c:v>50</c:v>
                </c:pt>
                <c:pt idx="4">
                  <c:v>50</c:v>
                </c:pt>
                <c:pt idx="5">
                  <c:v>50</c:v>
                </c:pt>
                <c:pt idx="6">
                  <c:v>50</c:v>
                </c:pt>
              </c:numCache>
            </c:numRef>
          </c:val>
          <c:smooth val="0"/>
          <c:extLst>
            <c:ext xmlns:c16="http://schemas.microsoft.com/office/drawing/2014/chart" uri="{C3380CC4-5D6E-409C-BE32-E72D297353CC}">
              <c16:uniqueId val="{00000005-7DE8-44C4-BFDE-0EF5A532D4B3}"/>
            </c:ext>
          </c:extLst>
        </c:ser>
        <c:ser>
          <c:idx val="6"/>
          <c:order val="6"/>
          <c:tx>
            <c:strRef>
              <c:f>TSS!$J$39</c:f>
              <c:strCache>
                <c:ptCount val="1"/>
                <c:pt idx="0">
                  <c:v>QCVN 08:2023/BTNMT (Mức B)</c:v>
                </c:pt>
              </c:strCache>
            </c:strRef>
          </c:tx>
          <c:spPr>
            <a:ln w="22225" cap="rnd">
              <a:solidFill>
                <a:schemeClr val="accent1">
                  <a:lumMod val="60000"/>
                </a:schemeClr>
              </a:solidFill>
              <a:round/>
            </a:ln>
            <a:effectLst/>
          </c:spPr>
          <c:marker>
            <c:symbol val="none"/>
          </c:marker>
          <c:cat>
            <c:strRef>
              <c:f>TSS!$B$40:$C$46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TSS!$J$40:$J$46</c:f>
              <c:numCache>
                <c:formatCode>0.0</c:formatCode>
                <c:ptCount val="7"/>
                <c:pt idx="0">
                  <c:v>100</c:v>
                </c:pt>
                <c:pt idx="1">
                  <c:v>100</c:v>
                </c:pt>
                <c:pt idx="2">
                  <c:v>100</c:v>
                </c:pt>
                <c:pt idx="3">
                  <c:v>100</c:v>
                </c:pt>
                <c:pt idx="4">
                  <c:v>100</c:v>
                </c:pt>
                <c:pt idx="5">
                  <c:v>100</c:v>
                </c:pt>
                <c:pt idx="6">
                  <c:v>100</c:v>
                </c:pt>
              </c:numCache>
            </c:numRef>
          </c:val>
          <c:smooth val="0"/>
          <c:extLst>
            <c:ext xmlns:c16="http://schemas.microsoft.com/office/drawing/2014/chart" uri="{C3380CC4-5D6E-409C-BE32-E72D297353CC}">
              <c16:uniqueId val="{00000006-7DE8-44C4-BFDE-0EF5A532D4B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0"/>
      </c:valAx>
      <c:spPr>
        <a:noFill/>
        <a:ln>
          <a:noFill/>
        </a:ln>
        <a:effectLst/>
      </c:spPr>
    </c:plotArea>
    <c:legend>
      <c:legendPos val="b"/>
      <c:layout>
        <c:manualLayout>
          <c:xMode val="edge"/>
          <c:yMode val="edge"/>
          <c:x val="5.5102490632576596E-4"/>
          <c:y val="0.76665353121925162"/>
          <c:w val="0.9988979501873485"/>
          <c:h val="0.2149246081728269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910786392085604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858120294603988E-2"/>
          <c:y val="3.5208459519483142E-2"/>
          <c:w val="0.9238322035765234"/>
          <c:h val="0.50923783565515857"/>
        </c:manualLayout>
      </c:layout>
      <c:barChart>
        <c:barDir val="col"/>
        <c:grouping val="clustered"/>
        <c:varyColors val="0"/>
        <c:ser>
          <c:idx val="0"/>
          <c:order val="0"/>
          <c:tx>
            <c:strRef>
              <c:f>DO!$D$39</c:f>
              <c:strCache>
                <c:ptCount val="1"/>
                <c:pt idx="0">
                  <c:v>2021</c:v>
                </c:pt>
              </c:strCache>
            </c:strRef>
          </c:tx>
          <c:spPr>
            <a:solidFill>
              <a:schemeClr val="accent1"/>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DO!$D$40:$D$46</c:f>
              <c:numCache>
                <c:formatCode>0.00</c:formatCode>
                <c:ptCount val="7"/>
                <c:pt idx="0">
                  <c:v>6.0333333333333341</c:v>
                </c:pt>
                <c:pt idx="1">
                  <c:v>6.5166666666666666</c:v>
                </c:pt>
                <c:pt idx="2">
                  <c:v>6.5</c:v>
                </c:pt>
                <c:pt idx="3">
                  <c:v>5.8833333333333329</c:v>
                </c:pt>
                <c:pt idx="4">
                  <c:v>6.8666666666666671</c:v>
                </c:pt>
                <c:pt idx="5">
                  <c:v>6.4000000000000012</c:v>
                </c:pt>
                <c:pt idx="6">
                  <c:v>6.0666666666666664</c:v>
                </c:pt>
              </c:numCache>
            </c:numRef>
          </c:val>
          <c:extLst>
            <c:ext xmlns:c16="http://schemas.microsoft.com/office/drawing/2014/chart" uri="{C3380CC4-5D6E-409C-BE32-E72D297353CC}">
              <c16:uniqueId val="{00000000-05B7-4BA4-B61E-BFD74562C457}"/>
            </c:ext>
          </c:extLst>
        </c:ser>
        <c:ser>
          <c:idx val="1"/>
          <c:order val="1"/>
          <c:tx>
            <c:strRef>
              <c:f>DO!$E$39</c:f>
              <c:strCache>
                <c:ptCount val="1"/>
                <c:pt idx="0">
                  <c:v>2022</c:v>
                </c:pt>
              </c:strCache>
            </c:strRef>
          </c:tx>
          <c:spPr>
            <a:solidFill>
              <a:schemeClr val="accent2"/>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DO!$E$40:$E$46</c:f>
              <c:numCache>
                <c:formatCode>0.00</c:formatCode>
                <c:ptCount val="7"/>
                <c:pt idx="0">
                  <c:v>6.8999999999999995</c:v>
                </c:pt>
                <c:pt idx="1">
                  <c:v>6.5333333333333341</c:v>
                </c:pt>
                <c:pt idx="2">
                  <c:v>7.0166666666666684</c:v>
                </c:pt>
                <c:pt idx="3">
                  <c:v>6.4666666666666677</c:v>
                </c:pt>
                <c:pt idx="4">
                  <c:v>7.166666666666667</c:v>
                </c:pt>
                <c:pt idx="5">
                  <c:v>7.1333333333333329</c:v>
                </c:pt>
                <c:pt idx="6">
                  <c:v>6.9333333333333336</c:v>
                </c:pt>
              </c:numCache>
            </c:numRef>
          </c:val>
          <c:extLst>
            <c:ext xmlns:c16="http://schemas.microsoft.com/office/drawing/2014/chart" uri="{C3380CC4-5D6E-409C-BE32-E72D297353CC}">
              <c16:uniqueId val="{00000001-05B7-4BA4-B61E-BFD74562C457}"/>
            </c:ext>
          </c:extLst>
        </c:ser>
        <c:ser>
          <c:idx val="2"/>
          <c:order val="2"/>
          <c:tx>
            <c:strRef>
              <c:f>DO!$F$39</c:f>
              <c:strCache>
                <c:ptCount val="1"/>
                <c:pt idx="0">
                  <c:v>2023</c:v>
                </c:pt>
              </c:strCache>
            </c:strRef>
          </c:tx>
          <c:spPr>
            <a:solidFill>
              <a:schemeClr val="accent3"/>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DO!$F$40:$F$46</c:f>
              <c:numCache>
                <c:formatCode>0.00</c:formatCode>
                <c:ptCount val="7"/>
                <c:pt idx="0">
                  <c:v>6.6999999999999993</c:v>
                </c:pt>
                <c:pt idx="1">
                  <c:v>6.8500000000000005</c:v>
                </c:pt>
                <c:pt idx="2">
                  <c:v>7.2</c:v>
                </c:pt>
                <c:pt idx="3">
                  <c:v>7</c:v>
                </c:pt>
                <c:pt idx="4">
                  <c:v>7.8266666666666653</c:v>
                </c:pt>
                <c:pt idx="5">
                  <c:v>7.4833333333333343</c:v>
                </c:pt>
                <c:pt idx="6">
                  <c:v>6.4833333333333334</c:v>
                </c:pt>
              </c:numCache>
            </c:numRef>
          </c:val>
          <c:extLst>
            <c:ext xmlns:c16="http://schemas.microsoft.com/office/drawing/2014/chart" uri="{C3380CC4-5D6E-409C-BE32-E72D297353CC}">
              <c16:uniqueId val="{00000002-05B7-4BA4-B61E-BFD74562C457}"/>
            </c:ext>
          </c:extLst>
        </c:ser>
        <c:ser>
          <c:idx val="3"/>
          <c:order val="3"/>
          <c:tx>
            <c:strRef>
              <c:f>DO!$G$39</c:f>
              <c:strCache>
                <c:ptCount val="1"/>
                <c:pt idx="0">
                  <c:v>2024</c:v>
                </c:pt>
              </c:strCache>
            </c:strRef>
          </c:tx>
          <c:spPr>
            <a:solidFill>
              <a:schemeClr val="accent4"/>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DO!$G$40:$G$46</c:f>
              <c:numCache>
                <c:formatCode>0.00</c:formatCode>
                <c:ptCount val="7"/>
                <c:pt idx="0">
                  <c:v>7.166666666666667</c:v>
                </c:pt>
                <c:pt idx="1">
                  <c:v>6.8666666666666671</c:v>
                </c:pt>
                <c:pt idx="2">
                  <c:v>6.7966666666666669</c:v>
                </c:pt>
                <c:pt idx="3">
                  <c:v>7.2499999999999991</c:v>
                </c:pt>
                <c:pt idx="4">
                  <c:v>7.3500000000000005</c:v>
                </c:pt>
                <c:pt idx="5">
                  <c:v>7.1666666666666652</c:v>
                </c:pt>
                <c:pt idx="6">
                  <c:v>7.1499999999999995</c:v>
                </c:pt>
              </c:numCache>
            </c:numRef>
          </c:val>
          <c:extLst>
            <c:ext xmlns:c16="http://schemas.microsoft.com/office/drawing/2014/chart" uri="{C3380CC4-5D6E-409C-BE32-E72D297353CC}">
              <c16:uniqueId val="{00000003-05B7-4BA4-B61E-BFD74562C457}"/>
            </c:ext>
          </c:extLst>
        </c:ser>
        <c:ser>
          <c:idx val="4"/>
          <c:order val="4"/>
          <c:tx>
            <c:strRef>
              <c:f>DO!$H$39</c:f>
              <c:strCache>
                <c:ptCount val="1"/>
                <c:pt idx="0">
                  <c:v>2025</c:v>
                </c:pt>
              </c:strCache>
            </c:strRef>
          </c:tx>
          <c:spPr>
            <a:solidFill>
              <a:schemeClr val="accent5"/>
            </a:solidFill>
            <a:ln>
              <a:noFill/>
            </a:ln>
            <a:effectLst/>
          </c:spPr>
          <c:invertIfNegative val="0"/>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DO!$H$40:$H$46</c:f>
              <c:numCache>
                <c:formatCode>0.00</c:formatCode>
                <c:ptCount val="7"/>
                <c:pt idx="0">
                  <c:v>7.55</c:v>
                </c:pt>
                <c:pt idx="1">
                  <c:v>7.35</c:v>
                </c:pt>
                <c:pt idx="2">
                  <c:v>7.8</c:v>
                </c:pt>
                <c:pt idx="3">
                  <c:v>7.5</c:v>
                </c:pt>
                <c:pt idx="4">
                  <c:v>7.3999999999999995</c:v>
                </c:pt>
                <c:pt idx="5">
                  <c:v>7.45</c:v>
                </c:pt>
                <c:pt idx="6">
                  <c:v>7.8000000000000007</c:v>
                </c:pt>
              </c:numCache>
            </c:numRef>
          </c:val>
          <c:extLst>
            <c:ext xmlns:c16="http://schemas.microsoft.com/office/drawing/2014/chart" uri="{C3380CC4-5D6E-409C-BE32-E72D297353CC}">
              <c16:uniqueId val="{00000004-05B7-4BA4-B61E-BFD74562C45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DO!$I$39</c:f>
              <c:strCache>
                <c:ptCount val="1"/>
                <c:pt idx="0">
                  <c:v>QCVN 08-MT:2015/BTNMT (Cột B1)</c:v>
                </c:pt>
              </c:strCache>
            </c:strRef>
          </c:tx>
          <c:spPr>
            <a:ln w="22225" cap="rnd">
              <a:solidFill>
                <a:schemeClr val="accent6"/>
              </a:solidFill>
              <a:round/>
            </a:ln>
            <a:effectLst/>
          </c:spPr>
          <c:marker>
            <c:symbol val="none"/>
          </c:marker>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DO!$I$40:$I$46</c:f>
              <c:numCache>
                <c:formatCode>General</c:formatCode>
                <c:ptCount val="7"/>
                <c:pt idx="0">
                  <c:v>4</c:v>
                </c:pt>
                <c:pt idx="1">
                  <c:v>4</c:v>
                </c:pt>
                <c:pt idx="2">
                  <c:v>4</c:v>
                </c:pt>
                <c:pt idx="3">
                  <c:v>4</c:v>
                </c:pt>
                <c:pt idx="4">
                  <c:v>4</c:v>
                </c:pt>
                <c:pt idx="5">
                  <c:v>4</c:v>
                </c:pt>
                <c:pt idx="6">
                  <c:v>4</c:v>
                </c:pt>
              </c:numCache>
            </c:numRef>
          </c:val>
          <c:smooth val="0"/>
          <c:extLst>
            <c:ext xmlns:c16="http://schemas.microsoft.com/office/drawing/2014/chart" uri="{C3380CC4-5D6E-409C-BE32-E72D297353CC}">
              <c16:uniqueId val="{00000005-05B7-4BA4-B61E-BFD74562C457}"/>
            </c:ext>
          </c:extLst>
        </c:ser>
        <c:ser>
          <c:idx val="6"/>
          <c:order val="6"/>
          <c:tx>
            <c:strRef>
              <c:f>DO!$J$39</c:f>
              <c:strCache>
                <c:ptCount val="1"/>
                <c:pt idx="0">
                  <c:v>QCVN 08:2023/BTNMT (Mức B)</c:v>
                </c:pt>
              </c:strCache>
            </c:strRef>
          </c:tx>
          <c:spPr>
            <a:ln w="22225" cap="rnd">
              <a:solidFill>
                <a:schemeClr val="accent1">
                  <a:lumMod val="60000"/>
                </a:schemeClr>
              </a:solidFill>
              <a:round/>
            </a:ln>
            <a:effectLst/>
          </c:spPr>
          <c:marker>
            <c:symbol val="none"/>
          </c:marker>
          <c:cat>
            <c:strRef>
              <c:f>DO!$B$40:$C$46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DO!$J$40:$J$46</c:f>
              <c:numCache>
                <c:formatCode>0.0</c:formatCode>
                <c:ptCount val="7"/>
                <c:pt idx="0">
                  <c:v>5</c:v>
                </c:pt>
                <c:pt idx="1">
                  <c:v>5</c:v>
                </c:pt>
                <c:pt idx="2">
                  <c:v>5</c:v>
                </c:pt>
                <c:pt idx="3">
                  <c:v>5</c:v>
                </c:pt>
                <c:pt idx="4">
                  <c:v>5</c:v>
                </c:pt>
                <c:pt idx="5">
                  <c:v>5</c:v>
                </c:pt>
                <c:pt idx="6">
                  <c:v>5</c:v>
                </c:pt>
              </c:numCache>
            </c:numRef>
          </c:val>
          <c:smooth val="0"/>
          <c:extLst>
            <c:ext xmlns:c16="http://schemas.microsoft.com/office/drawing/2014/chart" uri="{C3380CC4-5D6E-409C-BE32-E72D297353CC}">
              <c16:uniqueId val="{00000006-05B7-4BA4-B61E-BFD74562C45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5.5102490632576596E-4"/>
          <c:y val="0.76922774076317391"/>
          <c:w val="0.9988979501873485"/>
          <c:h val="0.1923107207752877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514267579297685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85443744261965E-2"/>
          <c:y val="5.027429263649736E-2"/>
          <c:w val="0.9238322035765234"/>
          <c:h val="0.5357686264414242"/>
        </c:manualLayout>
      </c:layout>
      <c:barChart>
        <c:barDir val="col"/>
        <c:grouping val="clustered"/>
        <c:varyColors val="0"/>
        <c:ser>
          <c:idx val="0"/>
          <c:order val="0"/>
          <c:tx>
            <c:strRef>
              <c:f>Nitrat!$D$39</c:f>
              <c:strCache>
                <c:ptCount val="1"/>
                <c:pt idx="0">
                  <c:v>2021</c:v>
                </c:pt>
              </c:strCache>
            </c:strRef>
          </c:tx>
          <c:spPr>
            <a:solidFill>
              <a:schemeClr val="accent1"/>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Nitrat!$D$40:$D$46</c:f>
              <c:numCache>
                <c:formatCode>0.00</c:formatCode>
                <c:ptCount val="7"/>
                <c:pt idx="0">
                  <c:v>0.51500000000000001</c:v>
                </c:pt>
                <c:pt idx="1">
                  <c:v>0.95500000000000007</c:v>
                </c:pt>
                <c:pt idx="2">
                  <c:v>0.81333333333333335</c:v>
                </c:pt>
                <c:pt idx="3">
                  <c:v>0.39500000000000002</c:v>
                </c:pt>
                <c:pt idx="4">
                  <c:v>1.0566666666666669</c:v>
                </c:pt>
                <c:pt idx="5">
                  <c:v>0.88166666666666649</c:v>
                </c:pt>
                <c:pt idx="6">
                  <c:v>0.8566666666666668</c:v>
                </c:pt>
              </c:numCache>
            </c:numRef>
          </c:val>
          <c:extLst>
            <c:ext xmlns:c16="http://schemas.microsoft.com/office/drawing/2014/chart" uri="{C3380CC4-5D6E-409C-BE32-E72D297353CC}">
              <c16:uniqueId val="{00000000-5333-48B9-A630-9F5C09F81820}"/>
            </c:ext>
          </c:extLst>
        </c:ser>
        <c:ser>
          <c:idx val="1"/>
          <c:order val="1"/>
          <c:tx>
            <c:strRef>
              <c:f>Nitrat!$E$39</c:f>
              <c:strCache>
                <c:ptCount val="1"/>
                <c:pt idx="0">
                  <c:v>2022</c:v>
                </c:pt>
              </c:strCache>
            </c:strRef>
          </c:tx>
          <c:spPr>
            <a:solidFill>
              <a:schemeClr val="accent2"/>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Nitrat!$E$40:$E$46</c:f>
              <c:numCache>
                <c:formatCode>0.00</c:formatCode>
                <c:ptCount val="7"/>
                <c:pt idx="0">
                  <c:v>0.3183333333333333</c:v>
                </c:pt>
                <c:pt idx="1">
                  <c:v>0.16999999999999996</c:v>
                </c:pt>
                <c:pt idx="2">
                  <c:v>0.79666666666666652</c:v>
                </c:pt>
                <c:pt idx="3">
                  <c:v>0.30166666666666664</c:v>
                </c:pt>
                <c:pt idx="4">
                  <c:v>0.96333333333333326</c:v>
                </c:pt>
                <c:pt idx="5">
                  <c:v>0.91666666666666685</c:v>
                </c:pt>
                <c:pt idx="6">
                  <c:v>0.75666666666666671</c:v>
                </c:pt>
              </c:numCache>
            </c:numRef>
          </c:val>
          <c:extLst>
            <c:ext xmlns:c16="http://schemas.microsoft.com/office/drawing/2014/chart" uri="{C3380CC4-5D6E-409C-BE32-E72D297353CC}">
              <c16:uniqueId val="{00000001-5333-48B9-A630-9F5C09F81820}"/>
            </c:ext>
          </c:extLst>
        </c:ser>
        <c:ser>
          <c:idx val="2"/>
          <c:order val="2"/>
          <c:tx>
            <c:strRef>
              <c:f>Nitrat!$F$39</c:f>
              <c:strCache>
                <c:ptCount val="1"/>
                <c:pt idx="0">
                  <c:v>2023</c:v>
                </c:pt>
              </c:strCache>
            </c:strRef>
          </c:tx>
          <c:spPr>
            <a:solidFill>
              <a:schemeClr val="accent3"/>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Nitrat!$F$40:$F$46</c:f>
              <c:numCache>
                <c:formatCode>0.00</c:formatCode>
                <c:ptCount val="7"/>
                <c:pt idx="0">
                  <c:v>0.4916666666666667</c:v>
                </c:pt>
                <c:pt idx="1">
                  <c:v>0.34</c:v>
                </c:pt>
                <c:pt idx="2">
                  <c:v>0.97166666666666668</c:v>
                </c:pt>
                <c:pt idx="3">
                  <c:v>0.91833333333333333</c:v>
                </c:pt>
                <c:pt idx="4">
                  <c:v>1.5849999999999997</c:v>
                </c:pt>
                <c:pt idx="5">
                  <c:v>1.2233333333333334</c:v>
                </c:pt>
                <c:pt idx="6">
                  <c:v>0.91500000000000004</c:v>
                </c:pt>
              </c:numCache>
            </c:numRef>
          </c:val>
          <c:extLst>
            <c:ext xmlns:c16="http://schemas.microsoft.com/office/drawing/2014/chart" uri="{C3380CC4-5D6E-409C-BE32-E72D297353CC}">
              <c16:uniqueId val="{00000002-5333-48B9-A630-9F5C09F81820}"/>
            </c:ext>
          </c:extLst>
        </c:ser>
        <c:ser>
          <c:idx val="3"/>
          <c:order val="3"/>
          <c:tx>
            <c:strRef>
              <c:f>Nitrat!$G$39</c:f>
              <c:strCache>
                <c:ptCount val="1"/>
                <c:pt idx="0">
                  <c:v>2024</c:v>
                </c:pt>
              </c:strCache>
            </c:strRef>
          </c:tx>
          <c:spPr>
            <a:solidFill>
              <a:schemeClr val="accent4"/>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Nitrat!$G$40:$G$46</c:f>
              <c:numCache>
                <c:formatCode>0.00</c:formatCode>
                <c:ptCount val="7"/>
                <c:pt idx="0">
                  <c:v>1.0333333333333334</c:v>
                </c:pt>
                <c:pt idx="1">
                  <c:v>0.40333333333333332</c:v>
                </c:pt>
                <c:pt idx="2">
                  <c:v>0.48333333333333334</c:v>
                </c:pt>
                <c:pt idx="3">
                  <c:v>0.69499999999999995</c:v>
                </c:pt>
                <c:pt idx="4">
                  <c:v>0.78166666666666673</c:v>
                </c:pt>
                <c:pt idx="5">
                  <c:v>0.75166666666666659</c:v>
                </c:pt>
                <c:pt idx="6">
                  <c:v>0.92333333333333345</c:v>
                </c:pt>
              </c:numCache>
            </c:numRef>
          </c:val>
          <c:extLst>
            <c:ext xmlns:c16="http://schemas.microsoft.com/office/drawing/2014/chart" uri="{C3380CC4-5D6E-409C-BE32-E72D297353CC}">
              <c16:uniqueId val="{00000003-5333-48B9-A630-9F5C09F81820}"/>
            </c:ext>
          </c:extLst>
        </c:ser>
        <c:ser>
          <c:idx val="4"/>
          <c:order val="4"/>
          <c:tx>
            <c:strRef>
              <c:f>Nitrat!$H$39</c:f>
              <c:strCache>
                <c:ptCount val="1"/>
                <c:pt idx="0">
                  <c:v>2025</c:v>
                </c:pt>
              </c:strCache>
            </c:strRef>
          </c:tx>
          <c:spPr>
            <a:solidFill>
              <a:schemeClr val="accent5"/>
            </a:solidFill>
            <a:ln>
              <a:noFill/>
            </a:ln>
            <a:effectLst/>
          </c:spPr>
          <c:invertIfNegative val="0"/>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Nitrat!$H$40:$H$46</c:f>
              <c:numCache>
                <c:formatCode>0.00</c:formatCode>
                <c:ptCount val="7"/>
                <c:pt idx="0">
                  <c:v>0.22</c:v>
                </c:pt>
                <c:pt idx="1">
                  <c:v>0.26500000000000001</c:v>
                </c:pt>
                <c:pt idx="2">
                  <c:v>1.33</c:v>
                </c:pt>
                <c:pt idx="3">
                  <c:v>0.93</c:v>
                </c:pt>
                <c:pt idx="4">
                  <c:v>1.0900000000000001</c:v>
                </c:pt>
                <c:pt idx="5">
                  <c:v>0.59</c:v>
                </c:pt>
                <c:pt idx="6">
                  <c:v>0.53500000000000003</c:v>
                </c:pt>
              </c:numCache>
            </c:numRef>
          </c:val>
          <c:extLst>
            <c:ext xmlns:c16="http://schemas.microsoft.com/office/drawing/2014/chart" uri="{C3380CC4-5D6E-409C-BE32-E72D297353CC}">
              <c16:uniqueId val="{00000004-5333-48B9-A630-9F5C09F81820}"/>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Nitrat!$I$39</c:f>
              <c:strCache>
                <c:ptCount val="1"/>
                <c:pt idx="0">
                  <c:v>QCVN 08-MT:2015/BTNMT (Cột B1)</c:v>
                </c:pt>
              </c:strCache>
            </c:strRef>
          </c:tx>
          <c:spPr>
            <a:ln w="22225" cap="rnd">
              <a:solidFill>
                <a:schemeClr val="accent6"/>
              </a:solidFill>
              <a:round/>
            </a:ln>
            <a:effectLst/>
          </c:spPr>
          <c:marker>
            <c:symbol val="none"/>
          </c:marker>
          <c:cat>
            <c:strRef>
              <c:f>Nitrat!$B$40:$C$46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Nitrat!$I$40:$I$46</c:f>
              <c:numCache>
                <c:formatCode>General</c:formatCode>
                <c:ptCount val="7"/>
                <c:pt idx="0">
                  <c:v>10</c:v>
                </c:pt>
                <c:pt idx="1">
                  <c:v>10</c:v>
                </c:pt>
                <c:pt idx="2">
                  <c:v>10</c:v>
                </c:pt>
                <c:pt idx="3">
                  <c:v>10</c:v>
                </c:pt>
                <c:pt idx="4">
                  <c:v>10</c:v>
                </c:pt>
                <c:pt idx="5">
                  <c:v>10</c:v>
                </c:pt>
                <c:pt idx="6">
                  <c:v>10</c:v>
                </c:pt>
              </c:numCache>
            </c:numRef>
          </c:val>
          <c:smooth val="0"/>
          <c:extLst>
            <c:ext xmlns:c16="http://schemas.microsoft.com/office/drawing/2014/chart" uri="{C3380CC4-5D6E-409C-BE32-E72D297353CC}">
              <c16:uniqueId val="{00000005-5333-48B9-A630-9F5C09F81820}"/>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4.9999913224424201E-2"/>
          <c:y val="0.85891574714378294"/>
          <c:w val="0.9"/>
          <c:h val="0.1110203670989829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en-US" sz="1200">
                <a:solidFill>
                  <a:schemeClr val="tx1"/>
                </a:solidFill>
                <a:latin typeface="Times New Roman" panose="02020603050405020304" pitchFamily="18" charset="0"/>
                <a:cs typeface="Times New Roman" panose="02020603050405020304" pitchFamily="18" charset="0"/>
              </a:rPr>
              <a:t>Tỷ đồng</a:t>
            </a:r>
          </a:p>
        </c:rich>
      </c:tx>
      <c:layout>
        <c:manualLayout>
          <c:xMode val="edge"/>
          <c:yMode val="edge"/>
          <c:x val="0"/>
          <c:y val="4.4813104276235681E-3"/>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626618547681539"/>
          <c:y val="0.15648148148148147"/>
          <c:w val="0.73706714785651795"/>
          <c:h val="0.73611913094196557"/>
        </c:manualLayout>
      </c:layout>
      <c:bar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elete val="1"/>
          </c:dLbls>
          <c:cat>
            <c:numRef>
              <c:f>Sheet1!$B$31:$B$35</c:f>
              <c:numCache>
                <c:formatCode>General</c:formatCode>
                <c:ptCount val="5"/>
                <c:pt idx="0">
                  <c:v>2020</c:v>
                </c:pt>
                <c:pt idx="1">
                  <c:v>2021</c:v>
                </c:pt>
                <c:pt idx="2">
                  <c:v>2022</c:v>
                </c:pt>
                <c:pt idx="3">
                  <c:v>2023</c:v>
                </c:pt>
                <c:pt idx="4">
                  <c:v>2024</c:v>
                </c:pt>
              </c:numCache>
            </c:numRef>
          </c:cat>
          <c:val>
            <c:numRef>
              <c:f>Sheet1!$C$31:$C$35</c:f>
              <c:numCache>
                <c:formatCode>General</c:formatCode>
                <c:ptCount val="5"/>
                <c:pt idx="0">
                  <c:v>13139.23</c:v>
                </c:pt>
                <c:pt idx="1">
                  <c:v>13780.15</c:v>
                </c:pt>
                <c:pt idx="2">
                  <c:v>14000.25</c:v>
                </c:pt>
                <c:pt idx="3">
                  <c:v>14659.19</c:v>
                </c:pt>
                <c:pt idx="4">
                  <c:v>15877</c:v>
                </c:pt>
              </c:numCache>
            </c:numRef>
          </c:val>
          <c:extLst>
            <c:ext xmlns:c16="http://schemas.microsoft.com/office/drawing/2014/chart" uri="{C3380CC4-5D6E-409C-BE32-E72D297353CC}">
              <c16:uniqueId val="{00000000-01A4-421C-9A20-FCA177B47414}"/>
            </c:ext>
          </c:extLst>
        </c:ser>
        <c:dLbls>
          <c:dLblPos val="inEnd"/>
          <c:showLegendKey val="0"/>
          <c:showVal val="1"/>
          <c:showCatName val="0"/>
          <c:showSerName val="0"/>
          <c:showPercent val="0"/>
          <c:showBubbleSize val="0"/>
        </c:dLbls>
        <c:gapWidth val="100"/>
        <c:overlap val="-24"/>
        <c:axId val="1739427519"/>
        <c:axId val="1739450559"/>
      </c:barChart>
      <c:catAx>
        <c:axId val="1739427519"/>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739450559"/>
        <c:crosses val="autoZero"/>
        <c:auto val="1"/>
        <c:lblAlgn val="ctr"/>
        <c:lblOffset val="100"/>
        <c:noMultiLvlLbl val="0"/>
      </c:catAx>
      <c:valAx>
        <c:axId val="17394505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173942751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7920943979425E-3"/>
          <c:y val="0.1473383440706275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4917710721469489E-2"/>
          <c:y val="4.146862729361548E-2"/>
          <c:w val="0.90619942068625592"/>
          <c:h val="0.53167708509822453"/>
        </c:manualLayout>
      </c:layout>
      <c:barChart>
        <c:barDir val="col"/>
        <c:grouping val="clustered"/>
        <c:varyColors val="0"/>
        <c:ser>
          <c:idx val="0"/>
          <c:order val="0"/>
          <c:tx>
            <c:strRef>
              <c:f>Photphat!$D$39</c:f>
              <c:strCache>
                <c:ptCount val="1"/>
                <c:pt idx="0">
                  <c:v>2021</c:v>
                </c:pt>
              </c:strCache>
            </c:strRef>
          </c:tx>
          <c:spPr>
            <a:solidFill>
              <a:schemeClr val="accent1"/>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Photphat!$D$40:$D$46</c:f>
              <c:numCache>
                <c:formatCode>0.00</c:formatCode>
                <c:ptCount val="7"/>
                <c:pt idx="0">
                  <c:v>8.3333333333333332E-3</c:v>
                </c:pt>
                <c:pt idx="1">
                  <c:v>8.3333333333333332E-3</c:v>
                </c:pt>
                <c:pt idx="2">
                  <c:v>6.6666666666666671E-3</c:v>
                </c:pt>
                <c:pt idx="3">
                  <c:v>4.9999999999999996E-2</c:v>
                </c:pt>
                <c:pt idx="4">
                  <c:v>3.5333333333333335E-2</c:v>
                </c:pt>
                <c:pt idx="5">
                  <c:v>4.8333333333333339E-2</c:v>
                </c:pt>
                <c:pt idx="6">
                  <c:v>0.10166666666666667</c:v>
                </c:pt>
              </c:numCache>
            </c:numRef>
          </c:val>
          <c:extLst>
            <c:ext xmlns:c16="http://schemas.microsoft.com/office/drawing/2014/chart" uri="{C3380CC4-5D6E-409C-BE32-E72D297353CC}">
              <c16:uniqueId val="{00000000-53A4-4443-8812-4EB84A006995}"/>
            </c:ext>
          </c:extLst>
        </c:ser>
        <c:ser>
          <c:idx val="1"/>
          <c:order val="1"/>
          <c:tx>
            <c:strRef>
              <c:f>Photphat!$E$39</c:f>
              <c:strCache>
                <c:ptCount val="1"/>
                <c:pt idx="0">
                  <c:v>2022</c:v>
                </c:pt>
              </c:strCache>
            </c:strRef>
          </c:tx>
          <c:spPr>
            <a:solidFill>
              <a:schemeClr val="accent2"/>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Photphat!$E$40:$E$46</c:f>
              <c:numCache>
                <c:formatCode>0.00</c:formatCode>
                <c:ptCount val="7"/>
                <c:pt idx="0">
                  <c:v>2.5666666666666671E-2</c:v>
                </c:pt>
                <c:pt idx="1">
                  <c:v>4.8666666666666671E-2</c:v>
                </c:pt>
                <c:pt idx="2">
                  <c:v>5.1499999999999997E-2</c:v>
                </c:pt>
                <c:pt idx="3">
                  <c:v>4.6666666666666669E-2</c:v>
                </c:pt>
                <c:pt idx="4">
                  <c:v>4.4166666666666667E-2</c:v>
                </c:pt>
                <c:pt idx="5">
                  <c:v>8.5500000000000007E-2</c:v>
                </c:pt>
                <c:pt idx="6">
                  <c:v>5.7333333333333326E-2</c:v>
                </c:pt>
              </c:numCache>
            </c:numRef>
          </c:val>
          <c:extLst>
            <c:ext xmlns:c16="http://schemas.microsoft.com/office/drawing/2014/chart" uri="{C3380CC4-5D6E-409C-BE32-E72D297353CC}">
              <c16:uniqueId val="{00000001-53A4-4443-8812-4EB84A006995}"/>
            </c:ext>
          </c:extLst>
        </c:ser>
        <c:ser>
          <c:idx val="2"/>
          <c:order val="2"/>
          <c:tx>
            <c:strRef>
              <c:f>Photphat!$F$39</c:f>
              <c:strCache>
                <c:ptCount val="1"/>
                <c:pt idx="0">
                  <c:v>2023</c:v>
                </c:pt>
              </c:strCache>
            </c:strRef>
          </c:tx>
          <c:spPr>
            <a:solidFill>
              <a:schemeClr val="accent3"/>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Photphat!$F$40:$F$46</c:f>
              <c:numCache>
                <c:formatCode>0.00</c:formatCode>
                <c:ptCount val="7"/>
                <c:pt idx="0">
                  <c:v>1.2833333333333334E-2</c:v>
                </c:pt>
                <c:pt idx="1">
                  <c:v>2.5000000000000005E-2</c:v>
                </c:pt>
                <c:pt idx="2">
                  <c:v>2.8000000000000001E-2</c:v>
                </c:pt>
                <c:pt idx="3">
                  <c:v>3.4833333333333334E-2</c:v>
                </c:pt>
                <c:pt idx="4">
                  <c:v>2.1000000000000001E-2</c:v>
                </c:pt>
                <c:pt idx="5">
                  <c:v>3.6166666666666673E-2</c:v>
                </c:pt>
                <c:pt idx="6">
                  <c:v>3.8666666666666662E-2</c:v>
                </c:pt>
              </c:numCache>
            </c:numRef>
          </c:val>
          <c:extLst>
            <c:ext xmlns:c16="http://schemas.microsoft.com/office/drawing/2014/chart" uri="{C3380CC4-5D6E-409C-BE32-E72D297353CC}">
              <c16:uniqueId val="{00000002-53A4-4443-8812-4EB84A006995}"/>
            </c:ext>
          </c:extLst>
        </c:ser>
        <c:ser>
          <c:idx val="3"/>
          <c:order val="3"/>
          <c:tx>
            <c:strRef>
              <c:f>Photphat!$G$39</c:f>
              <c:strCache>
                <c:ptCount val="1"/>
                <c:pt idx="0">
                  <c:v>2024</c:v>
                </c:pt>
              </c:strCache>
            </c:strRef>
          </c:tx>
          <c:spPr>
            <a:solidFill>
              <a:schemeClr val="accent4"/>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Photphat!$G$40:$G$46</c:f>
              <c:numCache>
                <c:formatCode>0.00</c:formatCode>
                <c:ptCount val="7"/>
                <c:pt idx="0">
                  <c:v>2.0500000000000001E-2</c:v>
                </c:pt>
                <c:pt idx="1">
                  <c:v>1.4666666666666666E-2</c:v>
                </c:pt>
                <c:pt idx="2">
                  <c:v>1.9833333333333335E-2</c:v>
                </c:pt>
                <c:pt idx="3">
                  <c:v>0.10066666666666667</c:v>
                </c:pt>
                <c:pt idx="4">
                  <c:v>4.6000000000000006E-2</c:v>
                </c:pt>
                <c:pt idx="5">
                  <c:v>7.7499999999999999E-2</c:v>
                </c:pt>
                <c:pt idx="6">
                  <c:v>5.9333333333333342E-2</c:v>
                </c:pt>
              </c:numCache>
            </c:numRef>
          </c:val>
          <c:extLst>
            <c:ext xmlns:c16="http://schemas.microsoft.com/office/drawing/2014/chart" uri="{C3380CC4-5D6E-409C-BE32-E72D297353CC}">
              <c16:uniqueId val="{00000003-53A4-4443-8812-4EB84A006995}"/>
            </c:ext>
          </c:extLst>
        </c:ser>
        <c:ser>
          <c:idx val="4"/>
          <c:order val="4"/>
          <c:tx>
            <c:strRef>
              <c:f>Photphat!$H$39</c:f>
              <c:strCache>
                <c:ptCount val="1"/>
                <c:pt idx="0">
                  <c:v>2025</c:v>
                </c:pt>
              </c:strCache>
            </c:strRef>
          </c:tx>
          <c:spPr>
            <a:solidFill>
              <a:schemeClr val="accent5"/>
            </a:solidFill>
            <a:ln>
              <a:noFill/>
            </a:ln>
            <a:effectLst/>
          </c:spPr>
          <c:invertIfNegative val="0"/>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Photphat!$H$40:$H$46</c:f>
              <c:numCache>
                <c:formatCode>0.00</c:formatCode>
                <c:ptCount val="7"/>
                <c:pt idx="0">
                  <c:v>2.0999999999999998E-2</c:v>
                </c:pt>
                <c:pt idx="1">
                  <c:v>1.6E-2</c:v>
                </c:pt>
                <c:pt idx="2">
                  <c:v>2.5500000000000002E-2</c:v>
                </c:pt>
                <c:pt idx="3">
                  <c:v>1.3500000000000002E-2</c:v>
                </c:pt>
                <c:pt idx="4">
                  <c:v>4.9500000000000002E-2</c:v>
                </c:pt>
                <c:pt idx="5">
                  <c:v>1.0999999999999999E-2</c:v>
                </c:pt>
                <c:pt idx="6">
                  <c:v>2.4E-2</c:v>
                </c:pt>
              </c:numCache>
            </c:numRef>
          </c:val>
          <c:extLst>
            <c:ext xmlns:c16="http://schemas.microsoft.com/office/drawing/2014/chart" uri="{C3380CC4-5D6E-409C-BE32-E72D297353CC}">
              <c16:uniqueId val="{00000004-53A4-4443-8812-4EB84A006995}"/>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Photphat!$I$39</c:f>
              <c:strCache>
                <c:ptCount val="1"/>
                <c:pt idx="0">
                  <c:v>QCVN 08-MT:2015/BTNMT (Cột B1)</c:v>
                </c:pt>
              </c:strCache>
            </c:strRef>
          </c:tx>
          <c:spPr>
            <a:ln w="22225" cap="rnd">
              <a:solidFill>
                <a:schemeClr val="accent6"/>
              </a:solidFill>
              <a:round/>
            </a:ln>
            <a:effectLst/>
          </c:spPr>
          <c:marker>
            <c:symbol val="none"/>
          </c:marker>
          <c:cat>
            <c:strRef>
              <c:f>Photphat!$B$40:$C$46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Photphat!$I$40:$I$46</c:f>
              <c:numCache>
                <c:formatCode>General</c:formatCode>
                <c:ptCount val="7"/>
                <c:pt idx="0">
                  <c:v>0.3</c:v>
                </c:pt>
                <c:pt idx="1">
                  <c:v>0.3</c:v>
                </c:pt>
                <c:pt idx="2">
                  <c:v>0.3</c:v>
                </c:pt>
                <c:pt idx="3">
                  <c:v>0.3</c:v>
                </c:pt>
                <c:pt idx="4">
                  <c:v>0.3</c:v>
                </c:pt>
                <c:pt idx="5">
                  <c:v>0.3</c:v>
                </c:pt>
                <c:pt idx="6">
                  <c:v>0.3</c:v>
                </c:pt>
              </c:numCache>
            </c:numRef>
          </c:val>
          <c:smooth val="0"/>
          <c:extLst>
            <c:ext xmlns:c16="http://schemas.microsoft.com/office/drawing/2014/chart" uri="{C3380CC4-5D6E-409C-BE32-E72D297353CC}">
              <c16:uniqueId val="{00000005-53A4-4443-8812-4EB84A006995}"/>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300000000000000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1"/>
      </c:valAx>
      <c:spPr>
        <a:noFill/>
        <a:ln>
          <a:noFill/>
        </a:ln>
        <a:effectLst/>
      </c:spPr>
    </c:plotArea>
    <c:legend>
      <c:legendPos val="b"/>
      <c:layout>
        <c:manualLayout>
          <c:xMode val="edge"/>
          <c:yMode val="edge"/>
          <c:x val="4.9999913224424201E-2"/>
          <c:y val="0.85072661500551394"/>
          <c:w val="0.9"/>
          <c:h val="0.1115232906192501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8865010178775042E-3"/>
          <c:y val="7.0072752312805006E-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9.8623218714367786E-2"/>
          <c:y val="4.735117907232269E-2"/>
          <c:w val="0.89306715214708809"/>
          <c:h val="0.49162799516980532"/>
        </c:manualLayout>
      </c:layout>
      <c:barChart>
        <c:barDir val="col"/>
        <c:grouping val="clustered"/>
        <c:varyColors val="0"/>
        <c:ser>
          <c:idx val="0"/>
          <c:order val="0"/>
          <c:tx>
            <c:strRef>
              <c:f>Coliform!$D$39</c:f>
              <c:strCache>
                <c:ptCount val="1"/>
                <c:pt idx="0">
                  <c:v>2021</c:v>
                </c:pt>
              </c:strCache>
            </c:strRef>
          </c:tx>
          <c:spPr>
            <a:solidFill>
              <a:schemeClr val="accent1"/>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Coliform!$D$40:$D$46</c:f>
              <c:numCache>
                <c:formatCode>0.00</c:formatCode>
                <c:ptCount val="7"/>
                <c:pt idx="0">
                  <c:v>5150</c:v>
                </c:pt>
                <c:pt idx="1">
                  <c:v>576.66666666666663</c:v>
                </c:pt>
                <c:pt idx="2">
                  <c:v>3398.3333333333335</c:v>
                </c:pt>
                <c:pt idx="3">
                  <c:v>1608.3333333333333</c:v>
                </c:pt>
                <c:pt idx="4">
                  <c:v>4093.3333333333335</c:v>
                </c:pt>
                <c:pt idx="5">
                  <c:v>4315</c:v>
                </c:pt>
                <c:pt idx="6">
                  <c:v>1811.6666666666667</c:v>
                </c:pt>
              </c:numCache>
            </c:numRef>
          </c:val>
          <c:extLst>
            <c:ext xmlns:c16="http://schemas.microsoft.com/office/drawing/2014/chart" uri="{C3380CC4-5D6E-409C-BE32-E72D297353CC}">
              <c16:uniqueId val="{00000000-DB55-41C5-86D4-B23D062ABFEF}"/>
            </c:ext>
          </c:extLst>
        </c:ser>
        <c:ser>
          <c:idx val="1"/>
          <c:order val="1"/>
          <c:tx>
            <c:strRef>
              <c:f>Coliform!$E$39</c:f>
              <c:strCache>
                <c:ptCount val="1"/>
                <c:pt idx="0">
                  <c:v>2022</c:v>
                </c:pt>
              </c:strCache>
            </c:strRef>
          </c:tx>
          <c:spPr>
            <a:solidFill>
              <a:schemeClr val="accent2"/>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Coliform!$E$40:$E$46</c:f>
              <c:numCache>
                <c:formatCode>0.00</c:formatCode>
                <c:ptCount val="7"/>
                <c:pt idx="0">
                  <c:v>2463.3333333333335</c:v>
                </c:pt>
                <c:pt idx="1">
                  <c:v>1341.6666666666667</c:v>
                </c:pt>
                <c:pt idx="2">
                  <c:v>2818.3333333333335</c:v>
                </c:pt>
                <c:pt idx="3">
                  <c:v>2655</c:v>
                </c:pt>
                <c:pt idx="4">
                  <c:v>2636.8333333333335</c:v>
                </c:pt>
                <c:pt idx="5">
                  <c:v>2311.6666666666665</c:v>
                </c:pt>
                <c:pt idx="6">
                  <c:v>1523.3333333333333</c:v>
                </c:pt>
              </c:numCache>
            </c:numRef>
          </c:val>
          <c:extLst>
            <c:ext xmlns:c16="http://schemas.microsoft.com/office/drawing/2014/chart" uri="{C3380CC4-5D6E-409C-BE32-E72D297353CC}">
              <c16:uniqueId val="{00000001-DB55-41C5-86D4-B23D062ABFEF}"/>
            </c:ext>
          </c:extLst>
        </c:ser>
        <c:ser>
          <c:idx val="2"/>
          <c:order val="2"/>
          <c:tx>
            <c:strRef>
              <c:f>Coliform!$F$39</c:f>
              <c:strCache>
                <c:ptCount val="1"/>
                <c:pt idx="0">
                  <c:v>2023</c:v>
                </c:pt>
              </c:strCache>
            </c:strRef>
          </c:tx>
          <c:spPr>
            <a:solidFill>
              <a:schemeClr val="accent3"/>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Coliform!$F$40:$F$46</c:f>
              <c:numCache>
                <c:formatCode>0.00</c:formatCode>
                <c:ptCount val="7"/>
                <c:pt idx="0">
                  <c:v>2079.8333333333335</c:v>
                </c:pt>
                <c:pt idx="1">
                  <c:v>6033.333333333333</c:v>
                </c:pt>
                <c:pt idx="2">
                  <c:v>4941.666666666667</c:v>
                </c:pt>
                <c:pt idx="3">
                  <c:v>3386.6666666666665</c:v>
                </c:pt>
                <c:pt idx="4">
                  <c:v>4983.333333333333</c:v>
                </c:pt>
                <c:pt idx="5">
                  <c:v>2213.3333333333335</c:v>
                </c:pt>
                <c:pt idx="6">
                  <c:v>1990</c:v>
                </c:pt>
              </c:numCache>
            </c:numRef>
          </c:val>
          <c:extLst>
            <c:ext xmlns:c16="http://schemas.microsoft.com/office/drawing/2014/chart" uri="{C3380CC4-5D6E-409C-BE32-E72D297353CC}">
              <c16:uniqueId val="{00000002-DB55-41C5-86D4-B23D062ABFEF}"/>
            </c:ext>
          </c:extLst>
        </c:ser>
        <c:ser>
          <c:idx val="3"/>
          <c:order val="3"/>
          <c:tx>
            <c:strRef>
              <c:f>Coliform!$G$39</c:f>
              <c:strCache>
                <c:ptCount val="1"/>
                <c:pt idx="0">
                  <c:v>2024</c:v>
                </c:pt>
              </c:strCache>
            </c:strRef>
          </c:tx>
          <c:spPr>
            <a:solidFill>
              <a:schemeClr val="accent4"/>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Coliform!$G$40:$G$46</c:f>
              <c:numCache>
                <c:formatCode>0.00</c:formatCode>
                <c:ptCount val="7"/>
                <c:pt idx="0">
                  <c:v>573.16666666666663</c:v>
                </c:pt>
                <c:pt idx="1">
                  <c:v>1333.3333333333333</c:v>
                </c:pt>
                <c:pt idx="2">
                  <c:v>856.66666666666663</c:v>
                </c:pt>
                <c:pt idx="3">
                  <c:v>1816.6666666666667</c:v>
                </c:pt>
                <c:pt idx="4">
                  <c:v>2383.3333333333335</c:v>
                </c:pt>
                <c:pt idx="5">
                  <c:v>535</c:v>
                </c:pt>
                <c:pt idx="6">
                  <c:v>1248.3333333333333</c:v>
                </c:pt>
              </c:numCache>
            </c:numRef>
          </c:val>
          <c:extLst>
            <c:ext xmlns:c16="http://schemas.microsoft.com/office/drawing/2014/chart" uri="{C3380CC4-5D6E-409C-BE32-E72D297353CC}">
              <c16:uniqueId val="{00000003-DB55-41C5-86D4-B23D062ABFEF}"/>
            </c:ext>
          </c:extLst>
        </c:ser>
        <c:ser>
          <c:idx val="4"/>
          <c:order val="4"/>
          <c:tx>
            <c:strRef>
              <c:f>Coliform!$H$39</c:f>
              <c:strCache>
                <c:ptCount val="1"/>
                <c:pt idx="0">
                  <c:v>2025</c:v>
                </c:pt>
              </c:strCache>
            </c:strRef>
          </c:tx>
          <c:spPr>
            <a:solidFill>
              <a:schemeClr val="accent5"/>
            </a:solidFill>
            <a:ln>
              <a:noFill/>
            </a:ln>
            <a:effectLst/>
          </c:spPr>
          <c:invertIfNegative val="0"/>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Coliform!$H$40:$H$46</c:f>
              <c:numCache>
                <c:formatCode>0.00</c:formatCode>
                <c:ptCount val="7"/>
                <c:pt idx="0">
                  <c:v>720</c:v>
                </c:pt>
                <c:pt idx="1">
                  <c:v>640</c:v>
                </c:pt>
                <c:pt idx="2">
                  <c:v>1050</c:v>
                </c:pt>
                <c:pt idx="3">
                  <c:v>840</c:v>
                </c:pt>
                <c:pt idx="4">
                  <c:v>1000</c:v>
                </c:pt>
                <c:pt idx="5">
                  <c:v>1000</c:v>
                </c:pt>
                <c:pt idx="6">
                  <c:v>1200</c:v>
                </c:pt>
              </c:numCache>
            </c:numRef>
          </c:val>
          <c:extLst>
            <c:ext xmlns:c16="http://schemas.microsoft.com/office/drawing/2014/chart" uri="{C3380CC4-5D6E-409C-BE32-E72D297353CC}">
              <c16:uniqueId val="{00000004-DB55-41C5-86D4-B23D062ABFE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Coliform!$I$39</c:f>
              <c:strCache>
                <c:ptCount val="1"/>
                <c:pt idx="0">
                  <c:v>QCVN 08-MT:2015/BTNMT (Cột B1)</c:v>
                </c:pt>
              </c:strCache>
            </c:strRef>
          </c:tx>
          <c:spPr>
            <a:ln w="22225" cap="rnd">
              <a:solidFill>
                <a:schemeClr val="accent6"/>
              </a:solidFill>
              <a:round/>
            </a:ln>
            <a:effectLst/>
          </c:spPr>
          <c:marker>
            <c:symbol val="none"/>
          </c:marker>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Coliform!$I$40:$I$46</c:f>
              <c:numCache>
                <c:formatCode>General</c:formatCode>
                <c:ptCount val="7"/>
                <c:pt idx="0">
                  <c:v>7500</c:v>
                </c:pt>
                <c:pt idx="1">
                  <c:v>7500</c:v>
                </c:pt>
                <c:pt idx="2">
                  <c:v>7500</c:v>
                </c:pt>
                <c:pt idx="3">
                  <c:v>7500</c:v>
                </c:pt>
                <c:pt idx="4">
                  <c:v>7500</c:v>
                </c:pt>
                <c:pt idx="5">
                  <c:v>7500</c:v>
                </c:pt>
                <c:pt idx="6">
                  <c:v>7500</c:v>
                </c:pt>
              </c:numCache>
            </c:numRef>
          </c:val>
          <c:smooth val="0"/>
          <c:extLst>
            <c:ext xmlns:c16="http://schemas.microsoft.com/office/drawing/2014/chart" uri="{C3380CC4-5D6E-409C-BE32-E72D297353CC}">
              <c16:uniqueId val="{00000005-DB55-41C5-86D4-B23D062ABFEF}"/>
            </c:ext>
          </c:extLst>
        </c:ser>
        <c:ser>
          <c:idx val="6"/>
          <c:order val="6"/>
          <c:tx>
            <c:strRef>
              <c:f>Coliform!$J$39</c:f>
              <c:strCache>
                <c:ptCount val="1"/>
                <c:pt idx="0">
                  <c:v>QCVN 08:2023/BTNMT (Mức B)</c:v>
                </c:pt>
              </c:strCache>
            </c:strRef>
          </c:tx>
          <c:spPr>
            <a:ln w="22225" cap="rnd">
              <a:solidFill>
                <a:schemeClr val="accent1">
                  <a:lumMod val="60000"/>
                </a:schemeClr>
              </a:solidFill>
              <a:round/>
            </a:ln>
            <a:effectLst/>
          </c:spPr>
          <c:marker>
            <c:symbol val="none"/>
          </c:marker>
          <c:cat>
            <c:strRef>
              <c:f>Coliform!$B$40:$C$46</c:f>
              <c:strCache>
                <c:ptCount val="7"/>
                <c:pt idx="0">
                  <c:v>Sông Quyền (tại cảng Cá Kỳ Hà)</c:v>
                </c:pt>
                <c:pt idx="1">
                  <c:v>Sông Trí (tại cầu Kỳ Hưng)</c:v>
                </c:pt>
                <c:pt idx="2">
                  <c:v>Sông Quyền (tại cầu Tây Yên)</c:v>
                </c:pt>
                <c:pt idx="3">
                  <c:v>Khe Đá Hát (tại cầu Khe Đá Hát)</c:v>
                </c:pt>
                <c:pt idx="4">
                  <c:v>Khe Lau (tại cầu Khe Lau)</c:v>
                </c:pt>
                <c:pt idx="5">
                  <c:v>Khe Thầu Dầu (tại cầu Thầu Dầu)</c:v>
                </c:pt>
                <c:pt idx="6">
                  <c:v>Khe Thanh Trạng (tại cầu Thanh Trạng)</c:v>
                </c:pt>
              </c:strCache>
            </c:strRef>
          </c:cat>
          <c:val>
            <c:numRef>
              <c:f>Coliform!$J$40:$J$46</c:f>
              <c:numCache>
                <c:formatCode>0.0</c:formatCode>
                <c:ptCount val="7"/>
                <c:pt idx="0">
                  <c:v>5000</c:v>
                </c:pt>
                <c:pt idx="1">
                  <c:v>5000</c:v>
                </c:pt>
                <c:pt idx="2">
                  <c:v>5000</c:v>
                </c:pt>
                <c:pt idx="3">
                  <c:v>5000</c:v>
                </c:pt>
                <c:pt idx="4">
                  <c:v>5000</c:v>
                </c:pt>
                <c:pt idx="5">
                  <c:v>5000</c:v>
                </c:pt>
                <c:pt idx="6">
                  <c:v>5000</c:v>
                </c:pt>
              </c:numCache>
            </c:numRef>
          </c:val>
          <c:smooth val="0"/>
          <c:extLst>
            <c:ext xmlns:c16="http://schemas.microsoft.com/office/drawing/2014/chart" uri="{C3380CC4-5D6E-409C-BE32-E72D297353CC}">
              <c16:uniqueId val="{00000006-DB55-41C5-86D4-B23D062ABFE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7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00"/>
      </c:valAx>
      <c:spPr>
        <a:noFill/>
        <a:ln>
          <a:noFill/>
        </a:ln>
        <a:effectLst/>
      </c:spPr>
    </c:plotArea>
    <c:legend>
      <c:legendPos val="b"/>
      <c:layout>
        <c:manualLayout>
          <c:xMode val="edge"/>
          <c:yMode val="edge"/>
          <c:x val="5.5102490632576596E-4"/>
          <c:y val="0.78453439517778911"/>
          <c:w val="0.9988979501873485"/>
          <c:h val="0.1837799267487001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5.1643192488262914E-2"/>
          <c:w val="0.91479870669681829"/>
          <c:h val="0.56963846068537205"/>
        </c:manualLayout>
      </c:layout>
      <c:lineChart>
        <c:grouping val="standard"/>
        <c:varyColors val="0"/>
        <c:ser>
          <c:idx val="0"/>
          <c:order val="0"/>
          <c:tx>
            <c:strRef>
              <c:f>WQI!$D$90</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WQI!$D$91:$D$97</c:f>
              <c:numCache>
                <c:formatCode>General</c:formatCode>
                <c:ptCount val="7"/>
                <c:pt idx="0">
                  <c:v>93</c:v>
                </c:pt>
                <c:pt idx="1">
                  <c:v>86</c:v>
                </c:pt>
                <c:pt idx="2">
                  <c:v>84</c:v>
                </c:pt>
                <c:pt idx="3">
                  <c:v>95</c:v>
                </c:pt>
                <c:pt idx="4">
                  <c:v>78</c:v>
                </c:pt>
                <c:pt idx="5">
                  <c:v>86</c:v>
                </c:pt>
                <c:pt idx="6">
                  <c:v>84</c:v>
                </c:pt>
              </c:numCache>
            </c:numRef>
          </c:val>
          <c:smooth val="0"/>
          <c:extLst>
            <c:ext xmlns:c16="http://schemas.microsoft.com/office/drawing/2014/chart" uri="{C3380CC4-5D6E-409C-BE32-E72D297353CC}">
              <c16:uniqueId val="{00000000-10FA-4F11-9731-52A16ECDC3EC}"/>
            </c:ext>
          </c:extLst>
        </c:ser>
        <c:ser>
          <c:idx val="1"/>
          <c:order val="1"/>
          <c:tx>
            <c:strRef>
              <c:f>WQI!$E$90</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WQI!$E$91:$E$97</c:f>
              <c:numCache>
                <c:formatCode>General</c:formatCode>
                <c:ptCount val="7"/>
                <c:pt idx="0">
                  <c:v>87</c:v>
                </c:pt>
                <c:pt idx="1">
                  <c:v>87</c:v>
                </c:pt>
                <c:pt idx="2">
                  <c:v>90</c:v>
                </c:pt>
                <c:pt idx="3">
                  <c:v>85</c:v>
                </c:pt>
                <c:pt idx="4">
                  <c:v>85.776865048299783</c:v>
                </c:pt>
                <c:pt idx="5">
                  <c:v>91.111842851632289</c:v>
                </c:pt>
                <c:pt idx="6">
                  <c:v>90.855205615228499</c:v>
                </c:pt>
              </c:numCache>
            </c:numRef>
          </c:val>
          <c:smooth val="0"/>
          <c:extLst>
            <c:ext xmlns:c16="http://schemas.microsoft.com/office/drawing/2014/chart" uri="{C3380CC4-5D6E-409C-BE32-E72D297353CC}">
              <c16:uniqueId val="{00000001-10FA-4F11-9731-52A16ECDC3EC}"/>
            </c:ext>
          </c:extLst>
        </c:ser>
        <c:ser>
          <c:idx val="2"/>
          <c:order val="2"/>
          <c:tx>
            <c:strRef>
              <c:f>WQI!$F$90</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WQI!$F$91:$F$97</c:f>
              <c:numCache>
                <c:formatCode>General</c:formatCode>
                <c:ptCount val="7"/>
                <c:pt idx="0">
                  <c:v>92</c:v>
                </c:pt>
                <c:pt idx="1">
                  <c:v>76</c:v>
                </c:pt>
                <c:pt idx="2">
                  <c:v>86</c:v>
                </c:pt>
                <c:pt idx="3">
                  <c:v>91</c:v>
                </c:pt>
                <c:pt idx="4">
                  <c:v>88.166666666666671</c:v>
                </c:pt>
                <c:pt idx="5">
                  <c:v>98</c:v>
                </c:pt>
                <c:pt idx="6">
                  <c:v>94.5</c:v>
                </c:pt>
              </c:numCache>
            </c:numRef>
          </c:val>
          <c:smooth val="0"/>
          <c:extLst>
            <c:ext xmlns:c16="http://schemas.microsoft.com/office/drawing/2014/chart" uri="{C3380CC4-5D6E-409C-BE32-E72D297353CC}">
              <c16:uniqueId val="{00000002-10FA-4F11-9731-52A16ECDC3EC}"/>
            </c:ext>
          </c:extLst>
        </c:ser>
        <c:ser>
          <c:idx val="3"/>
          <c:order val="3"/>
          <c:tx>
            <c:strRef>
              <c:f>WQI!$G$90</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WQI!$G$91:$G$97</c:f>
              <c:numCache>
                <c:formatCode>General</c:formatCode>
                <c:ptCount val="7"/>
                <c:pt idx="0">
                  <c:v>97</c:v>
                </c:pt>
                <c:pt idx="1">
                  <c:v>98</c:v>
                </c:pt>
                <c:pt idx="2">
                  <c:v>99</c:v>
                </c:pt>
                <c:pt idx="3">
                  <c:v>91</c:v>
                </c:pt>
                <c:pt idx="4" formatCode="0">
                  <c:v>92</c:v>
                </c:pt>
                <c:pt idx="5" formatCode="0">
                  <c:v>95.5</c:v>
                </c:pt>
                <c:pt idx="6" formatCode="0">
                  <c:v>97.333333333333329</c:v>
                </c:pt>
              </c:numCache>
            </c:numRef>
          </c:val>
          <c:smooth val="0"/>
          <c:extLst>
            <c:ext xmlns:c16="http://schemas.microsoft.com/office/drawing/2014/chart" uri="{C3380CC4-5D6E-409C-BE32-E72D297353CC}">
              <c16:uniqueId val="{00000003-10FA-4F11-9731-52A16ECDC3EC}"/>
            </c:ext>
          </c:extLst>
        </c:ser>
        <c:ser>
          <c:idx val="4"/>
          <c:order val="4"/>
          <c:tx>
            <c:strRef>
              <c:f>WQI!$H$90</c:f>
              <c:strCache>
                <c:ptCount val="1"/>
                <c:pt idx="0">
                  <c:v>WQI-Rất tốt (91-100)</c:v>
                </c:pt>
              </c:strCache>
            </c:strRef>
          </c:tx>
          <c:spPr>
            <a:ln w="28575" cap="rnd">
              <a:solidFill>
                <a:schemeClr val="accent5"/>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WQI!$H$91:$H$97</c:f>
              <c:numCache>
                <c:formatCode>General</c:formatCode>
                <c:ptCount val="7"/>
                <c:pt idx="0">
                  <c:v>91</c:v>
                </c:pt>
                <c:pt idx="1">
                  <c:v>91</c:v>
                </c:pt>
                <c:pt idx="2">
                  <c:v>91</c:v>
                </c:pt>
                <c:pt idx="3">
                  <c:v>91</c:v>
                </c:pt>
                <c:pt idx="4">
                  <c:v>91</c:v>
                </c:pt>
                <c:pt idx="5">
                  <c:v>91</c:v>
                </c:pt>
                <c:pt idx="6">
                  <c:v>91</c:v>
                </c:pt>
              </c:numCache>
            </c:numRef>
          </c:val>
          <c:smooth val="0"/>
          <c:extLst>
            <c:ext xmlns:c16="http://schemas.microsoft.com/office/drawing/2014/chart" uri="{C3380CC4-5D6E-409C-BE32-E72D297353CC}">
              <c16:uniqueId val="{00000004-10FA-4F11-9731-52A16ECDC3EC}"/>
            </c:ext>
          </c:extLst>
        </c:ser>
        <c:ser>
          <c:idx val="5"/>
          <c:order val="5"/>
          <c:tx>
            <c:strRef>
              <c:f>WQI!$I$90</c:f>
              <c:strCache>
                <c:ptCount val="1"/>
                <c:pt idx="0">
                  <c:v>WQI-Tốt (76-90)</c:v>
                </c:pt>
              </c:strCache>
            </c:strRef>
          </c:tx>
          <c:spPr>
            <a:ln w="28575" cap="rnd">
              <a:solidFill>
                <a:schemeClr val="accent6"/>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WQI!$I$91:$I$97</c:f>
              <c:numCache>
                <c:formatCode>General</c:formatCode>
                <c:ptCount val="7"/>
                <c:pt idx="0">
                  <c:v>76</c:v>
                </c:pt>
                <c:pt idx="1">
                  <c:v>76</c:v>
                </c:pt>
                <c:pt idx="2">
                  <c:v>76</c:v>
                </c:pt>
                <c:pt idx="3">
                  <c:v>76</c:v>
                </c:pt>
                <c:pt idx="4">
                  <c:v>76</c:v>
                </c:pt>
                <c:pt idx="5">
                  <c:v>76</c:v>
                </c:pt>
                <c:pt idx="6">
                  <c:v>76</c:v>
                </c:pt>
              </c:numCache>
            </c:numRef>
          </c:val>
          <c:smooth val="0"/>
          <c:extLst>
            <c:ext xmlns:c16="http://schemas.microsoft.com/office/drawing/2014/chart" uri="{C3380CC4-5D6E-409C-BE32-E72D297353CC}">
              <c16:uniqueId val="{00000005-10FA-4F11-9731-52A16ECDC3EC}"/>
            </c:ext>
          </c:extLst>
        </c:ser>
        <c:ser>
          <c:idx val="6"/>
          <c:order val="6"/>
          <c:tx>
            <c:strRef>
              <c:f>WQI!$J$90</c:f>
              <c:strCache>
                <c:ptCount val="1"/>
                <c:pt idx="0">
                  <c:v>WQI-Trung bình (51-75)</c:v>
                </c:pt>
              </c:strCache>
            </c:strRef>
          </c:tx>
          <c:spPr>
            <a:ln w="28575" cap="rnd">
              <a:solidFill>
                <a:schemeClr val="accent1">
                  <a:lumMod val="60000"/>
                </a:schemeClr>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WQI!$J$91:$J$97</c:f>
              <c:numCache>
                <c:formatCode>General</c:formatCode>
                <c:ptCount val="7"/>
                <c:pt idx="0">
                  <c:v>51</c:v>
                </c:pt>
                <c:pt idx="1">
                  <c:v>51</c:v>
                </c:pt>
                <c:pt idx="2">
                  <c:v>51</c:v>
                </c:pt>
                <c:pt idx="3">
                  <c:v>51</c:v>
                </c:pt>
                <c:pt idx="4">
                  <c:v>51</c:v>
                </c:pt>
                <c:pt idx="5">
                  <c:v>51</c:v>
                </c:pt>
                <c:pt idx="6">
                  <c:v>51</c:v>
                </c:pt>
              </c:numCache>
            </c:numRef>
          </c:val>
          <c:smooth val="0"/>
          <c:extLst>
            <c:ext xmlns:c16="http://schemas.microsoft.com/office/drawing/2014/chart" uri="{C3380CC4-5D6E-409C-BE32-E72D297353CC}">
              <c16:uniqueId val="{00000006-10FA-4F11-9731-52A16ECDC3EC}"/>
            </c:ext>
          </c:extLst>
        </c:ser>
        <c:ser>
          <c:idx val="7"/>
          <c:order val="7"/>
          <c:tx>
            <c:strRef>
              <c:f>WQI!$K$90</c:f>
              <c:strCache>
                <c:ptCount val="1"/>
                <c:pt idx="0">
                  <c:v>WQI-Xấu (26-50)</c:v>
                </c:pt>
              </c:strCache>
            </c:strRef>
          </c:tx>
          <c:spPr>
            <a:ln w="28575" cap="rnd">
              <a:solidFill>
                <a:schemeClr val="accent2">
                  <a:lumMod val="60000"/>
                </a:schemeClr>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WQI!$K$91:$K$97</c:f>
              <c:numCache>
                <c:formatCode>General</c:formatCode>
                <c:ptCount val="7"/>
                <c:pt idx="0">
                  <c:v>26</c:v>
                </c:pt>
                <c:pt idx="1">
                  <c:v>26</c:v>
                </c:pt>
                <c:pt idx="2">
                  <c:v>26</c:v>
                </c:pt>
                <c:pt idx="3">
                  <c:v>26</c:v>
                </c:pt>
                <c:pt idx="4">
                  <c:v>26</c:v>
                </c:pt>
                <c:pt idx="5">
                  <c:v>26</c:v>
                </c:pt>
                <c:pt idx="6">
                  <c:v>26</c:v>
                </c:pt>
              </c:numCache>
            </c:numRef>
          </c:val>
          <c:smooth val="0"/>
          <c:extLst>
            <c:ext xmlns:c16="http://schemas.microsoft.com/office/drawing/2014/chart" uri="{C3380CC4-5D6E-409C-BE32-E72D297353CC}">
              <c16:uniqueId val="{00000007-10FA-4F11-9731-52A16ECDC3EC}"/>
            </c:ext>
          </c:extLst>
        </c:ser>
        <c:ser>
          <c:idx val="8"/>
          <c:order val="8"/>
          <c:tx>
            <c:strRef>
              <c:f>WQI!$L$90</c:f>
              <c:strCache>
                <c:ptCount val="1"/>
                <c:pt idx="0">
                  <c:v>WQI-Kém (10-25)</c:v>
                </c:pt>
              </c:strCache>
            </c:strRef>
          </c:tx>
          <c:spPr>
            <a:ln w="28575" cap="rnd">
              <a:solidFill>
                <a:schemeClr val="accent3">
                  <a:lumMod val="60000"/>
                </a:schemeClr>
              </a:solidFill>
              <a:round/>
            </a:ln>
            <a:effectLst/>
          </c:spPr>
          <c:marker>
            <c:symbol val="none"/>
          </c:marker>
          <c:cat>
            <c:strRef>
              <c:f>WQI!$C$91:$C$97</c:f>
              <c:strCache>
                <c:ptCount val="7"/>
                <c:pt idx="0">
                  <c:v>Sông Quyền 
(tại cảng Cá Kỳ Hà)</c:v>
                </c:pt>
                <c:pt idx="1">
                  <c:v>Sông Quyền 
(tại cầu Tây Yên)</c:v>
                </c:pt>
                <c:pt idx="2">
                  <c:v>Sông Trí 
(tại cầu Kỳ Hưng)</c:v>
                </c:pt>
                <c:pt idx="3">
                  <c:v>Khe Đá Hát 
(tại cầu Khe Đá Hát)</c:v>
                </c:pt>
                <c:pt idx="4">
                  <c:v>Khe Lau 
(tại cầu Khe Lau)</c:v>
                </c:pt>
                <c:pt idx="5">
                  <c:v>Khe Thầu Dầu 
(tại cầu Thầu Dầu)</c:v>
                </c:pt>
                <c:pt idx="6">
                  <c:v>Khe Thanh Trạng 
(tại cầu Thanh Trạng)</c:v>
                </c:pt>
              </c:strCache>
            </c:strRef>
          </c:cat>
          <c:val>
            <c:numRef>
              <c:f>WQI!$L$91:$L$97</c:f>
              <c:numCache>
                <c:formatCode>General</c:formatCode>
                <c:ptCount val="7"/>
                <c:pt idx="0">
                  <c:v>10</c:v>
                </c:pt>
                <c:pt idx="1">
                  <c:v>10</c:v>
                </c:pt>
                <c:pt idx="2">
                  <c:v>10</c:v>
                </c:pt>
                <c:pt idx="3">
                  <c:v>10</c:v>
                </c:pt>
                <c:pt idx="4">
                  <c:v>10</c:v>
                </c:pt>
                <c:pt idx="5">
                  <c:v>10</c:v>
                </c:pt>
                <c:pt idx="6">
                  <c:v>10</c:v>
                </c:pt>
              </c:numCache>
            </c:numRef>
          </c:val>
          <c:smooth val="0"/>
          <c:extLst>
            <c:ext xmlns:c16="http://schemas.microsoft.com/office/drawing/2014/chart" uri="{C3380CC4-5D6E-409C-BE32-E72D297353CC}">
              <c16:uniqueId val="{00000008-10FA-4F11-9731-52A16ECDC3EC}"/>
            </c:ext>
          </c:extLst>
        </c:ser>
        <c:dLbls>
          <c:showLegendKey val="0"/>
          <c:showVal val="0"/>
          <c:showCatName val="0"/>
          <c:showSerName val="0"/>
          <c:showPercent val="0"/>
          <c:showBubbleSize val="0"/>
        </c:dLbls>
        <c:marker val="1"/>
        <c:smooth val="0"/>
        <c:axId val="375005087"/>
        <c:axId val="375002591"/>
      </c:lineChart>
      <c:catAx>
        <c:axId val="3750050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75002591"/>
        <c:crosses val="autoZero"/>
        <c:auto val="1"/>
        <c:lblAlgn val="ctr"/>
        <c:lblOffset val="100"/>
        <c:noMultiLvlLbl val="0"/>
      </c:catAx>
      <c:valAx>
        <c:axId val="3750025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75005087"/>
        <c:crosses val="autoZero"/>
        <c:crossBetween val="between"/>
      </c:valAx>
      <c:spPr>
        <a:noFill/>
        <a:ln>
          <a:noFill/>
        </a:ln>
        <a:effectLst/>
      </c:spPr>
    </c:plotArea>
    <c:legend>
      <c:legendPos val="b"/>
      <c:layout>
        <c:manualLayout>
          <c:xMode val="edge"/>
          <c:yMode val="edge"/>
          <c:x val="3.5600721278586052E-2"/>
          <c:y val="0.82021995490000366"/>
          <c:w val="0.92659428426637325"/>
          <c:h val="0.1547488078074747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50017671115299E-3"/>
          <c:y val="0.2178520341800975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9530335873543703E-2"/>
          <c:y val="3.4189353781757671E-2"/>
          <c:w val="0.90788356106136947"/>
          <c:h val="0.53535049691822234"/>
        </c:manualLayout>
      </c:layout>
      <c:barChart>
        <c:barDir val="col"/>
        <c:grouping val="clustered"/>
        <c:varyColors val="0"/>
        <c:ser>
          <c:idx val="0"/>
          <c:order val="0"/>
          <c:tx>
            <c:strRef>
              <c:f>'BOD5'!$D$56</c:f>
              <c:strCache>
                <c:ptCount val="1"/>
                <c:pt idx="0">
                  <c:v>2021</c:v>
                </c:pt>
              </c:strCache>
            </c:strRef>
          </c:tx>
          <c:spPr>
            <a:solidFill>
              <a:schemeClr val="accent1"/>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'BOD5'!$D$57:$D$62</c:f>
              <c:numCache>
                <c:formatCode>0.00</c:formatCode>
                <c:ptCount val="6"/>
                <c:pt idx="0">
                  <c:v>8.8833333333333329</c:v>
                </c:pt>
                <c:pt idx="1">
                  <c:v>5.3666666666666671</c:v>
                </c:pt>
                <c:pt idx="2">
                  <c:v>6.1333333333333337</c:v>
                </c:pt>
                <c:pt idx="3">
                  <c:v>9.5666666666666664</c:v>
                </c:pt>
                <c:pt idx="4">
                  <c:v>9.2999999999999989</c:v>
                </c:pt>
                <c:pt idx="5">
                  <c:v>18.933333333333334</c:v>
                </c:pt>
              </c:numCache>
            </c:numRef>
          </c:val>
          <c:extLst>
            <c:ext xmlns:c16="http://schemas.microsoft.com/office/drawing/2014/chart" uri="{C3380CC4-5D6E-409C-BE32-E72D297353CC}">
              <c16:uniqueId val="{00000000-AA73-4969-9F02-324F9568F65F}"/>
            </c:ext>
          </c:extLst>
        </c:ser>
        <c:ser>
          <c:idx val="1"/>
          <c:order val="1"/>
          <c:tx>
            <c:strRef>
              <c:f>'BOD5'!$E$56</c:f>
              <c:strCache>
                <c:ptCount val="1"/>
                <c:pt idx="0">
                  <c:v>2022</c:v>
                </c:pt>
              </c:strCache>
            </c:strRef>
          </c:tx>
          <c:spPr>
            <a:solidFill>
              <a:schemeClr val="accent2"/>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'BOD5'!$E$57:$E$62</c:f>
              <c:numCache>
                <c:formatCode>0.00</c:formatCode>
                <c:ptCount val="6"/>
                <c:pt idx="0">
                  <c:v>6.4333333333333336</c:v>
                </c:pt>
                <c:pt idx="1">
                  <c:v>6.0166666666666666</c:v>
                </c:pt>
                <c:pt idx="2">
                  <c:v>6.6999999999999993</c:v>
                </c:pt>
                <c:pt idx="3">
                  <c:v>5.1166666666666663</c:v>
                </c:pt>
                <c:pt idx="4">
                  <c:v>9.5833333333333339</c:v>
                </c:pt>
                <c:pt idx="5">
                  <c:v>5.0333333333333332</c:v>
                </c:pt>
              </c:numCache>
            </c:numRef>
          </c:val>
          <c:extLst>
            <c:ext xmlns:c16="http://schemas.microsoft.com/office/drawing/2014/chart" uri="{C3380CC4-5D6E-409C-BE32-E72D297353CC}">
              <c16:uniqueId val="{00000001-AA73-4969-9F02-324F9568F65F}"/>
            </c:ext>
          </c:extLst>
        </c:ser>
        <c:ser>
          <c:idx val="2"/>
          <c:order val="2"/>
          <c:tx>
            <c:strRef>
              <c:f>'BOD5'!$F$56</c:f>
              <c:strCache>
                <c:ptCount val="1"/>
                <c:pt idx="0">
                  <c:v>2023</c:v>
                </c:pt>
              </c:strCache>
            </c:strRef>
          </c:tx>
          <c:spPr>
            <a:solidFill>
              <a:schemeClr val="accent3"/>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'BOD5'!$F$57:$F$62</c:f>
              <c:numCache>
                <c:formatCode>0.00</c:formatCode>
                <c:ptCount val="6"/>
                <c:pt idx="0">
                  <c:v>5.3616666666666672</c:v>
                </c:pt>
                <c:pt idx="1">
                  <c:v>3.1733333333333333</c:v>
                </c:pt>
                <c:pt idx="2">
                  <c:v>4.4733333333333327</c:v>
                </c:pt>
                <c:pt idx="3">
                  <c:v>1.8333333333333333</c:v>
                </c:pt>
                <c:pt idx="4">
                  <c:v>4.916666666666667</c:v>
                </c:pt>
                <c:pt idx="5">
                  <c:v>1.8033333333333335</c:v>
                </c:pt>
              </c:numCache>
            </c:numRef>
          </c:val>
          <c:extLst>
            <c:ext xmlns:c16="http://schemas.microsoft.com/office/drawing/2014/chart" uri="{C3380CC4-5D6E-409C-BE32-E72D297353CC}">
              <c16:uniqueId val="{00000002-AA73-4969-9F02-324F9568F65F}"/>
            </c:ext>
          </c:extLst>
        </c:ser>
        <c:ser>
          <c:idx val="3"/>
          <c:order val="3"/>
          <c:tx>
            <c:strRef>
              <c:f>'BOD5'!$G$56</c:f>
              <c:strCache>
                <c:ptCount val="1"/>
                <c:pt idx="0">
                  <c:v>2024</c:v>
                </c:pt>
              </c:strCache>
            </c:strRef>
          </c:tx>
          <c:spPr>
            <a:solidFill>
              <a:schemeClr val="accent4"/>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'BOD5'!$G$57:$G$62</c:f>
              <c:numCache>
                <c:formatCode>0.00</c:formatCode>
                <c:ptCount val="6"/>
                <c:pt idx="0">
                  <c:v>3.6416666666666671</c:v>
                </c:pt>
                <c:pt idx="1">
                  <c:v>3.1549999999999998</c:v>
                </c:pt>
                <c:pt idx="2">
                  <c:v>4.4050000000000002</c:v>
                </c:pt>
                <c:pt idx="3">
                  <c:v>0.87</c:v>
                </c:pt>
                <c:pt idx="4">
                  <c:v>2.5133333333333332</c:v>
                </c:pt>
                <c:pt idx="5">
                  <c:v>1.3666666666666665</c:v>
                </c:pt>
              </c:numCache>
            </c:numRef>
          </c:val>
          <c:extLst>
            <c:ext xmlns:c16="http://schemas.microsoft.com/office/drawing/2014/chart" uri="{C3380CC4-5D6E-409C-BE32-E72D297353CC}">
              <c16:uniqueId val="{00000003-AA73-4969-9F02-324F9568F65F}"/>
            </c:ext>
          </c:extLst>
        </c:ser>
        <c:ser>
          <c:idx val="4"/>
          <c:order val="4"/>
          <c:tx>
            <c:strRef>
              <c:f>'BOD5'!$H$56</c:f>
              <c:strCache>
                <c:ptCount val="1"/>
                <c:pt idx="0">
                  <c:v>2025</c:v>
                </c:pt>
              </c:strCache>
            </c:strRef>
          </c:tx>
          <c:spPr>
            <a:solidFill>
              <a:schemeClr val="accent5"/>
            </a:solidFill>
            <a:ln>
              <a:noFill/>
            </a:ln>
            <a:effectLst/>
          </c:spPr>
          <c:invertIfNegative val="0"/>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'BOD5'!$H$57:$H$62</c:f>
              <c:numCache>
                <c:formatCode>0.00</c:formatCode>
                <c:ptCount val="6"/>
                <c:pt idx="0">
                  <c:v>3.92</c:v>
                </c:pt>
                <c:pt idx="1">
                  <c:v>4.1500000000000004</c:v>
                </c:pt>
                <c:pt idx="2">
                  <c:v>1</c:v>
                </c:pt>
                <c:pt idx="3">
                  <c:v>1.1499999999999999</c:v>
                </c:pt>
                <c:pt idx="4">
                  <c:v>3.1500000000000004</c:v>
                </c:pt>
                <c:pt idx="5">
                  <c:v>1.73</c:v>
                </c:pt>
              </c:numCache>
            </c:numRef>
          </c:val>
          <c:extLst>
            <c:ext xmlns:c16="http://schemas.microsoft.com/office/drawing/2014/chart" uri="{C3380CC4-5D6E-409C-BE32-E72D297353CC}">
              <c16:uniqueId val="{00000004-AA73-4969-9F02-324F9568F65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'BOD5'!$I$56</c:f>
              <c:strCache>
                <c:ptCount val="1"/>
                <c:pt idx="0">
                  <c:v>QCVN 08-MT:2015/BTNMT (Cột A2)</c:v>
                </c:pt>
              </c:strCache>
            </c:strRef>
          </c:tx>
          <c:spPr>
            <a:ln w="22225" cap="rnd">
              <a:solidFill>
                <a:schemeClr val="accent6"/>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'BOD5'!$I$57:$I$62</c:f>
              <c:numCache>
                <c:formatCode>General</c:formatCode>
                <c:ptCount val="6"/>
                <c:pt idx="5">
                  <c:v>6</c:v>
                </c:pt>
              </c:numCache>
            </c:numRef>
          </c:val>
          <c:smooth val="0"/>
          <c:extLst>
            <c:ext xmlns:c16="http://schemas.microsoft.com/office/drawing/2014/chart" uri="{C3380CC4-5D6E-409C-BE32-E72D297353CC}">
              <c16:uniqueId val="{00000005-AA73-4969-9F02-324F9568F65F}"/>
            </c:ext>
          </c:extLst>
        </c:ser>
        <c:ser>
          <c:idx val="6"/>
          <c:order val="6"/>
          <c:tx>
            <c:strRef>
              <c:f>'BOD5'!$J$56</c:f>
              <c:strCache>
                <c:ptCount val="1"/>
                <c:pt idx="0">
                  <c:v>QCVN 08-MT:2015/BTNMT (Cột B1)</c:v>
                </c:pt>
              </c:strCache>
            </c:strRef>
          </c:tx>
          <c:spPr>
            <a:ln w="22225" cap="rnd">
              <a:solidFill>
                <a:schemeClr val="accent1">
                  <a:lumMod val="60000"/>
                </a:schemeClr>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'BOD5'!$J$57:$J$62</c:f>
              <c:numCache>
                <c:formatCode>General</c:formatCode>
                <c:ptCount val="6"/>
                <c:pt idx="0">
                  <c:v>15</c:v>
                </c:pt>
                <c:pt idx="1">
                  <c:v>15</c:v>
                </c:pt>
                <c:pt idx="2">
                  <c:v>15</c:v>
                </c:pt>
                <c:pt idx="3">
                  <c:v>15</c:v>
                </c:pt>
                <c:pt idx="4">
                  <c:v>15</c:v>
                </c:pt>
              </c:numCache>
            </c:numRef>
          </c:val>
          <c:smooth val="0"/>
          <c:extLst>
            <c:ext xmlns:c16="http://schemas.microsoft.com/office/drawing/2014/chart" uri="{C3380CC4-5D6E-409C-BE32-E72D297353CC}">
              <c16:uniqueId val="{00000006-AA73-4969-9F02-324F9568F65F}"/>
            </c:ext>
          </c:extLst>
        </c:ser>
        <c:ser>
          <c:idx val="7"/>
          <c:order val="7"/>
          <c:tx>
            <c:strRef>
              <c:f>'BOD5'!$K$56</c:f>
              <c:strCache>
                <c:ptCount val="1"/>
                <c:pt idx="0">
                  <c:v>QCVN 08:2023/BTNMT (Mức A)</c:v>
                </c:pt>
              </c:strCache>
            </c:strRef>
          </c:tx>
          <c:spPr>
            <a:ln w="22225" cap="rnd">
              <a:solidFill>
                <a:schemeClr val="accent2">
                  <a:lumMod val="60000"/>
                </a:schemeClr>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'BOD5'!$K$57:$K$62</c:f>
              <c:numCache>
                <c:formatCode>General</c:formatCode>
                <c:ptCount val="6"/>
                <c:pt idx="5">
                  <c:v>4</c:v>
                </c:pt>
              </c:numCache>
            </c:numRef>
          </c:val>
          <c:smooth val="0"/>
          <c:extLst>
            <c:ext xmlns:c16="http://schemas.microsoft.com/office/drawing/2014/chart" uri="{C3380CC4-5D6E-409C-BE32-E72D297353CC}">
              <c16:uniqueId val="{00000007-AA73-4969-9F02-324F9568F65F}"/>
            </c:ext>
          </c:extLst>
        </c:ser>
        <c:ser>
          <c:idx val="8"/>
          <c:order val="8"/>
          <c:tx>
            <c:strRef>
              <c:f>'BOD5'!$L$56</c:f>
              <c:strCache>
                <c:ptCount val="1"/>
                <c:pt idx="0">
                  <c:v>QCVN 08:2023/BTNMT (Mức B)</c:v>
                </c:pt>
              </c:strCache>
            </c:strRef>
          </c:tx>
          <c:spPr>
            <a:ln w="22225" cap="rnd">
              <a:solidFill>
                <a:schemeClr val="accent3">
                  <a:lumMod val="60000"/>
                </a:schemeClr>
              </a:solidFill>
              <a:round/>
            </a:ln>
            <a:effectLst/>
          </c:spPr>
          <c:marker>
            <c:symbol val="none"/>
          </c:marker>
          <c:cat>
            <c:strRef>
              <c:f>'BOD5'!$B$57:$C$62</c:f>
              <c:strCache>
                <c:ptCount val="6"/>
                <c:pt idx="0">
                  <c:v>Sông Mỹ Dương (tại cầu Cương Gián)</c:v>
                </c:pt>
                <c:pt idx="1">
                  <c:v>Sông Gia Hội (tại chân cầu Họ)</c:v>
                </c:pt>
                <c:pt idx="2">
                  <c:v>Kênh thoát lũ (tại P. Kỳ Phương)</c:v>
                </c:pt>
                <c:pt idx="3">
                  <c:v>Sông Vịnh (tại cầu Kỳ Hải)</c:v>
                </c:pt>
                <c:pt idx="4">
                  <c:v>Sông Nhà Lê (tại cầu Thượng)</c:v>
                </c:pt>
                <c:pt idx="5">
                  <c:v>Sông Rào Trổ (tại đập dâng Lạc Tiến)</c:v>
                </c:pt>
              </c:strCache>
            </c:strRef>
          </c:cat>
          <c:val>
            <c:numRef>
              <c:f>'BOD5'!$L$57:$L$62</c:f>
              <c:numCache>
                <c:formatCode>0.00</c:formatCode>
                <c:ptCount val="6"/>
                <c:pt idx="0">
                  <c:v>6</c:v>
                </c:pt>
                <c:pt idx="1">
                  <c:v>6</c:v>
                </c:pt>
                <c:pt idx="2">
                  <c:v>6</c:v>
                </c:pt>
                <c:pt idx="3">
                  <c:v>6</c:v>
                </c:pt>
                <c:pt idx="4">
                  <c:v>6</c:v>
                </c:pt>
              </c:numCache>
            </c:numRef>
          </c:val>
          <c:smooth val="0"/>
          <c:extLst>
            <c:ext xmlns:c16="http://schemas.microsoft.com/office/drawing/2014/chart" uri="{C3380CC4-5D6E-409C-BE32-E72D297353CC}">
              <c16:uniqueId val="{00000008-AA73-4969-9F02-324F9568F65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0"/>
          <c:y val="0.78835684755091884"/>
          <c:w val="0.9980826068771379"/>
          <c:h val="0.2116431524490810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50017671115299E-3"/>
          <c:y val="0.2178520341800975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7142792681000841E-2"/>
          <c:y val="3.2204747493634535E-2"/>
          <c:w val="0.91008766068667246"/>
          <c:h val="0.56439218184798146"/>
        </c:manualLayout>
      </c:layout>
      <c:barChart>
        <c:barDir val="col"/>
        <c:grouping val="clustered"/>
        <c:varyColors val="0"/>
        <c:ser>
          <c:idx val="0"/>
          <c:order val="0"/>
          <c:tx>
            <c:strRef>
              <c:f>COD!$D$50</c:f>
              <c:strCache>
                <c:ptCount val="1"/>
                <c:pt idx="0">
                  <c:v>2021</c:v>
                </c:pt>
              </c:strCache>
            </c:strRef>
          </c:tx>
          <c:spPr>
            <a:solidFill>
              <a:schemeClr val="accent1"/>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COD!$D$51:$D$56</c:f>
              <c:numCache>
                <c:formatCode>0.00</c:formatCode>
                <c:ptCount val="6"/>
                <c:pt idx="0">
                  <c:v>17</c:v>
                </c:pt>
                <c:pt idx="1">
                  <c:v>13.333333333333334</c:v>
                </c:pt>
                <c:pt idx="2">
                  <c:v>16</c:v>
                </c:pt>
                <c:pt idx="3">
                  <c:v>12.166666666666666</c:v>
                </c:pt>
                <c:pt idx="4">
                  <c:v>19.333333333333332</c:v>
                </c:pt>
                <c:pt idx="5">
                  <c:v>10</c:v>
                </c:pt>
              </c:numCache>
            </c:numRef>
          </c:val>
          <c:extLst>
            <c:ext xmlns:c16="http://schemas.microsoft.com/office/drawing/2014/chart" uri="{C3380CC4-5D6E-409C-BE32-E72D297353CC}">
              <c16:uniqueId val="{00000000-220D-4CDD-A7B4-983A56A94603}"/>
            </c:ext>
          </c:extLst>
        </c:ser>
        <c:ser>
          <c:idx val="1"/>
          <c:order val="1"/>
          <c:tx>
            <c:strRef>
              <c:f>COD!$E$50</c:f>
              <c:strCache>
                <c:ptCount val="1"/>
                <c:pt idx="0">
                  <c:v>2022</c:v>
                </c:pt>
              </c:strCache>
            </c:strRef>
          </c:tx>
          <c:spPr>
            <a:solidFill>
              <a:schemeClr val="accent2"/>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COD!$E$51:$E$56</c:f>
              <c:numCache>
                <c:formatCode>0.00</c:formatCode>
                <c:ptCount val="6"/>
                <c:pt idx="0">
                  <c:v>14.666666666666666</c:v>
                </c:pt>
                <c:pt idx="1">
                  <c:v>14.666666666666666</c:v>
                </c:pt>
                <c:pt idx="2">
                  <c:v>10.666666666666666</c:v>
                </c:pt>
                <c:pt idx="3">
                  <c:v>15.333333333333334</c:v>
                </c:pt>
                <c:pt idx="4">
                  <c:v>21</c:v>
                </c:pt>
                <c:pt idx="5">
                  <c:v>11.333333333333334</c:v>
                </c:pt>
              </c:numCache>
            </c:numRef>
          </c:val>
          <c:extLst>
            <c:ext xmlns:c16="http://schemas.microsoft.com/office/drawing/2014/chart" uri="{C3380CC4-5D6E-409C-BE32-E72D297353CC}">
              <c16:uniqueId val="{00000001-220D-4CDD-A7B4-983A56A94603}"/>
            </c:ext>
          </c:extLst>
        </c:ser>
        <c:ser>
          <c:idx val="2"/>
          <c:order val="2"/>
          <c:tx>
            <c:strRef>
              <c:f>COD!$F$50</c:f>
              <c:strCache>
                <c:ptCount val="1"/>
                <c:pt idx="0">
                  <c:v>2023</c:v>
                </c:pt>
              </c:strCache>
            </c:strRef>
          </c:tx>
          <c:spPr>
            <a:solidFill>
              <a:schemeClr val="accent3"/>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COD!$F$51:$F$56</c:f>
              <c:numCache>
                <c:formatCode>0.00</c:formatCode>
                <c:ptCount val="6"/>
                <c:pt idx="0">
                  <c:v>21.333333333333332</c:v>
                </c:pt>
                <c:pt idx="1">
                  <c:v>12</c:v>
                </c:pt>
                <c:pt idx="2">
                  <c:v>11.333333333333334</c:v>
                </c:pt>
                <c:pt idx="3">
                  <c:v>16</c:v>
                </c:pt>
                <c:pt idx="4">
                  <c:v>18</c:v>
                </c:pt>
                <c:pt idx="5">
                  <c:v>5.333333333333333</c:v>
                </c:pt>
              </c:numCache>
            </c:numRef>
          </c:val>
          <c:extLst>
            <c:ext xmlns:c16="http://schemas.microsoft.com/office/drawing/2014/chart" uri="{C3380CC4-5D6E-409C-BE32-E72D297353CC}">
              <c16:uniqueId val="{00000002-220D-4CDD-A7B4-983A56A94603}"/>
            </c:ext>
          </c:extLst>
        </c:ser>
        <c:ser>
          <c:idx val="3"/>
          <c:order val="3"/>
          <c:tx>
            <c:strRef>
              <c:f>COD!$G$50</c:f>
              <c:strCache>
                <c:ptCount val="1"/>
                <c:pt idx="0">
                  <c:v>2024</c:v>
                </c:pt>
              </c:strCache>
            </c:strRef>
          </c:tx>
          <c:spPr>
            <a:solidFill>
              <a:schemeClr val="accent4"/>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COD!$G$51:$G$56</c:f>
              <c:numCache>
                <c:formatCode>0.00</c:formatCode>
                <c:ptCount val="6"/>
                <c:pt idx="0">
                  <c:v>14.666666666666666</c:v>
                </c:pt>
                <c:pt idx="1">
                  <c:v>16</c:v>
                </c:pt>
                <c:pt idx="2">
                  <c:v>10</c:v>
                </c:pt>
                <c:pt idx="3">
                  <c:v>10.666666666666666</c:v>
                </c:pt>
                <c:pt idx="4">
                  <c:v>12</c:v>
                </c:pt>
                <c:pt idx="5">
                  <c:v>8.6666666666666661</c:v>
                </c:pt>
              </c:numCache>
            </c:numRef>
          </c:val>
          <c:extLst>
            <c:ext xmlns:c16="http://schemas.microsoft.com/office/drawing/2014/chart" uri="{C3380CC4-5D6E-409C-BE32-E72D297353CC}">
              <c16:uniqueId val="{00000003-220D-4CDD-A7B4-983A56A94603}"/>
            </c:ext>
          </c:extLst>
        </c:ser>
        <c:ser>
          <c:idx val="4"/>
          <c:order val="4"/>
          <c:tx>
            <c:strRef>
              <c:f>COD!$H$50</c:f>
              <c:strCache>
                <c:ptCount val="1"/>
                <c:pt idx="0">
                  <c:v>2025</c:v>
                </c:pt>
              </c:strCache>
            </c:strRef>
          </c:tx>
          <c:spPr>
            <a:solidFill>
              <a:schemeClr val="accent5"/>
            </a:solidFill>
            <a:ln>
              <a:noFill/>
            </a:ln>
            <a:effectLst/>
          </c:spPr>
          <c:invertIfNegative val="0"/>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COD!$H$51:$H$56</c:f>
              <c:numCache>
                <c:formatCode>0.00</c:formatCode>
                <c:ptCount val="6"/>
                <c:pt idx="0">
                  <c:v>16</c:v>
                </c:pt>
                <c:pt idx="1">
                  <c:v>13</c:v>
                </c:pt>
                <c:pt idx="2">
                  <c:v>8</c:v>
                </c:pt>
                <c:pt idx="3">
                  <c:v>5</c:v>
                </c:pt>
                <c:pt idx="4">
                  <c:v>18.5</c:v>
                </c:pt>
                <c:pt idx="5">
                  <c:v>15</c:v>
                </c:pt>
              </c:numCache>
            </c:numRef>
          </c:val>
          <c:extLst>
            <c:ext xmlns:c16="http://schemas.microsoft.com/office/drawing/2014/chart" uri="{C3380CC4-5D6E-409C-BE32-E72D297353CC}">
              <c16:uniqueId val="{00000004-220D-4CDD-A7B4-983A56A9460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COD!$I$50</c:f>
              <c:strCache>
                <c:ptCount val="1"/>
                <c:pt idx="0">
                  <c:v>QCVN 08-MT:2015/BTNMT (Cột A2)</c:v>
                </c:pt>
              </c:strCache>
            </c:strRef>
          </c:tx>
          <c:spPr>
            <a:ln w="22225" cap="rnd">
              <a:solidFill>
                <a:schemeClr val="accent6"/>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COD!$I$51:$I$56</c:f>
              <c:numCache>
                <c:formatCode>General</c:formatCode>
                <c:ptCount val="6"/>
                <c:pt idx="5">
                  <c:v>15</c:v>
                </c:pt>
              </c:numCache>
            </c:numRef>
          </c:val>
          <c:smooth val="0"/>
          <c:extLst>
            <c:ext xmlns:c16="http://schemas.microsoft.com/office/drawing/2014/chart" uri="{C3380CC4-5D6E-409C-BE32-E72D297353CC}">
              <c16:uniqueId val="{00000005-220D-4CDD-A7B4-983A56A94603}"/>
            </c:ext>
          </c:extLst>
        </c:ser>
        <c:ser>
          <c:idx val="6"/>
          <c:order val="6"/>
          <c:tx>
            <c:strRef>
              <c:f>COD!$J$50</c:f>
              <c:strCache>
                <c:ptCount val="1"/>
                <c:pt idx="0">
                  <c:v>QCVN 08-MT:2015/BTNMT (Cột B1)</c:v>
                </c:pt>
              </c:strCache>
            </c:strRef>
          </c:tx>
          <c:spPr>
            <a:ln w="22225" cap="rnd">
              <a:solidFill>
                <a:schemeClr val="accent1">
                  <a:lumMod val="60000"/>
                </a:schemeClr>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COD!$J$51:$J$56</c:f>
              <c:numCache>
                <c:formatCode>General</c:formatCode>
                <c:ptCount val="6"/>
                <c:pt idx="0">
                  <c:v>30</c:v>
                </c:pt>
                <c:pt idx="1">
                  <c:v>30</c:v>
                </c:pt>
                <c:pt idx="2">
                  <c:v>30</c:v>
                </c:pt>
                <c:pt idx="3">
                  <c:v>30</c:v>
                </c:pt>
                <c:pt idx="4">
                  <c:v>30</c:v>
                </c:pt>
              </c:numCache>
            </c:numRef>
          </c:val>
          <c:smooth val="0"/>
          <c:extLst>
            <c:ext xmlns:c16="http://schemas.microsoft.com/office/drawing/2014/chart" uri="{C3380CC4-5D6E-409C-BE32-E72D297353CC}">
              <c16:uniqueId val="{00000006-220D-4CDD-A7B4-983A56A94603}"/>
            </c:ext>
          </c:extLst>
        </c:ser>
        <c:ser>
          <c:idx val="7"/>
          <c:order val="7"/>
          <c:tx>
            <c:strRef>
              <c:f>COD!$K$50</c:f>
              <c:strCache>
                <c:ptCount val="1"/>
                <c:pt idx="0">
                  <c:v>QCVN 08:2023/BTNMT (Mức A)</c:v>
                </c:pt>
              </c:strCache>
            </c:strRef>
          </c:tx>
          <c:spPr>
            <a:ln w="22225" cap="rnd">
              <a:solidFill>
                <a:schemeClr val="accent2">
                  <a:lumMod val="60000"/>
                </a:schemeClr>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COD!$K$51:$K$56</c:f>
              <c:numCache>
                <c:formatCode>General</c:formatCode>
                <c:ptCount val="6"/>
                <c:pt idx="5">
                  <c:v>10</c:v>
                </c:pt>
              </c:numCache>
            </c:numRef>
          </c:val>
          <c:smooth val="0"/>
          <c:extLst>
            <c:ext xmlns:c16="http://schemas.microsoft.com/office/drawing/2014/chart" uri="{C3380CC4-5D6E-409C-BE32-E72D297353CC}">
              <c16:uniqueId val="{00000007-220D-4CDD-A7B4-983A56A94603}"/>
            </c:ext>
          </c:extLst>
        </c:ser>
        <c:ser>
          <c:idx val="8"/>
          <c:order val="8"/>
          <c:tx>
            <c:strRef>
              <c:f>COD!$L$50</c:f>
              <c:strCache>
                <c:ptCount val="1"/>
                <c:pt idx="0">
                  <c:v>QCVN 08:2023/BTNMT (Mức B)</c:v>
                </c:pt>
              </c:strCache>
            </c:strRef>
          </c:tx>
          <c:spPr>
            <a:ln w="22225" cap="rnd">
              <a:solidFill>
                <a:schemeClr val="accent3">
                  <a:lumMod val="60000"/>
                </a:schemeClr>
              </a:solidFill>
              <a:round/>
            </a:ln>
            <a:effectLst/>
          </c:spPr>
          <c:marker>
            <c:symbol val="none"/>
          </c:marker>
          <c:cat>
            <c:strRef>
              <c:f>COD!$B$51:$C$56</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COD!$L$51:$L$56</c:f>
              <c:numCache>
                <c:formatCode>0.00</c:formatCode>
                <c:ptCount val="6"/>
                <c:pt idx="0">
                  <c:v>15</c:v>
                </c:pt>
                <c:pt idx="1">
                  <c:v>15</c:v>
                </c:pt>
                <c:pt idx="2">
                  <c:v>15</c:v>
                </c:pt>
                <c:pt idx="3">
                  <c:v>15</c:v>
                </c:pt>
                <c:pt idx="4">
                  <c:v>15</c:v>
                </c:pt>
              </c:numCache>
            </c:numRef>
          </c:val>
          <c:smooth val="0"/>
          <c:extLst>
            <c:ext xmlns:c16="http://schemas.microsoft.com/office/drawing/2014/chart" uri="{C3380CC4-5D6E-409C-BE32-E72D297353CC}">
              <c16:uniqueId val="{00000008-220D-4CDD-A7B4-983A56A9460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0"/>
          <c:y val="0.78378428290131275"/>
          <c:w val="0.9980826068771379"/>
          <c:h val="0.1810354180661454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959999741906066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8.0783201636934462E-2"/>
          <c:y val="4.1337181606747556E-2"/>
          <c:w val="0.91092521854428765"/>
          <c:h val="0.50580385061767541"/>
        </c:manualLayout>
      </c:layout>
      <c:barChart>
        <c:barDir val="col"/>
        <c:grouping val="clustered"/>
        <c:varyColors val="0"/>
        <c:ser>
          <c:idx val="0"/>
          <c:order val="0"/>
          <c:tx>
            <c:strRef>
              <c:f>TSS!$D$51</c:f>
              <c:strCache>
                <c:ptCount val="1"/>
                <c:pt idx="0">
                  <c:v>2021</c:v>
                </c:pt>
              </c:strCache>
            </c:strRef>
          </c:tx>
          <c:spPr>
            <a:solidFill>
              <a:schemeClr val="accent1"/>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TSS!$D$52:$D$57</c:f>
              <c:numCache>
                <c:formatCode>0.00</c:formatCode>
                <c:ptCount val="6"/>
                <c:pt idx="0">
                  <c:v>17.5</c:v>
                </c:pt>
                <c:pt idx="1">
                  <c:v>16.166666666666668</c:v>
                </c:pt>
                <c:pt idx="2">
                  <c:v>19.5</c:v>
                </c:pt>
                <c:pt idx="3">
                  <c:v>14.166666666666666</c:v>
                </c:pt>
                <c:pt idx="4">
                  <c:v>17.333333333333332</c:v>
                </c:pt>
                <c:pt idx="5">
                  <c:v>14.5</c:v>
                </c:pt>
              </c:numCache>
            </c:numRef>
          </c:val>
          <c:extLst>
            <c:ext xmlns:c16="http://schemas.microsoft.com/office/drawing/2014/chart" uri="{C3380CC4-5D6E-409C-BE32-E72D297353CC}">
              <c16:uniqueId val="{00000000-779B-4EAA-A7BA-2C740EF7F23F}"/>
            </c:ext>
          </c:extLst>
        </c:ser>
        <c:ser>
          <c:idx val="1"/>
          <c:order val="1"/>
          <c:tx>
            <c:strRef>
              <c:f>TSS!$E$51</c:f>
              <c:strCache>
                <c:ptCount val="1"/>
                <c:pt idx="0">
                  <c:v>2022</c:v>
                </c:pt>
              </c:strCache>
            </c:strRef>
          </c:tx>
          <c:spPr>
            <a:solidFill>
              <a:schemeClr val="accent2"/>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TSS!$E$52:$E$57</c:f>
              <c:numCache>
                <c:formatCode>0.00</c:formatCode>
                <c:ptCount val="6"/>
                <c:pt idx="0">
                  <c:v>13.75</c:v>
                </c:pt>
                <c:pt idx="1">
                  <c:v>14.133333333333333</c:v>
                </c:pt>
                <c:pt idx="2">
                  <c:v>14.6</c:v>
                </c:pt>
                <c:pt idx="3">
                  <c:v>12.083333333333334</c:v>
                </c:pt>
                <c:pt idx="4">
                  <c:v>17.5</c:v>
                </c:pt>
                <c:pt idx="5">
                  <c:v>11.5</c:v>
                </c:pt>
              </c:numCache>
            </c:numRef>
          </c:val>
          <c:extLst>
            <c:ext xmlns:c16="http://schemas.microsoft.com/office/drawing/2014/chart" uri="{C3380CC4-5D6E-409C-BE32-E72D297353CC}">
              <c16:uniqueId val="{00000001-779B-4EAA-A7BA-2C740EF7F23F}"/>
            </c:ext>
          </c:extLst>
        </c:ser>
        <c:ser>
          <c:idx val="2"/>
          <c:order val="2"/>
          <c:tx>
            <c:strRef>
              <c:f>TSS!$F$51</c:f>
              <c:strCache>
                <c:ptCount val="1"/>
                <c:pt idx="0">
                  <c:v>2023</c:v>
                </c:pt>
              </c:strCache>
            </c:strRef>
          </c:tx>
          <c:spPr>
            <a:solidFill>
              <a:schemeClr val="accent3"/>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TSS!$F$52:$F$57</c:f>
              <c:numCache>
                <c:formatCode>0.00</c:formatCode>
                <c:ptCount val="6"/>
                <c:pt idx="0">
                  <c:v>13.833333333333334</c:v>
                </c:pt>
                <c:pt idx="1">
                  <c:v>12.016666666666666</c:v>
                </c:pt>
                <c:pt idx="2">
                  <c:v>13.833333333333334</c:v>
                </c:pt>
                <c:pt idx="3">
                  <c:v>12.75</c:v>
                </c:pt>
                <c:pt idx="4">
                  <c:v>16.666666666666668</c:v>
                </c:pt>
                <c:pt idx="5">
                  <c:v>2.3833333333333333</c:v>
                </c:pt>
              </c:numCache>
            </c:numRef>
          </c:val>
          <c:extLst>
            <c:ext xmlns:c16="http://schemas.microsoft.com/office/drawing/2014/chart" uri="{C3380CC4-5D6E-409C-BE32-E72D297353CC}">
              <c16:uniqueId val="{00000002-779B-4EAA-A7BA-2C740EF7F23F}"/>
            </c:ext>
          </c:extLst>
        </c:ser>
        <c:ser>
          <c:idx val="3"/>
          <c:order val="3"/>
          <c:tx>
            <c:strRef>
              <c:f>TSS!$G$51</c:f>
              <c:strCache>
                <c:ptCount val="1"/>
                <c:pt idx="0">
                  <c:v>2024</c:v>
                </c:pt>
              </c:strCache>
            </c:strRef>
          </c:tx>
          <c:spPr>
            <a:solidFill>
              <a:schemeClr val="accent4"/>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TSS!$G$52:$G$57</c:f>
              <c:numCache>
                <c:formatCode>0.00</c:formatCode>
                <c:ptCount val="6"/>
                <c:pt idx="0">
                  <c:v>13.049999999999999</c:v>
                </c:pt>
                <c:pt idx="1">
                  <c:v>13.583333333333334</c:v>
                </c:pt>
                <c:pt idx="2">
                  <c:v>13.333333333333334</c:v>
                </c:pt>
                <c:pt idx="3">
                  <c:v>10.116666666666667</c:v>
                </c:pt>
                <c:pt idx="4">
                  <c:v>15.116666666666667</c:v>
                </c:pt>
                <c:pt idx="5">
                  <c:v>4.9166666666666661</c:v>
                </c:pt>
              </c:numCache>
            </c:numRef>
          </c:val>
          <c:extLst>
            <c:ext xmlns:c16="http://schemas.microsoft.com/office/drawing/2014/chart" uri="{C3380CC4-5D6E-409C-BE32-E72D297353CC}">
              <c16:uniqueId val="{00000003-779B-4EAA-A7BA-2C740EF7F23F}"/>
            </c:ext>
          </c:extLst>
        </c:ser>
        <c:ser>
          <c:idx val="4"/>
          <c:order val="4"/>
          <c:tx>
            <c:strRef>
              <c:f>TSS!$H$51</c:f>
              <c:strCache>
                <c:ptCount val="1"/>
                <c:pt idx="0">
                  <c:v>2025</c:v>
                </c:pt>
              </c:strCache>
            </c:strRef>
          </c:tx>
          <c:spPr>
            <a:solidFill>
              <a:schemeClr val="accent5"/>
            </a:solidFill>
            <a:ln>
              <a:noFill/>
            </a:ln>
            <a:effectLst/>
          </c:spPr>
          <c:invertIfNegative val="0"/>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TSS!$H$52:$H$57</c:f>
              <c:numCache>
                <c:formatCode>0.00</c:formatCode>
                <c:ptCount val="6"/>
                <c:pt idx="0">
                  <c:v>10.8</c:v>
                </c:pt>
                <c:pt idx="1">
                  <c:v>11.25</c:v>
                </c:pt>
                <c:pt idx="2">
                  <c:v>11.15</c:v>
                </c:pt>
                <c:pt idx="3">
                  <c:v>7.85</c:v>
                </c:pt>
                <c:pt idx="4">
                  <c:v>12</c:v>
                </c:pt>
                <c:pt idx="5">
                  <c:v>5</c:v>
                </c:pt>
              </c:numCache>
            </c:numRef>
          </c:val>
          <c:extLst>
            <c:ext xmlns:c16="http://schemas.microsoft.com/office/drawing/2014/chart" uri="{C3380CC4-5D6E-409C-BE32-E72D297353CC}">
              <c16:uniqueId val="{00000004-779B-4EAA-A7BA-2C740EF7F23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TSS!$I$51</c:f>
              <c:strCache>
                <c:ptCount val="1"/>
                <c:pt idx="0">
                  <c:v>QCVN 08-MT:2015/BTNMT (Cột A2)</c:v>
                </c:pt>
              </c:strCache>
            </c:strRef>
          </c:tx>
          <c:spPr>
            <a:ln w="22225" cap="rnd">
              <a:solidFill>
                <a:schemeClr val="accent6"/>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TSS!$I$52:$I$57</c:f>
              <c:numCache>
                <c:formatCode>General</c:formatCode>
                <c:ptCount val="6"/>
                <c:pt idx="5" formatCode="0.0">
                  <c:v>30</c:v>
                </c:pt>
              </c:numCache>
            </c:numRef>
          </c:val>
          <c:smooth val="0"/>
          <c:extLst>
            <c:ext xmlns:c16="http://schemas.microsoft.com/office/drawing/2014/chart" uri="{C3380CC4-5D6E-409C-BE32-E72D297353CC}">
              <c16:uniqueId val="{00000005-779B-4EAA-A7BA-2C740EF7F23F}"/>
            </c:ext>
          </c:extLst>
        </c:ser>
        <c:ser>
          <c:idx val="6"/>
          <c:order val="6"/>
          <c:tx>
            <c:strRef>
              <c:f>TSS!$J$51</c:f>
              <c:strCache>
                <c:ptCount val="1"/>
                <c:pt idx="0">
                  <c:v>QCVN 08-MT:2015/BTNMT (Cột B1)</c:v>
                </c:pt>
              </c:strCache>
            </c:strRef>
          </c:tx>
          <c:spPr>
            <a:ln w="22225" cap="rnd">
              <a:solidFill>
                <a:schemeClr val="accent1">
                  <a:lumMod val="60000"/>
                </a:schemeClr>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TSS!$J$52:$J$57</c:f>
              <c:numCache>
                <c:formatCode>General</c:formatCode>
                <c:ptCount val="6"/>
                <c:pt idx="0">
                  <c:v>50</c:v>
                </c:pt>
                <c:pt idx="1">
                  <c:v>50</c:v>
                </c:pt>
                <c:pt idx="2">
                  <c:v>50</c:v>
                </c:pt>
                <c:pt idx="3">
                  <c:v>50</c:v>
                </c:pt>
                <c:pt idx="4">
                  <c:v>50</c:v>
                </c:pt>
              </c:numCache>
            </c:numRef>
          </c:val>
          <c:smooth val="0"/>
          <c:extLst>
            <c:ext xmlns:c16="http://schemas.microsoft.com/office/drawing/2014/chart" uri="{C3380CC4-5D6E-409C-BE32-E72D297353CC}">
              <c16:uniqueId val="{00000006-779B-4EAA-A7BA-2C740EF7F23F}"/>
            </c:ext>
          </c:extLst>
        </c:ser>
        <c:ser>
          <c:idx val="7"/>
          <c:order val="7"/>
          <c:tx>
            <c:strRef>
              <c:f>TSS!$K$51</c:f>
              <c:strCache>
                <c:ptCount val="1"/>
                <c:pt idx="0">
                  <c:v>QCVN 08:2023/BTNMT (Mức A)</c:v>
                </c:pt>
              </c:strCache>
            </c:strRef>
          </c:tx>
          <c:spPr>
            <a:ln w="22225" cap="rnd">
              <a:solidFill>
                <a:schemeClr val="accent2">
                  <a:lumMod val="60000"/>
                </a:schemeClr>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TSS!$K$52:$K$57</c:f>
              <c:numCache>
                <c:formatCode>General</c:formatCode>
                <c:ptCount val="6"/>
                <c:pt idx="5">
                  <c:v>25</c:v>
                </c:pt>
              </c:numCache>
            </c:numRef>
          </c:val>
          <c:smooth val="0"/>
          <c:extLst>
            <c:ext xmlns:c16="http://schemas.microsoft.com/office/drawing/2014/chart" uri="{C3380CC4-5D6E-409C-BE32-E72D297353CC}">
              <c16:uniqueId val="{00000007-779B-4EAA-A7BA-2C740EF7F23F}"/>
            </c:ext>
          </c:extLst>
        </c:ser>
        <c:ser>
          <c:idx val="8"/>
          <c:order val="8"/>
          <c:tx>
            <c:strRef>
              <c:f>TSS!$L$51</c:f>
              <c:strCache>
                <c:ptCount val="1"/>
                <c:pt idx="0">
                  <c:v>QCVN 08:2023/BTNMT (Mức B)</c:v>
                </c:pt>
              </c:strCache>
            </c:strRef>
          </c:tx>
          <c:spPr>
            <a:ln w="22225" cap="rnd">
              <a:solidFill>
                <a:schemeClr val="accent3">
                  <a:lumMod val="60000"/>
                </a:schemeClr>
              </a:solidFill>
              <a:round/>
            </a:ln>
            <a:effectLst/>
          </c:spPr>
          <c:marker>
            <c:symbol val="none"/>
          </c:marker>
          <c:cat>
            <c:strRef>
              <c:f>TSS!$B$52:$C$57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TSS!$L$52:$L$57</c:f>
              <c:numCache>
                <c:formatCode>0.0</c:formatCode>
                <c:ptCount val="6"/>
                <c:pt idx="0">
                  <c:v>100</c:v>
                </c:pt>
                <c:pt idx="1">
                  <c:v>100</c:v>
                </c:pt>
                <c:pt idx="2">
                  <c:v>100</c:v>
                </c:pt>
                <c:pt idx="3">
                  <c:v>100</c:v>
                </c:pt>
                <c:pt idx="4">
                  <c:v>100</c:v>
                </c:pt>
              </c:numCache>
            </c:numRef>
          </c:val>
          <c:smooth val="0"/>
          <c:extLst>
            <c:ext xmlns:c16="http://schemas.microsoft.com/office/drawing/2014/chart" uri="{C3380CC4-5D6E-409C-BE32-E72D297353CC}">
              <c16:uniqueId val="{00000008-779B-4EAA-A7BA-2C740EF7F23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0"/>
      </c:valAx>
      <c:spPr>
        <a:noFill/>
        <a:ln>
          <a:noFill/>
        </a:ln>
        <a:effectLst/>
      </c:spPr>
    </c:plotArea>
    <c:legend>
      <c:legendPos val="b"/>
      <c:legendEntry>
        <c:idx val="7"/>
        <c:delete val="1"/>
      </c:legendEntry>
      <c:layout>
        <c:manualLayout>
          <c:xMode val="edge"/>
          <c:yMode val="edge"/>
          <c:x val="0"/>
          <c:y val="0.79308609368379623"/>
          <c:w val="0.9980826068771379"/>
          <c:h val="0.1905249415524780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65645549541E-3"/>
          <c:y val="0.1665865220868538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8426802435467504E-2"/>
          <c:y val="3.5197178372568853E-2"/>
          <c:w val="0.92326360255137241"/>
          <c:h val="0.56929562753710572"/>
        </c:manualLayout>
      </c:layout>
      <c:barChart>
        <c:barDir val="col"/>
        <c:grouping val="clustered"/>
        <c:varyColors val="0"/>
        <c:ser>
          <c:idx val="0"/>
          <c:order val="0"/>
          <c:tx>
            <c:strRef>
              <c:f>DO!$D$51</c:f>
              <c:strCache>
                <c:ptCount val="1"/>
                <c:pt idx="0">
                  <c:v>2021</c:v>
                </c:pt>
              </c:strCache>
            </c:strRef>
          </c:tx>
          <c:spPr>
            <a:solidFill>
              <a:schemeClr val="accent1"/>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DO!$D$52:$D$57</c:f>
              <c:numCache>
                <c:formatCode>0.00</c:formatCode>
                <c:ptCount val="6"/>
                <c:pt idx="0">
                  <c:v>6.6000000000000005</c:v>
                </c:pt>
                <c:pt idx="1">
                  <c:v>6.9333333333333336</c:v>
                </c:pt>
                <c:pt idx="2">
                  <c:v>6.8666666666666663</c:v>
                </c:pt>
                <c:pt idx="3">
                  <c:v>6.3999999999999995</c:v>
                </c:pt>
                <c:pt idx="4">
                  <c:v>6.8666666666666663</c:v>
                </c:pt>
                <c:pt idx="5">
                  <c:v>7.05</c:v>
                </c:pt>
              </c:numCache>
            </c:numRef>
          </c:val>
          <c:extLst>
            <c:ext xmlns:c16="http://schemas.microsoft.com/office/drawing/2014/chart" uri="{C3380CC4-5D6E-409C-BE32-E72D297353CC}">
              <c16:uniqueId val="{00000000-03C4-4340-B24C-29595D07CE7D}"/>
            </c:ext>
          </c:extLst>
        </c:ser>
        <c:ser>
          <c:idx val="1"/>
          <c:order val="1"/>
          <c:tx>
            <c:strRef>
              <c:f>DO!$E$51</c:f>
              <c:strCache>
                <c:ptCount val="1"/>
                <c:pt idx="0">
                  <c:v>2022</c:v>
                </c:pt>
              </c:strCache>
            </c:strRef>
          </c:tx>
          <c:spPr>
            <a:solidFill>
              <a:schemeClr val="accent2"/>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DO!$E$52:$E$57</c:f>
              <c:numCache>
                <c:formatCode>0.00</c:formatCode>
                <c:ptCount val="6"/>
                <c:pt idx="0">
                  <c:v>7.4000000000000012</c:v>
                </c:pt>
                <c:pt idx="1">
                  <c:v>5.4000000000000012</c:v>
                </c:pt>
                <c:pt idx="2">
                  <c:v>7.55</c:v>
                </c:pt>
                <c:pt idx="3">
                  <c:v>6.75</c:v>
                </c:pt>
                <c:pt idx="4">
                  <c:v>6.5666666666666664</c:v>
                </c:pt>
                <c:pt idx="5">
                  <c:v>7</c:v>
                </c:pt>
              </c:numCache>
            </c:numRef>
          </c:val>
          <c:extLst>
            <c:ext xmlns:c16="http://schemas.microsoft.com/office/drawing/2014/chart" uri="{C3380CC4-5D6E-409C-BE32-E72D297353CC}">
              <c16:uniqueId val="{00000001-03C4-4340-B24C-29595D07CE7D}"/>
            </c:ext>
          </c:extLst>
        </c:ser>
        <c:ser>
          <c:idx val="2"/>
          <c:order val="2"/>
          <c:tx>
            <c:strRef>
              <c:f>DO!$F$51</c:f>
              <c:strCache>
                <c:ptCount val="1"/>
                <c:pt idx="0">
                  <c:v>2023</c:v>
                </c:pt>
              </c:strCache>
            </c:strRef>
          </c:tx>
          <c:spPr>
            <a:solidFill>
              <a:schemeClr val="accent3"/>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DO!$F$52:$F$57</c:f>
              <c:numCache>
                <c:formatCode>0.00</c:formatCode>
                <c:ptCount val="6"/>
                <c:pt idx="0">
                  <c:v>7.2500000000000009</c:v>
                </c:pt>
                <c:pt idx="1">
                  <c:v>6.1000000000000005</c:v>
                </c:pt>
                <c:pt idx="2">
                  <c:v>6.9000000000000012</c:v>
                </c:pt>
                <c:pt idx="3">
                  <c:v>6.8666666666666671</c:v>
                </c:pt>
                <c:pt idx="4">
                  <c:v>6.55</c:v>
                </c:pt>
                <c:pt idx="5">
                  <c:v>7.5</c:v>
                </c:pt>
              </c:numCache>
            </c:numRef>
          </c:val>
          <c:extLst>
            <c:ext xmlns:c16="http://schemas.microsoft.com/office/drawing/2014/chart" uri="{C3380CC4-5D6E-409C-BE32-E72D297353CC}">
              <c16:uniqueId val="{00000002-03C4-4340-B24C-29595D07CE7D}"/>
            </c:ext>
          </c:extLst>
        </c:ser>
        <c:ser>
          <c:idx val="3"/>
          <c:order val="3"/>
          <c:tx>
            <c:strRef>
              <c:f>DO!$G$51</c:f>
              <c:strCache>
                <c:ptCount val="1"/>
                <c:pt idx="0">
                  <c:v>2024</c:v>
                </c:pt>
              </c:strCache>
            </c:strRef>
          </c:tx>
          <c:spPr>
            <a:solidFill>
              <a:schemeClr val="accent4"/>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DO!$G$52:$G$57</c:f>
              <c:numCache>
                <c:formatCode>0.00</c:formatCode>
                <c:ptCount val="6"/>
                <c:pt idx="0">
                  <c:v>7.166666666666667</c:v>
                </c:pt>
                <c:pt idx="1">
                  <c:v>6.4116666666666662</c:v>
                </c:pt>
                <c:pt idx="2">
                  <c:v>7.3166666666666664</c:v>
                </c:pt>
                <c:pt idx="3">
                  <c:v>6.9666666666666659</c:v>
                </c:pt>
                <c:pt idx="4">
                  <c:v>6.31</c:v>
                </c:pt>
                <c:pt idx="5">
                  <c:v>6.8166666666666673</c:v>
                </c:pt>
              </c:numCache>
            </c:numRef>
          </c:val>
          <c:extLst>
            <c:ext xmlns:c16="http://schemas.microsoft.com/office/drawing/2014/chart" uri="{C3380CC4-5D6E-409C-BE32-E72D297353CC}">
              <c16:uniqueId val="{00000003-03C4-4340-B24C-29595D07CE7D}"/>
            </c:ext>
          </c:extLst>
        </c:ser>
        <c:ser>
          <c:idx val="4"/>
          <c:order val="4"/>
          <c:tx>
            <c:strRef>
              <c:f>DO!$H$51</c:f>
              <c:strCache>
                <c:ptCount val="1"/>
                <c:pt idx="0">
                  <c:v>2025</c:v>
                </c:pt>
              </c:strCache>
            </c:strRef>
          </c:tx>
          <c:spPr>
            <a:solidFill>
              <a:schemeClr val="accent5"/>
            </a:solidFill>
            <a:ln>
              <a:noFill/>
            </a:ln>
            <a:effectLst/>
          </c:spPr>
          <c:invertIfNegative val="0"/>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DO!$H$52:$H$57</c:f>
              <c:numCache>
                <c:formatCode>0.00</c:formatCode>
                <c:ptCount val="6"/>
                <c:pt idx="0">
                  <c:v>7.1</c:v>
                </c:pt>
                <c:pt idx="1">
                  <c:v>7.1</c:v>
                </c:pt>
                <c:pt idx="2">
                  <c:v>7.4</c:v>
                </c:pt>
                <c:pt idx="3">
                  <c:v>7.45</c:v>
                </c:pt>
                <c:pt idx="4">
                  <c:v>7.05</c:v>
                </c:pt>
                <c:pt idx="5">
                  <c:v>7.25</c:v>
                </c:pt>
              </c:numCache>
            </c:numRef>
          </c:val>
          <c:extLst>
            <c:ext xmlns:c16="http://schemas.microsoft.com/office/drawing/2014/chart" uri="{C3380CC4-5D6E-409C-BE32-E72D297353CC}">
              <c16:uniqueId val="{00000004-03C4-4340-B24C-29595D07CE7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DO!$I$51</c:f>
              <c:strCache>
                <c:ptCount val="1"/>
                <c:pt idx="0">
                  <c:v>QCVN 08-MT:2015/BTNMT (Cột A2)</c:v>
                </c:pt>
              </c:strCache>
            </c:strRef>
          </c:tx>
          <c:spPr>
            <a:ln w="22225" cap="rnd">
              <a:solidFill>
                <a:schemeClr val="accent6"/>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DO!$I$52:$I$57</c:f>
              <c:numCache>
                <c:formatCode>General</c:formatCode>
                <c:ptCount val="6"/>
                <c:pt idx="5" formatCode="0.0">
                  <c:v>5</c:v>
                </c:pt>
              </c:numCache>
            </c:numRef>
          </c:val>
          <c:smooth val="0"/>
          <c:extLst>
            <c:ext xmlns:c16="http://schemas.microsoft.com/office/drawing/2014/chart" uri="{C3380CC4-5D6E-409C-BE32-E72D297353CC}">
              <c16:uniqueId val="{00000005-03C4-4340-B24C-29595D07CE7D}"/>
            </c:ext>
          </c:extLst>
        </c:ser>
        <c:ser>
          <c:idx val="6"/>
          <c:order val="6"/>
          <c:tx>
            <c:strRef>
              <c:f>DO!$J$51</c:f>
              <c:strCache>
                <c:ptCount val="1"/>
                <c:pt idx="0">
                  <c:v>QCVN 08-MT:2015/BTNMT (Cột B1)</c:v>
                </c:pt>
              </c:strCache>
            </c:strRef>
          </c:tx>
          <c:spPr>
            <a:ln w="22225" cap="rnd">
              <a:solidFill>
                <a:schemeClr val="accent1">
                  <a:lumMod val="60000"/>
                </a:schemeClr>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DO!$J$52:$J$57</c:f>
              <c:numCache>
                <c:formatCode>General</c:formatCode>
                <c:ptCount val="6"/>
                <c:pt idx="0">
                  <c:v>4</c:v>
                </c:pt>
                <c:pt idx="1">
                  <c:v>4</c:v>
                </c:pt>
                <c:pt idx="2">
                  <c:v>4</c:v>
                </c:pt>
                <c:pt idx="3">
                  <c:v>4</c:v>
                </c:pt>
                <c:pt idx="4">
                  <c:v>4</c:v>
                </c:pt>
              </c:numCache>
            </c:numRef>
          </c:val>
          <c:smooth val="0"/>
          <c:extLst>
            <c:ext xmlns:c16="http://schemas.microsoft.com/office/drawing/2014/chart" uri="{C3380CC4-5D6E-409C-BE32-E72D297353CC}">
              <c16:uniqueId val="{00000006-03C4-4340-B24C-29595D07CE7D}"/>
            </c:ext>
          </c:extLst>
        </c:ser>
        <c:ser>
          <c:idx val="7"/>
          <c:order val="7"/>
          <c:tx>
            <c:strRef>
              <c:f>DO!$K$51</c:f>
              <c:strCache>
                <c:ptCount val="1"/>
                <c:pt idx="0">
                  <c:v>QCVN 08:2023/BTNMT (Mức A)</c:v>
                </c:pt>
              </c:strCache>
            </c:strRef>
          </c:tx>
          <c:spPr>
            <a:ln w="22225" cap="rnd">
              <a:solidFill>
                <a:schemeClr val="accent2">
                  <a:lumMod val="60000"/>
                </a:schemeClr>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DO!$K$52:$K$57</c:f>
              <c:numCache>
                <c:formatCode>General</c:formatCode>
                <c:ptCount val="6"/>
                <c:pt idx="5">
                  <c:v>6</c:v>
                </c:pt>
              </c:numCache>
            </c:numRef>
          </c:val>
          <c:smooth val="0"/>
          <c:extLst>
            <c:ext xmlns:c16="http://schemas.microsoft.com/office/drawing/2014/chart" uri="{C3380CC4-5D6E-409C-BE32-E72D297353CC}">
              <c16:uniqueId val="{00000007-03C4-4340-B24C-29595D07CE7D}"/>
            </c:ext>
          </c:extLst>
        </c:ser>
        <c:ser>
          <c:idx val="8"/>
          <c:order val="8"/>
          <c:tx>
            <c:strRef>
              <c:f>DO!$L$51</c:f>
              <c:strCache>
                <c:ptCount val="1"/>
                <c:pt idx="0">
                  <c:v>QCVN 08:2023/BTNMT (Mức B)</c:v>
                </c:pt>
              </c:strCache>
            </c:strRef>
          </c:tx>
          <c:spPr>
            <a:ln w="22225" cap="rnd">
              <a:solidFill>
                <a:schemeClr val="accent3">
                  <a:lumMod val="60000"/>
                </a:schemeClr>
              </a:solidFill>
              <a:round/>
            </a:ln>
            <a:effectLst/>
          </c:spPr>
          <c:marker>
            <c:symbol val="none"/>
          </c:marker>
          <c:cat>
            <c:strRef>
              <c:f>DO!$B$52:$C$57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DO!$L$52:$L$57</c:f>
              <c:numCache>
                <c:formatCode>0.0</c:formatCode>
                <c:ptCount val="6"/>
                <c:pt idx="0">
                  <c:v>5</c:v>
                </c:pt>
                <c:pt idx="1">
                  <c:v>5</c:v>
                </c:pt>
                <c:pt idx="2">
                  <c:v>5</c:v>
                </c:pt>
                <c:pt idx="3">
                  <c:v>5</c:v>
                </c:pt>
                <c:pt idx="4">
                  <c:v>5</c:v>
                </c:pt>
              </c:numCache>
            </c:numRef>
          </c:val>
          <c:smooth val="0"/>
          <c:extLst>
            <c:ext xmlns:c16="http://schemas.microsoft.com/office/drawing/2014/chart" uri="{C3380CC4-5D6E-409C-BE32-E72D297353CC}">
              <c16:uniqueId val="{00000008-03C4-4340-B24C-29595D07CE7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0"/>
          <c:y val="0.80775089752678708"/>
          <c:w val="0.9980826068771379"/>
          <c:h val="0.1922491024732129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3.409065270852604E-3"/>
          <c:y val="0.1896134144545027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5122136622937555E-2"/>
          <c:y val="3.8775288987217577E-2"/>
          <c:w val="0.91669995956258188"/>
          <c:h val="0.51589915502755601"/>
        </c:manualLayout>
      </c:layout>
      <c:barChart>
        <c:barDir val="col"/>
        <c:grouping val="clustered"/>
        <c:varyColors val="0"/>
        <c:ser>
          <c:idx val="0"/>
          <c:order val="0"/>
          <c:tx>
            <c:strRef>
              <c:f>Nitrat!$D$51</c:f>
              <c:strCache>
                <c:ptCount val="1"/>
                <c:pt idx="0">
                  <c:v>2021</c:v>
                </c:pt>
              </c:strCache>
            </c:strRef>
          </c:tx>
          <c:spPr>
            <a:solidFill>
              <a:schemeClr val="accent1"/>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Nitrat!$D$52:$D$57</c:f>
              <c:numCache>
                <c:formatCode>0.00</c:formatCode>
                <c:ptCount val="6"/>
                <c:pt idx="0">
                  <c:v>0.26666666666666666</c:v>
                </c:pt>
                <c:pt idx="1">
                  <c:v>0.26666666666666666</c:v>
                </c:pt>
                <c:pt idx="2">
                  <c:v>0.50666666666666671</c:v>
                </c:pt>
                <c:pt idx="3">
                  <c:v>0.57500000000000007</c:v>
                </c:pt>
                <c:pt idx="4">
                  <c:v>0.89833333333333332</c:v>
                </c:pt>
                <c:pt idx="5">
                  <c:v>0.42499999999999999</c:v>
                </c:pt>
              </c:numCache>
            </c:numRef>
          </c:val>
          <c:extLst>
            <c:ext xmlns:c16="http://schemas.microsoft.com/office/drawing/2014/chart" uri="{C3380CC4-5D6E-409C-BE32-E72D297353CC}">
              <c16:uniqueId val="{00000000-1A4D-433E-A257-731DC380C5E7}"/>
            </c:ext>
          </c:extLst>
        </c:ser>
        <c:ser>
          <c:idx val="1"/>
          <c:order val="1"/>
          <c:tx>
            <c:strRef>
              <c:f>Nitrat!$E$51</c:f>
              <c:strCache>
                <c:ptCount val="1"/>
                <c:pt idx="0">
                  <c:v>2022</c:v>
                </c:pt>
              </c:strCache>
            </c:strRef>
          </c:tx>
          <c:spPr>
            <a:solidFill>
              <a:schemeClr val="accent2"/>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Nitrat!$E$52:$E$57</c:f>
              <c:numCache>
                <c:formatCode>0.00</c:formatCode>
                <c:ptCount val="6"/>
                <c:pt idx="0">
                  <c:v>0.30333333333333329</c:v>
                </c:pt>
                <c:pt idx="1">
                  <c:v>0.24833333333333332</c:v>
                </c:pt>
                <c:pt idx="2">
                  <c:v>0.60333333333333339</c:v>
                </c:pt>
                <c:pt idx="3">
                  <c:v>0.65166666666666673</c:v>
                </c:pt>
                <c:pt idx="4">
                  <c:v>0.31333333333333335</c:v>
                </c:pt>
                <c:pt idx="5">
                  <c:v>0.35333333333333328</c:v>
                </c:pt>
              </c:numCache>
            </c:numRef>
          </c:val>
          <c:extLst>
            <c:ext xmlns:c16="http://schemas.microsoft.com/office/drawing/2014/chart" uri="{C3380CC4-5D6E-409C-BE32-E72D297353CC}">
              <c16:uniqueId val="{00000001-1A4D-433E-A257-731DC380C5E7}"/>
            </c:ext>
          </c:extLst>
        </c:ser>
        <c:ser>
          <c:idx val="2"/>
          <c:order val="2"/>
          <c:tx>
            <c:strRef>
              <c:f>Nitrat!$F$51</c:f>
              <c:strCache>
                <c:ptCount val="1"/>
                <c:pt idx="0">
                  <c:v>2023</c:v>
                </c:pt>
              </c:strCache>
            </c:strRef>
          </c:tx>
          <c:spPr>
            <a:solidFill>
              <a:schemeClr val="accent3"/>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Nitrat!$F$52:$F$57</c:f>
              <c:numCache>
                <c:formatCode>0.00</c:formatCode>
                <c:ptCount val="6"/>
                <c:pt idx="0">
                  <c:v>0.36833333333333335</c:v>
                </c:pt>
                <c:pt idx="1">
                  <c:v>0.34166666666666673</c:v>
                </c:pt>
                <c:pt idx="2">
                  <c:v>0.41166666666666663</c:v>
                </c:pt>
                <c:pt idx="3">
                  <c:v>0.82500000000000007</c:v>
                </c:pt>
                <c:pt idx="4">
                  <c:v>0.39500000000000002</c:v>
                </c:pt>
                <c:pt idx="5">
                  <c:v>0.75499999999999989</c:v>
                </c:pt>
              </c:numCache>
            </c:numRef>
          </c:val>
          <c:extLst>
            <c:ext xmlns:c16="http://schemas.microsoft.com/office/drawing/2014/chart" uri="{C3380CC4-5D6E-409C-BE32-E72D297353CC}">
              <c16:uniqueId val="{00000002-1A4D-433E-A257-731DC380C5E7}"/>
            </c:ext>
          </c:extLst>
        </c:ser>
        <c:ser>
          <c:idx val="3"/>
          <c:order val="3"/>
          <c:tx>
            <c:strRef>
              <c:f>Nitrat!$G$51</c:f>
              <c:strCache>
                <c:ptCount val="1"/>
                <c:pt idx="0">
                  <c:v>2024</c:v>
                </c:pt>
              </c:strCache>
            </c:strRef>
          </c:tx>
          <c:spPr>
            <a:solidFill>
              <a:schemeClr val="accent4"/>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Nitrat!$G$52:$G$57</c:f>
              <c:numCache>
                <c:formatCode>0.00</c:formatCode>
                <c:ptCount val="6"/>
                <c:pt idx="0">
                  <c:v>0.36666666666666664</c:v>
                </c:pt>
                <c:pt idx="1">
                  <c:v>0.32166666666666666</c:v>
                </c:pt>
                <c:pt idx="2">
                  <c:v>0.72666666666666657</c:v>
                </c:pt>
                <c:pt idx="3">
                  <c:v>0.70000000000000007</c:v>
                </c:pt>
                <c:pt idx="4">
                  <c:v>0.27833333333333332</c:v>
                </c:pt>
                <c:pt idx="5">
                  <c:v>0.65166666666666673</c:v>
                </c:pt>
              </c:numCache>
            </c:numRef>
          </c:val>
          <c:extLst>
            <c:ext xmlns:c16="http://schemas.microsoft.com/office/drawing/2014/chart" uri="{C3380CC4-5D6E-409C-BE32-E72D297353CC}">
              <c16:uniqueId val="{00000003-1A4D-433E-A257-731DC380C5E7}"/>
            </c:ext>
          </c:extLst>
        </c:ser>
        <c:ser>
          <c:idx val="4"/>
          <c:order val="4"/>
          <c:tx>
            <c:strRef>
              <c:f>Nitrat!$H$51</c:f>
              <c:strCache>
                <c:ptCount val="1"/>
                <c:pt idx="0">
                  <c:v>2025</c:v>
                </c:pt>
              </c:strCache>
            </c:strRef>
          </c:tx>
          <c:spPr>
            <a:solidFill>
              <a:schemeClr val="accent5"/>
            </a:solidFill>
            <a:ln>
              <a:noFill/>
            </a:ln>
            <a:effectLst/>
          </c:spPr>
          <c:invertIfNegative val="0"/>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Nitrat!$H$52:$H$57</c:f>
              <c:numCache>
                <c:formatCode>0.00</c:formatCode>
                <c:ptCount val="6"/>
                <c:pt idx="0">
                  <c:v>0.41499999999999998</c:v>
                </c:pt>
                <c:pt idx="1">
                  <c:v>0.41</c:v>
                </c:pt>
                <c:pt idx="2">
                  <c:v>0.245</c:v>
                </c:pt>
                <c:pt idx="3">
                  <c:v>0.56000000000000005</c:v>
                </c:pt>
                <c:pt idx="4">
                  <c:v>0.63</c:v>
                </c:pt>
                <c:pt idx="5">
                  <c:v>1.0349999999999999</c:v>
                </c:pt>
              </c:numCache>
            </c:numRef>
          </c:val>
          <c:extLst>
            <c:ext xmlns:c16="http://schemas.microsoft.com/office/drawing/2014/chart" uri="{C3380CC4-5D6E-409C-BE32-E72D297353CC}">
              <c16:uniqueId val="{00000004-1A4D-433E-A257-731DC380C5E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Nitrat!$I$51</c:f>
              <c:strCache>
                <c:ptCount val="1"/>
                <c:pt idx="0">
                  <c:v>QCVN 08-MT:2015/BTNMT (Cột A2)</c:v>
                </c:pt>
              </c:strCache>
            </c:strRef>
          </c:tx>
          <c:spPr>
            <a:ln w="22225" cap="rnd">
              <a:solidFill>
                <a:schemeClr val="accent6"/>
              </a:solidFill>
              <a:round/>
            </a:ln>
            <a:effectLst/>
          </c:spPr>
          <c:marker>
            <c:symbol val="none"/>
          </c:marker>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Nitrat!$I$52:$I$57</c:f>
              <c:numCache>
                <c:formatCode>General</c:formatCode>
                <c:ptCount val="6"/>
                <c:pt idx="5" formatCode="0.0">
                  <c:v>5</c:v>
                </c:pt>
              </c:numCache>
            </c:numRef>
          </c:val>
          <c:smooth val="0"/>
          <c:extLst>
            <c:ext xmlns:c16="http://schemas.microsoft.com/office/drawing/2014/chart" uri="{C3380CC4-5D6E-409C-BE32-E72D297353CC}">
              <c16:uniqueId val="{00000005-1A4D-433E-A257-731DC380C5E7}"/>
            </c:ext>
          </c:extLst>
        </c:ser>
        <c:ser>
          <c:idx val="6"/>
          <c:order val="6"/>
          <c:tx>
            <c:strRef>
              <c:f>Nitrat!$J$51</c:f>
              <c:strCache>
                <c:ptCount val="1"/>
                <c:pt idx="0">
                  <c:v>QCVN 08-MT:2015/BTNMT (Cột B1)</c:v>
                </c:pt>
              </c:strCache>
            </c:strRef>
          </c:tx>
          <c:spPr>
            <a:ln w="22225" cap="rnd">
              <a:solidFill>
                <a:schemeClr val="accent1">
                  <a:lumMod val="60000"/>
                </a:schemeClr>
              </a:solidFill>
              <a:round/>
            </a:ln>
            <a:effectLst/>
          </c:spPr>
          <c:marker>
            <c:symbol val="none"/>
          </c:marker>
          <c:cat>
            <c:strRef>
              <c:f>Nitrat!$B$52:$C$57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Nitrat!$J$52:$J$57</c:f>
              <c:numCache>
                <c:formatCode>General</c:formatCode>
                <c:ptCount val="6"/>
                <c:pt idx="0">
                  <c:v>10</c:v>
                </c:pt>
                <c:pt idx="1">
                  <c:v>10</c:v>
                </c:pt>
                <c:pt idx="2">
                  <c:v>10</c:v>
                </c:pt>
                <c:pt idx="3">
                  <c:v>10</c:v>
                </c:pt>
                <c:pt idx="4">
                  <c:v>10</c:v>
                </c:pt>
              </c:numCache>
            </c:numRef>
          </c:val>
          <c:smooth val="0"/>
          <c:extLst>
            <c:ext xmlns:c16="http://schemas.microsoft.com/office/drawing/2014/chart" uri="{C3380CC4-5D6E-409C-BE32-E72D297353CC}">
              <c16:uniqueId val="{00000006-1A4D-433E-A257-731DC380C5E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0"/>
          <c:y val="0.79526669649880066"/>
          <c:w val="0.9980826068771379"/>
          <c:h val="0.2047333035011993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50017671115299E-3"/>
          <c:y val="0.2178520341800975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9.0467876549594831E-2"/>
          <c:y val="4.4765161534964792E-2"/>
          <c:w val="0.90122266786301264"/>
          <c:h val="0.54643476353967502"/>
        </c:manualLayout>
      </c:layout>
      <c:barChart>
        <c:barDir val="col"/>
        <c:grouping val="clustered"/>
        <c:varyColors val="0"/>
        <c:ser>
          <c:idx val="0"/>
          <c:order val="0"/>
          <c:tx>
            <c:strRef>
              <c:f>Photphat!$D$51</c:f>
              <c:strCache>
                <c:ptCount val="1"/>
                <c:pt idx="0">
                  <c:v>2021</c:v>
                </c:pt>
              </c:strCache>
            </c:strRef>
          </c:tx>
          <c:spPr>
            <a:solidFill>
              <a:schemeClr val="accent1"/>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Photphat!$D$52:$D$57</c:f>
              <c:numCache>
                <c:formatCode>0.00</c:formatCode>
                <c:ptCount val="6"/>
                <c:pt idx="0">
                  <c:v>2.1666666666666667E-2</c:v>
                </c:pt>
                <c:pt idx="1">
                  <c:v>4.3333333333333335E-2</c:v>
                </c:pt>
                <c:pt idx="2">
                  <c:v>1.3333333333333334E-2</c:v>
                </c:pt>
                <c:pt idx="3">
                  <c:v>8.1666666666666665E-2</c:v>
                </c:pt>
                <c:pt idx="4">
                  <c:v>8.3333333333333332E-3</c:v>
                </c:pt>
                <c:pt idx="5">
                  <c:v>1.1666666666666667E-2</c:v>
                </c:pt>
              </c:numCache>
            </c:numRef>
          </c:val>
          <c:extLst>
            <c:ext xmlns:c16="http://schemas.microsoft.com/office/drawing/2014/chart" uri="{C3380CC4-5D6E-409C-BE32-E72D297353CC}">
              <c16:uniqueId val="{00000000-96B5-4B9F-9459-38DD32246928}"/>
            </c:ext>
          </c:extLst>
        </c:ser>
        <c:ser>
          <c:idx val="1"/>
          <c:order val="1"/>
          <c:tx>
            <c:strRef>
              <c:f>Photphat!$E$51</c:f>
              <c:strCache>
                <c:ptCount val="1"/>
                <c:pt idx="0">
                  <c:v>2022</c:v>
                </c:pt>
              </c:strCache>
            </c:strRef>
          </c:tx>
          <c:spPr>
            <a:solidFill>
              <a:schemeClr val="accent2"/>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Photphat!$E$52:$E$57</c:f>
              <c:numCache>
                <c:formatCode>0.00</c:formatCode>
                <c:ptCount val="6"/>
                <c:pt idx="0">
                  <c:v>5.9833333333333343E-2</c:v>
                </c:pt>
                <c:pt idx="1">
                  <c:v>5.2166666666666667E-2</c:v>
                </c:pt>
                <c:pt idx="2">
                  <c:v>2.5000000000000005E-2</c:v>
                </c:pt>
                <c:pt idx="3">
                  <c:v>4.8666666666666664E-2</c:v>
                </c:pt>
                <c:pt idx="4">
                  <c:v>5.9499999999999997E-2</c:v>
                </c:pt>
                <c:pt idx="5">
                  <c:v>1.55E-2</c:v>
                </c:pt>
              </c:numCache>
            </c:numRef>
          </c:val>
          <c:extLst>
            <c:ext xmlns:c16="http://schemas.microsoft.com/office/drawing/2014/chart" uri="{C3380CC4-5D6E-409C-BE32-E72D297353CC}">
              <c16:uniqueId val="{00000001-96B5-4B9F-9459-38DD32246928}"/>
            </c:ext>
          </c:extLst>
        </c:ser>
        <c:ser>
          <c:idx val="2"/>
          <c:order val="2"/>
          <c:tx>
            <c:strRef>
              <c:f>Photphat!$F$51</c:f>
              <c:strCache>
                <c:ptCount val="1"/>
                <c:pt idx="0">
                  <c:v>2023</c:v>
                </c:pt>
              </c:strCache>
            </c:strRef>
          </c:tx>
          <c:spPr>
            <a:solidFill>
              <a:schemeClr val="accent3"/>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Photphat!$F$52:$F$57</c:f>
              <c:numCache>
                <c:formatCode>0.00</c:formatCode>
                <c:ptCount val="6"/>
                <c:pt idx="0">
                  <c:v>3.6666666666666674E-2</c:v>
                </c:pt>
                <c:pt idx="1">
                  <c:v>3.1200000000000006E-2</c:v>
                </c:pt>
                <c:pt idx="2">
                  <c:v>2.3833333333333335E-2</c:v>
                </c:pt>
                <c:pt idx="3">
                  <c:v>3.4333333333333334E-2</c:v>
                </c:pt>
                <c:pt idx="4">
                  <c:v>5.5E-2</c:v>
                </c:pt>
                <c:pt idx="5">
                  <c:v>0.15440000000000001</c:v>
                </c:pt>
              </c:numCache>
            </c:numRef>
          </c:val>
          <c:extLst>
            <c:ext xmlns:c16="http://schemas.microsoft.com/office/drawing/2014/chart" uri="{C3380CC4-5D6E-409C-BE32-E72D297353CC}">
              <c16:uniqueId val="{00000002-96B5-4B9F-9459-38DD32246928}"/>
            </c:ext>
          </c:extLst>
        </c:ser>
        <c:ser>
          <c:idx val="3"/>
          <c:order val="3"/>
          <c:tx>
            <c:strRef>
              <c:f>Photphat!$G$51</c:f>
              <c:strCache>
                <c:ptCount val="1"/>
                <c:pt idx="0">
                  <c:v>2024</c:v>
                </c:pt>
              </c:strCache>
            </c:strRef>
          </c:tx>
          <c:spPr>
            <a:solidFill>
              <a:schemeClr val="accent4"/>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Photphat!$G$52:$G$57</c:f>
              <c:numCache>
                <c:formatCode>0.00</c:formatCode>
                <c:ptCount val="6"/>
                <c:pt idx="0">
                  <c:v>6.9166666666666668E-2</c:v>
                </c:pt>
                <c:pt idx="1">
                  <c:v>5.3666666666666668E-2</c:v>
                </c:pt>
                <c:pt idx="2">
                  <c:v>3.6333333333333336E-2</c:v>
                </c:pt>
                <c:pt idx="3">
                  <c:v>3.216666666666667E-2</c:v>
                </c:pt>
                <c:pt idx="4">
                  <c:v>7.0500000000000007E-2</c:v>
                </c:pt>
                <c:pt idx="5">
                  <c:v>1.0166666666666666E-2</c:v>
                </c:pt>
              </c:numCache>
            </c:numRef>
          </c:val>
          <c:extLst>
            <c:ext xmlns:c16="http://schemas.microsoft.com/office/drawing/2014/chart" uri="{C3380CC4-5D6E-409C-BE32-E72D297353CC}">
              <c16:uniqueId val="{00000003-96B5-4B9F-9459-38DD32246928}"/>
            </c:ext>
          </c:extLst>
        </c:ser>
        <c:ser>
          <c:idx val="4"/>
          <c:order val="4"/>
          <c:tx>
            <c:strRef>
              <c:f>Photphat!$H$51</c:f>
              <c:strCache>
                <c:ptCount val="1"/>
                <c:pt idx="0">
                  <c:v>2025</c:v>
                </c:pt>
              </c:strCache>
            </c:strRef>
          </c:tx>
          <c:spPr>
            <a:solidFill>
              <a:schemeClr val="accent5"/>
            </a:solidFill>
            <a:ln>
              <a:noFill/>
            </a:ln>
            <a:effectLst/>
          </c:spPr>
          <c:invertIfNegative val="0"/>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Photphat!$H$52:$H$57</c:f>
              <c:numCache>
                <c:formatCode>0.00</c:formatCode>
                <c:ptCount val="6"/>
                <c:pt idx="0">
                  <c:v>0.11000000000000001</c:v>
                </c:pt>
                <c:pt idx="1">
                  <c:v>4.7500000000000001E-2</c:v>
                </c:pt>
                <c:pt idx="2">
                  <c:v>2.8999999999999998E-2</c:v>
                </c:pt>
                <c:pt idx="3">
                  <c:v>3.3500000000000002E-2</c:v>
                </c:pt>
                <c:pt idx="4">
                  <c:v>6.5500000000000003E-2</c:v>
                </c:pt>
                <c:pt idx="5">
                  <c:v>2.3E-2</c:v>
                </c:pt>
              </c:numCache>
            </c:numRef>
          </c:val>
          <c:extLst>
            <c:ext xmlns:c16="http://schemas.microsoft.com/office/drawing/2014/chart" uri="{C3380CC4-5D6E-409C-BE32-E72D297353CC}">
              <c16:uniqueId val="{00000004-96B5-4B9F-9459-38DD3224692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Photphat!$I$51</c:f>
              <c:strCache>
                <c:ptCount val="1"/>
                <c:pt idx="0">
                  <c:v>QCVN 08-MT:2015/BTNMT (Cột A2)</c:v>
                </c:pt>
              </c:strCache>
            </c:strRef>
          </c:tx>
          <c:spPr>
            <a:ln w="22225" cap="rnd">
              <a:solidFill>
                <a:schemeClr val="accent6"/>
              </a:solidFill>
              <a:round/>
            </a:ln>
            <a:effectLst/>
          </c:spPr>
          <c:marker>
            <c:symbol val="none"/>
          </c:marker>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Photphat!$I$52:$I$57</c:f>
              <c:numCache>
                <c:formatCode>General</c:formatCode>
                <c:ptCount val="6"/>
                <c:pt idx="5" formatCode="0.0">
                  <c:v>0.2</c:v>
                </c:pt>
              </c:numCache>
            </c:numRef>
          </c:val>
          <c:smooth val="0"/>
          <c:extLst>
            <c:ext xmlns:c16="http://schemas.microsoft.com/office/drawing/2014/chart" uri="{C3380CC4-5D6E-409C-BE32-E72D297353CC}">
              <c16:uniqueId val="{00000005-96B5-4B9F-9459-38DD32246928}"/>
            </c:ext>
          </c:extLst>
        </c:ser>
        <c:ser>
          <c:idx val="6"/>
          <c:order val="6"/>
          <c:tx>
            <c:strRef>
              <c:f>Photphat!$J$51</c:f>
              <c:strCache>
                <c:ptCount val="1"/>
                <c:pt idx="0">
                  <c:v>QCVN 08-MT:2015/BTNMT (Cột B1)</c:v>
                </c:pt>
              </c:strCache>
            </c:strRef>
          </c:tx>
          <c:spPr>
            <a:ln w="22225" cap="rnd">
              <a:solidFill>
                <a:schemeClr val="accent1">
                  <a:lumMod val="60000"/>
                </a:schemeClr>
              </a:solidFill>
              <a:round/>
            </a:ln>
            <a:effectLst/>
          </c:spPr>
          <c:marker>
            <c:symbol val="none"/>
          </c:marker>
          <c:cat>
            <c:strRef>
              <c:f>Photphat!$B$52:$C$57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Photphat!$J$52:$J$57</c:f>
              <c:numCache>
                <c:formatCode>General</c:formatCode>
                <c:ptCount val="6"/>
                <c:pt idx="0">
                  <c:v>0.3</c:v>
                </c:pt>
                <c:pt idx="1">
                  <c:v>0.3</c:v>
                </c:pt>
                <c:pt idx="2">
                  <c:v>0.3</c:v>
                </c:pt>
                <c:pt idx="3">
                  <c:v>0.3</c:v>
                </c:pt>
                <c:pt idx="4">
                  <c:v>0.3</c:v>
                </c:pt>
              </c:numCache>
            </c:numRef>
          </c:val>
          <c:smooth val="0"/>
          <c:extLst>
            <c:ext xmlns:c16="http://schemas.microsoft.com/office/drawing/2014/chart" uri="{C3380CC4-5D6E-409C-BE32-E72D297353CC}">
              <c16:uniqueId val="{00000006-96B5-4B9F-9459-38DD3224692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300000000000000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1"/>
      </c:valAx>
      <c:spPr>
        <a:noFill/>
        <a:ln>
          <a:noFill/>
        </a:ln>
        <a:effectLst/>
      </c:spPr>
    </c:plotArea>
    <c:legend>
      <c:legendPos val="b"/>
      <c:layout>
        <c:manualLayout>
          <c:xMode val="edge"/>
          <c:yMode val="edge"/>
          <c:x val="0"/>
          <c:y val="0.80272426782161355"/>
          <c:w val="0.9980826068771379"/>
          <c:h val="0.1972757321783863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204965645549541E-3"/>
          <c:y val="0.1378025483883480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0.1001039571398076"/>
          <c:y val="3.3820934021178389E-2"/>
          <c:w val="0.8915862401704967"/>
          <c:h val="0.56088301462317214"/>
        </c:manualLayout>
      </c:layout>
      <c:barChart>
        <c:barDir val="col"/>
        <c:grouping val="clustered"/>
        <c:varyColors val="0"/>
        <c:ser>
          <c:idx val="0"/>
          <c:order val="0"/>
          <c:tx>
            <c:strRef>
              <c:f>Coliform!$D$51</c:f>
              <c:strCache>
                <c:ptCount val="1"/>
                <c:pt idx="0">
                  <c:v>2021</c:v>
                </c:pt>
              </c:strCache>
            </c:strRef>
          </c:tx>
          <c:spPr>
            <a:solidFill>
              <a:schemeClr val="accent1"/>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Coliform!$D$52:$D$57</c:f>
              <c:numCache>
                <c:formatCode>0.00</c:formatCode>
                <c:ptCount val="6"/>
                <c:pt idx="0">
                  <c:v>1000</c:v>
                </c:pt>
                <c:pt idx="1">
                  <c:v>2425</c:v>
                </c:pt>
                <c:pt idx="2">
                  <c:v>2326.6666666666665</c:v>
                </c:pt>
                <c:pt idx="3">
                  <c:v>1368.3333333333333</c:v>
                </c:pt>
                <c:pt idx="4">
                  <c:v>761.66666666666663</c:v>
                </c:pt>
                <c:pt idx="5">
                  <c:v>760</c:v>
                </c:pt>
              </c:numCache>
            </c:numRef>
          </c:val>
          <c:extLst>
            <c:ext xmlns:c16="http://schemas.microsoft.com/office/drawing/2014/chart" uri="{C3380CC4-5D6E-409C-BE32-E72D297353CC}">
              <c16:uniqueId val="{00000000-6CF1-4549-9102-5A9831230FF4}"/>
            </c:ext>
          </c:extLst>
        </c:ser>
        <c:ser>
          <c:idx val="1"/>
          <c:order val="1"/>
          <c:tx>
            <c:strRef>
              <c:f>Coliform!$E$51</c:f>
              <c:strCache>
                <c:ptCount val="1"/>
                <c:pt idx="0">
                  <c:v>2022</c:v>
                </c:pt>
              </c:strCache>
            </c:strRef>
          </c:tx>
          <c:spPr>
            <a:solidFill>
              <a:schemeClr val="accent2"/>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Coliform!$E$52:$E$57</c:f>
              <c:numCache>
                <c:formatCode>0.00</c:formatCode>
                <c:ptCount val="6"/>
                <c:pt idx="0">
                  <c:v>1688.3333333333333</c:v>
                </c:pt>
                <c:pt idx="1">
                  <c:v>1610</c:v>
                </c:pt>
                <c:pt idx="2">
                  <c:v>1043.3333333333333</c:v>
                </c:pt>
                <c:pt idx="3">
                  <c:v>1450</c:v>
                </c:pt>
                <c:pt idx="4">
                  <c:v>1025</c:v>
                </c:pt>
                <c:pt idx="5">
                  <c:v>677.16666666666663</c:v>
                </c:pt>
              </c:numCache>
            </c:numRef>
          </c:val>
          <c:extLst>
            <c:ext xmlns:c16="http://schemas.microsoft.com/office/drawing/2014/chart" uri="{C3380CC4-5D6E-409C-BE32-E72D297353CC}">
              <c16:uniqueId val="{00000001-6CF1-4549-9102-5A9831230FF4}"/>
            </c:ext>
          </c:extLst>
        </c:ser>
        <c:ser>
          <c:idx val="2"/>
          <c:order val="2"/>
          <c:tx>
            <c:strRef>
              <c:f>Coliform!$F$51</c:f>
              <c:strCache>
                <c:ptCount val="1"/>
                <c:pt idx="0">
                  <c:v>2023</c:v>
                </c:pt>
              </c:strCache>
            </c:strRef>
          </c:tx>
          <c:spPr>
            <a:solidFill>
              <a:schemeClr val="accent3"/>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Coliform!$F$52:$F$57</c:f>
              <c:numCache>
                <c:formatCode>0.00</c:formatCode>
                <c:ptCount val="6"/>
                <c:pt idx="0">
                  <c:v>3773.3333333333335</c:v>
                </c:pt>
                <c:pt idx="1">
                  <c:v>2668.3333333333335</c:v>
                </c:pt>
                <c:pt idx="2">
                  <c:v>2285</c:v>
                </c:pt>
                <c:pt idx="3">
                  <c:v>2165</c:v>
                </c:pt>
                <c:pt idx="4">
                  <c:v>1471.6666666666667</c:v>
                </c:pt>
                <c:pt idx="5">
                  <c:v>571.66666666666663</c:v>
                </c:pt>
              </c:numCache>
            </c:numRef>
          </c:val>
          <c:extLst>
            <c:ext xmlns:c16="http://schemas.microsoft.com/office/drawing/2014/chart" uri="{C3380CC4-5D6E-409C-BE32-E72D297353CC}">
              <c16:uniqueId val="{00000002-6CF1-4549-9102-5A9831230FF4}"/>
            </c:ext>
          </c:extLst>
        </c:ser>
        <c:ser>
          <c:idx val="3"/>
          <c:order val="3"/>
          <c:tx>
            <c:strRef>
              <c:f>Coliform!$G$51</c:f>
              <c:strCache>
                <c:ptCount val="1"/>
                <c:pt idx="0">
                  <c:v>2024</c:v>
                </c:pt>
              </c:strCache>
            </c:strRef>
          </c:tx>
          <c:spPr>
            <a:solidFill>
              <a:schemeClr val="accent4"/>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Coliform!$G$52:$G$57</c:f>
              <c:numCache>
                <c:formatCode>0.00</c:formatCode>
                <c:ptCount val="6"/>
                <c:pt idx="0">
                  <c:v>2433.3333333333335</c:v>
                </c:pt>
                <c:pt idx="1">
                  <c:v>1240</c:v>
                </c:pt>
                <c:pt idx="2">
                  <c:v>594.83333333333337</c:v>
                </c:pt>
                <c:pt idx="3">
                  <c:v>1100</c:v>
                </c:pt>
                <c:pt idx="4">
                  <c:v>1216.6666666666667</c:v>
                </c:pt>
                <c:pt idx="5">
                  <c:v>373.33333333333331</c:v>
                </c:pt>
              </c:numCache>
            </c:numRef>
          </c:val>
          <c:extLst>
            <c:ext xmlns:c16="http://schemas.microsoft.com/office/drawing/2014/chart" uri="{C3380CC4-5D6E-409C-BE32-E72D297353CC}">
              <c16:uniqueId val="{00000003-6CF1-4549-9102-5A9831230FF4}"/>
            </c:ext>
          </c:extLst>
        </c:ser>
        <c:ser>
          <c:idx val="4"/>
          <c:order val="4"/>
          <c:tx>
            <c:strRef>
              <c:f>Coliform!$H$51</c:f>
              <c:strCache>
                <c:ptCount val="1"/>
                <c:pt idx="0">
                  <c:v>2025</c:v>
                </c:pt>
              </c:strCache>
            </c:strRef>
          </c:tx>
          <c:spPr>
            <a:solidFill>
              <a:schemeClr val="accent5"/>
            </a:solidFill>
            <a:ln>
              <a:noFill/>
            </a:ln>
            <a:effectLst/>
          </c:spPr>
          <c:invertIfNegative val="0"/>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Coliform!$H$52:$H$57</c:f>
              <c:numCache>
                <c:formatCode>0.00</c:formatCode>
                <c:ptCount val="6"/>
                <c:pt idx="0">
                  <c:v>1400</c:v>
                </c:pt>
                <c:pt idx="1">
                  <c:v>550</c:v>
                </c:pt>
                <c:pt idx="2">
                  <c:v>960</c:v>
                </c:pt>
                <c:pt idx="3">
                  <c:v>620</c:v>
                </c:pt>
                <c:pt idx="4">
                  <c:v>2300</c:v>
                </c:pt>
                <c:pt idx="5">
                  <c:v>940</c:v>
                </c:pt>
              </c:numCache>
            </c:numRef>
          </c:val>
          <c:extLst>
            <c:ext xmlns:c16="http://schemas.microsoft.com/office/drawing/2014/chart" uri="{C3380CC4-5D6E-409C-BE32-E72D297353CC}">
              <c16:uniqueId val="{00000004-6CF1-4549-9102-5A9831230FF4}"/>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Coliform!$I$51</c:f>
              <c:strCache>
                <c:ptCount val="1"/>
                <c:pt idx="0">
                  <c:v>QCVN 08-MT:2015/BTNMT (Cột A2)</c:v>
                </c:pt>
              </c:strCache>
            </c:strRef>
          </c:tx>
          <c:spPr>
            <a:ln w="22225" cap="rnd">
              <a:solidFill>
                <a:schemeClr val="accent6"/>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Coliform!$I$52:$I$57</c:f>
              <c:numCache>
                <c:formatCode>General</c:formatCode>
                <c:ptCount val="6"/>
                <c:pt idx="5" formatCode="0.0">
                  <c:v>5000</c:v>
                </c:pt>
              </c:numCache>
            </c:numRef>
          </c:val>
          <c:smooth val="0"/>
          <c:extLst>
            <c:ext xmlns:c16="http://schemas.microsoft.com/office/drawing/2014/chart" uri="{C3380CC4-5D6E-409C-BE32-E72D297353CC}">
              <c16:uniqueId val="{00000005-6CF1-4549-9102-5A9831230FF4}"/>
            </c:ext>
          </c:extLst>
        </c:ser>
        <c:ser>
          <c:idx val="6"/>
          <c:order val="6"/>
          <c:tx>
            <c:strRef>
              <c:f>Coliform!$J$51</c:f>
              <c:strCache>
                <c:ptCount val="1"/>
                <c:pt idx="0">
                  <c:v>QCVN 08-MT:2015/BTNMT (Cột B1)</c:v>
                </c:pt>
              </c:strCache>
            </c:strRef>
          </c:tx>
          <c:spPr>
            <a:ln w="22225" cap="rnd">
              <a:solidFill>
                <a:schemeClr val="accent1">
                  <a:lumMod val="60000"/>
                </a:schemeClr>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Coliform!$J$52:$J$57</c:f>
              <c:numCache>
                <c:formatCode>General</c:formatCode>
                <c:ptCount val="6"/>
                <c:pt idx="0">
                  <c:v>7500</c:v>
                </c:pt>
                <c:pt idx="1">
                  <c:v>7500</c:v>
                </c:pt>
                <c:pt idx="2">
                  <c:v>7500</c:v>
                </c:pt>
                <c:pt idx="3">
                  <c:v>7500</c:v>
                </c:pt>
                <c:pt idx="4">
                  <c:v>7500</c:v>
                </c:pt>
              </c:numCache>
            </c:numRef>
          </c:val>
          <c:smooth val="0"/>
          <c:extLst>
            <c:ext xmlns:c16="http://schemas.microsoft.com/office/drawing/2014/chart" uri="{C3380CC4-5D6E-409C-BE32-E72D297353CC}">
              <c16:uniqueId val="{00000006-6CF1-4549-9102-5A9831230FF4}"/>
            </c:ext>
          </c:extLst>
        </c:ser>
        <c:ser>
          <c:idx val="7"/>
          <c:order val="7"/>
          <c:tx>
            <c:strRef>
              <c:f>Coliform!$K$51</c:f>
              <c:strCache>
                <c:ptCount val="1"/>
                <c:pt idx="0">
                  <c:v>QCVN 08:2023/BTNMT (Mức A)</c:v>
                </c:pt>
              </c:strCache>
            </c:strRef>
          </c:tx>
          <c:spPr>
            <a:ln w="22225" cap="rnd">
              <a:solidFill>
                <a:schemeClr val="accent2">
                  <a:lumMod val="60000"/>
                </a:schemeClr>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Coliform!$K$52:$K$57</c:f>
              <c:numCache>
                <c:formatCode>General</c:formatCode>
                <c:ptCount val="6"/>
                <c:pt idx="5">
                  <c:v>1000</c:v>
                </c:pt>
              </c:numCache>
            </c:numRef>
          </c:val>
          <c:smooth val="0"/>
          <c:extLst>
            <c:ext xmlns:c16="http://schemas.microsoft.com/office/drawing/2014/chart" uri="{C3380CC4-5D6E-409C-BE32-E72D297353CC}">
              <c16:uniqueId val="{00000007-6CF1-4549-9102-5A9831230FF4}"/>
            </c:ext>
          </c:extLst>
        </c:ser>
        <c:ser>
          <c:idx val="8"/>
          <c:order val="8"/>
          <c:tx>
            <c:strRef>
              <c:f>Coliform!$L$51</c:f>
              <c:strCache>
                <c:ptCount val="1"/>
                <c:pt idx="0">
                  <c:v>QCVN 08:2023/BTNMT (Mức B)</c:v>
                </c:pt>
              </c:strCache>
            </c:strRef>
          </c:tx>
          <c:spPr>
            <a:ln w="22225" cap="rnd">
              <a:solidFill>
                <a:schemeClr val="accent3">
                  <a:lumMod val="60000"/>
                </a:schemeClr>
              </a:solidFill>
              <a:round/>
            </a:ln>
            <a:effectLst/>
          </c:spPr>
          <c:marker>
            <c:symbol val="none"/>
          </c:marker>
          <c:cat>
            <c:strRef>
              <c:f>Coliform!$B$52:$C$57</c:f>
              <c:strCache>
                <c:ptCount val="6"/>
                <c:pt idx="0">
                  <c:v>Sông Mỹ Dương (tại cầu Cương Gián)</c:v>
                </c:pt>
                <c:pt idx="1">
                  <c:v>Sông Gia Hội (tại chân cầu Họ)</c:v>
                </c:pt>
                <c:pt idx="2">
                  <c:v>Sông Vịnh (tại cầu Kỳ Hải)</c:v>
                </c:pt>
                <c:pt idx="3">
                  <c:v>Kênh thoát lũ (tại P. Kỳ Phương)</c:v>
                </c:pt>
                <c:pt idx="4">
                  <c:v>Sông Nhà Lê (tại cầu Thượng)</c:v>
                </c:pt>
                <c:pt idx="5">
                  <c:v>Sông Rào Trổ (tại đập dâng Lạc Tiến)</c:v>
                </c:pt>
              </c:strCache>
            </c:strRef>
          </c:cat>
          <c:val>
            <c:numRef>
              <c:f>Coliform!$L$52:$L$57</c:f>
              <c:numCache>
                <c:formatCode>0.0</c:formatCode>
                <c:ptCount val="6"/>
                <c:pt idx="0">
                  <c:v>5000</c:v>
                </c:pt>
                <c:pt idx="1">
                  <c:v>5000</c:v>
                </c:pt>
                <c:pt idx="2">
                  <c:v>5000</c:v>
                </c:pt>
                <c:pt idx="3">
                  <c:v>5000</c:v>
                </c:pt>
                <c:pt idx="4">
                  <c:v>5000</c:v>
                </c:pt>
              </c:numCache>
            </c:numRef>
          </c:val>
          <c:smooth val="0"/>
          <c:extLst>
            <c:ext xmlns:c16="http://schemas.microsoft.com/office/drawing/2014/chart" uri="{C3380CC4-5D6E-409C-BE32-E72D297353CC}">
              <c16:uniqueId val="{00000008-6CF1-4549-9102-5A9831230FF4}"/>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7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00"/>
      </c:valAx>
      <c:spPr>
        <a:noFill/>
        <a:ln>
          <a:noFill/>
        </a:ln>
        <a:effectLst/>
      </c:spPr>
    </c:plotArea>
    <c:legend>
      <c:legendPos val="b"/>
      <c:layout>
        <c:manualLayout>
          <c:xMode val="edge"/>
          <c:yMode val="edge"/>
          <c:x val="0"/>
          <c:y val="0.79679512043753153"/>
          <c:w val="0.9980826068771379"/>
          <c:h val="0.2032048795624684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US" sz="1200" b="0">
                <a:solidFill>
                  <a:schemeClr val="tx1"/>
                </a:solidFill>
                <a:latin typeface="Times New Roman" panose="02020603050405020304" pitchFamily="18" charset="0"/>
                <a:cs typeface="Times New Roman" panose="02020603050405020304" pitchFamily="18" charset="0"/>
              </a:rPr>
              <a:t>Năm</a:t>
            </a:r>
          </a:p>
        </c:rich>
      </c:tx>
      <c:layout>
        <c:manualLayout>
          <c:xMode val="edge"/>
          <c:yMode val="edge"/>
          <c:x val="4.5032559906389692E-2"/>
          <c:y val="0.77003800151496826"/>
        </c:manualLayout>
      </c:layout>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US"/>
        </a:p>
      </c:txPr>
    </c:title>
    <c:autoTitleDeleted val="0"/>
    <c:plotArea>
      <c:layout>
        <c:manualLayout>
          <c:layoutTarget val="inner"/>
          <c:xMode val="edge"/>
          <c:yMode val="edge"/>
          <c:x val="0.12199759405074363"/>
          <c:y val="4.8750000000000009E-2"/>
          <c:w val="0.80727618712197735"/>
          <c:h val="0.70690580344123655"/>
        </c:manualLayout>
      </c:layout>
      <c:barChart>
        <c:barDir val="col"/>
        <c:grouping val="clustered"/>
        <c:varyColors val="0"/>
        <c:ser>
          <c:idx val="0"/>
          <c:order val="0"/>
          <c:tx>
            <c:strRef>
              <c:f>Sheet1!$C$46</c:f>
              <c:strCache>
                <c:ptCount val="1"/>
                <c:pt idx="0">
                  <c:v>Diện tích (ha)</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elete val="1"/>
          </c:dLbls>
          <c:cat>
            <c:strRef>
              <c:f>Sheet1!$D$44:$I$45</c:f>
              <c:strCache>
                <c:ptCount val="6"/>
                <c:pt idx="0">
                  <c:v>2020</c:v>
                </c:pt>
                <c:pt idx="1">
                  <c:v>2021</c:v>
                </c:pt>
                <c:pt idx="2">
                  <c:v>2022</c:v>
                </c:pt>
                <c:pt idx="3">
                  <c:v>2023</c:v>
                </c:pt>
                <c:pt idx="4">
                  <c:v>2024</c:v>
                </c:pt>
                <c:pt idx="5">
                  <c:v>2025 (ước tính cả năm)</c:v>
                </c:pt>
              </c:strCache>
            </c:strRef>
          </c:cat>
          <c:val>
            <c:numRef>
              <c:f>Sheet1!$D$46:$I$46</c:f>
              <c:numCache>
                <c:formatCode>#,##0</c:formatCode>
                <c:ptCount val="6"/>
                <c:pt idx="0">
                  <c:v>7476</c:v>
                </c:pt>
                <c:pt idx="1">
                  <c:v>7452</c:v>
                </c:pt>
                <c:pt idx="2">
                  <c:v>7314</c:v>
                </c:pt>
                <c:pt idx="3">
                  <c:v>7250</c:v>
                </c:pt>
                <c:pt idx="4">
                  <c:v>7454</c:v>
                </c:pt>
                <c:pt idx="5">
                  <c:v>7360</c:v>
                </c:pt>
              </c:numCache>
            </c:numRef>
          </c:val>
          <c:extLst>
            <c:ext xmlns:c16="http://schemas.microsoft.com/office/drawing/2014/chart" uri="{C3380CC4-5D6E-409C-BE32-E72D297353CC}">
              <c16:uniqueId val="{00000000-DEA8-455E-817A-52F5E2A7B836}"/>
            </c:ext>
          </c:extLst>
        </c:ser>
        <c:dLbls>
          <c:dLblPos val="ctr"/>
          <c:showLegendKey val="0"/>
          <c:showVal val="1"/>
          <c:showCatName val="0"/>
          <c:showSerName val="0"/>
          <c:showPercent val="0"/>
          <c:showBubbleSize val="0"/>
        </c:dLbls>
        <c:gapWidth val="247"/>
        <c:axId val="1772325455"/>
        <c:axId val="1772342255"/>
      </c:barChart>
      <c:lineChart>
        <c:grouping val="standard"/>
        <c:varyColors val="0"/>
        <c:ser>
          <c:idx val="1"/>
          <c:order val="1"/>
          <c:tx>
            <c:strRef>
              <c:f>Sheet1!$C$47</c:f>
              <c:strCache>
                <c:ptCount val="1"/>
                <c:pt idx="0">
                  <c:v>Sản lượng (tấn)</c:v>
                </c:pt>
              </c:strCache>
            </c:strRef>
          </c:tx>
          <c:spPr>
            <a:ln w="31750" cap="rnd">
              <a:solidFill>
                <a:schemeClr val="accent2"/>
              </a:solidFill>
              <a:round/>
            </a:ln>
            <a:effectLst/>
          </c:spPr>
          <c:marker>
            <c:symbol val="none"/>
          </c:marker>
          <c:cat>
            <c:strRef>
              <c:f>Sheet1!$D$44:$I$45</c:f>
              <c:strCache>
                <c:ptCount val="6"/>
                <c:pt idx="0">
                  <c:v>2020</c:v>
                </c:pt>
                <c:pt idx="1">
                  <c:v>2021</c:v>
                </c:pt>
                <c:pt idx="2">
                  <c:v>2022</c:v>
                </c:pt>
                <c:pt idx="3">
                  <c:v>2023</c:v>
                </c:pt>
                <c:pt idx="4">
                  <c:v>2024</c:v>
                </c:pt>
                <c:pt idx="5">
                  <c:v>2025 (ước tính cả năm)</c:v>
                </c:pt>
              </c:strCache>
            </c:strRef>
          </c:cat>
          <c:val>
            <c:numRef>
              <c:f>Sheet1!$D$47:$I$47</c:f>
              <c:numCache>
                <c:formatCode>#,##0</c:formatCode>
                <c:ptCount val="6"/>
                <c:pt idx="0">
                  <c:v>55471</c:v>
                </c:pt>
                <c:pt idx="1">
                  <c:v>54310</c:v>
                </c:pt>
                <c:pt idx="2">
                  <c:v>55193</c:v>
                </c:pt>
                <c:pt idx="3">
                  <c:v>56452</c:v>
                </c:pt>
                <c:pt idx="4">
                  <c:v>58737</c:v>
                </c:pt>
                <c:pt idx="5">
                  <c:v>62780</c:v>
                </c:pt>
              </c:numCache>
            </c:numRef>
          </c:val>
          <c:smooth val="0"/>
          <c:extLst>
            <c:ext xmlns:c16="http://schemas.microsoft.com/office/drawing/2014/chart" uri="{C3380CC4-5D6E-409C-BE32-E72D297353CC}">
              <c16:uniqueId val="{00000001-DEA8-455E-817A-52F5E2A7B836}"/>
            </c:ext>
          </c:extLst>
        </c:ser>
        <c:dLbls>
          <c:showLegendKey val="0"/>
          <c:showVal val="0"/>
          <c:showCatName val="0"/>
          <c:showSerName val="0"/>
          <c:showPercent val="0"/>
          <c:showBubbleSize val="0"/>
        </c:dLbls>
        <c:marker val="1"/>
        <c:smooth val="0"/>
        <c:axId val="1772325455"/>
        <c:axId val="1772342255"/>
      </c:lineChart>
      <c:catAx>
        <c:axId val="177232545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772342255"/>
        <c:crosses val="autoZero"/>
        <c:auto val="1"/>
        <c:lblAlgn val="ctr"/>
        <c:lblOffset val="100"/>
        <c:noMultiLvlLbl val="0"/>
      </c:catAx>
      <c:valAx>
        <c:axId val="1772342255"/>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772325455"/>
        <c:crosses val="autoZero"/>
        <c:crossBetween val="between"/>
      </c:valAx>
      <c:spPr>
        <a:noFill/>
        <a:ln>
          <a:noFill/>
        </a:ln>
        <a:effectLst/>
      </c:spPr>
    </c:plotArea>
    <c:legend>
      <c:legendPos val="b"/>
      <c:layout>
        <c:manualLayout>
          <c:xMode val="edge"/>
          <c:yMode val="edge"/>
          <c:x val="0.17425831146106738"/>
          <c:y val="0.89409667541557303"/>
          <c:w val="0.5348167104111986"/>
          <c:h val="7.8125546806649168E-2"/>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956197424848015E-2"/>
          <c:y val="5.5555555555555552E-2"/>
          <c:w val="0.91479870669681829"/>
          <c:h val="0.51668973196532253"/>
        </c:manualLayout>
      </c:layout>
      <c:lineChart>
        <c:grouping val="standard"/>
        <c:varyColors val="0"/>
        <c:ser>
          <c:idx val="0"/>
          <c:order val="0"/>
          <c:tx>
            <c:strRef>
              <c:f>WQI!$D$101</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WQI!$D$102:$D$107</c:f>
              <c:numCache>
                <c:formatCode>General</c:formatCode>
                <c:ptCount val="6"/>
                <c:pt idx="0">
                  <c:v>90</c:v>
                </c:pt>
                <c:pt idx="1">
                  <c:v>90</c:v>
                </c:pt>
                <c:pt idx="2">
                  <c:v>92</c:v>
                </c:pt>
                <c:pt idx="3">
                  <c:v>72</c:v>
                </c:pt>
                <c:pt idx="4">
                  <c:v>97</c:v>
                </c:pt>
                <c:pt idx="5">
                  <c:v>89</c:v>
                </c:pt>
              </c:numCache>
            </c:numRef>
          </c:val>
          <c:smooth val="0"/>
          <c:extLst>
            <c:ext xmlns:c16="http://schemas.microsoft.com/office/drawing/2014/chart" uri="{C3380CC4-5D6E-409C-BE32-E72D297353CC}">
              <c16:uniqueId val="{00000000-E50D-45D5-88B9-458126C42329}"/>
            </c:ext>
          </c:extLst>
        </c:ser>
        <c:ser>
          <c:idx val="1"/>
          <c:order val="1"/>
          <c:tx>
            <c:strRef>
              <c:f>WQI!$E$101</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WQI!$E$102:$E$107</c:f>
              <c:numCache>
                <c:formatCode>General</c:formatCode>
                <c:ptCount val="6"/>
                <c:pt idx="0">
                  <c:v>90</c:v>
                </c:pt>
                <c:pt idx="1">
                  <c:v>91</c:v>
                </c:pt>
                <c:pt idx="2">
                  <c:v>94</c:v>
                </c:pt>
                <c:pt idx="3">
                  <c:v>84</c:v>
                </c:pt>
                <c:pt idx="4">
                  <c:v>88</c:v>
                </c:pt>
                <c:pt idx="5">
                  <c:v>87</c:v>
                </c:pt>
              </c:numCache>
            </c:numRef>
          </c:val>
          <c:smooth val="0"/>
          <c:extLst>
            <c:ext xmlns:c16="http://schemas.microsoft.com/office/drawing/2014/chart" uri="{C3380CC4-5D6E-409C-BE32-E72D297353CC}">
              <c16:uniqueId val="{00000001-E50D-45D5-88B9-458126C42329}"/>
            </c:ext>
          </c:extLst>
        </c:ser>
        <c:ser>
          <c:idx val="2"/>
          <c:order val="2"/>
          <c:tx>
            <c:strRef>
              <c:f>WQI!$F$101</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WQI!$F$102:$F$107</c:f>
              <c:numCache>
                <c:formatCode>General</c:formatCode>
                <c:ptCount val="6"/>
                <c:pt idx="0">
                  <c:v>81</c:v>
                </c:pt>
                <c:pt idx="1">
                  <c:v>88</c:v>
                </c:pt>
                <c:pt idx="2">
                  <c:v>92</c:v>
                </c:pt>
                <c:pt idx="3">
                  <c:v>89</c:v>
                </c:pt>
                <c:pt idx="4">
                  <c:v>98</c:v>
                </c:pt>
                <c:pt idx="5">
                  <c:v>81</c:v>
                </c:pt>
              </c:numCache>
            </c:numRef>
          </c:val>
          <c:smooth val="0"/>
          <c:extLst>
            <c:ext xmlns:c16="http://schemas.microsoft.com/office/drawing/2014/chart" uri="{C3380CC4-5D6E-409C-BE32-E72D297353CC}">
              <c16:uniqueId val="{00000002-E50D-45D5-88B9-458126C42329}"/>
            </c:ext>
          </c:extLst>
        </c:ser>
        <c:ser>
          <c:idx val="3"/>
          <c:order val="3"/>
          <c:tx>
            <c:strRef>
              <c:f>WQI!$G$101</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WQI!$G$102:$G$107</c:f>
              <c:numCache>
                <c:formatCode>General</c:formatCode>
                <c:ptCount val="6"/>
                <c:pt idx="0">
                  <c:v>90</c:v>
                </c:pt>
                <c:pt idx="1">
                  <c:v>90</c:v>
                </c:pt>
                <c:pt idx="2">
                  <c:v>98</c:v>
                </c:pt>
                <c:pt idx="3">
                  <c:v>99</c:v>
                </c:pt>
                <c:pt idx="4">
                  <c:v>97</c:v>
                </c:pt>
                <c:pt idx="5">
                  <c:v>93</c:v>
                </c:pt>
              </c:numCache>
            </c:numRef>
          </c:val>
          <c:smooth val="0"/>
          <c:extLst>
            <c:ext xmlns:c16="http://schemas.microsoft.com/office/drawing/2014/chart" uri="{C3380CC4-5D6E-409C-BE32-E72D297353CC}">
              <c16:uniqueId val="{00000003-E50D-45D5-88B9-458126C42329}"/>
            </c:ext>
          </c:extLst>
        </c:ser>
        <c:ser>
          <c:idx val="4"/>
          <c:order val="4"/>
          <c:tx>
            <c:strRef>
              <c:f>WQI!$H$101</c:f>
              <c:strCache>
                <c:ptCount val="1"/>
                <c:pt idx="0">
                  <c:v>WQI-Rất tốt (91-100)</c:v>
                </c:pt>
              </c:strCache>
            </c:strRef>
          </c:tx>
          <c:spPr>
            <a:ln w="28575" cap="rnd">
              <a:solidFill>
                <a:schemeClr val="accent5"/>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WQI!$H$102:$H$107</c:f>
              <c:numCache>
                <c:formatCode>General</c:formatCode>
                <c:ptCount val="6"/>
                <c:pt idx="0">
                  <c:v>91</c:v>
                </c:pt>
                <c:pt idx="1">
                  <c:v>91</c:v>
                </c:pt>
                <c:pt idx="2">
                  <c:v>91</c:v>
                </c:pt>
                <c:pt idx="3">
                  <c:v>91</c:v>
                </c:pt>
                <c:pt idx="4">
                  <c:v>91</c:v>
                </c:pt>
                <c:pt idx="5">
                  <c:v>91</c:v>
                </c:pt>
              </c:numCache>
            </c:numRef>
          </c:val>
          <c:smooth val="0"/>
          <c:extLst>
            <c:ext xmlns:c16="http://schemas.microsoft.com/office/drawing/2014/chart" uri="{C3380CC4-5D6E-409C-BE32-E72D297353CC}">
              <c16:uniqueId val="{00000004-E50D-45D5-88B9-458126C42329}"/>
            </c:ext>
          </c:extLst>
        </c:ser>
        <c:ser>
          <c:idx val="5"/>
          <c:order val="5"/>
          <c:tx>
            <c:strRef>
              <c:f>WQI!$I$101</c:f>
              <c:strCache>
                <c:ptCount val="1"/>
                <c:pt idx="0">
                  <c:v>WQI-Tốt (76-90)</c:v>
                </c:pt>
              </c:strCache>
            </c:strRef>
          </c:tx>
          <c:spPr>
            <a:ln w="28575" cap="rnd">
              <a:solidFill>
                <a:schemeClr val="accent6"/>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WQI!$I$102:$I$107</c:f>
              <c:numCache>
                <c:formatCode>General</c:formatCode>
                <c:ptCount val="6"/>
                <c:pt idx="0">
                  <c:v>76</c:v>
                </c:pt>
                <c:pt idx="1">
                  <c:v>76</c:v>
                </c:pt>
                <c:pt idx="2">
                  <c:v>76</c:v>
                </c:pt>
                <c:pt idx="3">
                  <c:v>76</c:v>
                </c:pt>
                <c:pt idx="4">
                  <c:v>76</c:v>
                </c:pt>
                <c:pt idx="5">
                  <c:v>76</c:v>
                </c:pt>
              </c:numCache>
            </c:numRef>
          </c:val>
          <c:smooth val="0"/>
          <c:extLst>
            <c:ext xmlns:c16="http://schemas.microsoft.com/office/drawing/2014/chart" uri="{C3380CC4-5D6E-409C-BE32-E72D297353CC}">
              <c16:uniqueId val="{00000005-E50D-45D5-88B9-458126C42329}"/>
            </c:ext>
          </c:extLst>
        </c:ser>
        <c:ser>
          <c:idx val="6"/>
          <c:order val="6"/>
          <c:tx>
            <c:strRef>
              <c:f>WQI!$J$101</c:f>
              <c:strCache>
                <c:ptCount val="1"/>
                <c:pt idx="0">
                  <c:v>WQI-Trung bình (51-75)</c:v>
                </c:pt>
              </c:strCache>
            </c:strRef>
          </c:tx>
          <c:spPr>
            <a:ln w="28575" cap="rnd">
              <a:solidFill>
                <a:schemeClr val="accent1">
                  <a:lumMod val="60000"/>
                </a:schemeClr>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WQI!$J$102:$J$107</c:f>
              <c:numCache>
                <c:formatCode>General</c:formatCode>
                <c:ptCount val="6"/>
                <c:pt idx="0">
                  <c:v>51</c:v>
                </c:pt>
                <c:pt idx="1">
                  <c:v>51</c:v>
                </c:pt>
                <c:pt idx="2">
                  <c:v>51</c:v>
                </c:pt>
                <c:pt idx="3">
                  <c:v>51</c:v>
                </c:pt>
                <c:pt idx="4">
                  <c:v>51</c:v>
                </c:pt>
                <c:pt idx="5">
                  <c:v>51</c:v>
                </c:pt>
              </c:numCache>
            </c:numRef>
          </c:val>
          <c:smooth val="0"/>
          <c:extLst>
            <c:ext xmlns:c16="http://schemas.microsoft.com/office/drawing/2014/chart" uri="{C3380CC4-5D6E-409C-BE32-E72D297353CC}">
              <c16:uniqueId val="{00000006-E50D-45D5-88B9-458126C42329}"/>
            </c:ext>
          </c:extLst>
        </c:ser>
        <c:ser>
          <c:idx val="7"/>
          <c:order val="7"/>
          <c:tx>
            <c:strRef>
              <c:f>WQI!$K$101</c:f>
              <c:strCache>
                <c:ptCount val="1"/>
                <c:pt idx="0">
                  <c:v>WQI-Xấu (26-50)</c:v>
                </c:pt>
              </c:strCache>
            </c:strRef>
          </c:tx>
          <c:spPr>
            <a:ln w="28575" cap="rnd">
              <a:solidFill>
                <a:schemeClr val="accent2">
                  <a:lumMod val="60000"/>
                </a:schemeClr>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WQI!$K$102:$K$107</c:f>
              <c:numCache>
                <c:formatCode>General</c:formatCode>
                <c:ptCount val="6"/>
                <c:pt idx="0">
                  <c:v>26</c:v>
                </c:pt>
                <c:pt idx="1">
                  <c:v>26</c:v>
                </c:pt>
                <c:pt idx="2">
                  <c:v>26</c:v>
                </c:pt>
                <c:pt idx="3">
                  <c:v>26</c:v>
                </c:pt>
                <c:pt idx="4">
                  <c:v>26</c:v>
                </c:pt>
                <c:pt idx="5">
                  <c:v>26</c:v>
                </c:pt>
              </c:numCache>
            </c:numRef>
          </c:val>
          <c:smooth val="0"/>
          <c:extLst>
            <c:ext xmlns:c16="http://schemas.microsoft.com/office/drawing/2014/chart" uri="{C3380CC4-5D6E-409C-BE32-E72D297353CC}">
              <c16:uniqueId val="{00000007-E50D-45D5-88B9-458126C42329}"/>
            </c:ext>
          </c:extLst>
        </c:ser>
        <c:ser>
          <c:idx val="8"/>
          <c:order val="8"/>
          <c:tx>
            <c:strRef>
              <c:f>WQI!$L$101</c:f>
              <c:strCache>
                <c:ptCount val="1"/>
                <c:pt idx="0">
                  <c:v>WQI-Kém (10-25)</c:v>
                </c:pt>
              </c:strCache>
            </c:strRef>
          </c:tx>
          <c:spPr>
            <a:ln w="28575" cap="rnd">
              <a:solidFill>
                <a:schemeClr val="accent3">
                  <a:lumMod val="60000"/>
                </a:schemeClr>
              </a:solidFill>
              <a:round/>
            </a:ln>
            <a:effectLst/>
          </c:spPr>
          <c:marker>
            <c:symbol val="none"/>
          </c:marker>
          <c:cat>
            <c:strRef>
              <c:f>WQI!$C$102:$C$107</c:f>
              <c:strCache>
                <c:ptCount val="6"/>
                <c:pt idx="0">
                  <c:v>Sông Mỹ Dương 
(tại cầu Cương Gián)</c:v>
                </c:pt>
                <c:pt idx="1">
                  <c:v>Sông Gia Hội 
(tại chân cầu Họ)</c:v>
                </c:pt>
                <c:pt idx="2">
                  <c:v>Kênh thoát lũ 
(tại P. Kỳ Phương)</c:v>
                </c:pt>
                <c:pt idx="3">
                  <c:v>Sông Vịnh 
(tại cầu Kỳ Hải)</c:v>
                </c:pt>
                <c:pt idx="4">
                  <c:v>Sông Rào Trổ 
(tại đập dâng Lạc Tiến)</c:v>
                </c:pt>
                <c:pt idx="5">
                  <c:v>Sông Nhà Lê 
(tại cầu Thượng)</c:v>
                </c:pt>
              </c:strCache>
            </c:strRef>
          </c:cat>
          <c:val>
            <c:numRef>
              <c:f>WQI!$L$102:$L$107</c:f>
              <c:numCache>
                <c:formatCode>General</c:formatCode>
                <c:ptCount val="6"/>
                <c:pt idx="0">
                  <c:v>10</c:v>
                </c:pt>
                <c:pt idx="1">
                  <c:v>10</c:v>
                </c:pt>
                <c:pt idx="2">
                  <c:v>10</c:v>
                </c:pt>
                <c:pt idx="3">
                  <c:v>10</c:v>
                </c:pt>
                <c:pt idx="4">
                  <c:v>10</c:v>
                </c:pt>
                <c:pt idx="5">
                  <c:v>10</c:v>
                </c:pt>
              </c:numCache>
            </c:numRef>
          </c:val>
          <c:smooth val="0"/>
          <c:extLst>
            <c:ext xmlns:c16="http://schemas.microsoft.com/office/drawing/2014/chart" uri="{C3380CC4-5D6E-409C-BE32-E72D297353CC}">
              <c16:uniqueId val="{00000008-E50D-45D5-88B9-458126C42329}"/>
            </c:ext>
          </c:extLst>
        </c:ser>
        <c:dLbls>
          <c:showLegendKey val="0"/>
          <c:showVal val="0"/>
          <c:showCatName val="0"/>
          <c:showSerName val="0"/>
          <c:showPercent val="0"/>
          <c:showBubbleSize val="0"/>
        </c:dLbls>
        <c:marker val="1"/>
        <c:smooth val="0"/>
        <c:axId val="380600335"/>
        <c:axId val="380601167"/>
      </c:lineChart>
      <c:catAx>
        <c:axId val="380600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0601167"/>
        <c:crosses val="autoZero"/>
        <c:auto val="1"/>
        <c:lblAlgn val="ctr"/>
        <c:lblOffset val="100"/>
        <c:noMultiLvlLbl val="0"/>
      </c:catAx>
      <c:valAx>
        <c:axId val="38060116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0600335"/>
        <c:crosses val="autoZero"/>
        <c:crossBetween val="between"/>
      </c:valAx>
      <c:spPr>
        <a:noFill/>
        <a:ln>
          <a:noFill/>
        </a:ln>
        <a:effectLst/>
      </c:spPr>
    </c:plotArea>
    <c:legend>
      <c:legendPos val="b"/>
      <c:layout>
        <c:manualLayout>
          <c:xMode val="edge"/>
          <c:yMode val="edge"/>
          <c:x val="4.2345092580861804E-2"/>
          <c:y val="0.78881929531535833"/>
          <c:w val="0.92633031296479151"/>
          <c:h val="0.180877674381611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2005116189744574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275406755674146E-2"/>
          <c:y val="4.7057678765764034E-2"/>
          <c:w val="0.93893632134373972"/>
          <c:h val="0.4921098521221432"/>
        </c:manualLayout>
      </c:layout>
      <c:barChart>
        <c:barDir val="col"/>
        <c:grouping val="clustered"/>
        <c:varyColors val="0"/>
        <c:ser>
          <c:idx val="0"/>
          <c:order val="0"/>
          <c:tx>
            <c:strRef>
              <c:f>'BOD5'!$D$68</c:f>
              <c:strCache>
                <c:ptCount val="1"/>
                <c:pt idx="0">
                  <c:v>2021</c:v>
                </c:pt>
              </c:strCache>
            </c:strRef>
          </c:tx>
          <c:spPr>
            <a:solidFill>
              <a:schemeClr val="accent1"/>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'BOD5'!$D$69:$D$91</c:f>
              <c:numCache>
                <c:formatCode>0.00</c:formatCode>
                <c:ptCount val="23"/>
                <c:pt idx="0">
                  <c:v>6.3666666666666671</c:v>
                </c:pt>
                <c:pt idx="1">
                  <c:v>4</c:v>
                </c:pt>
                <c:pt idx="2">
                  <c:v>3</c:v>
                </c:pt>
                <c:pt idx="3">
                  <c:v>2.1666666666666665</c:v>
                </c:pt>
                <c:pt idx="4">
                  <c:v>8.1166666666666671</c:v>
                </c:pt>
                <c:pt idx="5">
                  <c:v>3.2166666666666668</c:v>
                </c:pt>
                <c:pt idx="6">
                  <c:v>1.8833333333333335</c:v>
                </c:pt>
                <c:pt idx="7">
                  <c:v>1.8166666666666664</c:v>
                </c:pt>
                <c:pt idx="8">
                  <c:v>5.0333333333333341</c:v>
                </c:pt>
                <c:pt idx="9">
                  <c:v>6.1166666666666663</c:v>
                </c:pt>
                <c:pt idx="10">
                  <c:v>4.6166666666666671</c:v>
                </c:pt>
                <c:pt idx="11">
                  <c:v>4.55</c:v>
                </c:pt>
                <c:pt idx="12">
                  <c:v>2.5666666666666669</c:v>
                </c:pt>
                <c:pt idx="13">
                  <c:v>4.4666666666666659</c:v>
                </c:pt>
                <c:pt idx="14">
                  <c:v>3.7000000000000006</c:v>
                </c:pt>
                <c:pt idx="15">
                  <c:v>2.5166666666666666</c:v>
                </c:pt>
                <c:pt idx="16">
                  <c:v>3</c:v>
                </c:pt>
                <c:pt idx="17">
                  <c:v>4.8166666666666664</c:v>
                </c:pt>
                <c:pt idx="18">
                  <c:v>3</c:v>
                </c:pt>
                <c:pt idx="19">
                  <c:v>4.5666666666666664</c:v>
                </c:pt>
                <c:pt idx="20">
                  <c:v>3.1500000000000004</c:v>
                </c:pt>
                <c:pt idx="21">
                  <c:v>12.866666666666667</c:v>
                </c:pt>
                <c:pt idx="22">
                  <c:v>5.05</c:v>
                </c:pt>
              </c:numCache>
            </c:numRef>
          </c:val>
          <c:extLst>
            <c:ext xmlns:c16="http://schemas.microsoft.com/office/drawing/2014/chart" uri="{C3380CC4-5D6E-409C-BE32-E72D297353CC}">
              <c16:uniqueId val="{00000000-DEBF-476D-AC8C-DB47256D201B}"/>
            </c:ext>
          </c:extLst>
        </c:ser>
        <c:ser>
          <c:idx val="1"/>
          <c:order val="1"/>
          <c:tx>
            <c:strRef>
              <c:f>'BOD5'!$E$68</c:f>
              <c:strCache>
                <c:ptCount val="1"/>
                <c:pt idx="0">
                  <c:v>2022</c:v>
                </c:pt>
              </c:strCache>
            </c:strRef>
          </c:tx>
          <c:spPr>
            <a:solidFill>
              <a:schemeClr val="accent2"/>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'BOD5'!$E$69:$E$91</c:f>
              <c:numCache>
                <c:formatCode>0.00</c:formatCode>
                <c:ptCount val="23"/>
                <c:pt idx="0">
                  <c:v>24.666666666666668</c:v>
                </c:pt>
                <c:pt idx="1">
                  <c:v>5.333333333333333</c:v>
                </c:pt>
                <c:pt idx="2">
                  <c:v>6.666666666666667</c:v>
                </c:pt>
                <c:pt idx="3">
                  <c:v>9.3333333333333339</c:v>
                </c:pt>
                <c:pt idx="4">
                  <c:v>14.666666666666666</c:v>
                </c:pt>
                <c:pt idx="5">
                  <c:v>8.6666666666666661</c:v>
                </c:pt>
                <c:pt idx="6">
                  <c:v>5.333333333333333</c:v>
                </c:pt>
                <c:pt idx="7">
                  <c:v>9.3333333333333339</c:v>
                </c:pt>
                <c:pt idx="8">
                  <c:v>8.6666666666666661</c:v>
                </c:pt>
                <c:pt idx="9">
                  <c:v>6</c:v>
                </c:pt>
                <c:pt idx="10">
                  <c:v>12</c:v>
                </c:pt>
                <c:pt idx="11">
                  <c:v>9.3333333333333339</c:v>
                </c:pt>
                <c:pt idx="12">
                  <c:v>10.666666666666666</c:v>
                </c:pt>
                <c:pt idx="13">
                  <c:v>13.333333333333334</c:v>
                </c:pt>
                <c:pt idx="14">
                  <c:v>12.666666666666666</c:v>
                </c:pt>
                <c:pt idx="15">
                  <c:v>11.333333333333334</c:v>
                </c:pt>
                <c:pt idx="16">
                  <c:v>14</c:v>
                </c:pt>
                <c:pt idx="17">
                  <c:v>12.666666666666666</c:v>
                </c:pt>
                <c:pt idx="18">
                  <c:v>6</c:v>
                </c:pt>
                <c:pt idx="19">
                  <c:v>16</c:v>
                </c:pt>
                <c:pt idx="20">
                  <c:v>14.666666666666666</c:v>
                </c:pt>
                <c:pt idx="21">
                  <c:v>23.333333333333332</c:v>
                </c:pt>
                <c:pt idx="22">
                  <c:v>16.666666666666668</c:v>
                </c:pt>
              </c:numCache>
            </c:numRef>
          </c:val>
          <c:extLst>
            <c:ext xmlns:c16="http://schemas.microsoft.com/office/drawing/2014/chart" uri="{C3380CC4-5D6E-409C-BE32-E72D297353CC}">
              <c16:uniqueId val="{00000001-DEBF-476D-AC8C-DB47256D201B}"/>
            </c:ext>
          </c:extLst>
        </c:ser>
        <c:ser>
          <c:idx val="2"/>
          <c:order val="2"/>
          <c:tx>
            <c:strRef>
              <c:f>'BOD5'!$F$68</c:f>
              <c:strCache>
                <c:ptCount val="1"/>
                <c:pt idx="0">
                  <c:v>2023</c:v>
                </c:pt>
              </c:strCache>
            </c:strRef>
          </c:tx>
          <c:spPr>
            <a:solidFill>
              <a:schemeClr val="accent3"/>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'BOD5'!$F$69:$F$91</c:f>
              <c:numCache>
                <c:formatCode>0.00</c:formatCode>
                <c:ptCount val="23"/>
                <c:pt idx="0">
                  <c:v>3.0000000000000004</c:v>
                </c:pt>
                <c:pt idx="1">
                  <c:v>3.1850000000000005</c:v>
                </c:pt>
                <c:pt idx="2">
                  <c:v>2.4883333333333333</c:v>
                </c:pt>
                <c:pt idx="3">
                  <c:v>1.5149999999999999</c:v>
                </c:pt>
                <c:pt idx="4">
                  <c:v>4.7850000000000001</c:v>
                </c:pt>
                <c:pt idx="5">
                  <c:v>2.9333333333333331</c:v>
                </c:pt>
                <c:pt idx="6">
                  <c:v>3.3766666666666669</c:v>
                </c:pt>
                <c:pt idx="7">
                  <c:v>1.9333333333333329</c:v>
                </c:pt>
                <c:pt idx="8">
                  <c:v>1.8499999999999999</c:v>
                </c:pt>
                <c:pt idx="9">
                  <c:v>2.3149999999999999</c:v>
                </c:pt>
                <c:pt idx="10">
                  <c:v>2.2366666666666668</c:v>
                </c:pt>
                <c:pt idx="11">
                  <c:v>1.6366666666666665</c:v>
                </c:pt>
                <c:pt idx="12">
                  <c:v>2.2533333333333334</c:v>
                </c:pt>
                <c:pt idx="13">
                  <c:v>2.4416666666666669</c:v>
                </c:pt>
                <c:pt idx="14">
                  <c:v>2.7433333333333336</c:v>
                </c:pt>
                <c:pt idx="15">
                  <c:v>1.51</c:v>
                </c:pt>
                <c:pt idx="16">
                  <c:v>1.3499999999999999</c:v>
                </c:pt>
                <c:pt idx="17">
                  <c:v>5.8</c:v>
                </c:pt>
                <c:pt idx="18">
                  <c:v>2.2333333333333329</c:v>
                </c:pt>
                <c:pt idx="19">
                  <c:v>2.2333333333333334</c:v>
                </c:pt>
                <c:pt idx="20">
                  <c:v>2.0466666666666664</c:v>
                </c:pt>
                <c:pt idx="21">
                  <c:v>13.933333333333332</c:v>
                </c:pt>
                <c:pt idx="22">
                  <c:v>10.366666666666667</c:v>
                </c:pt>
              </c:numCache>
            </c:numRef>
          </c:val>
          <c:extLst>
            <c:ext xmlns:c16="http://schemas.microsoft.com/office/drawing/2014/chart" uri="{C3380CC4-5D6E-409C-BE32-E72D297353CC}">
              <c16:uniqueId val="{00000002-DEBF-476D-AC8C-DB47256D201B}"/>
            </c:ext>
          </c:extLst>
        </c:ser>
        <c:ser>
          <c:idx val="3"/>
          <c:order val="3"/>
          <c:tx>
            <c:strRef>
              <c:f>'BOD5'!$G$68</c:f>
              <c:strCache>
                <c:ptCount val="1"/>
                <c:pt idx="0">
                  <c:v>2024</c:v>
                </c:pt>
              </c:strCache>
            </c:strRef>
          </c:tx>
          <c:spPr>
            <a:solidFill>
              <a:schemeClr val="accent4"/>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'BOD5'!$G$69:$G$91</c:f>
              <c:numCache>
                <c:formatCode>0.00</c:formatCode>
                <c:ptCount val="23"/>
                <c:pt idx="0">
                  <c:v>2.0416666666666665</c:v>
                </c:pt>
                <c:pt idx="1">
                  <c:v>1.3299999999999998</c:v>
                </c:pt>
                <c:pt idx="2">
                  <c:v>1.1866666666666668</c:v>
                </c:pt>
                <c:pt idx="3">
                  <c:v>0.84333333333333327</c:v>
                </c:pt>
                <c:pt idx="4">
                  <c:v>3.5133333333333336</c:v>
                </c:pt>
                <c:pt idx="5">
                  <c:v>1.405</c:v>
                </c:pt>
                <c:pt idx="6">
                  <c:v>2.3816666666666668</c:v>
                </c:pt>
                <c:pt idx="7">
                  <c:v>1.9266666666666667</c:v>
                </c:pt>
                <c:pt idx="8">
                  <c:v>0.86166666666666669</c:v>
                </c:pt>
                <c:pt idx="9">
                  <c:v>1.5049999999999999</c:v>
                </c:pt>
                <c:pt idx="10">
                  <c:v>0.76833333333333342</c:v>
                </c:pt>
                <c:pt idx="11">
                  <c:v>0.80833333333333324</c:v>
                </c:pt>
                <c:pt idx="12">
                  <c:v>1.8366666666666667</c:v>
                </c:pt>
                <c:pt idx="13">
                  <c:v>1.4766666666666666</c:v>
                </c:pt>
                <c:pt idx="14">
                  <c:v>1.3533333333333335</c:v>
                </c:pt>
                <c:pt idx="15">
                  <c:v>1.0983333333333334</c:v>
                </c:pt>
                <c:pt idx="16">
                  <c:v>1.4100000000000001</c:v>
                </c:pt>
                <c:pt idx="17">
                  <c:v>2.4083333333333332</c:v>
                </c:pt>
                <c:pt idx="18">
                  <c:v>1.6099999999999997</c:v>
                </c:pt>
                <c:pt idx="19">
                  <c:v>1.4183333333333332</c:v>
                </c:pt>
                <c:pt idx="20">
                  <c:v>1.5999999999999999</c:v>
                </c:pt>
                <c:pt idx="21">
                  <c:v>13.578333333333333</c:v>
                </c:pt>
                <c:pt idx="22">
                  <c:v>5.7050000000000001</c:v>
                </c:pt>
              </c:numCache>
            </c:numRef>
          </c:val>
          <c:extLst>
            <c:ext xmlns:c16="http://schemas.microsoft.com/office/drawing/2014/chart" uri="{C3380CC4-5D6E-409C-BE32-E72D297353CC}">
              <c16:uniqueId val="{00000003-DEBF-476D-AC8C-DB47256D201B}"/>
            </c:ext>
          </c:extLst>
        </c:ser>
        <c:ser>
          <c:idx val="4"/>
          <c:order val="4"/>
          <c:tx>
            <c:strRef>
              <c:f>'BOD5'!$H$68</c:f>
              <c:strCache>
                <c:ptCount val="1"/>
                <c:pt idx="0">
                  <c:v>2025</c:v>
                </c:pt>
              </c:strCache>
            </c:strRef>
          </c:tx>
          <c:spPr>
            <a:solidFill>
              <a:schemeClr val="accent5"/>
            </a:solidFill>
            <a:ln>
              <a:noFill/>
            </a:ln>
            <a:effectLst/>
          </c:spPr>
          <c:invertIfNegative val="0"/>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'BOD5'!$H$69:$H$91</c:f>
              <c:numCache>
                <c:formatCode>0.00</c:formatCode>
                <c:ptCount val="23"/>
                <c:pt idx="0">
                  <c:v>1</c:v>
                </c:pt>
                <c:pt idx="1">
                  <c:v>3.69</c:v>
                </c:pt>
                <c:pt idx="2">
                  <c:v>1</c:v>
                </c:pt>
                <c:pt idx="3">
                  <c:v>2.2999999999999998</c:v>
                </c:pt>
                <c:pt idx="4">
                  <c:v>4.3049999999999997</c:v>
                </c:pt>
                <c:pt idx="5">
                  <c:v>2.0300000000000002</c:v>
                </c:pt>
                <c:pt idx="6">
                  <c:v>2.13</c:v>
                </c:pt>
                <c:pt idx="7">
                  <c:v>1</c:v>
                </c:pt>
                <c:pt idx="8">
                  <c:v>1.57</c:v>
                </c:pt>
                <c:pt idx="9">
                  <c:v>2</c:v>
                </c:pt>
                <c:pt idx="10">
                  <c:v>2.02</c:v>
                </c:pt>
                <c:pt idx="11">
                  <c:v>2</c:v>
                </c:pt>
                <c:pt idx="12">
                  <c:v>1.42</c:v>
                </c:pt>
                <c:pt idx="13">
                  <c:v>2.17</c:v>
                </c:pt>
                <c:pt idx="14">
                  <c:v>2.12</c:v>
                </c:pt>
                <c:pt idx="15">
                  <c:v>1.76</c:v>
                </c:pt>
                <c:pt idx="16">
                  <c:v>3.06</c:v>
                </c:pt>
                <c:pt idx="17">
                  <c:v>3.5</c:v>
                </c:pt>
                <c:pt idx="18">
                  <c:v>1.21</c:v>
                </c:pt>
                <c:pt idx="19">
                  <c:v>1</c:v>
                </c:pt>
                <c:pt idx="20">
                  <c:v>1.85</c:v>
                </c:pt>
                <c:pt idx="21">
                  <c:v>12.5</c:v>
                </c:pt>
                <c:pt idx="22">
                  <c:v>1.8</c:v>
                </c:pt>
              </c:numCache>
            </c:numRef>
          </c:val>
          <c:extLst>
            <c:ext xmlns:c16="http://schemas.microsoft.com/office/drawing/2014/chart" uri="{C3380CC4-5D6E-409C-BE32-E72D297353CC}">
              <c16:uniqueId val="{00000004-DEBF-476D-AC8C-DB47256D201B}"/>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'BOD5'!$I$68</c:f>
              <c:strCache>
                <c:ptCount val="1"/>
                <c:pt idx="0">
                  <c:v>QCVN 08-MT:2015/BTNMT (Cột A2)</c:v>
                </c:pt>
              </c:strCache>
            </c:strRef>
          </c:tx>
          <c:spPr>
            <a:ln w="22225" cap="rnd">
              <a:solidFill>
                <a:schemeClr val="accent6"/>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'BOD5'!$I$69:$I$91</c:f>
              <c:numCache>
                <c:formatCode>General</c:formatCode>
                <c:ptCount val="23"/>
                <c:pt idx="0">
                  <c:v>6</c:v>
                </c:pt>
                <c:pt idx="1">
                  <c:v>6</c:v>
                </c:pt>
                <c:pt idx="2">
                  <c:v>6</c:v>
                </c:pt>
                <c:pt idx="3">
                  <c:v>6</c:v>
                </c:pt>
                <c:pt idx="4">
                  <c:v>6</c:v>
                </c:pt>
                <c:pt idx="5">
                  <c:v>6</c:v>
                </c:pt>
                <c:pt idx="6">
                  <c:v>6</c:v>
                </c:pt>
                <c:pt idx="7">
                  <c:v>6</c:v>
                </c:pt>
                <c:pt idx="8">
                  <c:v>6</c:v>
                </c:pt>
                <c:pt idx="9">
                  <c:v>6</c:v>
                </c:pt>
                <c:pt idx="10">
                  <c:v>6</c:v>
                </c:pt>
                <c:pt idx="11">
                  <c:v>6</c:v>
                </c:pt>
                <c:pt idx="12">
                  <c:v>6</c:v>
                </c:pt>
                <c:pt idx="13">
                  <c:v>6</c:v>
                </c:pt>
                <c:pt idx="14">
                  <c:v>6</c:v>
                </c:pt>
                <c:pt idx="15">
                  <c:v>6</c:v>
                </c:pt>
                <c:pt idx="16">
                  <c:v>6</c:v>
                </c:pt>
                <c:pt idx="17">
                  <c:v>6</c:v>
                </c:pt>
              </c:numCache>
            </c:numRef>
          </c:val>
          <c:smooth val="0"/>
          <c:extLst>
            <c:ext xmlns:c16="http://schemas.microsoft.com/office/drawing/2014/chart" uri="{C3380CC4-5D6E-409C-BE32-E72D297353CC}">
              <c16:uniqueId val="{00000005-DEBF-476D-AC8C-DB47256D201B}"/>
            </c:ext>
          </c:extLst>
        </c:ser>
        <c:ser>
          <c:idx val="6"/>
          <c:order val="6"/>
          <c:tx>
            <c:strRef>
              <c:f>'BOD5'!$J$68</c:f>
              <c:strCache>
                <c:ptCount val="1"/>
                <c:pt idx="0">
                  <c:v>QCVN 08-MT:2015/BTNMT (Cột B1)</c:v>
                </c:pt>
              </c:strCache>
            </c:strRef>
          </c:tx>
          <c:spPr>
            <a:ln w="22225" cap="rnd">
              <a:solidFill>
                <a:schemeClr val="accent1">
                  <a:lumMod val="60000"/>
                </a:schemeClr>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'BOD5'!$J$69:$J$91</c:f>
              <c:numCache>
                <c:formatCode>General</c:formatCode>
                <c:ptCount val="23"/>
                <c:pt idx="18">
                  <c:v>15</c:v>
                </c:pt>
                <c:pt idx="19">
                  <c:v>15</c:v>
                </c:pt>
                <c:pt idx="20">
                  <c:v>15</c:v>
                </c:pt>
                <c:pt idx="21">
                  <c:v>15</c:v>
                </c:pt>
                <c:pt idx="22">
                  <c:v>15</c:v>
                </c:pt>
              </c:numCache>
            </c:numRef>
          </c:val>
          <c:smooth val="0"/>
          <c:extLst>
            <c:ext xmlns:c16="http://schemas.microsoft.com/office/drawing/2014/chart" uri="{C3380CC4-5D6E-409C-BE32-E72D297353CC}">
              <c16:uniqueId val="{00000006-DEBF-476D-AC8C-DB47256D201B}"/>
            </c:ext>
          </c:extLst>
        </c:ser>
        <c:ser>
          <c:idx val="7"/>
          <c:order val="7"/>
          <c:tx>
            <c:strRef>
              <c:f>'BOD5'!$K$68</c:f>
              <c:strCache>
                <c:ptCount val="1"/>
                <c:pt idx="0">
                  <c:v>QCVN 08:2023/BTNMT (Mức A)</c:v>
                </c:pt>
              </c:strCache>
            </c:strRef>
          </c:tx>
          <c:spPr>
            <a:ln w="22225" cap="rnd">
              <a:solidFill>
                <a:schemeClr val="accent2">
                  <a:lumMod val="60000"/>
                </a:schemeClr>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'BOD5'!$K$69:$K$91</c:f>
              <c:numCache>
                <c:formatCode>General</c:formatCode>
                <c:ptCount val="23"/>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numCache>
            </c:numRef>
          </c:val>
          <c:smooth val="0"/>
          <c:extLst>
            <c:ext xmlns:c16="http://schemas.microsoft.com/office/drawing/2014/chart" uri="{C3380CC4-5D6E-409C-BE32-E72D297353CC}">
              <c16:uniqueId val="{00000007-DEBF-476D-AC8C-DB47256D201B}"/>
            </c:ext>
          </c:extLst>
        </c:ser>
        <c:ser>
          <c:idx val="8"/>
          <c:order val="8"/>
          <c:tx>
            <c:strRef>
              <c:f>'BOD5'!$L$68</c:f>
              <c:strCache>
                <c:ptCount val="1"/>
                <c:pt idx="0">
                  <c:v>QCVN 08:2023/BTNMT (Mức B)</c:v>
                </c:pt>
              </c:strCache>
            </c:strRef>
          </c:tx>
          <c:spPr>
            <a:ln w="22225" cap="rnd">
              <a:solidFill>
                <a:schemeClr val="accent3">
                  <a:lumMod val="60000"/>
                </a:schemeClr>
              </a:solidFill>
              <a:round/>
            </a:ln>
            <a:effectLst/>
          </c:spPr>
          <c:marker>
            <c:symbol val="none"/>
          </c:marker>
          <c:cat>
            <c:strRef>
              <c:f>'BOD5'!$B$69:$C$91</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'BOD5'!$L$69:$L$91</c:f>
              <c:numCache>
                <c:formatCode>General</c:formatCode>
                <c:ptCount val="23"/>
                <c:pt idx="18" formatCode="0.00">
                  <c:v>6</c:v>
                </c:pt>
                <c:pt idx="19" formatCode="0.00">
                  <c:v>6</c:v>
                </c:pt>
                <c:pt idx="20" formatCode="0.00">
                  <c:v>6</c:v>
                </c:pt>
                <c:pt idx="21" formatCode="0.00">
                  <c:v>6</c:v>
                </c:pt>
                <c:pt idx="22" formatCode="0.00">
                  <c:v>6</c:v>
                </c:pt>
              </c:numCache>
            </c:numRef>
          </c:val>
          <c:smooth val="0"/>
          <c:extLst>
            <c:ext xmlns:c16="http://schemas.microsoft.com/office/drawing/2014/chart" uri="{C3380CC4-5D6E-409C-BE32-E72D297353CC}">
              <c16:uniqueId val="{00000008-DEBF-476D-AC8C-DB47256D201B}"/>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4.2564877111080597E-2"/>
          <c:y val="0.80406273606043144"/>
          <c:w val="0.90037775382429808"/>
          <c:h val="0.19593726393956851"/>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8923199597542E-3"/>
          <c:y val="0.2436312069092225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2698542969659895E-2"/>
          <c:y val="3.2334304668609336E-2"/>
          <c:w val="0.93899194312073997"/>
          <c:h val="0.55886581106495559"/>
        </c:manualLayout>
      </c:layout>
      <c:barChart>
        <c:barDir val="col"/>
        <c:grouping val="clustered"/>
        <c:varyColors val="0"/>
        <c:ser>
          <c:idx val="0"/>
          <c:order val="0"/>
          <c:tx>
            <c:strRef>
              <c:f>COD!$D$60</c:f>
              <c:strCache>
                <c:ptCount val="1"/>
                <c:pt idx="0">
                  <c:v>2021</c:v>
                </c:pt>
              </c:strCache>
            </c:strRef>
          </c:tx>
          <c:spPr>
            <a:solidFill>
              <a:schemeClr val="accent1"/>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COD!$D$61:$D$83</c:f>
              <c:numCache>
                <c:formatCode>0.00</c:formatCode>
                <c:ptCount val="23"/>
                <c:pt idx="0">
                  <c:v>14.333333333333334</c:v>
                </c:pt>
                <c:pt idx="1">
                  <c:v>10.666666666666666</c:v>
                </c:pt>
                <c:pt idx="2">
                  <c:v>10</c:v>
                </c:pt>
                <c:pt idx="3">
                  <c:v>5</c:v>
                </c:pt>
                <c:pt idx="4">
                  <c:v>14.666666666666666</c:v>
                </c:pt>
                <c:pt idx="5">
                  <c:v>6.333333333333333</c:v>
                </c:pt>
                <c:pt idx="6">
                  <c:v>4.666666666666667</c:v>
                </c:pt>
                <c:pt idx="7">
                  <c:v>4</c:v>
                </c:pt>
                <c:pt idx="8">
                  <c:v>10</c:v>
                </c:pt>
                <c:pt idx="9">
                  <c:v>13.333333333333334</c:v>
                </c:pt>
                <c:pt idx="10">
                  <c:v>8.6666666666666661</c:v>
                </c:pt>
                <c:pt idx="11">
                  <c:v>5.333333333333333</c:v>
                </c:pt>
                <c:pt idx="12">
                  <c:v>4.666666666666667</c:v>
                </c:pt>
                <c:pt idx="13">
                  <c:v>6</c:v>
                </c:pt>
                <c:pt idx="14">
                  <c:v>6.666666666666667</c:v>
                </c:pt>
                <c:pt idx="15">
                  <c:v>5.333333333333333</c:v>
                </c:pt>
                <c:pt idx="16">
                  <c:v>10</c:v>
                </c:pt>
                <c:pt idx="17">
                  <c:v>9</c:v>
                </c:pt>
                <c:pt idx="18">
                  <c:v>10</c:v>
                </c:pt>
                <c:pt idx="19">
                  <c:v>8.6666666666666661</c:v>
                </c:pt>
                <c:pt idx="20">
                  <c:v>6.666666666666667</c:v>
                </c:pt>
                <c:pt idx="21">
                  <c:v>27.333333333333332</c:v>
                </c:pt>
                <c:pt idx="22">
                  <c:v>9.3333333333333339</c:v>
                </c:pt>
              </c:numCache>
            </c:numRef>
          </c:val>
          <c:extLst>
            <c:ext xmlns:c16="http://schemas.microsoft.com/office/drawing/2014/chart" uri="{C3380CC4-5D6E-409C-BE32-E72D297353CC}">
              <c16:uniqueId val="{00000000-A58D-4CAF-BD20-5CEFD04E0919}"/>
            </c:ext>
          </c:extLst>
        </c:ser>
        <c:ser>
          <c:idx val="1"/>
          <c:order val="1"/>
          <c:tx>
            <c:strRef>
              <c:f>COD!$E$60</c:f>
              <c:strCache>
                <c:ptCount val="1"/>
                <c:pt idx="0">
                  <c:v>2022</c:v>
                </c:pt>
              </c:strCache>
            </c:strRef>
          </c:tx>
          <c:spPr>
            <a:solidFill>
              <a:schemeClr val="accent2"/>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COD!$E$61:$E$83</c:f>
              <c:numCache>
                <c:formatCode>0.00</c:formatCode>
                <c:ptCount val="23"/>
                <c:pt idx="0">
                  <c:v>24.666666666666668</c:v>
                </c:pt>
                <c:pt idx="1">
                  <c:v>5.333333333333333</c:v>
                </c:pt>
                <c:pt idx="2">
                  <c:v>6.666666666666667</c:v>
                </c:pt>
                <c:pt idx="3">
                  <c:v>9.3333333333333339</c:v>
                </c:pt>
                <c:pt idx="4">
                  <c:v>14.666666666666666</c:v>
                </c:pt>
                <c:pt idx="5">
                  <c:v>8.6666666666666661</c:v>
                </c:pt>
                <c:pt idx="6">
                  <c:v>5.333333333333333</c:v>
                </c:pt>
                <c:pt idx="7">
                  <c:v>9.3333333333333339</c:v>
                </c:pt>
                <c:pt idx="8">
                  <c:v>8.6666666666666661</c:v>
                </c:pt>
                <c:pt idx="9">
                  <c:v>6</c:v>
                </c:pt>
                <c:pt idx="10">
                  <c:v>12</c:v>
                </c:pt>
                <c:pt idx="11">
                  <c:v>9.3333333333333339</c:v>
                </c:pt>
                <c:pt idx="12">
                  <c:v>10.666666666666666</c:v>
                </c:pt>
                <c:pt idx="13">
                  <c:v>13.333333333333334</c:v>
                </c:pt>
                <c:pt idx="14">
                  <c:v>12.666666666666666</c:v>
                </c:pt>
                <c:pt idx="15">
                  <c:v>11.333333333333334</c:v>
                </c:pt>
                <c:pt idx="16">
                  <c:v>14</c:v>
                </c:pt>
                <c:pt idx="17">
                  <c:v>12.666666666666666</c:v>
                </c:pt>
                <c:pt idx="18">
                  <c:v>6</c:v>
                </c:pt>
                <c:pt idx="19">
                  <c:v>16</c:v>
                </c:pt>
                <c:pt idx="20">
                  <c:v>14.666666666666666</c:v>
                </c:pt>
                <c:pt idx="21">
                  <c:v>23.333333333333332</c:v>
                </c:pt>
                <c:pt idx="22">
                  <c:v>16.666666666666668</c:v>
                </c:pt>
              </c:numCache>
            </c:numRef>
          </c:val>
          <c:extLst>
            <c:ext xmlns:c16="http://schemas.microsoft.com/office/drawing/2014/chart" uri="{C3380CC4-5D6E-409C-BE32-E72D297353CC}">
              <c16:uniqueId val="{00000001-A58D-4CAF-BD20-5CEFD04E0919}"/>
            </c:ext>
          </c:extLst>
        </c:ser>
        <c:ser>
          <c:idx val="2"/>
          <c:order val="2"/>
          <c:tx>
            <c:strRef>
              <c:f>COD!$F$60</c:f>
              <c:strCache>
                <c:ptCount val="1"/>
                <c:pt idx="0">
                  <c:v>2023</c:v>
                </c:pt>
              </c:strCache>
            </c:strRef>
          </c:tx>
          <c:spPr>
            <a:solidFill>
              <a:schemeClr val="accent3"/>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COD!$F$61:$F$83</c:f>
              <c:numCache>
                <c:formatCode>0.00</c:formatCode>
                <c:ptCount val="23"/>
                <c:pt idx="0">
                  <c:v>8</c:v>
                </c:pt>
                <c:pt idx="1">
                  <c:v>11.333333333333334</c:v>
                </c:pt>
                <c:pt idx="2">
                  <c:v>9.3333333333333339</c:v>
                </c:pt>
                <c:pt idx="3">
                  <c:v>5.333333333333333</c:v>
                </c:pt>
                <c:pt idx="4">
                  <c:v>14.666666666666666</c:v>
                </c:pt>
                <c:pt idx="5">
                  <c:v>13.333333333333334</c:v>
                </c:pt>
                <c:pt idx="6">
                  <c:v>8.6666666666666661</c:v>
                </c:pt>
                <c:pt idx="7">
                  <c:v>6.666666666666667</c:v>
                </c:pt>
                <c:pt idx="8">
                  <c:v>6.666666666666667</c:v>
                </c:pt>
                <c:pt idx="9">
                  <c:v>7.333333333333333</c:v>
                </c:pt>
                <c:pt idx="10">
                  <c:v>7.333333333333333</c:v>
                </c:pt>
                <c:pt idx="11">
                  <c:v>6</c:v>
                </c:pt>
                <c:pt idx="12">
                  <c:v>6.666666666666667</c:v>
                </c:pt>
                <c:pt idx="13">
                  <c:v>10</c:v>
                </c:pt>
                <c:pt idx="14">
                  <c:v>9.3333333333333339</c:v>
                </c:pt>
                <c:pt idx="15">
                  <c:v>5.333333333333333</c:v>
                </c:pt>
                <c:pt idx="16">
                  <c:v>5.333333333333333</c:v>
                </c:pt>
                <c:pt idx="17">
                  <c:v>14.666666666666666</c:v>
                </c:pt>
                <c:pt idx="18">
                  <c:v>8</c:v>
                </c:pt>
                <c:pt idx="19">
                  <c:v>7.333333333333333</c:v>
                </c:pt>
                <c:pt idx="20">
                  <c:v>8.6666666666666661</c:v>
                </c:pt>
                <c:pt idx="21">
                  <c:v>40</c:v>
                </c:pt>
                <c:pt idx="22">
                  <c:v>28.666666666666668</c:v>
                </c:pt>
              </c:numCache>
            </c:numRef>
          </c:val>
          <c:extLst>
            <c:ext xmlns:c16="http://schemas.microsoft.com/office/drawing/2014/chart" uri="{C3380CC4-5D6E-409C-BE32-E72D297353CC}">
              <c16:uniqueId val="{00000002-A58D-4CAF-BD20-5CEFD04E0919}"/>
            </c:ext>
          </c:extLst>
        </c:ser>
        <c:ser>
          <c:idx val="3"/>
          <c:order val="3"/>
          <c:tx>
            <c:strRef>
              <c:f>COD!$G$60</c:f>
              <c:strCache>
                <c:ptCount val="1"/>
                <c:pt idx="0">
                  <c:v>2024</c:v>
                </c:pt>
              </c:strCache>
            </c:strRef>
          </c:tx>
          <c:spPr>
            <a:solidFill>
              <a:schemeClr val="accent4"/>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COD!$G$61:$G$83</c:f>
              <c:numCache>
                <c:formatCode>0.00</c:formatCode>
                <c:ptCount val="23"/>
                <c:pt idx="0">
                  <c:v>8.6666666666666661</c:v>
                </c:pt>
                <c:pt idx="1">
                  <c:v>8</c:v>
                </c:pt>
                <c:pt idx="2">
                  <c:v>6.833333333333333</c:v>
                </c:pt>
                <c:pt idx="3">
                  <c:v>8</c:v>
                </c:pt>
                <c:pt idx="4">
                  <c:v>15.333333333333334</c:v>
                </c:pt>
                <c:pt idx="5">
                  <c:v>5.333333333333333</c:v>
                </c:pt>
                <c:pt idx="6">
                  <c:v>7.333333333333333</c:v>
                </c:pt>
                <c:pt idx="7">
                  <c:v>6.666666666666667</c:v>
                </c:pt>
                <c:pt idx="8">
                  <c:v>7.333333333333333</c:v>
                </c:pt>
                <c:pt idx="9">
                  <c:v>5.333333333333333</c:v>
                </c:pt>
                <c:pt idx="10">
                  <c:v>7.333333333333333</c:v>
                </c:pt>
                <c:pt idx="11">
                  <c:v>7.333333333333333</c:v>
                </c:pt>
                <c:pt idx="12">
                  <c:v>9.3333333333333339</c:v>
                </c:pt>
                <c:pt idx="13">
                  <c:v>8</c:v>
                </c:pt>
                <c:pt idx="14">
                  <c:v>10</c:v>
                </c:pt>
                <c:pt idx="15">
                  <c:v>11.333333333333334</c:v>
                </c:pt>
                <c:pt idx="16">
                  <c:v>10</c:v>
                </c:pt>
                <c:pt idx="17">
                  <c:v>16</c:v>
                </c:pt>
                <c:pt idx="18">
                  <c:v>6</c:v>
                </c:pt>
                <c:pt idx="19">
                  <c:v>8.6666666666666661</c:v>
                </c:pt>
                <c:pt idx="20">
                  <c:v>10</c:v>
                </c:pt>
                <c:pt idx="21">
                  <c:v>31.333333333333332</c:v>
                </c:pt>
                <c:pt idx="22">
                  <c:v>17</c:v>
                </c:pt>
              </c:numCache>
            </c:numRef>
          </c:val>
          <c:extLst>
            <c:ext xmlns:c16="http://schemas.microsoft.com/office/drawing/2014/chart" uri="{C3380CC4-5D6E-409C-BE32-E72D297353CC}">
              <c16:uniqueId val="{00000003-A58D-4CAF-BD20-5CEFD04E0919}"/>
            </c:ext>
          </c:extLst>
        </c:ser>
        <c:ser>
          <c:idx val="4"/>
          <c:order val="4"/>
          <c:tx>
            <c:strRef>
              <c:f>COD!$H$60</c:f>
              <c:strCache>
                <c:ptCount val="1"/>
                <c:pt idx="0">
                  <c:v>2025</c:v>
                </c:pt>
              </c:strCache>
            </c:strRef>
          </c:tx>
          <c:spPr>
            <a:solidFill>
              <a:schemeClr val="accent5"/>
            </a:solidFill>
            <a:ln>
              <a:noFill/>
            </a:ln>
            <a:effectLst/>
          </c:spPr>
          <c:invertIfNegative val="0"/>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COD!$H$61:$H$83</c:f>
              <c:numCache>
                <c:formatCode>0.00</c:formatCode>
                <c:ptCount val="23"/>
                <c:pt idx="0">
                  <c:v>9</c:v>
                </c:pt>
                <c:pt idx="1">
                  <c:v>15.5</c:v>
                </c:pt>
                <c:pt idx="2">
                  <c:v>12</c:v>
                </c:pt>
                <c:pt idx="3">
                  <c:v>10</c:v>
                </c:pt>
                <c:pt idx="4">
                  <c:v>20</c:v>
                </c:pt>
                <c:pt idx="5">
                  <c:v>5</c:v>
                </c:pt>
                <c:pt idx="6">
                  <c:v>12</c:v>
                </c:pt>
                <c:pt idx="7">
                  <c:v>11</c:v>
                </c:pt>
                <c:pt idx="8">
                  <c:v>6</c:v>
                </c:pt>
                <c:pt idx="9">
                  <c:v>12</c:v>
                </c:pt>
                <c:pt idx="10">
                  <c:v>12.5</c:v>
                </c:pt>
                <c:pt idx="11">
                  <c:v>17</c:v>
                </c:pt>
                <c:pt idx="12">
                  <c:v>15</c:v>
                </c:pt>
                <c:pt idx="13">
                  <c:v>10</c:v>
                </c:pt>
                <c:pt idx="14">
                  <c:v>10</c:v>
                </c:pt>
                <c:pt idx="15">
                  <c:v>12</c:v>
                </c:pt>
                <c:pt idx="16">
                  <c:v>12</c:v>
                </c:pt>
                <c:pt idx="17">
                  <c:v>7.5</c:v>
                </c:pt>
                <c:pt idx="18">
                  <c:v>9</c:v>
                </c:pt>
                <c:pt idx="19">
                  <c:v>3</c:v>
                </c:pt>
                <c:pt idx="20">
                  <c:v>10</c:v>
                </c:pt>
                <c:pt idx="21">
                  <c:v>22.5</c:v>
                </c:pt>
                <c:pt idx="22">
                  <c:v>5</c:v>
                </c:pt>
              </c:numCache>
            </c:numRef>
          </c:val>
          <c:extLst>
            <c:ext xmlns:c16="http://schemas.microsoft.com/office/drawing/2014/chart" uri="{C3380CC4-5D6E-409C-BE32-E72D297353CC}">
              <c16:uniqueId val="{00000004-A58D-4CAF-BD20-5CEFD04E0919}"/>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COD!$I$60</c:f>
              <c:strCache>
                <c:ptCount val="1"/>
                <c:pt idx="0">
                  <c:v>QCVN 08-MT:2015/BTNMT (Cột A2)</c:v>
                </c:pt>
              </c:strCache>
            </c:strRef>
          </c:tx>
          <c:spPr>
            <a:ln w="22225" cap="rnd">
              <a:solidFill>
                <a:schemeClr val="accent6"/>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COD!$I$61:$I$83</c:f>
              <c:numCache>
                <c:formatCode>General</c:formatCode>
                <c:ptCount val="23"/>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pt idx="16">
                  <c:v>15</c:v>
                </c:pt>
                <c:pt idx="17">
                  <c:v>15</c:v>
                </c:pt>
              </c:numCache>
            </c:numRef>
          </c:val>
          <c:smooth val="0"/>
          <c:extLst>
            <c:ext xmlns:c16="http://schemas.microsoft.com/office/drawing/2014/chart" uri="{C3380CC4-5D6E-409C-BE32-E72D297353CC}">
              <c16:uniqueId val="{00000005-A58D-4CAF-BD20-5CEFD04E0919}"/>
            </c:ext>
          </c:extLst>
        </c:ser>
        <c:ser>
          <c:idx val="6"/>
          <c:order val="6"/>
          <c:tx>
            <c:strRef>
              <c:f>COD!$J$60</c:f>
              <c:strCache>
                <c:ptCount val="1"/>
                <c:pt idx="0">
                  <c:v>QCVN 08-MT:2015/BTNMT (Cột B1)</c:v>
                </c:pt>
              </c:strCache>
            </c:strRef>
          </c:tx>
          <c:spPr>
            <a:ln w="22225" cap="rnd">
              <a:solidFill>
                <a:schemeClr val="accent1">
                  <a:lumMod val="60000"/>
                </a:schemeClr>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COD!$J$61:$J$83</c:f>
              <c:numCache>
                <c:formatCode>General</c:formatCode>
                <c:ptCount val="23"/>
                <c:pt idx="18">
                  <c:v>30</c:v>
                </c:pt>
                <c:pt idx="19">
                  <c:v>30</c:v>
                </c:pt>
                <c:pt idx="20">
                  <c:v>30</c:v>
                </c:pt>
                <c:pt idx="21">
                  <c:v>30</c:v>
                </c:pt>
                <c:pt idx="22">
                  <c:v>30</c:v>
                </c:pt>
              </c:numCache>
            </c:numRef>
          </c:val>
          <c:smooth val="0"/>
          <c:extLst>
            <c:ext xmlns:c16="http://schemas.microsoft.com/office/drawing/2014/chart" uri="{C3380CC4-5D6E-409C-BE32-E72D297353CC}">
              <c16:uniqueId val="{00000006-A58D-4CAF-BD20-5CEFD04E0919}"/>
            </c:ext>
          </c:extLst>
        </c:ser>
        <c:ser>
          <c:idx val="7"/>
          <c:order val="7"/>
          <c:tx>
            <c:strRef>
              <c:f>COD!$K$60</c:f>
              <c:strCache>
                <c:ptCount val="1"/>
                <c:pt idx="0">
                  <c:v>QCVN 08:2023/BTNMT (Mức A)</c:v>
                </c:pt>
              </c:strCache>
            </c:strRef>
          </c:tx>
          <c:spPr>
            <a:ln w="22225" cap="rnd">
              <a:solidFill>
                <a:schemeClr val="accent2">
                  <a:lumMod val="60000"/>
                </a:schemeClr>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COD!$K$61:$K$83</c:f>
              <c:numCache>
                <c:formatCode>General</c:formatCode>
                <c:ptCount val="23"/>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pt idx="16">
                  <c:v>10</c:v>
                </c:pt>
                <c:pt idx="17">
                  <c:v>10</c:v>
                </c:pt>
              </c:numCache>
            </c:numRef>
          </c:val>
          <c:smooth val="0"/>
          <c:extLst>
            <c:ext xmlns:c16="http://schemas.microsoft.com/office/drawing/2014/chart" uri="{C3380CC4-5D6E-409C-BE32-E72D297353CC}">
              <c16:uniqueId val="{00000007-A58D-4CAF-BD20-5CEFD04E0919}"/>
            </c:ext>
          </c:extLst>
        </c:ser>
        <c:ser>
          <c:idx val="8"/>
          <c:order val="8"/>
          <c:tx>
            <c:strRef>
              <c:f>COD!$L$60</c:f>
              <c:strCache>
                <c:ptCount val="1"/>
                <c:pt idx="0">
                  <c:v>QCVN 08:2023/BTNMT (Mức B)</c:v>
                </c:pt>
              </c:strCache>
            </c:strRef>
          </c:tx>
          <c:spPr>
            <a:ln w="22225" cap="rnd">
              <a:solidFill>
                <a:schemeClr val="accent3">
                  <a:lumMod val="60000"/>
                </a:schemeClr>
              </a:solidFill>
              <a:round/>
            </a:ln>
            <a:effectLst/>
          </c:spPr>
          <c:marker>
            <c:symbol val="none"/>
          </c:marker>
          <c:cat>
            <c:strRef>
              <c:f>COD!$B$61:$C$83</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COD!$L$61:$L$83</c:f>
              <c:numCache>
                <c:formatCode>General</c:formatCode>
                <c:ptCount val="23"/>
                <c:pt idx="18" formatCode="0.00">
                  <c:v>15</c:v>
                </c:pt>
                <c:pt idx="19" formatCode="0.00">
                  <c:v>15</c:v>
                </c:pt>
                <c:pt idx="20" formatCode="0.00">
                  <c:v>15</c:v>
                </c:pt>
                <c:pt idx="21" formatCode="0.00">
                  <c:v>15</c:v>
                </c:pt>
                <c:pt idx="22" formatCode="0.00">
                  <c:v>15</c:v>
                </c:pt>
              </c:numCache>
            </c:numRef>
          </c:val>
          <c:smooth val="0"/>
          <c:extLst>
            <c:ext xmlns:c16="http://schemas.microsoft.com/office/drawing/2014/chart" uri="{C3380CC4-5D6E-409C-BE32-E72D297353CC}">
              <c16:uniqueId val="{00000008-A58D-4CAF-BD20-5CEFD04E0919}"/>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4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6.8188279755049999E-2"/>
          <c:y val="0.78411887490441645"/>
          <c:w val="0.86638805378799588"/>
          <c:h val="0.1843850621034575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195232226406481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1334841898023773E-2"/>
          <c:y val="3.3201415040511238E-2"/>
          <c:w val="0.94035565511746155"/>
          <c:h val="0.51741869222868886"/>
        </c:manualLayout>
      </c:layout>
      <c:barChart>
        <c:barDir val="col"/>
        <c:grouping val="clustered"/>
        <c:varyColors val="0"/>
        <c:ser>
          <c:idx val="0"/>
          <c:order val="0"/>
          <c:tx>
            <c:strRef>
              <c:f>TSS!$D$61</c:f>
              <c:strCache>
                <c:ptCount val="1"/>
                <c:pt idx="0">
                  <c:v>2021</c:v>
                </c:pt>
              </c:strCache>
            </c:strRef>
          </c:tx>
          <c:spPr>
            <a:solidFill>
              <a:schemeClr val="accent1"/>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TSS!$D$62:$D$84</c:f>
              <c:numCache>
                <c:formatCode>0.00</c:formatCode>
                <c:ptCount val="23"/>
                <c:pt idx="0">
                  <c:v>15.333333333333334</c:v>
                </c:pt>
                <c:pt idx="1">
                  <c:v>8.6666666666666661</c:v>
                </c:pt>
                <c:pt idx="2">
                  <c:v>2.1666666666666665</c:v>
                </c:pt>
                <c:pt idx="3">
                  <c:v>8.8333333333333339</c:v>
                </c:pt>
                <c:pt idx="4">
                  <c:v>17</c:v>
                </c:pt>
                <c:pt idx="5">
                  <c:v>10.5</c:v>
                </c:pt>
                <c:pt idx="6">
                  <c:v>11</c:v>
                </c:pt>
                <c:pt idx="7">
                  <c:v>14.5</c:v>
                </c:pt>
                <c:pt idx="8">
                  <c:v>15.666666666666666</c:v>
                </c:pt>
                <c:pt idx="9">
                  <c:v>15.333333333333334</c:v>
                </c:pt>
                <c:pt idx="10">
                  <c:v>6.083333333333333</c:v>
                </c:pt>
                <c:pt idx="11">
                  <c:v>11.5</c:v>
                </c:pt>
                <c:pt idx="12">
                  <c:v>12.716666666666667</c:v>
                </c:pt>
                <c:pt idx="13">
                  <c:v>14.833333333333334</c:v>
                </c:pt>
                <c:pt idx="14">
                  <c:v>13.5</c:v>
                </c:pt>
                <c:pt idx="15">
                  <c:v>7.333333333333333</c:v>
                </c:pt>
                <c:pt idx="16">
                  <c:v>10</c:v>
                </c:pt>
                <c:pt idx="17">
                  <c:v>14.166666666666666</c:v>
                </c:pt>
                <c:pt idx="18">
                  <c:v>10</c:v>
                </c:pt>
                <c:pt idx="19">
                  <c:v>15.166666666666666</c:v>
                </c:pt>
                <c:pt idx="20">
                  <c:v>14.166666666666666</c:v>
                </c:pt>
                <c:pt idx="21">
                  <c:v>20</c:v>
                </c:pt>
                <c:pt idx="22">
                  <c:v>17.333333333333332</c:v>
                </c:pt>
              </c:numCache>
            </c:numRef>
          </c:val>
          <c:extLst>
            <c:ext xmlns:c16="http://schemas.microsoft.com/office/drawing/2014/chart" uri="{C3380CC4-5D6E-409C-BE32-E72D297353CC}">
              <c16:uniqueId val="{00000000-3C67-4030-9566-83574CF54679}"/>
            </c:ext>
          </c:extLst>
        </c:ser>
        <c:ser>
          <c:idx val="1"/>
          <c:order val="1"/>
          <c:tx>
            <c:strRef>
              <c:f>TSS!$E$61</c:f>
              <c:strCache>
                <c:ptCount val="1"/>
                <c:pt idx="0">
                  <c:v>2022</c:v>
                </c:pt>
              </c:strCache>
            </c:strRef>
          </c:tx>
          <c:spPr>
            <a:solidFill>
              <a:schemeClr val="accent2"/>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TSS!$E$62:$E$84</c:f>
              <c:numCache>
                <c:formatCode>0.00</c:formatCode>
                <c:ptCount val="23"/>
                <c:pt idx="0">
                  <c:v>12.4</c:v>
                </c:pt>
                <c:pt idx="1">
                  <c:v>4.833333333333333</c:v>
                </c:pt>
                <c:pt idx="2">
                  <c:v>5.2666666666666666</c:v>
                </c:pt>
                <c:pt idx="3">
                  <c:v>10.416666666666666</c:v>
                </c:pt>
                <c:pt idx="4">
                  <c:v>14.333333333333334</c:v>
                </c:pt>
                <c:pt idx="5">
                  <c:v>8.8333333333333339</c:v>
                </c:pt>
                <c:pt idx="6">
                  <c:v>2.9666666666666668</c:v>
                </c:pt>
                <c:pt idx="7">
                  <c:v>10.133333333333333</c:v>
                </c:pt>
                <c:pt idx="8">
                  <c:v>10.583333333333334</c:v>
                </c:pt>
                <c:pt idx="9">
                  <c:v>5.3500000000000005</c:v>
                </c:pt>
                <c:pt idx="10">
                  <c:v>7.2833333333333341</c:v>
                </c:pt>
                <c:pt idx="11">
                  <c:v>8.2166666666666668</c:v>
                </c:pt>
                <c:pt idx="12">
                  <c:v>10.1</c:v>
                </c:pt>
                <c:pt idx="13">
                  <c:v>11.666666666666666</c:v>
                </c:pt>
                <c:pt idx="14">
                  <c:v>12</c:v>
                </c:pt>
                <c:pt idx="15">
                  <c:v>12.366666666666667</c:v>
                </c:pt>
                <c:pt idx="16">
                  <c:v>13.666666666666666</c:v>
                </c:pt>
                <c:pt idx="17">
                  <c:v>14.416666666666666</c:v>
                </c:pt>
                <c:pt idx="18">
                  <c:v>3.5166666666666671</c:v>
                </c:pt>
                <c:pt idx="19">
                  <c:v>9.5833333333333339</c:v>
                </c:pt>
                <c:pt idx="20">
                  <c:v>10.65</c:v>
                </c:pt>
                <c:pt idx="21">
                  <c:v>15.833333333333334</c:v>
                </c:pt>
                <c:pt idx="22">
                  <c:v>14.833333333333334</c:v>
                </c:pt>
              </c:numCache>
            </c:numRef>
          </c:val>
          <c:extLst>
            <c:ext xmlns:c16="http://schemas.microsoft.com/office/drawing/2014/chart" uri="{C3380CC4-5D6E-409C-BE32-E72D297353CC}">
              <c16:uniqueId val="{00000001-3C67-4030-9566-83574CF54679}"/>
            </c:ext>
          </c:extLst>
        </c:ser>
        <c:ser>
          <c:idx val="2"/>
          <c:order val="2"/>
          <c:tx>
            <c:strRef>
              <c:f>TSS!$F$61</c:f>
              <c:strCache>
                <c:ptCount val="1"/>
                <c:pt idx="0">
                  <c:v>2023</c:v>
                </c:pt>
              </c:strCache>
            </c:strRef>
          </c:tx>
          <c:spPr>
            <a:solidFill>
              <a:schemeClr val="accent3"/>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TSS!$F$62:$F$84</c:f>
              <c:numCache>
                <c:formatCode>0.00</c:formatCode>
                <c:ptCount val="23"/>
                <c:pt idx="0">
                  <c:v>2.3666666666666667</c:v>
                </c:pt>
                <c:pt idx="1">
                  <c:v>2.9833333333333329</c:v>
                </c:pt>
                <c:pt idx="2">
                  <c:v>5</c:v>
                </c:pt>
                <c:pt idx="3">
                  <c:v>2.3333333333333335</c:v>
                </c:pt>
                <c:pt idx="4">
                  <c:v>9.8666666666666654</c:v>
                </c:pt>
                <c:pt idx="5">
                  <c:v>3.3166666666666664</c:v>
                </c:pt>
                <c:pt idx="6">
                  <c:v>5</c:v>
                </c:pt>
                <c:pt idx="7">
                  <c:v>3.1999999999999997</c:v>
                </c:pt>
                <c:pt idx="8">
                  <c:v>9.0666666666666682</c:v>
                </c:pt>
                <c:pt idx="9">
                  <c:v>2.35</c:v>
                </c:pt>
                <c:pt idx="10">
                  <c:v>5</c:v>
                </c:pt>
                <c:pt idx="11">
                  <c:v>5</c:v>
                </c:pt>
                <c:pt idx="12">
                  <c:v>2.1999999999999997</c:v>
                </c:pt>
                <c:pt idx="13">
                  <c:v>2.2833333333333332</c:v>
                </c:pt>
                <c:pt idx="14">
                  <c:v>8.1666666666666661</c:v>
                </c:pt>
                <c:pt idx="15">
                  <c:v>2</c:v>
                </c:pt>
                <c:pt idx="16">
                  <c:v>4.0666666666666664</c:v>
                </c:pt>
                <c:pt idx="17">
                  <c:v>8.1666666666666661</c:v>
                </c:pt>
                <c:pt idx="18">
                  <c:v>2.1666666666666665</c:v>
                </c:pt>
                <c:pt idx="19">
                  <c:v>8.35</c:v>
                </c:pt>
                <c:pt idx="20">
                  <c:v>4.6833333333333327</c:v>
                </c:pt>
                <c:pt idx="21">
                  <c:v>20.833333333333332</c:v>
                </c:pt>
                <c:pt idx="22">
                  <c:v>22.666666666666668</c:v>
                </c:pt>
              </c:numCache>
            </c:numRef>
          </c:val>
          <c:extLst>
            <c:ext xmlns:c16="http://schemas.microsoft.com/office/drawing/2014/chart" uri="{C3380CC4-5D6E-409C-BE32-E72D297353CC}">
              <c16:uniqueId val="{00000002-3C67-4030-9566-83574CF54679}"/>
            </c:ext>
          </c:extLst>
        </c:ser>
        <c:ser>
          <c:idx val="3"/>
          <c:order val="3"/>
          <c:tx>
            <c:strRef>
              <c:f>TSS!$G$61</c:f>
              <c:strCache>
                <c:ptCount val="1"/>
                <c:pt idx="0">
                  <c:v>2024</c:v>
                </c:pt>
              </c:strCache>
            </c:strRef>
          </c:tx>
          <c:spPr>
            <a:solidFill>
              <a:schemeClr val="accent4"/>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TSS!$G$62:$G$84</c:f>
              <c:numCache>
                <c:formatCode>0.00</c:formatCode>
                <c:ptCount val="23"/>
                <c:pt idx="0">
                  <c:v>5</c:v>
                </c:pt>
                <c:pt idx="1">
                  <c:v>5</c:v>
                </c:pt>
                <c:pt idx="2">
                  <c:v>5</c:v>
                </c:pt>
                <c:pt idx="3">
                  <c:v>5</c:v>
                </c:pt>
                <c:pt idx="4">
                  <c:v>1.2166666666666666</c:v>
                </c:pt>
                <c:pt idx="5">
                  <c:v>5</c:v>
                </c:pt>
                <c:pt idx="6">
                  <c:v>5</c:v>
                </c:pt>
                <c:pt idx="7">
                  <c:v>5</c:v>
                </c:pt>
                <c:pt idx="8">
                  <c:v>4.8833333333333329</c:v>
                </c:pt>
                <c:pt idx="9">
                  <c:v>5</c:v>
                </c:pt>
                <c:pt idx="10">
                  <c:v>5</c:v>
                </c:pt>
                <c:pt idx="11">
                  <c:v>5</c:v>
                </c:pt>
                <c:pt idx="12">
                  <c:v>6.55</c:v>
                </c:pt>
                <c:pt idx="13">
                  <c:v>2.3833333333333333</c:v>
                </c:pt>
                <c:pt idx="14">
                  <c:v>2.5</c:v>
                </c:pt>
                <c:pt idx="15">
                  <c:v>5</c:v>
                </c:pt>
                <c:pt idx="16">
                  <c:v>1.0833333333333333</c:v>
                </c:pt>
                <c:pt idx="17">
                  <c:v>4.2166666666666659</c:v>
                </c:pt>
                <c:pt idx="18">
                  <c:v>5</c:v>
                </c:pt>
                <c:pt idx="19">
                  <c:v>2.1666666666666665</c:v>
                </c:pt>
                <c:pt idx="20">
                  <c:v>2.6833333333333336</c:v>
                </c:pt>
                <c:pt idx="21">
                  <c:v>13.116666666666667</c:v>
                </c:pt>
                <c:pt idx="22">
                  <c:v>5.8541666666666661</c:v>
                </c:pt>
              </c:numCache>
            </c:numRef>
          </c:val>
          <c:extLst>
            <c:ext xmlns:c16="http://schemas.microsoft.com/office/drawing/2014/chart" uri="{C3380CC4-5D6E-409C-BE32-E72D297353CC}">
              <c16:uniqueId val="{00000003-3C67-4030-9566-83574CF54679}"/>
            </c:ext>
          </c:extLst>
        </c:ser>
        <c:ser>
          <c:idx val="4"/>
          <c:order val="4"/>
          <c:tx>
            <c:strRef>
              <c:f>TSS!$H$61</c:f>
              <c:strCache>
                <c:ptCount val="1"/>
                <c:pt idx="0">
                  <c:v>2025</c:v>
                </c:pt>
              </c:strCache>
            </c:strRef>
          </c:tx>
          <c:spPr>
            <a:solidFill>
              <a:schemeClr val="accent5"/>
            </a:solidFill>
            <a:ln>
              <a:noFill/>
            </a:ln>
            <a:effectLst/>
          </c:spPr>
          <c:invertIfNegative val="0"/>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TSS!$H$62:$H$84</c:f>
              <c:numCache>
                <c:formatCode>0.00</c:formatCode>
                <c:ptCount val="23"/>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pt idx="15">
                  <c:v>5</c:v>
                </c:pt>
                <c:pt idx="16">
                  <c:v>5</c:v>
                </c:pt>
                <c:pt idx="17">
                  <c:v>5</c:v>
                </c:pt>
                <c:pt idx="18">
                  <c:v>5</c:v>
                </c:pt>
                <c:pt idx="19">
                  <c:v>5</c:v>
                </c:pt>
                <c:pt idx="20">
                  <c:v>5</c:v>
                </c:pt>
                <c:pt idx="21">
                  <c:v>12.3</c:v>
                </c:pt>
                <c:pt idx="22">
                  <c:v>5</c:v>
                </c:pt>
              </c:numCache>
            </c:numRef>
          </c:val>
          <c:extLst>
            <c:ext xmlns:c16="http://schemas.microsoft.com/office/drawing/2014/chart" uri="{C3380CC4-5D6E-409C-BE32-E72D297353CC}">
              <c16:uniqueId val="{00000004-3C67-4030-9566-83574CF54679}"/>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TSS!$I$61</c:f>
              <c:strCache>
                <c:ptCount val="1"/>
                <c:pt idx="0">
                  <c:v>QCVN 08-MT:2015/BTNMT (Cột A2)</c:v>
                </c:pt>
              </c:strCache>
            </c:strRef>
          </c:tx>
          <c:spPr>
            <a:ln w="22225" cap="rnd">
              <a:solidFill>
                <a:schemeClr val="accent6"/>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TSS!$I$62:$I$84</c:f>
              <c:numCache>
                <c:formatCode>0.0</c:formatCode>
                <c:ptCount val="23"/>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numCache>
            </c:numRef>
          </c:val>
          <c:smooth val="0"/>
          <c:extLst>
            <c:ext xmlns:c16="http://schemas.microsoft.com/office/drawing/2014/chart" uri="{C3380CC4-5D6E-409C-BE32-E72D297353CC}">
              <c16:uniqueId val="{00000005-3C67-4030-9566-83574CF54679}"/>
            </c:ext>
          </c:extLst>
        </c:ser>
        <c:ser>
          <c:idx val="6"/>
          <c:order val="6"/>
          <c:tx>
            <c:strRef>
              <c:f>TSS!$J$61</c:f>
              <c:strCache>
                <c:ptCount val="1"/>
                <c:pt idx="0">
                  <c:v>QCVN 08-MT:2015/BTNMT (Cột B1)</c:v>
                </c:pt>
              </c:strCache>
            </c:strRef>
          </c:tx>
          <c:spPr>
            <a:ln w="22225" cap="rnd">
              <a:solidFill>
                <a:schemeClr val="accent1">
                  <a:lumMod val="60000"/>
                </a:schemeClr>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TSS!$J$62:$J$84</c:f>
              <c:numCache>
                <c:formatCode>General</c:formatCode>
                <c:ptCount val="23"/>
                <c:pt idx="18">
                  <c:v>50</c:v>
                </c:pt>
                <c:pt idx="19">
                  <c:v>50</c:v>
                </c:pt>
                <c:pt idx="20">
                  <c:v>50</c:v>
                </c:pt>
                <c:pt idx="21">
                  <c:v>50</c:v>
                </c:pt>
                <c:pt idx="22">
                  <c:v>50</c:v>
                </c:pt>
              </c:numCache>
            </c:numRef>
          </c:val>
          <c:smooth val="0"/>
          <c:extLst>
            <c:ext xmlns:c16="http://schemas.microsoft.com/office/drawing/2014/chart" uri="{C3380CC4-5D6E-409C-BE32-E72D297353CC}">
              <c16:uniqueId val="{00000006-3C67-4030-9566-83574CF54679}"/>
            </c:ext>
          </c:extLst>
        </c:ser>
        <c:ser>
          <c:idx val="7"/>
          <c:order val="7"/>
          <c:tx>
            <c:strRef>
              <c:f>TSS!$K$61</c:f>
              <c:strCache>
                <c:ptCount val="1"/>
                <c:pt idx="0">
                  <c:v>QCVN 08:2023/BTNMT (Mức A)</c:v>
                </c:pt>
              </c:strCache>
            </c:strRef>
          </c:tx>
          <c:spPr>
            <a:ln w="22225" cap="rnd">
              <a:solidFill>
                <a:schemeClr val="accent2">
                  <a:lumMod val="60000"/>
                </a:schemeClr>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TSS!$K$62:$K$84</c:f>
              <c:numCache>
                <c:formatCode>General</c:formatCode>
                <c:ptCount val="23"/>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pt idx="14">
                  <c:v>25</c:v>
                </c:pt>
                <c:pt idx="15">
                  <c:v>25</c:v>
                </c:pt>
                <c:pt idx="16">
                  <c:v>25</c:v>
                </c:pt>
                <c:pt idx="17">
                  <c:v>25</c:v>
                </c:pt>
              </c:numCache>
            </c:numRef>
          </c:val>
          <c:smooth val="0"/>
          <c:extLst>
            <c:ext xmlns:c16="http://schemas.microsoft.com/office/drawing/2014/chart" uri="{C3380CC4-5D6E-409C-BE32-E72D297353CC}">
              <c16:uniqueId val="{00000007-3C67-4030-9566-83574CF54679}"/>
            </c:ext>
          </c:extLst>
        </c:ser>
        <c:ser>
          <c:idx val="8"/>
          <c:order val="8"/>
          <c:tx>
            <c:strRef>
              <c:f>TSS!$L$61</c:f>
              <c:strCache>
                <c:ptCount val="1"/>
                <c:pt idx="0">
                  <c:v>QCVN 08:2023/BTNMT (Mức B)</c:v>
                </c:pt>
              </c:strCache>
            </c:strRef>
          </c:tx>
          <c:spPr>
            <a:ln w="22225" cap="rnd">
              <a:solidFill>
                <a:schemeClr val="accent3">
                  <a:lumMod val="60000"/>
                </a:schemeClr>
              </a:solidFill>
              <a:round/>
            </a:ln>
            <a:effectLst/>
          </c:spPr>
          <c:marker>
            <c:symbol val="none"/>
          </c:marker>
          <c:cat>
            <c:strRef>
              <c:f>TSS!$B$62:$C$84</c:f>
              <c:strCache>
                <c:ptCount val="23"/>
                <c:pt idx="0">
                  <c:v>Hồ Vực Trống</c:v>
                </c:pt>
                <c:pt idx="1">
                  <c:v>Hồ Khe Trúc</c:v>
                </c:pt>
                <c:pt idx="2">
                  <c:v>Hồ Thiên Tượng</c:v>
                </c:pt>
                <c:pt idx="3">
                  <c:v>Hồ Đá Bạc</c:v>
                </c:pt>
                <c:pt idx="4">
                  <c:v>Hồ Khe Lang</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TSS!$L$62:$L$84</c:f>
              <c:numCache>
                <c:formatCode>General</c:formatCode>
                <c:ptCount val="23"/>
                <c:pt idx="18" formatCode="0.0">
                  <c:v>100</c:v>
                </c:pt>
                <c:pt idx="19" formatCode="0.0">
                  <c:v>100</c:v>
                </c:pt>
                <c:pt idx="20" formatCode="0.0">
                  <c:v>100</c:v>
                </c:pt>
                <c:pt idx="21" formatCode="0.0">
                  <c:v>100</c:v>
                </c:pt>
                <c:pt idx="22" formatCode="0.0">
                  <c:v>100</c:v>
                </c:pt>
              </c:numCache>
            </c:numRef>
          </c:val>
          <c:smooth val="0"/>
          <c:extLst>
            <c:ext xmlns:c16="http://schemas.microsoft.com/office/drawing/2014/chart" uri="{C3380CC4-5D6E-409C-BE32-E72D297353CC}">
              <c16:uniqueId val="{00000008-3C67-4030-9566-83574CF54679}"/>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0"/>
      </c:valAx>
      <c:spPr>
        <a:noFill/>
        <a:ln>
          <a:noFill/>
        </a:ln>
        <a:effectLst/>
      </c:spPr>
    </c:plotArea>
    <c:legend>
      <c:legendPos val="b"/>
      <c:layout>
        <c:manualLayout>
          <c:xMode val="edge"/>
          <c:yMode val="edge"/>
          <c:x val="4.9124538754363789E-2"/>
          <c:y val="0.79057765605386288"/>
          <c:w val="0.89763163272035729"/>
          <c:h val="0.2094223439461371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8961169573429E-3"/>
          <c:y val="0.2313107730116897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131187262028384E-2"/>
          <c:y val="4.2617342236737861E-2"/>
          <c:w val="0.94037868319419593"/>
          <c:h val="0.56261804116590686"/>
        </c:manualLayout>
      </c:layout>
      <c:barChart>
        <c:barDir val="col"/>
        <c:grouping val="clustered"/>
        <c:varyColors val="0"/>
        <c:ser>
          <c:idx val="0"/>
          <c:order val="0"/>
          <c:tx>
            <c:strRef>
              <c:f>DO!$D$61</c:f>
              <c:strCache>
                <c:ptCount val="1"/>
                <c:pt idx="0">
                  <c:v>2021</c:v>
                </c:pt>
              </c:strCache>
            </c:strRef>
          </c:tx>
          <c:spPr>
            <a:solidFill>
              <a:schemeClr val="accent1"/>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DO!$D$62:$D$84</c:f>
              <c:numCache>
                <c:formatCode>0.00</c:formatCode>
                <c:ptCount val="23"/>
                <c:pt idx="0">
                  <c:v>7.4833333333333316</c:v>
                </c:pt>
                <c:pt idx="1">
                  <c:v>7.4333333333333336</c:v>
                </c:pt>
                <c:pt idx="2">
                  <c:v>7.3833333333333337</c:v>
                </c:pt>
                <c:pt idx="3">
                  <c:v>7.5166666666666684</c:v>
                </c:pt>
                <c:pt idx="4">
                  <c:v>8.5833333333333339</c:v>
                </c:pt>
                <c:pt idx="5">
                  <c:v>7.6499999999999995</c:v>
                </c:pt>
                <c:pt idx="6">
                  <c:v>6.9833333333333334</c:v>
                </c:pt>
                <c:pt idx="7">
                  <c:v>7.166666666666667</c:v>
                </c:pt>
                <c:pt idx="8">
                  <c:v>7.5166666666666666</c:v>
                </c:pt>
                <c:pt idx="9">
                  <c:v>7.1333333333333329</c:v>
                </c:pt>
                <c:pt idx="10">
                  <c:v>7.333333333333333</c:v>
                </c:pt>
                <c:pt idx="11">
                  <c:v>7.3166666666666655</c:v>
                </c:pt>
                <c:pt idx="12">
                  <c:v>6.75</c:v>
                </c:pt>
                <c:pt idx="13">
                  <c:v>7.1833333333333336</c:v>
                </c:pt>
                <c:pt idx="14">
                  <c:v>7.3500000000000005</c:v>
                </c:pt>
                <c:pt idx="15">
                  <c:v>7.4666666666666677</c:v>
                </c:pt>
                <c:pt idx="16">
                  <c:v>7.25</c:v>
                </c:pt>
                <c:pt idx="17">
                  <c:v>7.7333333333333343</c:v>
                </c:pt>
                <c:pt idx="18">
                  <c:v>7.083333333333333</c:v>
                </c:pt>
                <c:pt idx="19">
                  <c:v>7.3999999999999995</c:v>
                </c:pt>
                <c:pt idx="20">
                  <c:v>7.1333333333333329</c:v>
                </c:pt>
                <c:pt idx="21">
                  <c:v>8.3333333333333339</c:v>
                </c:pt>
                <c:pt idx="22">
                  <c:v>8.1</c:v>
                </c:pt>
              </c:numCache>
            </c:numRef>
          </c:val>
          <c:extLst>
            <c:ext xmlns:c16="http://schemas.microsoft.com/office/drawing/2014/chart" uri="{C3380CC4-5D6E-409C-BE32-E72D297353CC}">
              <c16:uniqueId val="{00000000-6541-4BAA-81F9-5BFFED25A3E8}"/>
            </c:ext>
          </c:extLst>
        </c:ser>
        <c:ser>
          <c:idx val="1"/>
          <c:order val="1"/>
          <c:tx>
            <c:strRef>
              <c:f>DO!$E$61</c:f>
              <c:strCache>
                <c:ptCount val="1"/>
                <c:pt idx="0">
                  <c:v>2022</c:v>
                </c:pt>
              </c:strCache>
            </c:strRef>
          </c:tx>
          <c:spPr>
            <a:solidFill>
              <a:schemeClr val="accent2"/>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DO!$E$62:$E$84</c:f>
              <c:numCache>
                <c:formatCode>0.00</c:formatCode>
                <c:ptCount val="23"/>
                <c:pt idx="0">
                  <c:v>8.4500000000000011</c:v>
                </c:pt>
                <c:pt idx="1">
                  <c:v>7.416666666666667</c:v>
                </c:pt>
                <c:pt idx="2">
                  <c:v>7.5166666666666666</c:v>
                </c:pt>
                <c:pt idx="3">
                  <c:v>7.9833333333333334</c:v>
                </c:pt>
                <c:pt idx="4">
                  <c:v>7.7333333333333343</c:v>
                </c:pt>
                <c:pt idx="5">
                  <c:v>7.3833333333333329</c:v>
                </c:pt>
                <c:pt idx="6">
                  <c:v>6.7833333333333341</c:v>
                </c:pt>
                <c:pt idx="7">
                  <c:v>7.5333333333333341</c:v>
                </c:pt>
                <c:pt idx="8">
                  <c:v>6.3</c:v>
                </c:pt>
                <c:pt idx="9">
                  <c:v>6.5166666666666657</c:v>
                </c:pt>
                <c:pt idx="10">
                  <c:v>6.9333333333333336</c:v>
                </c:pt>
                <c:pt idx="11">
                  <c:v>6.6333333333333329</c:v>
                </c:pt>
                <c:pt idx="12">
                  <c:v>7</c:v>
                </c:pt>
                <c:pt idx="13">
                  <c:v>7.0666666666666664</c:v>
                </c:pt>
                <c:pt idx="14">
                  <c:v>7.0666666666666664</c:v>
                </c:pt>
                <c:pt idx="15">
                  <c:v>7.166666666666667</c:v>
                </c:pt>
                <c:pt idx="16">
                  <c:v>7.2666666666666657</c:v>
                </c:pt>
                <c:pt idx="17">
                  <c:v>7.6333333333333329</c:v>
                </c:pt>
                <c:pt idx="18">
                  <c:v>7.5666666666666664</c:v>
                </c:pt>
                <c:pt idx="19">
                  <c:v>6.8500000000000005</c:v>
                </c:pt>
                <c:pt idx="20">
                  <c:v>7.0166666666666666</c:v>
                </c:pt>
                <c:pt idx="21">
                  <c:v>9.7166666666666668</c:v>
                </c:pt>
                <c:pt idx="22">
                  <c:v>7.666666666666667</c:v>
                </c:pt>
              </c:numCache>
            </c:numRef>
          </c:val>
          <c:extLst>
            <c:ext xmlns:c16="http://schemas.microsoft.com/office/drawing/2014/chart" uri="{C3380CC4-5D6E-409C-BE32-E72D297353CC}">
              <c16:uniqueId val="{00000001-6541-4BAA-81F9-5BFFED25A3E8}"/>
            </c:ext>
          </c:extLst>
        </c:ser>
        <c:ser>
          <c:idx val="2"/>
          <c:order val="2"/>
          <c:tx>
            <c:strRef>
              <c:f>DO!$F$61</c:f>
              <c:strCache>
                <c:ptCount val="1"/>
                <c:pt idx="0">
                  <c:v>2023</c:v>
                </c:pt>
              </c:strCache>
            </c:strRef>
          </c:tx>
          <c:spPr>
            <a:solidFill>
              <a:schemeClr val="accent3"/>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DO!$F$62:$F$84</c:f>
              <c:numCache>
                <c:formatCode>0.00</c:formatCode>
                <c:ptCount val="23"/>
                <c:pt idx="0">
                  <c:v>7.9333333333333327</c:v>
                </c:pt>
                <c:pt idx="1">
                  <c:v>8.0833333333333321</c:v>
                </c:pt>
                <c:pt idx="2">
                  <c:v>7.75</c:v>
                </c:pt>
                <c:pt idx="3">
                  <c:v>7.6333333333333337</c:v>
                </c:pt>
                <c:pt idx="4">
                  <c:v>7.7666666666666666</c:v>
                </c:pt>
                <c:pt idx="5">
                  <c:v>7.7666666666666666</c:v>
                </c:pt>
                <c:pt idx="6">
                  <c:v>7.1000000000000005</c:v>
                </c:pt>
                <c:pt idx="7">
                  <c:v>7.5333333333333341</c:v>
                </c:pt>
                <c:pt idx="8">
                  <c:v>5.9833333333333334</c:v>
                </c:pt>
                <c:pt idx="9">
                  <c:v>5.3500000000000005</c:v>
                </c:pt>
                <c:pt idx="10">
                  <c:v>7.3583333333333334</c:v>
                </c:pt>
                <c:pt idx="11">
                  <c:v>7.3833333333333337</c:v>
                </c:pt>
                <c:pt idx="12">
                  <c:v>6.9833333333333334</c:v>
                </c:pt>
                <c:pt idx="13">
                  <c:v>7.3949999999999996</c:v>
                </c:pt>
                <c:pt idx="14">
                  <c:v>7.6333333333333337</c:v>
                </c:pt>
                <c:pt idx="15">
                  <c:v>7.2833333333333323</c:v>
                </c:pt>
                <c:pt idx="16">
                  <c:v>7.333333333333333</c:v>
                </c:pt>
                <c:pt idx="17">
                  <c:v>8.3999999999999986</c:v>
                </c:pt>
                <c:pt idx="18">
                  <c:v>8.0666666666666664</c:v>
                </c:pt>
                <c:pt idx="19">
                  <c:v>7.3533333333333344</c:v>
                </c:pt>
                <c:pt idx="20">
                  <c:v>7.5333333333333323</c:v>
                </c:pt>
                <c:pt idx="21">
                  <c:v>8.2833333333333332</c:v>
                </c:pt>
                <c:pt idx="22">
                  <c:v>8.6333333333333329</c:v>
                </c:pt>
              </c:numCache>
            </c:numRef>
          </c:val>
          <c:extLst>
            <c:ext xmlns:c16="http://schemas.microsoft.com/office/drawing/2014/chart" uri="{C3380CC4-5D6E-409C-BE32-E72D297353CC}">
              <c16:uniqueId val="{00000002-6541-4BAA-81F9-5BFFED25A3E8}"/>
            </c:ext>
          </c:extLst>
        </c:ser>
        <c:ser>
          <c:idx val="3"/>
          <c:order val="3"/>
          <c:tx>
            <c:strRef>
              <c:f>DO!$G$61</c:f>
              <c:strCache>
                <c:ptCount val="1"/>
                <c:pt idx="0">
                  <c:v>2024</c:v>
                </c:pt>
              </c:strCache>
            </c:strRef>
          </c:tx>
          <c:spPr>
            <a:solidFill>
              <a:schemeClr val="accent4"/>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DO!$G$62:$G$84</c:f>
              <c:numCache>
                <c:formatCode>0.00</c:formatCode>
                <c:ptCount val="23"/>
                <c:pt idx="0">
                  <c:v>7.9666666666666659</c:v>
                </c:pt>
                <c:pt idx="1">
                  <c:v>7.4333333333333336</c:v>
                </c:pt>
                <c:pt idx="2">
                  <c:v>7.4833333333333334</c:v>
                </c:pt>
                <c:pt idx="3">
                  <c:v>7.6166666666666663</c:v>
                </c:pt>
                <c:pt idx="4">
                  <c:v>7.583333333333333</c:v>
                </c:pt>
                <c:pt idx="5">
                  <c:v>7.3999999999999986</c:v>
                </c:pt>
                <c:pt idx="6">
                  <c:v>7.7333333333333334</c:v>
                </c:pt>
                <c:pt idx="7">
                  <c:v>7.55</c:v>
                </c:pt>
                <c:pt idx="8">
                  <c:v>5.8500000000000005</c:v>
                </c:pt>
                <c:pt idx="9">
                  <c:v>6.1999999999999993</c:v>
                </c:pt>
                <c:pt idx="10">
                  <c:v>7.3666666666666663</c:v>
                </c:pt>
                <c:pt idx="11">
                  <c:v>7.583333333333333</c:v>
                </c:pt>
                <c:pt idx="12">
                  <c:v>6.9499999999999993</c:v>
                </c:pt>
                <c:pt idx="13">
                  <c:v>7.0166666666666666</c:v>
                </c:pt>
                <c:pt idx="14">
                  <c:v>6.8633333333333333</c:v>
                </c:pt>
                <c:pt idx="15">
                  <c:v>7.3500000000000005</c:v>
                </c:pt>
                <c:pt idx="16">
                  <c:v>7.3833333333333329</c:v>
                </c:pt>
                <c:pt idx="17">
                  <c:v>7.166666666666667</c:v>
                </c:pt>
                <c:pt idx="18">
                  <c:v>7.5</c:v>
                </c:pt>
                <c:pt idx="19">
                  <c:v>6.4666666666666659</c:v>
                </c:pt>
                <c:pt idx="20">
                  <c:v>6.7833333333333341</c:v>
                </c:pt>
                <c:pt idx="21">
                  <c:v>9.1666666666666661</c:v>
                </c:pt>
                <c:pt idx="22">
                  <c:v>8.15</c:v>
                </c:pt>
              </c:numCache>
            </c:numRef>
          </c:val>
          <c:extLst>
            <c:ext xmlns:c16="http://schemas.microsoft.com/office/drawing/2014/chart" uri="{C3380CC4-5D6E-409C-BE32-E72D297353CC}">
              <c16:uniqueId val="{00000003-6541-4BAA-81F9-5BFFED25A3E8}"/>
            </c:ext>
          </c:extLst>
        </c:ser>
        <c:ser>
          <c:idx val="4"/>
          <c:order val="4"/>
          <c:tx>
            <c:strRef>
              <c:f>DO!$H$61</c:f>
              <c:strCache>
                <c:ptCount val="1"/>
                <c:pt idx="0">
                  <c:v>2025</c:v>
                </c:pt>
              </c:strCache>
            </c:strRef>
          </c:tx>
          <c:spPr>
            <a:solidFill>
              <a:schemeClr val="accent5"/>
            </a:solidFill>
            <a:ln>
              <a:noFill/>
            </a:ln>
            <a:effectLst/>
          </c:spPr>
          <c:invertIfNegative val="0"/>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DO!$H$62:$H$84</c:f>
              <c:numCache>
                <c:formatCode>0.00</c:formatCode>
                <c:ptCount val="23"/>
                <c:pt idx="0">
                  <c:v>8.9499999999999993</c:v>
                </c:pt>
                <c:pt idx="1">
                  <c:v>7.6999999999999993</c:v>
                </c:pt>
                <c:pt idx="2">
                  <c:v>7.4</c:v>
                </c:pt>
                <c:pt idx="3">
                  <c:v>8.6999999999999993</c:v>
                </c:pt>
                <c:pt idx="4">
                  <c:v>9.1499999999999986</c:v>
                </c:pt>
                <c:pt idx="5">
                  <c:v>7.05</c:v>
                </c:pt>
                <c:pt idx="6">
                  <c:v>7.4</c:v>
                </c:pt>
                <c:pt idx="7">
                  <c:v>7.7</c:v>
                </c:pt>
                <c:pt idx="8">
                  <c:v>6.8000000000000007</c:v>
                </c:pt>
                <c:pt idx="9">
                  <c:v>6.4499999999999993</c:v>
                </c:pt>
                <c:pt idx="10">
                  <c:v>7.8000000000000007</c:v>
                </c:pt>
                <c:pt idx="11">
                  <c:v>7.8000000000000007</c:v>
                </c:pt>
                <c:pt idx="12">
                  <c:v>7.1499999999999995</c:v>
                </c:pt>
                <c:pt idx="13">
                  <c:v>7.85</c:v>
                </c:pt>
                <c:pt idx="14">
                  <c:v>8</c:v>
                </c:pt>
                <c:pt idx="15">
                  <c:v>7.7</c:v>
                </c:pt>
                <c:pt idx="16">
                  <c:v>7.65</c:v>
                </c:pt>
                <c:pt idx="17">
                  <c:v>7.55</c:v>
                </c:pt>
                <c:pt idx="18">
                  <c:v>6.6</c:v>
                </c:pt>
                <c:pt idx="19">
                  <c:v>8.1</c:v>
                </c:pt>
                <c:pt idx="20">
                  <c:v>7.6000000000000005</c:v>
                </c:pt>
                <c:pt idx="21">
                  <c:v>8.35</c:v>
                </c:pt>
                <c:pt idx="22">
                  <c:v>8.5</c:v>
                </c:pt>
              </c:numCache>
            </c:numRef>
          </c:val>
          <c:extLst>
            <c:ext xmlns:c16="http://schemas.microsoft.com/office/drawing/2014/chart" uri="{C3380CC4-5D6E-409C-BE32-E72D297353CC}">
              <c16:uniqueId val="{00000004-6541-4BAA-81F9-5BFFED25A3E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DO!$I$61</c:f>
              <c:strCache>
                <c:ptCount val="1"/>
                <c:pt idx="0">
                  <c:v>QCVN 08-MT:2015/BTNMT (Cột A2)</c:v>
                </c:pt>
              </c:strCache>
            </c:strRef>
          </c:tx>
          <c:spPr>
            <a:ln w="22225" cap="rnd">
              <a:solidFill>
                <a:schemeClr val="accent6"/>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DO!$I$62:$I$84</c:f>
              <c:numCache>
                <c:formatCode>0.0</c:formatCode>
                <c:ptCount val="23"/>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pt idx="15">
                  <c:v>5</c:v>
                </c:pt>
                <c:pt idx="16">
                  <c:v>5</c:v>
                </c:pt>
                <c:pt idx="17">
                  <c:v>5</c:v>
                </c:pt>
              </c:numCache>
            </c:numRef>
          </c:val>
          <c:smooth val="0"/>
          <c:extLst>
            <c:ext xmlns:c16="http://schemas.microsoft.com/office/drawing/2014/chart" uri="{C3380CC4-5D6E-409C-BE32-E72D297353CC}">
              <c16:uniqueId val="{00000005-6541-4BAA-81F9-5BFFED25A3E8}"/>
            </c:ext>
          </c:extLst>
        </c:ser>
        <c:ser>
          <c:idx val="6"/>
          <c:order val="6"/>
          <c:tx>
            <c:strRef>
              <c:f>DO!$J$61</c:f>
              <c:strCache>
                <c:ptCount val="1"/>
                <c:pt idx="0">
                  <c:v>QCVN 08-MT:2015/BTNMT (Cột B1)</c:v>
                </c:pt>
              </c:strCache>
            </c:strRef>
          </c:tx>
          <c:spPr>
            <a:ln w="22225" cap="rnd">
              <a:solidFill>
                <a:schemeClr val="accent1">
                  <a:lumMod val="60000"/>
                </a:schemeClr>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DO!$J$62:$J$84</c:f>
              <c:numCache>
                <c:formatCode>General</c:formatCode>
                <c:ptCount val="23"/>
                <c:pt idx="18">
                  <c:v>4</c:v>
                </c:pt>
                <c:pt idx="19">
                  <c:v>4</c:v>
                </c:pt>
                <c:pt idx="20">
                  <c:v>4</c:v>
                </c:pt>
                <c:pt idx="21">
                  <c:v>4</c:v>
                </c:pt>
                <c:pt idx="22">
                  <c:v>4</c:v>
                </c:pt>
              </c:numCache>
            </c:numRef>
          </c:val>
          <c:smooth val="0"/>
          <c:extLst>
            <c:ext xmlns:c16="http://schemas.microsoft.com/office/drawing/2014/chart" uri="{C3380CC4-5D6E-409C-BE32-E72D297353CC}">
              <c16:uniqueId val="{00000006-6541-4BAA-81F9-5BFFED25A3E8}"/>
            </c:ext>
          </c:extLst>
        </c:ser>
        <c:ser>
          <c:idx val="7"/>
          <c:order val="7"/>
          <c:tx>
            <c:strRef>
              <c:f>DO!$K$61</c:f>
              <c:strCache>
                <c:ptCount val="1"/>
                <c:pt idx="0">
                  <c:v>QCVN 08:2023/BTNMT (Mức A)</c:v>
                </c:pt>
              </c:strCache>
            </c:strRef>
          </c:tx>
          <c:spPr>
            <a:ln w="22225" cap="rnd">
              <a:solidFill>
                <a:schemeClr val="accent2">
                  <a:lumMod val="60000"/>
                </a:schemeClr>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DO!$K$62:$K$84</c:f>
              <c:numCache>
                <c:formatCode>General</c:formatCode>
                <c:ptCount val="23"/>
                <c:pt idx="0">
                  <c:v>6</c:v>
                </c:pt>
                <c:pt idx="1">
                  <c:v>6</c:v>
                </c:pt>
                <c:pt idx="2">
                  <c:v>6</c:v>
                </c:pt>
                <c:pt idx="3">
                  <c:v>6</c:v>
                </c:pt>
                <c:pt idx="4">
                  <c:v>6</c:v>
                </c:pt>
                <c:pt idx="5">
                  <c:v>6</c:v>
                </c:pt>
                <c:pt idx="6">
                  <c:v>6</c:v>
                </c:pt>
                <c:pt idx="7">
                  <c:v>6</c:v>
                </c:pt>
                <c:pt idx="8">
                  <c:v>6</c:v>
                </c:pt>
                <c:pt idx="9">
                  <c:v>6</c:v>
                </c:pt>
                <c:pt idx="10">
                  <c:v>6</c:v>
                </c:pt>
                <c:pt idx="11">
                  <c:v>6</c:v>
                </c:pt>
                <c:pt idx="12">
                  <c:v>6</c:v>
                </c:pt>
                <c:pt idx="13">
                  <c:v>6</c:v>
                </c:pt>
                <c:pt idx="14">
                  <c:v>6</c:v>
                </c:pt>
                <c:pt idx="15">
                  <c:v>6</c:v>
                </c:pt>
                <c:pt idx="16">
                  <c:v>6</c:v>
                </c:pt>
                <c:pt idx="17">
                  <c:v>6</c:v>
                </c:pt>
              </c:numCache>
            </c:numRef>
          </c:val>
          <c:smooth val="0"/>
          <c:extLst>
            <c:ext xmlns:c16="http://schemas.microsoft.com/office/drawing/2014/chart" uri="{C3380CC4-5D6E-409C-BE32-E72D297353CC}">
              <c16:uniqueId val="{00000007-6541-4BAA-81F9-5BFFED25A3E8}"/>
            </c:ext>
          </c:extLst>
        </c:ser>
        <c:ser>
          <c:idx val="8"/>
          <c:order val="8"/>
          <c:tx>
            <c:strRef>
              <c:f>DO!$L$61</c:f>
              <c:strCache>
                <c:ptCount val="1"/>
                <c:pt idx="0">
                  <c:v>QCVN 08:2023/BTNMT (Mức B)</c:v>
                </c:pt>
              </c:strCache>
            </c:strRef>
          </c:tx>
          <c:spPr>
            <a:ln w="22225" cap="rnd">
              <a:solidFill>
                <a:schemeClr val="accent3">
                  <a:lumMod val="60000"/>
                </a:schemeClr>
              </a:solidFill>
              <a:round/>
            </a:ln>
            <a:effectLst/>
          </c:spPr>
          <c:marker>
            <c:symbol val="none"/>
          </c:marker>
          <c:cat>
            <c:strRef>
              <c:f>DO!$B$62:$C$84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DO!$L$62:$L$84</c:f>
              <c:numCache>
                <c:formatCode>General</c:formatCode>
                <c:ptCount val="23"/>
                <c:pt idx="18" formatCode="0.0">
                  <c:v>5</c:v>
                </c:pt>
                <c:pt idx="19" formatCode="0.0">
                  <c:v>5</c:v>
                </c:pt>
                <c:pt idx="20" formatCode="0.0">
                  <c:v>5</c:v>
                </c:pt>
                <c:pt idx="21" formatCode="0.0">
                  <c:v>5</c:v>
                </c:pt>
                <c:pt idx="22" formatCode="0.0">
                  <c:v>5</c:v>
                </c:pt>
              </c:numCache>
            </c:numRef>
          </c:val>
          <c:smooth val="0"/>
          <c:extLst>
            <c:ext xmlns:c16="http://schemas.microsoft.com/office/drawing/2014/chart" uri="{C3380CC4-5D6E-409C-BE32-E72D297353CC}">
              <c16:uniqueId val="{00000008-6541-4BAA-81F9-5BFFED25A3E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layout>
        <c:manualLayout>
          <c:xMode val="edge"/>
          <c:yMode val="edge"/>
          <c:x val="6.1962535056949659E-2"/>
          <c:y val="0.80760068149376063"/>
          <c:w val="0.878844054150552"/>
          <c:h val="0.1643291430676428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2109515722299418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4080944165376968E-2"/>
          <c:y val="4.0362307652719878E-2"/>
          <c:w val="0.93760954370499272"/>
          <c:h val="0.5508373218053626"/>
        </c:manualLayout>
      </c:layout>
      <c:barChart>
        <c:barDir val="col"/>
        <c:grouping val="clustered"/>
        <c:varyColors val="0"/>
        <c:ser>
          <c:idx val="0"/>
          <c:order val="0"/>
          <c:tx>
            <c:strRef>
              <c:f>Nitrat!$D$61</c:f>
              <c:strCache>
                <c:ptCount val="1"/>
                <c:pt idx="0">
                  <c:v>2021</c:v>
                </c:pt>
              </c:strCache>
            </c:strRef>
          </c:tx>
          <c:spPr>
            <a:solidFill>
              <a:schemeClr val="accent1"/>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Nitrat!$D$62:$D$84</c:f>
              <c:numCache>
                <c:formatCode>0.00</c:formatCode>
                <c:ptCount val="23"/>
                <c:pt idx="0">
                  <c:v>0.11</c:v>
                </c:pt>
                <c:pt idx="1">
                  <c:v>0.15666666666666665</c:v>
                </c:pt>
                <c:pt idx="2">
                  <c:v>0.3666666666666667</c:v>
                </c:pt>
                <c:pt idx="3">
                  <c:v>0.37999999999999995</c:v>
                </c:pt>
                <c:pt idx="4">
                  <c:v>0.15166666666666667</c:v>
                </c:pt>
                <c:pt idx="5">
                  <c:v>0.24333333333333337</c:v>
                </c:pt>
                <c:pt idx="6">
                  <c:v>7.0000000000000007E-2</c:v>
                </c:pt>
                <c:pt idx="7">
                  <c:v>0.56666666666666665</c:v>
                </c:pt>
                <c:pt idx="8">
                  <c:v>0.39833333333333337</c:v>
                </c:pt>
                <c:pt idx="9">
                  <c:v>0.39833333333333326</c:v>
                </c:pt>
                <c:pt idx="10">
                  <c:v>0.39833333333333326</c:v>
                </c:pt>
                <c:pt idx="11">
                  <c:v>0.25833333333333336</c:v>
                </c:pt>
                <c:pt idx="12">
                  <c:v>0.34166666666666662</c:v>
                </c:pt>
                <c:pt idx="13">
                  <c:v>0.52166666666666672</c:v>
                </c:pt>
                <c:pt idx="14">
                  <c:v>0.45833333333333331</c:v>
                </c:pt>
                <c:pt idx="15">
                  <c:v>0.63166666666666671</c:v>
                </c:pt>
                <c:pt idx="16">
                  <c:v>0.82166666666666677</c:v>
                </c:pt>
                <c:pt idx="17">
                  <c:v>0.14000000000000001</c:v>
                </c:pt>
                <c:pt idx="18">
                  <c:v>0.37500000000000006</c:v>
                </c:pt>
                <c:pt idx="19">
                  <c:v>0.5033333333333333</c:v>
                </c:pt>
                <c:pt idx="20">
                  <c:v>0.35333333333333333</c:v>
                </c:pt>
                <c:pt idx="21">
                  <c:v>0.31000000000000005</c:v>
                </c:pt>
                <c:pt idx="22">
                  <c:v>0.57833333333333325</c:v>
                </c:pt>
              </c:numCache>
            </c:numRef>
          </c:val>
          <c:extLst>
            <c:ext xmlns:c16="http://schemas.microsoft.com/office/drawing/2014/chart" uri="{C3380CC4-5D6E-409C-BE32-E72D297353CC}">
              <c16:uniqueId val="{00000000-9ECE-490F-9472-593ADE5C98C8}"/>
            </c:ext>
          </c:extLst>
        </c:ser>
        <c:ser>
          <c:idx val="1"/>
          <c:order val="1"/>
          <c:tx>
            <c:strRef>
              <c:f>Nitrat!$E$61</c:f>
              <c:strCache>
                <c:ptCount val="1"/>
                <c:pt idx="0">
                  <c:v>2022</c:v>
                </c:pt>
              </c:strCache>
            </c:strRef>
          </c:tx>
          <c:spPr>
            <a:solidFill>
              <a:schemeClr val="accent2"/>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Nitrat!$E$62:$E$84</c:f>
              <c:numCache>
                <c:formatCode>0.00</c:formatCode>
                <c:ptCount val="23"/>
                <c:pt idx="0">
                  <c:v>0.19000000000000003</c:v>
                </c:pt>
                <c:pt idx="1">
                  <c:v>0.11333333333333334</c:v>
                </c:pt>
                <c:pt idx="2">
                  <c:v>0.33666666666666667</c:v>
                </c:pt>
                <c:pt idx="3">
                  <c:v>0.38666666666666666</c:v>
                </c:pt>
                <c:pt idx="4">
                  <c:v>6.1666666666666668E-2</c:v>
                </c:pt>
                <c:pt idx="5">
                  <c:v>0.19000000000000003</c:v>
                </c:pt>
                <c:pt idx="6">
                  <c:v>1.8333333333333333E-2</c:v>
                </c:pt>
                <c:pt idx="7">
                  <c:v>0.47499999999999992</c:v>
                </c:pt>
                <c:pt idx="8">
                  <c:v>0.36499999999999999</c:v>
                </c:pt>
                <c:pt idx="9">
                  <c:v>0.41500000000000004</c:v>
                </c:pt>
                <c:pt idx="10">
                  <c:v>0.33833333333333332</c:v>
                </c:pt>
                <c:pt idx="11">
                  <c:v>0.2466666666666667</c:v>
                </c:pt>
                <c:pt idx="12">
                  <c:v>0.69666666666666666</c:v>
                </c:pt>
                <c:pt idx="13">
                  <c:v>0.33166666666666661</c:v>
                </c:pt>
                <c:pt idx="14">
                  <c:v>0.36499999999999999</c:v>
                </c:pt>
                <c:pt idx="15">
                  <c:v>0.51666666666666672</c:v>
                </c:pt>
                <c:pt idx="16">
                  <c:v>0.52333333333333332</c:v>
                </c:pt>
                <c:pt idx="17">
                  <c:v>0.19666666666666666</c:v>
                </c:pt>
                <c:pt idx="18">
                  <c:v>0.29666666666666669</c:v>
                </c:pt>
                <c:pt idx="19">
                  <c:v>0.36166666666666664</c:v>
                </c:pt>
                <c:pt idx="20">
                  <c:v>0.17833333333333334</c:v>
                </c:pt>
                <c:pt idx="21">
                  <c:v>0.68166666666666664</c:v>
                </c:pt>
                <c:pt idx="22">
                  <c:v>0.6150000000000001</c:v>
                </c:pt>
              </c:numCache>
            </c:numRef>
          </c:val>
          <c:extLst>
            <c:ext xmlns:c16="http://schemas.microsoft.com/office/drawing/2014/chart" uri="{C3380CC4-5D6E-409C-BE32-E72D297353CC}">
              <c16:uniqueId val="{00000001-9ECE-490F-9472-593ADE5C98C8}"/>
            </c:ext>
          </c:extLst>
        </c:ser>
        <c:ser>
          <c:idx val="2"/>
          <c:order val="2"/>
          <c:tx>
            <c:strRef>
              <c:f>Nitrat!$F$61</c:f>
              <c:strCache>
                <c:ptCount val="1"/>
                <c:pt idx="0">
                  <c:v>2023</c:v>
                </c:pt>
              </c:strCache>
            </c:strRef>
          </c:tx>
          <c:spPr>
            <a:solidFill>
              <a:schemeClr val="accent3"/>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Nitrat!$F$62:$F$84</c:f>
              <c:numCache>
                <c:formatCode>0.00</c:formatCode>
                <c:ptCount val="23"/>
                <c:pt idx="0">
                  <c:v>0.42499999999999999</c:v>
                </c:pt>
                <c:pt idx="1">
                  <c:v>0.27666666666666667</c:v>
                </c:pt>
                <c:pt idx="2">
                  <c:v>0.49666666666666676</c:v>
                </c:pt>
                <c:pt idx="3">
                  <c:v>0.32666666666666666</c:v>
                </c:pt>
                <c:pt idx="4">
                  <c:v>0.4366666666666667</c:v>
                </c:pt>
                <c:pt idx="5">
                  <c:v>0.18000000000000002</c:v>
                </c:pt>
                <c:pt idx="6">
                  <c:v>0.13333333333333333</c:v>
                </c:pt>
                <c:pt idx="7">
                  <c:v>0.52</c:v>
                </c:pt>
                <c:pt idx="8">
                  <c:v>0.34333333333333332</c:v>
                </c:pt>
                <c:pt idx="9">
                  <c:v>0.40000000000000008</c:v>
                </c:pt>
                <c:pt idx="10">
                  <c:v>0.26166666666666666</c:v>
                </c:pt>
                <c:pt idx="11">
                  <c:v>0.17</c:v>
                </c:pt>
                <c:pt idx="12">
                  <c:v>0.54999999999999993</c:v>
                </c:pt>
                <c:pt idx="13">
                  <c:v>0.49666666666666665</c:v>
                </c:pt>
                <c:pt idx="14">
                  <c:v>0.45666666666666661</c:v>
                </c:pt>
                <c:pt idx="15">
                  <c:v>0.64166666666666672</c:v>
                </c:pt>
                <c:pt idx="16">
                  <c:v>0.84833333333333349</c:v>
                </c:pt>
                <c:pt idx="17">
                  <c:v>0.18500000000000003</c:v>
                </c:pt>
                <c:pt idx="18">
                  <c:v>0.34166666666666662</c:v>
                </c:pt>
                <c:pt idx="19">
                  <c:v>0.44166666666666665</c:v>
                </c:pt>
                <c:pt idx="20">
                  <c:v>0.41666666666666669</c:v>
                </c:pt>
                <c:pt idx="21">
                  <c:v>0.47</c:v>
                </c:pt>
                <c:pt idx="22">
                  <c:v>0.7533333333333333</c:v>
                </c:pt>
              </c:numCache>
            </c:numRef>
          </c:val>
          <c:extLst>
            <c:ext xmlns:c16="http://schemas.microsoft.com/office/drawing/2014/chart" uri="{C3380CC4-5D6E-409C-BE32-E72D297353CC}">
              <c16:uniqueId val="{00000002-9ECE-490F-9472-593ADE5C98C8}"/>
            </c:ext>
          </c:extLst>
        </c:ser>
        <c:ser>
          <c:idx val="3"/>
          <c:order val="3"/>
          <c:tx>
            <c:strRef>
              <c:f>Nitrat!$G$61</c:f>
              <c:strCache>
                <c:ptCount val="1"/>
                <c:pt idx="0">
                  <c:v>2024</c:v>
                </c:pt>
              </c:strCache>
            </c:strRef>
          </c:tx>
          <c:spPr>
            <a:solidFill>
              <a:schemeClr val="accent4"/>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Nitrat!$G$62:$G$84</c:f>
              <c:numCache>
                <c:formatCode>0.00</c:formatCode>
                <c:ptCount val="23"/>
                <c:pt idx="0">
                  <c:v>0.20999999999999996</c:v>
                </c:pt>
                <c:pt idx="1">
                  <c:v>0.35166666666666663</c:v>
                </c:pt>
                <c:pt idx="2">
                  <c:v>0.37000000000000005</c:v>
                </c:pt>
                <c:pt idx="3">
                  <c:v>0.45</c:v>
                </c:pt>
                <c:pt idx="4">
                  <c:v>0.28333333333333333</c:v>
                </c:pt>
                <c:pt idx="5">
                  <c:v>0.24333333333333332</c:v>
                </c:pt>
                <c:pt idx="6">
                  <c:v>2.8333333333333335E-2</c:v>
                </c:pt>
                <c:pt idx="7">
                  <c:v>0.40833333333333338</c:v>
                </c:pt>
                <c:pt idx="8">
                  <c:v>0.34166666666666662</c:v>
                </c:pt>
                <c:pt idx="9">
                  <c:v>0.32166666666666671</c:v>
                </c:pt>
                <c:pt idx="10">
                  <c:v>0.35833333333333334</c:v>
                </c:pt>
                <c:pt idx="11">
                  <c:v>0.34</c:v>
                </c:pt>
                <c:pt idx="12">
                  <c:v>0.38166666666666665</c:v>
                </c:pt>
                <c:pt idx="13">
                  <c:v>0.30833333333333335</c:v>
                </c:pt>
                <c:pt idx="14">
                  <c:v>0.40666666666666668</c:v>
                </c:pt>
                <c:pt idx="15">
                  <c:v>0.4366666666666667</c:v>
                </c:pt>
                <c:pt idx="16">
                  <c:v>0.4366666666666667</c:v>
                </c:pt>
                <c:pt idx="17">
                  <c:v>3.1666666666666669E-2</c:v>
                </c:pt>
                <c:pt idx="18">
                  <c:v>0.38499999999999995</c:v>
                </c:pt>
                <c:pt idx="19">
                  <c:v>0.31666666666666665</c:v>
                </c:pt>
                <c:pt idx="20">
                  <c:v>0.35166666666666663</c:v>
                </c:pt>
                <c:pt idx="21">
                  <c:v>0.22666666666666666</c:v>
                </c:pt>
                <c:pt idx="22">
                  <c:v>1.35</c:v>
                </c:pt>
              </c:numCache>
            </c:numRef>
          </c:val>
          <c:extLst>
            <c:ext xmlns:c16="http://schemas.microsoft.com/office/drawing/2014/chart" uri="{C3380CC4-5D6E-409C-BE32-E72D297353CC}">
              <c16:uniqueId val="{00000003-9ECE-490F-9472-593ADE5C98C8}"/>
            </c:ext>
          </c:extLst>
        </c:ser>
        <c:ser>
          <c:idx val="4"/>
          <c:order val="4"/>
          <c:tx>
            <c:strRef>
              <c:f>Nitrat!$H$61</c:f>
              <c:strCache>
                <c:ptCount val="1"/>
                <c:pt idx="0">
                  <c:v>2025</c:v>
                </c:pt>
              </c:strCache>
            </c:strRef>
          </c:tx>
          <c:spPr>
            <a:solidFill>
              <a:schemeClr val="accent5"/>
            </a:solidFill>
            <a:ln>
              <a:noFill/>
            </a:ln>
            <a:effectLst/>
          </c:spPr>
          <c:invertIfNegative val="0"/>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Nitrat!$H$62:$H$84</c:f>
              <c:numCache>
                <c:formatCode>0.00</c:formatCode>
                <c:ptCount val="23"/>
                <c:pt idx="0">
                  <c:v>0.52</c:v>
                </c:pt>
                <c:pt idx="1">
                  <c:v>0.4</c:v>
                </c:pt>
                <c:pt idx="2">
                  <c:v>0.41500000000000004</c:v>
                </c:pt>
                <c:pt idx="3">
                  <c:v>1.24</c:v>
                </c:pt>
                <c:pt idx="4">
                  <c:v>0.45499999999999996</c:v>
                </c:pt>
                <c:pt idx="5">
                  <c:v>0.29000000000000004</c:v>
                </c:pt>
                <c:pt idx="6">
                  <c:v>0.15</c:v>
                </c:pt>
                <c:pt idx="7">
                  <c:v>0.24</c:v>
                </c:pt>
                <c:pt idx="8">
                  <c:v>0.52500000000000002</c:v>
                </c:pt>
                <c:pt idx="9">
                  <c:v>0.43500000000000005</c:v>
                </c:pt>
                <c:pt idx="10">
                  <c:v>0.69500000000000006</c:v>
                </c:pt>
                <c:pt idx="11">
                  <c:v>0.60000000000000009</c:v>
                </c:pt>
                <c:pt idx="12">
                  <c:v>0.97500000000000009</c:v>
                </c:pt>
                <c:pt idx="13">
                  <c:v>0.875</c:v>
                </c:pt>
                <c:pt idx="14">
                  <c:v>0.755</c:v>
                </c:pt>
                <c:pt idx="15">
                  <c:v>0.99</c:v>
                </c:pt>
                <c:pt idx="16">
                  <c:v>0.89</c:v>
                </c:pt>
                <c:pt idx="17">
                  <c:v>0.185</c:v>
                </c:pt>
                <c:pt idx="18">
                  <c:v>0.41500000000000004</c:v>
                </c:pt>
                <c:pt idx="19">
                  <c:v>0.74</c:v>
                </c:pt>
                <c:pt idx="20">
                  <c:v>1.0050000000000001</c:v>
                </c:pt>
                <c:pt idx="21">
                  <c:v>0.75</c:v>
                </c:pt>
                <c:pt idx="22">
                  <c:v>5</c:v>
                </c:pt>
              </c:numCache>
            </c:numRef>
          </c:val>
          <c:extLst>
            <c:ext xmlns:c16="http://schemas.microsoft.com/office/drawing/2014/chart" uri="{C3380CC4-5D6E-409C-BE32-E72D297353CC}">
              <c16:uniqueId val="{00000004-9ECE-490F-9472-593ADE5C98C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Nitrat!$I$61</c:f>
              <c:strCache>
                <c:ptCount val="1"/>
                <c:pt idx="0">
                  <c:v>QCVN 08-MT:2015/BTNMT (Cột A2)</c:v>
                </c:pt>
              </c:strCache>
            </c:strRef>
          </c:tx>
          <c:spPr>
            <a:ln w="22225" cap="rnd">
              <a:solidFill>
                <a:schemeClr val="accent6"/>
              </a:solidFill>
              <a:round/>
            </a:ln>
            <a:effectLst/>
          </c:spPr>
          <c:marker>
            <c:symbol val="none"/>
          </c:marker>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Nitrat!$I$62:$I$84</c:f>
              <c:numCache>
                <c:formatCode>0.0</c:formatCode>
                <c:ptCount val="23"/>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pt idx="15">
                  <c:v>5</c:v>
                </c:pt>
                <c:pt idx="16">
                  <c:v>5</c:v>
                </c:pt>
                <c:pt idx="17">
                  <c:v>5</c:v>
                </c:pt>
              </c:numCache>
            </c:numRef>
          </c:val>
          <c:smooth val="0"/>
          <c:extLst>
            <c:ext xmlns:c16="http://schemas.microsoft.com/office/drawing/2014/chart" uri="{C3380CC4-5D6E-409C-BE32-E72D297353CC}">
              <c16:uniqueId val="{00000005-9ECE-490F-9472-593ADE5C98C8}"/>
            </c:ext>
          </c:extLst>
        </c:ser>
        <c:ser>
          <c:idx val="6"/>
          <c:order val="6"/>
          <c:tx>
            <c:strRef>
              <c:f>Nitrat!$J$61</c:f>
              <c:strCache>
                <c:ptCount val="1"/>
                <c:pt idx="0">
                  <c:v>QCVN 08-MT:2015/BTNMT (Cột B1)</c:v>
                </c:pt>
              </c:strCache>
            </c:strRef>
          </c:tx>
          <c:spPr>
            <a:ln w="22225" cap="rnd">
              <a:solidFill>
                <a:schemeClr val="accent1">
                  <a:lumMod val="60000"/>
                </a:schemeClr>
              </a:solidFill>
              <a:round/>
            </a:ln>
            <a:effectLst/>
          </c:spPr>
          <c:marker>
            <c:symbol val="none"/>
          </c:marker>
          <c:cat>
            <c:strRef>
              <c:f>Nitrat!$B$62:$C$84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Nitrat!$J$62:$J$84</c:f>
              <c:numCache>
                <c:formatCode>General</c:formatCode>
                <c:ptCount val="23"/>
                <c:pt idx="18">
                  <c:v>10</c:v>
                </c:pt>
                <c:pt idx="19">
                  <c:v>10</c:v>
                </c:pt>
                <c:pt idx="20">
                  <c:v>10</c:v>
                </c:pt>
                <c:pt idx="21">
                  <c:v>10</c:v>
                </c:pt>
                <c:pt idx="22">
                  <c:v>10</c:v>
                </c:pt>
              </c:numCache>
            </c:numRef>
          </c:val>
          <c:smooth val="0"/>
          <c:extLst>
            <c:ext xmlns:c16="http://schemas.microsoft.com/office/drawing/2014/chart" uri="{C3380CC4-5D6E-409C-BE32-E72D297353CC}">
              <c16:uniqueId val="{00000006-9ECE-490F-9472-593ADE5C98C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2049417206070443E-3"/>
          <c:y val="0.2152464904418880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4080944165376968E-2"/>
          <c:y val="4.5564840109272052E-2"/>
          <c:w val="0.93760954370499272"/>
          <c:h val="0.54563554555680538"/>
        </c:manualLayout>
      </c:layout>
      <c:barChart>
        <c:barDir val="col"/>
        <c:grouping val="clustered"/>
        <c:varyColors val="0"/>
        <c:ser>
          <c:idx val="0"/>
          <c:order val="0"/>
          <c:tx>
            <c:strRef>
              <c:f>Photphat!$D$61</c:f>
              <c:strCache>
                <c:ptCount val="1"/>
                <c:pt idx="0">
                  <c:v>2021</c:v>
                </c:pt>
              </c:strCache>
            </c:strRef>
          </c:tx>
          <c:spPr>
            <a:solidFill>
              <a:schemeClr val="accent1"/>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Photphat!$D$62:$D$84</c:f>
              <c:numCache>
                <c:formatCode>0.000</c:formatCode>
                <c:ptCount val="23"/>
                <c:pt idx="0">
                  <c:v>6.6666666666666671E-3</c:v>
                </c:pt>
                <c:pt idx="1">
                  <c:v>0.01</c:v>
                </c:pt>
                <c:pt idx="2">
                  <c:v>5.0000000000000001E-3</c:v>
                </c:pt>
                <c:pt idx="3">
                  <c:v>5.0000000000000001E-3</c:v>
                </c:pt>
                <c:pt idx="4">
                  <c:v>1.7166666666666667E-2</c:v>
                </c:pt>
                <c:pt idx="5">
                  <c:v>0.01</c:v>
                </c:pt>
                <c:pt idx="6">
                  <c:v>2.2333333333333334E-2</c:v>
                </c:pt>
                <c:pt idx="7">
                  <c:v>1.6666666666666668E-3</c:v>
                </c:pt>
                <c:pt idx="8">
                  <c:v>1.5000000000000001E-2</c:v>
                </c:pt>
                <c:pt idx="9">
                  <c:v>5.0000000000000001E-3</c:v>
                </c:pt>
                <c:pt idx="10">
                  <c:v>3.3333333333333335E-3</c:v>
                </c:pt>
                <c:pt idx="11">
                  <c:v>0.01</c:v>
                </c:pt>
                <c:pt idx="12">
                  <c:v>1.1666666666666667E-2</c:v>
                </c:pt>
                <c:pt idx="13">
                  <c:v>1.1666666666666667E-2</c:v>
                </c:pt>
                <c:pt idx="14">
                  <c:v>3.3333333333333335E-3</c:v>
                </c:pt>
                <c:pt idx="15">
                  <c:v>0.01</c:v>
                </c:pt>
                <c:pt idx="16">
                  <c:v>3.3333333333333335E-3</c:v>
                </c:pt>
                <c:pt idx="17">
                  <c:v>3.3333333333333335E-3</c:v>
                </c:pt>
                <c:pt idx="18">
                  <c:v>0.01</c:v>
                </c:pt>
                <c:pt idx="19">
                  <c:v>8.1666666666666676E-3</c:v>
                </c:pt>
                <c:pt idx="20">
                  <c:v>2.3333333333333334E-2</c:v>
                </c:pt>
                <c:pt idx="21">
                  <c:v>5.1666666666666666E-2</c:v>
                </c:pt>
                <c:pt idx="22">
                  <c:v>1.55E-2</c:v>
                </c:pt>
              </c:numCache>
            </c:numRef>
          </c:val>
          <c:extLst>
            <c:ext xmlns:c16="http://schemas.microsoft.com/office/drawing/2014/chart" uri="{C3380CC4-5D6E-409C-BE32-E72D297353CC}">
              <c16:uniqueId val="{00000000-A0CB-4D25-9E76-57C1D2EB29AC}"/>
            </c:ext>
          </c:extLst>
        </c:ser>
        <c:ser>
          <c:idx val="1"/>
          <c:order val="1"/>
          <c:tx>
            <c:strRef>
              <c:f>Photphat!$E$61</c:f>
              <c:strCache>
                <c:ptCount val="1"/>
                <c:pt idx="0">
                  <c:v>2022</c:v>
                </c:pt>
              </c:strCache>
            </c:strRef>
          </c:tx>
          <c:spPr>
            <a:solidFill>
              <a:schemeClr val="accent2"/>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Photphat!$E$62:$E$84</c:f>
              <c:numCache>
                <c:formatCode>0.000</c:formatCode>
                <c:ptCount val="23"/>
                <c:pt idx="0">
                  <c:v>2.1000000000000001E-2</c:v>
                </c:pt>
                <c:pt idx="1">
                  <c:v>5.1666666666666666E-3</c:v>
                </c:pt>
                <c:pt idx="2">
                  <c:v>4.6666666666666662E-3</c:v>
                </c:pt>
                <c:pt idx="3">
                  <c:v>6.4999999999999988E-3</c:v>
                </c:pt>
                <c:pt idx="4">
                  <c:v>2.7833333333333335E-2</c:v>
                </c:pt>
                <c:pt idx="5">
                  <c:v>2.5000000000000001E-3</c:v>
                </c:pt>
                <c:pt idx="6">
                  <c:v>9.8333333333333345E-3</c:v>
                </c:pt>
                <c:pt idx="7">
                  <c:v>1.0166666666666666E-2</c:v>
                </c:pt>
                <c:pt idx="8">
                  <c:v>1.4499999999999999E-2</c:v>
                </c:pt>
                <c:pt idx="9">
                  <c:v>1.95E-2</c:v>
                </c:pt>
                <c:pt idx="10">
                  <c:v>5.3333333333333332E-3</c:v>
                </c:pt>
                <c:pt idx="11">
                  <c:v>1.0166666666666666E-2</c:v>
                </c:pt>
                <c:pt idx="12">
                  <c:v>2.9166666666666664E-2</c:v>
                </c:pt>
                <c:pt idx="13">
                  <c:v>6.1666666666666667E-3</c:v>
                </c:pt>
                <c:pt idx="14">
                  <c:v>4.6666666666666671E-3</c:v>
                </c:pt>
                <c:pt idx="15">
                  <c:v>1.0166666666666666E-2</c:v>
                </c:pt>
                <c:pt idx="16">
                  <c:v>8.0000000000000002E-3</c:v>
                </c:pt>
                <c:pt idx="17">
                  <c:v>1.1500000000000002E-2</c:v>
                </c:pt>
                <c:pt idx="18">
                  <c:v>1.0833333333333334E-2</c:v>
                </c:pt>
                <c:pt idx="19">
                  <c:v>7.4999999999999997E-3</c:v>
                </c:pt>
                <c:pt idx="20">
                  <c:v>1.4333333333333332E-2</c:v>
                </c:pt>
                <c:pt idx="21">
                  <c:v>4.5333333333333337E-2</c:v>
                </c:pt>
                <c:pt idx="22">
                  <c:v>1.6E-2</c:v>
                </c:pt>
              </c:numCache>
            </c:numRef>
          </c:val>
          <c:extLst>
            <c:ext xmlns:c16="http://schemas.microsoft.com/office/drawing/2014/chart" uri="{C3380CC4-5D6E-409C-BE32-E72D297353CC}">
              <c16:uniqueId val="{00000001-A0CB-4D25-9E76-57C1D2EB29AC}"/>
            </c:ext>
          </c:extLst>
        </c:ser>
        <c:ser>
          <c:idx val="2"/>
          <c:order val="2"/>
          <c:tx>
            <c:strRef>
              <c:f>Photphat!$F$61</c:f>
              <c:strCache>
                <c:ptCount val="1"/>
                <c:pt idx="0">
                  <c:v>2023</c:v>
                </c:pt>
              </c:strCache>
            </c:strRef>
          </c:tx>
          <c:spPr>
            <a:solidFill>
              <a:schemeClr val="accent3"/>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Photphat!$F$62:$F$84</c:f>
              <c:numCache>
                <c:formatCode>0.000</c:formatCode>
                <c:ptCount val="23"/>
                <c:pt idx="0">
                  <c:v>2.0500000000000001E-2</c:v>
                </c:pt>
                <c:pt idx="1">
                  <c:v>1.0500000000000001E-2</c:v>
                </c:pt>
                <c:pt idx="2">
                  <c:v>7.3333333333333332E-3</c:v>
                </c:pt>
                <c:pt idx="3">
                  <c:v>4.1666666666666666E-3</c:v>
                </c:pt>
                <c:pt idx="4">
                  <c:v>2.8000000000000001E-2</c:v>
                </c:pt>
                <c:pt idx="5">
                  <c:v>7.4999999999999997E-3</c:v>
                </c:pt>
                <c:pt idx="6">
                  <c:v>1.7833333333333336E-2</c:v>
                </c:pt>
                <c:pt idx="7">
                  <c:v>2.3166666666666669E-2</c:v>
                </c:pt>
                <c:pt idx="8">
                  <c:v>6.3333333333333332E-3</c:v>
                </c:pt>
                <c:pt idx="9">
                  <c:v>1.35E-2</c:v>
                </c:pt>
                <c:pt idx="10">
                  <c:v>4.1666666666666666E-3</c:v>
                </c:pt>
                <c:pt idx="11">
                  <c:v>6.9999999999999993E-3</c:v>
                </c:pt>
                <c:pt idx="12">
                  <c:v>1.0500000000000001E-2</c:v>
                </c:pt>
                <c:pt idx="13">
                  <c:v>1.4683333333333335E-2</c:v>
                </c:pt>
                <c:pt idx="14">
                  <c:v>3.2833333333333332E-2</c:v>
                </c:pt>
                <c:pt idx="15">
                  <c:v>0.11366666666666668</c:v>
                </c:pt>
                <c:pt idx="16">
                  <c:v>6.8000000000000005E-2</c:v>
                </c:pt>
                <c:pt idx="17">
                  <c:v>3.5166666666666672E-2</c:v>
                </c:pt>
                <c:pt idx="18">
                  <c:v>1.2666666666666666E-2</c:v>
                </c:pt>
                <c:pt idx="19">
                  <c:v>3.216666666666667E-2</c:v>
                </c:pt>
                <c:pt idx="20">
                  <c:v>5.0999999999999997E-2</c:v>
                </c:pt>
                <c:pt idx="21">
                  <c:v>9.7833333333333342E-2</c:v>
                </c:pt>
                <c:pt idx="22">
                  <c:v>2.1666666666666667E-2</c:v>
                </c:pt>
              </c:numCache>
            </c:numRef>
          </c:val>
          <c:extLst>
            <c:ext xmlns:c16="http://schemas.microsoft.com/office/drawing/2014/chart" uri="{C3380CC4-5D6E-409C-BE32-E72D297353CC}">
              <c16:uniqueId val="{00000002-A0CB-4D25-9E76-57C1D2EB29AC}"/>
            </c:ext>
          </c:extLst>
        </c:ser>
        <c:ser>
          <c:idx val="3"/>
          <c:order val="3"/>
          <c:tx>
            <c:strRef>
              <c:f>Photphat!$G$61</c:f>
              <c:strCache>
                <c:ptCount val="1"/>
                <c:pt idx="0">
                  <c:v>2024</c:v>
                </c:pt>
              </c:strCache>
            </c:strRef>
          </c:tx>
          <c:spPr>
            <a:solidFill>
              <a:schemeClr val="accent4"/>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Photphat!$G$62:$G$84</c:f>
              <c:numCache>
                <c:formatCode>0.000</c:formatCode>
                <c:ptCount val="23"/>
                <c:pt idx="0">
                  <c:v>1.5166666666666667E-2</c:v>
                </c:pt>
                <c:pt idx="1">
                  <c:v>6.3333333333333332E-3</c:v>
                </c:pt>
                <c:pt idx="2">
                  <c:v>7.8333333333333345E-3</c:v>
                </c:pt>
                <c:pt idx="3">
                  <c:v>6.6666666666666671E-3</c:v>
                </c:pt>
                <c:pt idx="4">
                  <c:v>3.2000000000000001E-2</c:v>
                </c:pt>
                <c:pt idx="5">
                  <c:v>7.3333333333333332E-3</c:v>
                </c:pt>
                <c:pt idx="6">
                  <c:v>2.2166666666666668E-2</c:v>
                </c:pt>
                <c:pt idx="7">
                  <c:v>1.6666666666666666E-2</c:v>
                </c:pt>
                <c:pt idx="8">
                  <c:v>9.1666666666666667E-3</c:v>
                </c:pt>
                <c:pt idx="9">
                  <c:v>3.8333333333333331E-3</c:v>
                </c:pt>
                <c:pt idx="10">
                  <c:v>0.1205</c:v>
                </c:pt>
                <c:pt idx="11">
                  <c:v>8.5000000000000006E-3</c:v>
                </c:pt>
                <c:pt idx="12">
                  <c:v>3.4666666666666665E-2</c:v>
                </c:pt>
                <c:pt idx="13">
                  <c:v>6.5166666666666664E-2</c:v>
                </c:pt>
                <c:pt idx="14">
                  <c:v>1.3333333333333334E-2</c:v>
                </c:pt>
                <c:pt idx="15">
                  <c:v>1.0500000000000001E-2</c:v>
                </c:pt>
                <c:pt idx="16">
                  <c:v>8.3333333333333332E-3</c:v>
                </c:pt>
                <c:pt idx="17">
                  <c:v>4.6666666666666671E-3</c:v>
                </c:pt>
                <c:pt idx="18">
                  <c:v>8.0000000000000002E-3</c:v>
                </c:pt>
                <c:pt idx="19">
                  <c:v>2.6500000000000006E-2</c:v>
                </c:pt>
                <c:pt idx="20">
                  <c:v>1.1333333333333334E-2</c:v>
                </c:pt>
                <c:pt idx="21">
                  <c:v>6.3166666666666663E-2</c:v>
                </c:pt>
                <c:pt idx="22">
                  <c:v>0.1</c:v>
                </c:pt>
              </c:numCache>
            </c:numRef>
          </c:val>
          <c:extLst>
            <c:ext xmlns:c16="http://schemas.microsoft.com/office/drawing/2014/chart" uri="{C3380CC4-5D6E-409C-BE32-E72D297353CC}">
              <c16:uniqueId val="{00000003-A0CB-4D25-9E76-57C1D2EB29AC}"/>
            </c:ext>
          </c:extLst>
        </c:ser>
        <c:ser>
          <c:idx val="4"/>
          <c:order val="4"/>
          <c:tx>
            <c:strRef>
              <c:f>Photphat!$H$61</c:f>
              <c:strCache>
                <c:ptCount val="1"/>
                <c:pt idx="0">
                  <c:v>2025</c:v>
                </c:pt>
              </c:strCache>
            </c:strRef>
          </c:tx>
          <c:spPr>
            <a:solidFill>
              <a:schemeClr val="accent5"/>
            </a:solidFill>
            <a:ln>
              <a:noFill/>
            </a:ln>
            <a:effectLst/>
          </c:spPr>
          <c:invertIfNegative val="0"/>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Photphat!$H$62:$H$84</c:f>
              <c:numCache>
                <c:formatCode>0.000</c:formatCode>
                <c:ptCount val="23"/>
                <c:pt idx="0">
                  <c:v>3.0000000000000001E-3</c:v>
                </c:pt>
                <c:pt idx="1">
                  <c:v>4.0000000000000001E-3</c:v>
                </c:pt>
                <c:pt idx="2">
                  <c:v>3.0000000000000001E-3</c:v>
                </c:pt>
                <c:pt idx="3">
                  <c:v>0.01</c:v>
                </c:pt>
                <c:pt idx="4">
                  <c:v>0.02</c:v>
                </c:pt>
                <c:pt idx="5">
                  <c:v>6.5000000000000006E-3</c:v>
                </c:pt>
                <c:pt idx="6">
                  <c:v>1.4499999999999999E-2</c:v>
                </c:pt>
                <c:pt idx="7">
                  <c:v>8.0000000000000002E-3</c:v>
                </c:pt>
                <c:pt idx="8">
                  <c:v>7.0000000000000001E-3</c:v>
                </c:pt>
                <c:pt idx="9">
                  <c:v>0.01</c:v>
                </c:pt>
                <c:pt idx="10">
                  <c:v>5.0000000000000001E-3</c:v>
                </c:pt>
                <c:pt idx="11">
                  <c:v>3.0000000000000001E-3</c:v>
                </c:pt>
                <c:pt idx="12">
                  <c:v>8.9999999999999993E-3</c:v>
                </c:pt>
                <c:pt idx="13">
                  <c:v>3.0000000000000001E-3</c:v>
                </c:pt>
                <c:pt idx="14">
                  <c:v>1.3000000000000001E-2</c:v>
                </c:pt>
                <c:pt idx="15">
                  <c:v>5.0000000000000001E-3</c:v>
                </c:pt>
                <c:pt idx="16">
                  <c:v>0.08</c:v>
                </c:pt>
                <c:pt idx="17">
                  <c:v>3.0000000000000001E-3</c:v>
                </c:pt>
                <c:pt idx="18">
                  <c:v>6.0000000000000001E-3</c:v>
                </c:pt>
                <c:pt idx="19">
                  <c:v>3.0000000000000001E-3</c:v>
                </c:pt>
                <c:pt idx="20">
                  <c:v>5.0000000000000001E-3</c:v>
                </c:pt>
                <c:pt idx="21">
                  <c:v>2.7000000000000003E-2</c:v>
                </c:pt>
                <c:pt idx="22">
                  <c:v>8.9999999999999993E-3</c:v>
                </c:pt>
              </c:numCache>
            </c:numRef>
          </c:val>
          <c:extLst>
            <c:ext xmlns:c16="http://schemas.microsoft.com/office/drawing/2014/chart" uri="{C3380CC4-5D6E-409C-BE32-E72D297353CC}">
              <c16:uniqueId val="{00000004-A0CB-4D25-9E76-57C1D2EB29AC}"/>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Photphat!$I$61</c:f>
              <c:strCache>
                <c:ptCount val="1"/>
                <c:pt idx="0">
                  <c:v>QCVN 08-MT:2015/BTNMT (Cột A2)</c:v>
                </c:pt>
              </c:strCache>
            </c:strRef>
          </c:tx>
          <c:spPr>
            <a:ln w="22225" cap="rnd">
              <a:solidFill>
                <a:schemeClr val="accent6"/>
              </a:solidFill>
              <a:round/>
            </a:ln>
            <a:effectLst/>
          </c:spPr>
          <c:marker>
            <c:symbol val="none"/>
          </c:marker>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Photphat!$I$62:$I$84</c:f>
              <c:numCache>
                <c:formatCode>0.0</c:formatCode>
                <c:ptCount val="23"/>
                <c:pt idx="0">
                  <c:v>0.2</c:v>
                </c:pt>
                <c:pt idx="1">
                  <c:v>0.2</c:v>
                </c:pt>
                <c:pt idx="2">
                  <c:v>0.2</c:v>
                </c:pt>
                <c:pt idx="3">
                  <c:v>0.2</c:v>
                </c:pt>
                <c:pt idx="4">
                  <c:v>0.2</c:v>
                </c:pt>
                <c:pt idx="5">
                  <c:v>0.2</c:v>
                </c:pt>
                <c:pt idx="6">
                  <c:v>0.2</c:v>
                </c:pt>
                <c:pt idx="7">
                  <c:v>0.2</c:v>
                </c:pt>
                <c:pt idx="8">
                  <c:v>0.2</c:v>
                </c:pt>
                <c:pt idx="9">
                  <c:v>0.2</c:v>
                </c:pt>
                <c:pt idx="10">
                  <c:v>0.2</c:v>
                </c:pt>
                <c:pt idx="11">
                  <c:v>0.2</c:v>
                </c:pt>
                <c:pt idx="12">
                  <c:v>0.2</c:v>
                </c:pt>
                <c:pt idx="13">
                  <c:v>0.2</c:v>
                </c:pt>
                <c:pt idx="14">
                  <c:v>0.2</c:v>
                </c:pt>
                <c:pt idx="15">
                  <c:v>0.2</c:v>
                </c:pt>
                <c:pt idx="16">
                  <c:v>0.2</c:v>
                </c:pt>
                <c:pt idx="17">
                  <c:v>0.2</c:v>
                </c:pt>
              </c:numCache>
            </c:numRef>
          </c:val>
          <c:smooth val="0"/>
          <c:extLst>
            <c:ext xmlns:c16="http://schemas.microsoft.com/office/drawing/2014/chart" uri="{C3380CC4-5D6E-409C-BE32-E72D297353CC}">
              <c16:uniqueId val="{00000005-A0CB-4D25-9E76-57C1D2EB29AC}"/>
            </c:ext>
          </c:extLst>
        </c:ser>
        <c:ser>
          <c:idx val="6"/>
          <c:order val="6"/>
          <c:tx>
            <c:strRef>
              <c:f>Photphat!$J$61</c:f>
              <c:strCache>
                <c:ptCount val="1"/>
                <c:pt idx="0">
                  <c:v>QCVN 08-MT:2015/BTNMT (Cột B1)</c:v>
                </c:pt>
              </c:strCache>
            </c:strRef>
          </c:tx>
          <c:spPr>
            <a:ln w="22225" cap="rnd">
              <a:solidFill>
                <a:schemeClr val="accent1">
                  <a:lumMod val="60000"/>
                </a:schemeClr>
              </a:solidFill>
              <a:round/>
            </a:ln>
            <a:effectLst/>
          </c:spPr>
          <c:marker>
            <c:symbol val="none"/>
          </c:marker>
          <c:cat>
            <c:strRef>
              <c:f>Photphat!$B$62:$C$84</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Photphat!$J$62:$J$84</c:f>
              <c:numCache>
                <c:formatCode>General</c:formatCode>
                <c:ptCount val="23"/>
                <c:pt idx="18">
                  <c:v>0.3</c:v>
                </c:pt>
                <c:pt idx="19">
                  <c:v>0.3</c:v>
                </c:pt>
                <c:pt idx="20">
                  <c:v>0.3</c:v>
                </c:pt>
                <c:pt idx="21">
                  <c:v>0.3</c:v>
                </c:pt>
                <c:pt idx="22">
                  <c:v>0.3</c:v>
                </c:pt>
              </c:numCache>
            </c:numRef>
          </c:val>
          <c:smooth val="0"/>
          <c:extLst>
            <c:ext xmlns:c16="http://schemas.microsoft.com/office/drawing/2014/chart" uri="{C3380CC4-5D6E-409C-BE32-E72D297353CC}">
              <c16:uniqueId val="{00000006-A0CB-4D25-9E76-57C1D2EB29AC}"/>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4"/>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2.5780022725773863E-3"/>
          <c:y val="9.7257448082147632E-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824989691971205E-2"/>
          <c:y val="3.2794584887415379E-2"/>
          <c:w val="0.9238654945635294"/>
          <c:h val="0.53712713542386148"/>
        </c:manualLayout>
      </c:layout>
      <c:barChart>
        <c:barDir val="col"/>
        <c:grouping val="clustered"/>
        <c:varyColors val="0"/>
        <c:ser>
          <c:idx val="0"/>
          <c:order val="0"/>
          <c:tx>
            <c:strRef>
              <c:f>Coliform!$D$61</c:f>
              <c:strCache>
                <c:ptCount val="1"/>
                <c:pt idx="0">
                  <c:v>2021</c:v>
                </c:pt>
              </c:strCache>
            </c:strRef>
          </c:tx>
          <c:spPr>
            <a:solidFill>
              <a:schemeClr val="accent1"/>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Coliform!$D$63:$D$85</c:f>
              <c:numCache>
                <c:formatCode>0.00</c:formatCode>
                <c:ptCount val="23"/>
                <c:pt idx="0">
                  <c:v>176</c:v>
                </c:pt>
                <c:pt idx="1">
                  <c:v>296.16666666666669</c:v>
                </c:pt>
                <c:pt idx="2">
                  <c:v>186.83333333333334</c:v>
                </c:pt>
                <c:pt idx="3">
                  <c:v>212</c:v>
                </c:pt>
                <c:pt idx="4">
                  <c:v>710</c:v>
                </c:pt>
                <c:pt idx="5">
                  <c:v>413.33333333333331</c:v>
                </c:pt>
                <c:pt idx="6">
                  <c:v>688.33333333333337</c:v>
                </c:pt>
                <c:pt idx="7">
                  <c:v>1106.6666666666667</c:v>
                </c:pt>
                <c:pt idx="8">
                  <c:v>2931.6666666666665</c:v>
                </c:pt>
                <c:pt idx="9">
                  <c:v>1208.3333333333333</c:v>
                </c:pt>
                <c:pt idx="10">
                  <c:v>283.33333333333331</c:v>
                </c:pt>
                <c:pt idx="11">
                  <c:v>167.5</c:v>
                </c:pt>
                <c:pt idx="12">
                  <c:v>635</c:v>
                </c:pt>
                <c:pt idx="13">
                  <c:v>740</c:v>
                </c:pt>
                <c:pt idx="14">
                  <c:v>498.33333333333331</c:v>
                </c:pt>
                <c:pt idx="15">
                  <c:v>770</c:v>
                </c:pt>
                <c:pt idx="16">
                  <c:v>171.83333333333334</c:v>
                </c:pt>
                <c:pt idx="17">
                  <c:v>461.66666666666669</c:v>
                </c:pt>
                <c:pt idx="18">
                  <c:v>398.33333333333331</c:v>
                </c:pt>
                <c:pt idx="19">
                  <c:v>451.66666666666669</c:v>
                </c:pt>
                <c:pt idx="20">
                  <c:v>1143.3333333333333</c:v>
                </c:pt>
                <c:pt idx="21">
                  <c:v>2683.3333333333335</c:v>
                </c:pt>
                <c:pt idx="22">
                  <c:v>2108.3333333333335</c:v>
                </c:pt>
              </c:numCache>
            </c:numRef>
          </c:val>
          <c:extLst>
            <c:ext xmlns:c16="http://schemas.microsoft.com/office/drawing/2014/chart" uri="{C3380CC4-5D6E-409C-BE32-E72D297353CC}">
              <c16:uniqueId val="{00000000-5B1F-495E-972F-F77E5AF5F6EA}"/>
            </c:ext>
          </c:extLst>
        </c:ser>
        <c:ser>
          <c:idx val="1"/>
          <c:order val="1"/>
          <c:tx>
            <c:strRef>
              <c:f>Coliform!$E$61</c:f>
              <c:strCache>
                <c:ptCount val="1"/>
                <c:pt idx="0">
                  <c:v>2022</c:v>
                </c:pt>
              </c:strCache>
            </c:strRef>
          </c:tx>
          <c:spPr>
            <a:solidFill>
              <a:schemeClr val="accent2"/>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Coliform!$E$63:$E$85</c:f>
              <c:numCache>
                <c:formatCode>0.00</c:formatCode>
                <c:ptCount val="23"/>
                <c:pt idx="0">
                  <c:v>1448.3333333333333</c:v>
                </c:pt>
                <c:pt idx="1">
                  <c:v>279.5</c:v>
                </c:pt>
                <c:pt idx="2">
                  <c:v>301.66666666666669</c:v>
                </c:pt>
                <c:pt idx="3">
                  <c:v>533.5</c:v>
                </c:pt>
                <c:pt idx="4">
                  <c:v>1721.6666666666667</c:v>
                </c:pt>
                <c:pt idx="5">
                  <c:v>1018.3333333333334</c:v>
                </c:pt>
                <c:pt idx="6">
                  <c:v>244.33333333333334</c:v>
                </c:pt>
                <c:pt idx="7">
                  <c:v>2421.6666666666665</c:v>
                </c:pt>
                <c:pt idx="8">
                  <c:v>1280</c:v>
                </c:pt>
                <c:pt idx="9">
                  <c:v>356.66666666666669</c:v>
                </c:pt>
                <c:pt idx="10">
                  <c:v>930</c:v>
                </c:pt>
                <c:pt idx="11">
                  <c:v>559.33333333333337</c:v>
                </c:pt>
                <c:pt idx="12">
                  <c:v>904.5</c:v>
                </c:pt>
                <c:pt idx="13">
                  <c:v>464</c:v>
                </c:pt>
                <c:pt idx="14">
                  <c:v>780</c:v>
                </c:pt>
                <c:pt idx="15">
                  <c:v>1530</c:v>
                </c:pt>
                <c:pt idx="16">
                  <c:v>899.66666666666663</c:v>
                </c:pt>
                <c:pt idx="17">
                  <c:v>501.66666666666669</c:v>
                </c:pt>
                <c:pt idx="18">
                  <c:v>401.66666666666669</c:v>
                </c:pt>
                <c:pt idx="19">
                  <c:v>370</c:v>
                </c:pt>
                <c:pt idx="20">
                  <c:v>1128.3333333333333</c:v>
                </c:pt>
                <c:pt idx="21">
                  <c:v>2083.3333333333335</c:v>
                </c:pt>
                <c:pt idx="22">
                  <c:v>3488.3333333333335</c:v>
                </c:pt>
              </c:numCache>
            </c:numRef>
          </c:val>
          <c:extLst>
            <c:ext xmlns:c16="http://schemas.microsoft.com/office/drawing/2014/chart" uri="{C3380CC4-5D6E-409C-BE32-E72D297353CC}">
              <c16:uniqueId val="{00000001-5B1F-495E-972F-F77E5AF5F6EA}"/>
            </c:ext>
          </c:extLst>
        </c:ser>
        <c:ser>
          <c:idx val="2"/>
          <c:order val="2"/>
          <c:tx>
            <c:strRef>
              <c:f>Coliform!$F$61</c:f>
              <c:strCache>
                <c:ptCount val="1"/>
                <c:pt idx="0">
                  <c:v>2023</c:v>
                </c:pt>
              </c:strCache>
            </c:strRef>
          </c:tx>
          <c:spPr>
            <a:solidFill>
              <a:schemeClr val="accent3"/>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Coliform!$F$63:$F$85</c:f>
              <c:numCache>
                <c:formatCode>0.00</c:formatCode>
                <c:ptCount val="23"/>
                <c:pt idx="0">
                  <c:v>896.66666666666663</c:v>
                </c:pt>
                <c:pt idx="1">
                  <c:v>746.66666666666663</c:v>
                </c:pt>
                <c:pt idx="2">
                  <c:v>1666.3333333333333</c:v>
                </c:pt>
                <c:pt idx="3">
                  <c:v>820</c:v>
                </c:pt>
                <c:pt idx="4">
                  <c:v>1813.3333333333333</c:v>
                </c:pt>
                <c:pt idx="5">
                  <c:v>791.66666666666663</c:v>
                </c:pt>
                <c:pt idx="6">
                  <c:v>1210</c:v>
                </c:pt>
                <c:pt idx="7">
                  <c:v>1941.6666666666667</c:v>
                </c:pt>
                <c:pt idx="8">
                  <c:v>1011.6666666666666</c:v>
                </c:pt>
                <c:pt idx="9">
                  <c:v>328.33333333333331</c:v>
                </c:pt>
                <c:pt idx="10">
                  <c:v>2988.1666666666665</c:v>
                </c:pt>
                <c:pt idx="11">
                  <c:v>808</c:v>
                </c:pt>
                <c:pt idx="12">
                  <c:v>2336.6666666666665</c:v>
                </c:pt>
                <c:pt idx="13">
                  <c:v>2599.6666666666665</c:v>
                </c:pt>
                <c:pt idx="14">
                  <c:v>995</c:v>
                </c:pt>
                <c:pt idx="15">
                  <c:v>953.33333333333337</c:v>
                </c:pt>
                <c:pt idx="16">
                  <c:v>1246.6666666666667</c:v>
                </c:pt>
                <c:pt idx="17">
                  <c:v>1563.3333333333333</c:v>
                </c:pt>
                <c:pt idx="18">
                  <c:v>845</c:v>
                </c:pt>
                <c:pt idx="19">
                  <c:v>1443.3333333333333</c:v>
                </c:pt>
                <c:pt idx="20">
                  <c:v>568.33333333333337</c:v>
                </c:pt>
                <c:pt idx="21">
                  <c:v>4941.666666666667</c:v>
                </c:pt>
                <c:pt idx="22">
                  <c:v>7530</c:v>
                </c:pt>
              </c:numCache>
            </c:numRef>
          </c:val>
          <c:extLst>
            <c:ext xmlns:c16="http://schemas.microsoft.com/office/drawing/2014/chart" uri="{C3380CC4-5D6E-409C-BE32-E72D297353CC}">
              <c16:uniqueId val="{00000002-5B1F-495E-972F-F77E5AF5F6EA}"/>
            </c:ext>
          </c:extLst>
        </c:ser>
        <c:ser>
          <c:idx val="3"/>
          <c:order val="3"/>
          <c:tx>
            <c:strRef>
              <c:f>Coliform!$G$61</c:f>
              <c:strCache>
                <c:ptCount val="1"/>
                <c:pt idx="0">
                  <c:v>2024</c:v>
                </c:pt>
              </c:strCache>
            </c:strRef>
          </c:tx>
          <c:spPr>
            <a:solidFill>
              <a:schemeClr val="accent4"/>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Coliform!$G$63:$G$85</c:f>
              <c:numCache>
                <c:formatCode>0.00</c:formatCode>
                <c:ptCount val="23"/>
                <c:pt idx="0">
                  <c:v>381.66666666666669</c:v>
                </c:pt>
                <c:pt idx="1">
                  <c:v>381.66666666666669</c:v>
                </c:pt>
                <c:pt idx="2">
                  <c:v>1153.1666666666667</c:v>
                </c:pt>
                <c:pt idx="3">
                  <c:v>143.33333333333334</c:v>
                </c:pt>
                <c:pt idx="4">
                  <c:v>553.33333333333337</c:v>
                </c:pt>
                <c:pt idx="5">
                  <c:v>943.33333333333337</c:v>
                </c:pt>
                <c:pt idx="6">
                  <c:v>838.16666666666663</c:v>
                </c:pt>
                <c:pt idx="7">
                  <c:v>216.66666666666666</c:v>
                </c:pt>
                <c:pt idx="8">
                  <c:v>583.33333333333337</c:v>
                </c:pt>
                <c:pt idx="9">
                  <c:v>518.33333333333337</c:v>
                </c:pt>
                <c:pt idx="10">
                  <c:v>80</c:v>
                </c:pt>
                <c:pt idx="11">
                  <c:v>118</c:v>
                </c:pt>
                <c:pt idx="12">
                  <c:v>1118.3333333333333</c:v>
                </c:pt>
                <c:pt idx="13">
                  <c:v>1458.3333333333333</c:v>
                </c:pt>
                <c:pt idx="14">
                  <c:v>1006.6666666666666</c:v>
                </c:pt>
                <c:pt idx="15">
                  <c:v>284.83333333333331</c:v>
                </c:pt>
                <c:pt idx="16">
                  <c:v>740</c:v>
                </c:pt>
                <c:pt idx="17">
                  <c:v>246.5</c:v>
                </c:pt>
                <c:pt idx="18">
                  <c:v>211.66666666666666</c:v>
                </c:pt>
                <c:pt idx="19">
                  <c:v>305</c:v>
                </c:pt>
                <c:pt idx="20">
                  <c:v>611.66666666666663</c:v>
                </c:pt>
                <c:pt idx="21">
                  <c:v>1553.3333333333333</c:v>
                </c:pt>
                <c:pt idx="22">
                  <c:v>2045</c:v>
                </c:pt>
              </c:numCache>
            </c:numRef>
          </c:val>
          <c:extLst>
            <c:ext xmlns:c16="http://schemas.microsoft.com/office/drawing/2014/chart" uri="{C3380CC4-5D6E-409C-BE32-E72D297353CC}">
              <c16:uniqueId val="{00000003-5B1F-495E-972F-F77E5AF5F6EA}"/>
            </c:ext>
          </c:extLst>
        </c:ser>
        <c:ser>
          <c:idx val="4"/>
          <c:order val="4"/>
          <c:tx>
            <c:strRef>
              <c:f>Coliform!$H$61</c:f>
              <c:strCache>
                <c:ptCount val="1"/>
                <c:pt idx="0">
                  <c:v>2025</c:v>
                </c:pt>
              </c:strCache>
            </c:strRef>
          </c:tx>
          <c:spPr>
            <a:solidFill>
              <a:schemeClr val="accent5"/>
            </a:solidFill>
            <a:ln>
              <a:noFill/>
            </a:ln>
            <a:effectLst/>
          </c:spPr>
          <c:invertIfNegative val="0"/>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Coliform!$H$63:$H$85</c:f>
              <c:numCache>
                <c:formatCode>0.00</c:formatCode>
                <c:ptCount val="23"/>
                <c:pt idx="0">
                  <c:v>270</c:v>
                </c:pt>
                <c:pt idx="1">
                  <c:v>640</c:v>
                </c:pt>
                <c:pt idx="2">
                  <c:v>445</c:v>
                </c:pt>
                <c:pt idx="3">
                  <c:v>280</c:v>
                </c:pt>
                <c:pt idx="4">
                  <c:v>1.8</c:v>
                </c:pt>
                <c:pt idx="5">
                  <c:v>100</c:v>
                </c:pt>
                <c:pt idx="6">
                  <c:v>335</c:v>
                </c:pt>
                <c:pt idx="7">
                  <c:v>295</c:v>
                </c:pt>
                <c:pt idx="8">
                  <c:v>179.5</c:v>
                </c:pt>
                <c:pt idx="9">
                  <c:v>415</c:v>
                </c:pt>
                <c:pt idx="10">
                  <c:v>155</c:v>
                </c:pt>
                <c:pt idx="11">
                  <c:v>290</c:v>
                </c:pt>
                <c:pt idx="12">
                  <c:v>355</c:v>
                </c:pt>
                <c:pt idx="13">
                  <c:v>335</c:v>
                </c:pt>
                <c:pt idx="14">
                  <c:v>480</c:v>
                </c:pt>
                <c:pt idx="15">
                  <c:v>735</c:v>
                </c:pt>
                <c:pt idx="16">
                  <c:v>390</c:v>
                </c:pt>
                <c:pt idx="17">
                  <c:v>180</c:v>
                </c:pt>
                <c:pt idx="18">
                  <c:v>790</c:v>
                </c:pt>
                <c:pt idx="19">
                  <c:v>210</c:v>
                </c:pt>
                <c:pt idx="20">
                  <c:v>665</c:v>
                </c:pt>
                <c:pt idx="21">
                  <c:v>1050</c:v>
                </c:pt>
                <c:pt idx="22">
                  <c:v>1000</c:v>
                </c:pt>
              </c:numCache>
            </c:numRef>
          </c:val>
          <c:extLst>
            <c:ext xmlns:c16="http://schemas.microsoft.com/office/drawing/2014/chart" uri="{C3380CC4-5D6E-409C-BE32-E72D297353CC}">
              <c16:uniqueId val="{00000004-5B1F-495E-972F-F77E5AF5F6EA}"/>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Coliform!$I$61</c:f>
              <c:strCache>
                <c:ptCount val="1"/>
                <c:pt idx="0">
                  <c:v>QCVN 08-MT:2015/BTNMT (Cột A2)</c:v>
                </c:pt>
              </c:strCache>
            </c:strRef>
          </c:tx>
          <c:spPr>
            <a:ln w="22225" cap="rnd">
              <a:solidFill>
                <a:schemeClr val="accent6"/>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Coliform!$I$63:$I$85</c:f>
              <c:numCache>
                <c:formatCode>0.0</c:formatCode>
                <c:ptCount val="23"/>
                <c:pt idx="0">
                  <c:v>5000</c:v>
                </c:pt>
                <c:pt idx="1">
                  <c:v>5000</c:v>
                </c:pt>
                <c:pt idx="2">
                  <c:v>5000</c:v>
                </c:pt>
                <c:pt idx="3">
                  <c:v>5000</c:v>
                </c:pt>
                <c:pt idx="4">
                  <c:v>5000</c:v>
                </c:pt>
                <c:pt idx="5">
                  <c:v>5000</c:v>
                </c:pt>
                <c:pt idx="6">
                  <c:v>5000</c:v>
                </c:pt>
                <c:pt idx="7">
                  <c:v>5000</c:v>
                </c:pt>
                <c:pt idx="8">
                  <c:v>5000</c:v>
                </c:pt>
                <c:pt idx="9">
                  <c:v>5000</c:v>
                </c:pt>
                <c:pt idx="10">
                  <c:v>5000</c:v>
                </c:pt>
                <c:pt idx="11">
                  <c:v>5000</c:v>
                </c:pt>
                <c:pt idx="12">
                  <c:v>5000</c:v>
                </c:pt>
                <c:pt idx="13">
                  <c:v>5000</c:v>
                </c:pt>
                <c:pt idx="14">
                  <c:v>5000</c:v>
                </c:pt>
                <c:pt idx="15">
                  <c:v>5000</c:v>
                </c:pt>
                <c:pt idx="16">
                  <c:v>5000</c:v>
                </c:pt>
                <c:pt idx="17">
                  <c:v>5000</c:v>
                </c:pt>
              </c:numCache>
            </c:numRef>
          </c:val>
          <c:smooth val="0"/>
          <c:extLst>
            <c:ext xmlns:c16="http://schemas.microsoft.com/office/drawing/2014/chart" uri="{C3380CC4-5D6E-409C-BE32-E72D297353CC}">
              <c16:uniqueId val="{00000005-5B1F-495E-972F-F77E5AF5F6EA}"/>
            </c:ext>
          </c:extLst>
        </c:ser>
        <c:ser>
          <c:idx val="6"/>
          <c:order val="6"/>
          <c:tx>
            <c:strRef>
              <c:f>Coliform!$J$61</c:f>
              <c:strCache>
                <c:ptCount val="1"/>
                <c:pt idx="0">
                  <c:v>QCVN 08-MT:2015/BTNMT (Cột B1)</c:v>
                </c:pt>
              </c:strCache>
            </c:strRef>
          </c:tx>
          <c:spPr>
            <a:ln w="22225" cap="rnd">
              <a:solidFill>
                <a:schemeClr val="accent1">
                  <a:lumMod val="60000"/>
                </a:schemeClr>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Coliform!$J$63:$J$85</c:f>
              <c:numCache>
                <c:formatCode>General</c:formatCode>
                <c:ptCount val="23"/>
                <c:pt idx="18">
                  <c:v>7500</c:v>
                </c:pt>
                <c:pt idx="19">
                  <c:v>7500</c:v>
                </c:pt>
                <c:pt idx="20">
                  <c:v>7500</c:v>
                </c:pt>
                <c:pt idx="21">
                  <c:v>7500</c:v>
                </c:pt>
                <c:pt idx="22">
                  <c:v>7500</c:v>
                </c:pt>
              </c:numCache>
            </c:numRef>
          </c:val>
          <c:smooth val="0"/>
          <c:extLst>
            <c:ext xmlns:c16="http://schemas.microsoft.com/office/drawing/2014/chart" uri="{C3380CC4-5D6E-409C-BE32-E72D297353CC}">
              <c16:uniqueId val="{00000006-5B1F-495E-972F-F77E5AF5F6EA}"/>
            </c:ext>
          </c:extLst>
        </c:ser>
        <c:ser>
          <c:idx val="7"/>
          <c:order val="7"/>
          <c:tx>
            <c:strRef>
              <c:f>Coliform!$K$61</c:f>
              <c:strCache>
                <c:ptCount val="1"/>
                <c:pt idx="0">
                  <c:v>QCVN 08:2023/BTNMT (Mức A)</c:v>
                </c:pt>
              </c:strCache>
            </c:strRef>
          </c:tx>
          <c:spPr>
            <a:ln w="22225" cap="rnd">
              <a:solidFill>
                <a:schemeClr val="accent2">
                  <a:lumMod val="60000"/>
                </a:schemeClr>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Coliform!$K$63:$K$85</c:f>
              <c:numCache>
                <c:formatCode>General</c:formatCode>
                <c:ptCount val="23"/>
                <c:pt idx="0">
                  <c:v>1000</c:v>
                </c:pt>
                <c:pt idx="1">
                  <c:v>1000</c:v>
                </c:pt>
                <c:pt idx="2">
                  <c:v>1000</c:v>
                </c:pt>
                <c:pt idx="3">
                  <c:v>1000</c:v>
                </c:pt>
                <c:pt idx="4">
                  <c:v>1000</c:v>
                </c:pt>
                <c:pt idx="5">
                  <c:v>1000</c:v>
                </c:pt>
                <c:pt idx="6">
                  <c:v>1000</c:v>
                </c:pt>
                <c:pt idx="7">
                  <c:v>1000</c:v>
                </c:pt>
                <c:pt idx="8">
                  <c:v>1000</c:v>
                </c:pt>
                <c:pt idx="9">
                  <c:v>1000</c:v>
                </c:pt>
                <c:pt idx="10">
                  <c:v>1000</c:v>
                </c:pt>
                <c:pt idx="11">
                  <c:v>1000</c:v>
                </c:pt>
                <c:pt idx="12">
                  <c:v>1000</c:v>
                </c:pt>
                <c:pt idx="13">
                  <c:v>1000</c:v>
                </c:pt>
                <c:pt idx="14">
                  <c:v>1000</c:v>
                </c:pt>
                <c:pt idx="15">
                  <c:v>1000</c:v>
                </c:pt>
                <c:pt idx="16">
                  <c:v>1000</c:v>
                </c:pt>
                <c:pt idx="17">
                  <c:v>1000</c:v>
                </c:pt>
              </c:numCache>
            </c:numRef>
          </c:val>
          <c:smooth val="0"/>
          <c:extLst>
            <c:ext xmlns:c16="http://schemas.microsoft.com/office/drawing/2014/chart" uri="{C3380CC4-5D6E-409C-BE32-E72D297353CC}">
              <c16:uniqueId val="{00000007-5B1F-495E-972F-F77E5AF5F6EA}"/>
            </c:ext>
          </c:extLst>
        </c:ser>
        <c:ser>
          <c:idx val="8"/>
          <c:order val="8"/>
          <c:tx>
            <c:strRef>
              <c:f>Coliform!$L$61</c:f>
              <c:strCache>
                <c:ptCount val="1"/>
                <c:pt idx="0">
                  <c:v>QCVN 08:2023/BTNMT (Mức B)</c:v>
                </c:pt>
              </c:strCache>
            </c:strRef>
          </c:tx>
          <c:spPr>
            <a:ln w="22225" cap="rnd">
              <a:solidFill>
                <a:schemeClr val="accent3">
                  <a:lumMod val="60000"/>
                </a:schemeClr>
              </a:solidFill>
              <a:round/>
            </a:ln>
            <a:effectLst/>
          </c:spPr>
          <c:marker>
            <c:symbol val="none"/>
          </c:marker>
          <c:cat>
            <c:strRef>
              <c:f>Coliform!$B$63:$C$85</c:f>
              <c:strCache>
                <c:ptCount val="23"/>
                <c:pt idx="0">
                  <c:v>Hồ Vực Trống</c:v>
                </c:pt>
                <c:pt idx="1">
                  <c:v>Hồ Khe Trúc</c:v>
                </c:pt>
                <c:pt idx="2">
                  <c:v>Hồ Thiên Tượng</c:v>
                </c:pt>
                <c:pt idx="3">
                  <c:v>Hồ Đá Bạc</c:v>
                </c:pt>
                <c:pt idx="4">
                  <c:v>Hồ Bình Hà</c:v>
                </c:pt>
                <c:pt idx="5">
                  <c:v>Hồ Xuân Hoa</c:v>
                </c:pt>
                <c:pt idx="6">
                  <c:v>Đập Khe Hao</c:v>
                </c:pt>
                <c:pt idx="7">
                  <c:v>Hồ Đá Hàn</c:v>
                </c:pt>
                <c:pt idx="8">
                  <c:v>Đập dâng Vũ Quang</c:v>
                </c:pt>
                <c:pt idx="9">
                  <c:v>Hồ thủy lợi Ngàn Trươi</c:v>
                </c:pt>
                <c:pt idx="10">
                  <c:v>Hồ Kẻ Gỗ</c:v>
                </c:pt>
                <c:pt idx="11">
                  <c:v>Hồ Bộc Nguyên</c:v>
                </c:pt>
                <c:pt idx="12">
                  <c:v>Đập Đá Hàn </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Coliform!$L$63:$L$85</c:f>
              <c:numCache>
                <c:formatCode>General</c:formatCode>
                <c:ptCount val="23"/>
                <c:pt idx="18" formatCode="0.0">
                  <c:v>5000</c:v>
                </c:pt>
                <c:pt idx="19" formatCode="0.0">
                  <c:v>5000</c:v>
                </c:pt>
                <c:pt idx="20" formatCode="0.0">
                  <c:v>5000</c:v>
                </c:pt>
                <c:pt idx="21" formatCode="0.0">
                  <c:v>5000</c:v>
                </c:pt>
                <c:pt idx="22" formatCode="0.0">
                  <c:v>5000</c:v>
                </c:pt>
              </c:numCache>
            </c:numRef>
          </c:val>
          <c:smooth val="0"/>
          <c:extLst>
            <c:ext xmlns:c16="http://schemas.microsoft.com/office/drawing/2014/chart" uri="{C3380CC4-5D6E-409C-BE32-E72D297353CC}">
              <c16:uniqueId val="{00000008-5B1F-495E-972F-F77E5AF5F6EA}"/>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8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0"/>
      </c:valAx>
      <c:spPr>
        <a:noFill/>
        <a:ln>
          <a:noFill/>
        </a:ln>
        <a:effectLst/>
      </c:spPr>
    </c:plotArea>
    <c:legend>
      <c:legendPos val="b"/>
      <c:layout>
        <c:manualLayout>
          <c:xMode val="edge"/>
          <c:yMode val="edge"/>
          <c:x val="5.1870659858304476E-2"/>
          <c:y val="0.77119675829994938"/>
          <c:w val="0.89351245106444632"/>
          <c:h val="0.19371552240180503"/>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9280775746777359E-2"/>
          <c:y val="4.5026606631191159E-2"/>
          <c:w val="0.94561555818154885"/>
          <c:h val="0.56757745161008943"/>
        </c:manualLayout>
      </c:layout>
      <c:lineChart>
        <c:grouping val="standard"/>
        <c:varyColors val="0"/>
        <c:ser>
          <c:idx val="0"/>
          <c:order val="0"/>
          <c:tx>
            <c:strRef>
              <c:f>WQI!$D$115</c:f>
              <c:strCache>
                <c:ptCount val="1"/>
                <c:pt idx="0">
                  <c:v>Năm 2021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WQI!$D$116:$D$138</c:f>
              <c:numCache>
                <c:formatCode>0</c:formatCode>
                <c:ptCount val="23"/>
                <c:pt idx="0">
                  <c:v>28.5</c:v>
                </c:pt>
                <c:pt idx="1">
                  <c:v>96.666666666666671</c:v>
                </c:pt>
                <c:pt idx="2">
                  <c:v>87.833333333333329</c:v>
                </c:pt>
                <c:pt idx="3">
                  <c:v>91</c:v>
                </c:pt>
                <c:pt idx="4">
                  <c:v>66</c:v>
                </c:pt>
                <c:pt idx="5">
                  <c:v>93.833333333333329</c:v>
                </c:pt>
                <c:pt idx="6">
                  <c:v>89.333333333333329</c:v>
                </c:pt>
                <c:pt idx="7">
                  <c:v>93.833333333333329</c:v>
                </c:pt>
                <c:pt idx="8">
                  <c:v>73.166666666666671</c:v>
                </c:pt>
                <c:pt idx="9">
                  <c:v>87.333333333333329</c:v>
                </c:pt>
                <c:pt idx="10">
                  <c:v>94.833333333333329</c:v>
                </c:pt>
                <c:pt idx="11">
                  <c:v>97.833333333333329</c:v>
                </c:pt>
                <c:pt idx="12">
                  <c:v>77.833333333333329</c:v>
                </c:pt>
                <c:pt idx="13">
                  <c:v>97.666666666666671</c:v>
                </c:pt>
                <c:pt idx="14">
                  <c:v>98</c:v>
                </c:pt>
                <c:pt idx="15">
                  <c:v>94.833333333333329</c:v>
                </c:pt>
                <c:pt idx="16">
                  <c:v>93</c:v>
                </c:pt>
                <c:pt idx="17">
                  <c:v>83.333333333333329</c:v>
                </c:pt>
                <c:pt idx="18">
                  <c:v>92.166666666666671</c:v>
                </c:pt>
                <c:pt idx="19">
                  <c:v>82.833333333333329</c:v>
                </c:pt>
                <c:pt idx="20">
                  <c:v>96.666666666666671</c:v>
                </c:pt>
                <c:pt idx="21">
                  <c:v>62</c:v>
                </c:pt>
                <c:pt idx="22">
                  <c:v>79.666666666666671</c:v>
                </c:pt>
              </c:numCache>
            </c:numRef>
          </c:val>
          <c:smooth val="0"/>
          <c:extLst>
            <c:ext xmlns:c16="http://schemas.microsoft.com/office/drawing/2014/chart" uri="{C3380CC4-5D6E-409C-BE32-E72D297353CC}">
              <c16:uniqueId val="{00000000-B2F3-4B2C-95BC-10576A746161}"/>
            </c:ext>
          </c:extLst>
        </c:ser>
        <c:ser>
          <c:idx val="1"/>
          <c:order val="1"/>
          <c:tx>
            <c:strRef>
              <c:f>WQI!$E$115</c:f>
              <c:strCache>
                <c:ptCount val="1"/>
                <c:pt idx="0">
                  <c:v>Năm 2022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WQI!$E$116:$E$138</c:f>
              <c:numCache>
                <c:formatCode>0</c:formatCode>
                <c:ptCount val="23"/>
                <c:pt idx="0">
                  <c:v>36.77440504012629</c:v>
                </c:pt>
                <c:pt idx="1">
                  <c:v>96.981404469652958</c:v>
                </c:pt>
                <c:pt idx="2">
                  <c:v>97.89371825216557</c:v>
                </c:pt>
                <c:pt idx="3">
                  <c:v>86.5709427032577</c:v>
                </c:pt>
                <c:pt idx="4">
                  <c:v>53.899386511585561</c:v>
                </c:pt>
                <c:pt idx="5">
                  <c:v>94.106800876221442</c:v>
                </c:pt>
                <c:pt idx="6">
                  <c:v>97.007316364498152</c:v>
                </c:pt>
                <c:pt idx="7">
                  <c:v>73.347209206017794</c:v>
                </c:pt>
                <c:pt idx="8">
                  <c:v>95.917117870318478</c:v>
                </c:pt>
                <c:pt idx="9">
                  <c:v>90.449903906860371</c:v>
                </c:pt>
                <c:pt idx="10">
                  <c:v>94.743816685789852</c:v>
                </c:pt>
                <c:pt idx="11">
                  <c:v>96.51366562408505</c:v>
                </c:pt>
                <c:pt idx="12">
                  <c:v>81.342514567976693</c:v>
                </c:pt>
                <c:pt idx="13">
                  <c:v>91.452019650684292</c:v>
                </c:pt>
                <c:pt idx="14">
                  <c:v>91.179181856279058</c:v>
                </c:pt>
                <c:pt idx="15">
                  <c:v>92.696850707439566</c:v>
                </c:pt>
                <c:pt idx="16">
                  <c:v>83.314243904768773</c:v>
                </c:pt>
                <c:pt idx="17">
                  <c:v>82.603605146369063</c:v>
                </c:pt>
                <c:pt idx="18">
                  <c:v>98.305154143741277</c:v>
                </c:pt>
                <c:pt idx="19">
                  <c:v>89.236257483098555</c:v>
                </c:pt>
                <c:pt idx="20">
                  <c:v>85.373614756208056</c:v>
                </c:pt>
                <c:pt idx="21">
                  <c:v>56.99952021212826</c:v>
                </c:pt>
                <c:pt idx="22">
                  <c:v>88.298720045599623</c:v>
                </c:pt>
              </c:numCache>
            </c:numRef>
          </c:val>
          <c:smooth val="0"/>
          <c:extLst>
            <c:ext xmlns:c16="http://schemas.microsoft.com/office/drawing/2014/chart" uri="{C3380CC4-5D6E-409C-BE32-E72D297353CC}">
              <c16:uniqueId val="{00000001-B2F3-4B2C-95BC-10576A746161}"/>
            </c:ext>
          </c:extLst>
        </c:ser>
        <c:ser>
          <c:idx val="2"/>
          <c:order val="2"/>
          <c:tx>
            <c:strRef>
              <c:f>WQI!$F$115</c:f>
              <c:strCache>
                <c:ptCount val="1"/>
                <c:pt idx="0">
                  <c:v>Năm 2023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WQI!$F$116:$F$138</c:f>
              <c:numCache>
                <c:formatCode>0</c:formatCode>
                <c:ptCount val="23"/>
                <c:pt idx="0">
                  <c:v>79.5</c:v>
                </c:pt>
                <c:pt idx="1">
                  <c:v>98</c:v>
                </c:pt>
                <c:pt idx="2">
                  <c:v>83.666666666666671</c:v>
                </c:pt>
                <c:pt idx="3">
                  <c:v>98.333333333333329</c:v>
                </c:pt>
                <c:pt idx="4">
                  <c:v>80.333333333333329</c:v>
                </c:pt>
                <c:pt idx="5">
                  <c:v>97.333333333333329</c:v>
                </c:pt>
                <c:pt idx="6">
                  <c:v>96.333333333333329</c:v>
                </c:pt>
                <c:pt idx="7">
                  <c:v>96</c:v>
                </c:pt>
                <c:pt idx="8">
                  <c:v>90.666666666666671</c:v>
                </c:pt>
                <c:pt idx="9">
                  <c:v>96.333333333333329</c:v>
                </c:pt>
                <c:pt idx="10">
                  <c:v>92.333333333333329</c:v>
                </c:pt>
                <c:pt idx="11">
                  <c:v>97.833333333333329</c:v>
                </c:pt>
                <c:pt idx="12">
                  <c:v>89.333333333333329</c:v>
                </c:pt>
                <c:pt idx="13">
                  <c:v>92.5</c:v>
                </c:pt>
                <c:pt idx="14">
                  <c:v>97</c:v>
                </c:pt>
                <c:pt idx="15">
                  <c:v>93</c:v>
                </c:pt>
                <c:pt idx="16">
                  <c:v>93.666666666666671</c:v>
                </c:pt>
                <c:pt idx="17">
                  <c:v>94.666666666666671</c:v>
                </c:pt>
                <c:pt idx="18">
                  <c:v>96.333333333333329</c:v>
                </c:pt>
                <c:pt idx="19">
                  <c:v>96.166666666666671</c:v>
                </c:pt>
                <c:pt idx="20">
                  <c:v>98</c:v>
                </c:pt>
                <c:pt idx="21">
                  <c:v>53</c:v>
                </c:pt>
                <c:pt idx="22">
                  <c:v>61</c:v>
                </c:pt>
              </c:numCache>
            </c:numRef>
          </c:val>
          <c:smooth val="0"/>
          <c:extLst>
            <c:ext xmlns:c16="http://schemas.microsoft.com/office/drawing/2014/chart" uri="{C3380CC4-5D6E-409C-BE32-E72D297353CC}">
              <c16:uniqueId val="{00000002-B2F3-4B2C-95BC-10576A746161}"/>
            </c:ext>
          </c:extLst>
        </c:ser>
        <c:ser>
          <c:idx val="3"/>
          <c:order val="3"/>
          <c:tx>
            <c:strRef>
              <c:f>WQI!$G$115</c:f>
              <c:strCache>
                <c:ptCount val="1"/>
                <c:pt idx="0">
                  <c:v>Năm 2024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WQI!$G$116:$G$138</c:f>
              <c:numCache>
                <c:formatCode>0</c:formatCode>
                <c:ptCount val="23"/>
                <c:pt idx="0">
                  <c:v>98.833333333333329</c:v>
                </c:pt>
                <c:pt idx="1">
                  <c:v>98.666666666666671</c:v>
                </c:pt>
                <c:pt idx="2">
                  <c:v>97.666666666666671</c:v>
                </c:pt>
                <c:pt idx="3">
                  <c:v>99.333333333333329</c:v>
                </c:pt>
                <c:pt idx="4">
                  <c:v>94.833333333333329</c:v>
                </c:pt>
                <c:pt idx="5">
                  <c:v>96.833333333333329</c:v>
                </c:pt>
                <c:pt idx="6">
                  <c:v>97.333333333333329</c:v>
                </c:pt>
                <c:pt idx="7">
                  <c:v>98.833333333333329</c:v>
                </c:pt>
                <c:pt idx="8">
                  <c:v>96.166666666666671</c:v>
                </c:pt>
                <c:pt idx="9">
                  <c:v>97.333333333333329</c:v>
                </c:pt>
                <c:pt idx="10">
                  <c:v>97</c:v>
                </c:pt>
                <c:pt idx="11">
                  <c:v>98.5</c:v>
                </c:pt>
                <c:pt idx="12">
                  <c:v>95.333333333333329</c:v>
                </c:pt>
                <c:pt idx="13">
                  <c:v>96.833333333333329</c:v>
                </c:pt>
                <c:pt idx="14">
                  <c:v>96.166666666666671</c:v>
                </c:pt>
                <c:pt idx="15">
                  <c:v>97.833333333333329</c:v>
                </c:pt>
                <c:pt idx="16">
                  <c:v>97.666666666666671</c:v>
                </c:pt>
                <c:pt idx="17">
                  <c:v>97</c:v>
                </c:pt>
                <c:pt idx="18">
                  <c:v>99.5</c:v>
                </c:pt>
                <c:pt idx="19">
                  <c:v>97.333333333333329</c:v>
                </c:pt>
                <c:pt idx="20">
                  <c:v>95.666666666666671</c:v>
                </c:pt>
                <c:pt idx="21" formatCode="General">
                  <c:v>65</c:v>
                </c:pt>
                <c:pt idx="22">
                  <c:v>68</c:v>
                </c:pt>
              </c:numCache>
            </c:numRef>
          </c:val>
          <c:smooth val="0"/>
          <c:extLst>
            <c:ext xmlns:c16="http://schemas.microsoft.com/office/drawing/2014/chart" uri="{C3380CC4-5D6E-409C-BE32-E72D297353CC}">
              <c16:uniqueId val="{00000003-B2F3-4B2C-95BC-10576A746161}"/>
            </c:ext>
          </c:extLst>
        </c:ser>
        <c:ser>
          <c:idx val="5"/>
          <c:order val="4"/>
          <c:tx>
            <c:strRef>
              <c:f>WQI!$H$115</c:f>
              <c:strCache>
                <c:ptCount val="1"/>
                <c:pt idx="0">
                  <c:v>WQI-Rất tốt (91-100)</c:v>
                </c:pt>
              </c:strCache>
            </c:strRef>
          </c:tx>
          <c:spPr>
            <a:ln w="28575" cap="rnd">
              <a:solidFill>
                <a:schemeClr val="accent6"/>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WQI!$H$116:$H$138</c:f>
              <c:numCache>
                <c:formatCode>General</c:formatCode>
                <c:ptCount val="23"/>
                <c:pt idx="0">
                  <c:v>91</c:v>
                </c:pt>
                <c:pt idx="1">
                  <c:v>91</c:v>
                </c:pt>
                <c:pt idx="2">
                  <c:v>91</c:v>
                </c:pt>
                <c:pt idx="3">
                  <c:v>91</c:v>
                </c:pt>
                <c:pt idx="4">
                  <c:v>91</c:v>
                </c:pt>
                <c:pt idx="5">
                  <c:v>91</c:v>
                </c:pt>
                <c:pt idx="6">
                  <c:v>91</c:v>
                </c:pt>
                <c:pt idx="7">
                  <c:v>91</c:v>
                </c:pt>
                <c:pt idx="8">
                  <c:v>91</c:v>
                </c:pt>
                <c:pt idx="9">
                  <c:v>91</c:v>
                </c:pt>
                <c:pt idx="10">
                  <c:v>91</c:v>
                </c:pt>
                <c:pt idx="11">
                  <c:v>91</c:v>
                </c:pt>
                <c:pt idx="12">
                  <c:v>91</c:v>
                </c:pt>
                <c:pt idx="13">
                  <c:v>91</c:v>
                </c:pt>
                <c:pt idx="14">
                  <c:v>91</c:v>
                </c:pt>
                <c:pt idx="15">
                  <c:v>91</c:v>
                </c:pt>
                <c:pt idx="16">
                  <c:v>91</c:v>
                </c:pt>
                <c:pt idx="17">
                  <c:v>91</c:v>
                </c:pt>
                <c:pt idx="18">
                  <c:v>91</c:v>
                </c:pt>
                <c:pt idx="19">
                  <c:v>91</c:v>
                </c:pt>
                <c:pt idx="20">
                  <c:v>91</c:v>
                </c:pt>
                <c:pt idx="21">
                  <c:v>91</c:v>
                </c:pt>
                <c:pt idx="22">
                  <c:v>91</c:v>
                </c:pt>
              </c:numCache>
            </c:numRef>
          </c:val>
          <c:smooth val="0"/>
          <c:extLst>
            <c:ext xmlns:c16="http://schemas.microsoft.com/office/drawing/2014/chart" uri="{C3380CC4-5D6E-409C-BE32-E72D297353CC}">
              <c16:uniqueId val="{00000004-B2F3-4B2C-95BC-10576A746161}"/>
            </c:ext>
          </c:extLst>
        </c:ser>
        <c:ser>
          <c:idx val="6"/>
          <c:order val="5"/>
          <c:tx>
            <c:strRef>
              <c:f>WQI!$I$115</c:f>
              <c:strCache>
                <c:ptCount val="1"/>
                <c:pt idx="0">
                  <c:v>WQI-Tốt (76-90)</c:v>
                </c:pt>
              </c:strCache>
            </c:strRef>
          </c:tx>
          <c:spPr>
            <a:ln w="28575" cap="rnd">
              <a:solidFill>
                <a:schemeClr val="accent1">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WQI!$I$116:$I$138</c:f>
              <c:numCache>
                <c:formatCode>General</c:formatCode>
                <c:ptCount val="23"/>
                <c:pt idx="0">
                  <c:v>76</c:v>
                </c:pt>
                <c:pt idx="1">
                  <c:v>76</c:v>
                </c:pt>
                <c:pt idx="2">
                  <c:v>76</c:v>
                </c:pt>
                <c:pt idx="3">
                  <c:v>76</c:v>
                </c:pt>
                <c:pt idx="4">
                  <c:v>76</c:v>
                </c:pt>
                <c:pt idx="5">
                  <c:v>76</c:v>
                </c:pt>
                <c:pt idx="6">
                  <c:v>76</c:v>
                </c:pt>
                <c:pt idx="7">
                  <c:v>76</c:v>
                </c:pt>
                <c:pt idx="8">
                  <c:v>76</c:v>
                </c:pt>
                <c:pt idx="9">
                  <c:v>76</c:v>
                </c:pt>
                <c:pt idx="10">
                  <c:v>76</c:v>
                </c:pt>
                <c:pt idx="11">
                  <c:v>76</c:v>
                </c:pt>
                <c:pt idx="12">
                  <c:v>76</c:v>
                </c:pt>
                <c:pt idx="13">
                  <c:v>76</c:v>
                </c:pt>
                <c:pt idx="14">
                  <c:v>76</c:v>
                </c:pt>
                <c:pt idx="15">
                  <c:v>76</c:v>
                </c:pt>
                <c:pt idx="16">
                  <c:v>76</c:v>
                </c:pt>
                <c:pt idx="17">
                  <c:v>76</c:v>
                </c:pt>
                <c:pt idx="18">
                  <c:v>76</c:v>
                </c:pt>
                <c:pt idx="19">
                  <c:v>76</c:v>
                </c:pt>
                <c:pt idx="20">
                  <c:v>76</c:v>
                </c:pt>
                <c:pt idx="21">
                  <c:v>76</c:v>
                </c:pt>
                <c:pt idx="22">
                  <c:v>76</c:v>
                </c:pt>
              </c:numCache>
            </c:numRef>
          </c:val>
          <c:smooth val="0"/>
          <c:extLst>
            <c:ext xmlns:c16="http://schemas.microsoft.com/office/drawing/2014/chart" uri="{C3380CC4-5D6E-409C-BE32-E72D297353CC}">
              <c16:uniqueId val="{00000005-B2F3-4B2C-95BC-10576A746161}"/>
            </c:ext>
          </c:extLst>
        </c:ser>
        <c:ser>
          <c:idx val="7"/>
          <c:order val="6"/>
          <c:tx>
            <c:strRef>
              <c:f>WQI!$J$115</c:f>
              <c:strCache>
                <c:ptCount val="1"/>
                <c:pt idx="0">
                  <c:v>WQI-Trung bình (51-75)</c:v>
                </c:pt>
              </c:strCache>
            </c:strRef>
          </c:tx>
          <c:spPr>
            <a:ln w="28575" cap="rnd">
              <a:solidFill>
                <a:schemeClr val="accent2">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WQI!$J$116:$J$138</c:f>
              <c:numCache>
                <c:formatCode>General</c:formatCode>
                <c:ptCount val="23"/>
                <c:pt idx="0">
                  <c:v>51</c:v>
                </c:pt>
                <c:pt idx="1">
                  <c:v>51</c:v>
                </c:pt>
                <c:pt idx="2">
                  <c:v>51</c:v>
                </c:pt>
                <c:pt idx="3">
                  <c:v>51</c:v>
                </c:pt>
                <c:pt idx="4">
                  <c:v>51</c:v>
                </c:pt>
                <c:pt idx="5">
                  <c:v>51</c:v>
                </c:pt>
                <c:pt idx="6">
                  <c:v>51</c:v>
                </c:pt>
                <c:pt idx="7">
                  <c:v>51</c:v>
                </c:pt>
                <c:pt idx="8">
                  <c:v>51</c:v>
                </c:pt>
                <c:pt idx="9">
                  <c:v>51</c:v>
                </c:pt>
                <c:pt idx="10">
                  <c:v>51</c:v>
                </c:pt>
                <c:pt idx="11">
                  <c:v>51</c:v>
                </c:pt>
                <c:pt idx="12">
                  <c:v>51</c:v>
                </c:pt>
                <c:pt idx="13">
                  <c:v>51</c:v>
                </c:pt>
                <c:pt idx="14">
                  <c:v>51</c:v>
                </c:pt>
                <c:pt idx="15">
                  <c:v>51</c:v>
                </c:pt>
                <c:pt idx="16">
                  <c:v>51</c:v>
                </c:pt>
                <c:pt idx="17">
                  <c:v>51</c:v>
                </c:pt>
                <c:pt idx="18">
                  <c:v>51</c:v>
                </c:pt>
                <c:pt idx="19">
                  <c:v>51</c:v>
                </c:pt>
                <c:pt idx="20">
                  <c:v>51</c:v>
                </c:pt>
                <c:pt idx="21">
                  <c:v>51</c:v>
                </c:pt>
                <c:pt idx="22">
                  <c:v>51</c:v>
                </c:pt>
              </c:numCache>
            </c:numRef>
          </c:val>
          <c:smooth val="0"/>
          <c:extLst>
            <c:ext xmlns:c16="http://schemas.microsoft.com/office/drawing/2014/chart" uri="{C3380CC4-5D6E-409C-BE32-E72D297353CC}">
              <c16:uniqueId val="{00000006-B2F3-4B2C-95BC-10576A746161}"/>
            </c:ext>
          </c:extLst>
        </c:ser>
        <c:ser>
          <c:idx val="8"/>
          <c:order val="7"/>
          <c:tx>
            <c:strRef>
              <c:f>WQI!$K$115</c:f>
              <c:strCache>
                <c:ptCount val="1"/>
                <c:pt idx="0">
                  <c:v>WQI-Xấu (26-50)</c:v>
                </c:pt>
              </c:strCache>
            </c:strRef>
          </c:tx>
          <c:spPr>
            <a:ln w="28575" cap="rnd">
              <a:solidFill>
                <a:schemeClr val="accent3">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WQI!$K$116:$K$138</c:f>
              <c:numCache>
                <c:formatCode>General</c:formatCode>
                <c:ptCount val="23"/>
                <c:pt idx="0">
                  <c:v>26</c:v>
                </c:pt>
                <c:pt idx="1">
                  <c:v>26</c:v>
                </c:pt>
                <c:pt idx="2">
                  <c:v>26</c:v>
                </c:pt>
                <c:pt idx="3">
                  <c:v>26</c:v>
                </c:pt>
                <c:pt idx="4">
                  <c:v>26</c:v>
                </c:pt>
                <c:pt idx="5">
                  <c:v>26</c:v>
                </c:pt>
                <c:pt idx="6">
                  <c:v>26</c:v>
                </c:pt>
                <c:pt idx="7">
                  <c:v>26</c:v>
                </c:pt>
                <c:pt idx="8">
                  <c:v>26</c:v>
                </c:pt>
                <c:pt idx="9">
                  <c:v>26</c:v>
                </c:pt>
                <c:pt idx="10">
                  <c:v>26</c:v>
                </c:pt>
                <c:pt idx="11">
                  <c:v>26</c:v>
                </c:pt>
                <c:pt idx="12">
                  <c:v>26</c:v>
                </c:pt>
                <c:pt idx="13">
                  <c:v>26</c:v>
                </c:pt>
                <c:pt idx="14">
                  <c:v>26</c:v>
                </c:pt>
                <c:pt idx="15">
                  <c:v>26</c:v>
                </c:pt>
                <c:pt idx="16">
                  <c:v>26</c:v>
                </c:pt>
                <c:pt idx="17">
                  <c:v>26</c:v>
                </c:pt>
                <c:pt idx="18">
                  <c:v>26</c:v>
                </c:pt>
                <c:pt idx="19">
                  <c:v>26</c:v>
                </c:pt>
                <c:pt idx="20">
                  <c:v>26</c:v>
                </c:pt>
                <c:pt idx="21">
                  <c:v>26</c:v>
                </c:pt>
                <c:pt idx="22">
                  <c:v>26</c:v>
                </c:pt>
              </c:numCache>
            </c:numRef>
          </c:val>
          <c:smooth val="0"/>
          <c:extLst>
            <c:ext xmlns:c16="http://schemas.microsoft.com/office/drawing/2014/chart" uri="{C3380CC4-5D6E-409C-BE32-E72D297353CC}">
              <c16:uniqueId val="{00000007-B2F3-4B2C-95BC-10576A746161}"/>
            </c:ext>
          </c:extLst>
        </c:ser>
        <c:ser>
          <c:idx val="9"/>
          <c:order val="8"/>
          <c:tx>
            <c:strRef>
              <c:f>WQI!$L$115</c:f>
              <c:strCache>
                <c:ptCount val="1"/>
                <c:pt idx="0">
                  <c:v>WQI-Kém (10-25)</c:v>
                </c:pt>
              </c:strCache>
            </c:strRef>
          </c:tx>
          <c:spPr>
            <a:ln w="28575" cap="rnd">
              <a:solidFill>
                <a:schemeClr val="accent4">
                  <a:lumMod val="60000"/>
                </a:schemeClr>
              </a:solidFill>
              <a:round/>
            </a:ln>
            <a:effectLst/>
          </c:spPr>
          <c:marker>
            <c:symbol val="none"/>
          </c:marker>
          <c:cat>
            <c:strRef>
              <c:f>WQI!$C$116:$C$138</c:f>
              <c:strCache>
                <c:ptCount val="23"/>
                <c:pt idx="0">
                  <c:v>Hồ Vực Trống</c:v>
                </c:pt>
                <c:pt idx="1">
                  <c:v>Hồ Khe Trúc</c:v>
                </c:pt>
                <c:pt idx="2">
                  <c:v>Hồ ThiênTượng</c:v>
                </c:pt>
                <c:pt idx="3">
                  <c:v>Hồ Đá Bạc</c:v>
                </c:pt>
                <c:pt idx="4">
                  <c:v>Hồ Khe Lang</c:v>
                </c:pt>
                <c:pt idx="5">
                  <c:v>Hồ Xuân Hoa</c:v>
                </c:pt>
                <c:pt idx="6">
                  <c:v>Đập Khe Hao</c:v>
                </c:pt>
                <c:pt idx="7">
                  <c:v>Hồ Đá Hàn</c:v>
                </c:pt>
                <c:pt idx="8">
                  <c:v>Đập dâng Vũ Quang</c:v>
                </c:pt>
                <c:pt idx="9">
                  <c:v>Hồ thủy lợi Ngàn Trươi </c:v>
                </c:pt>
                <c:pt idx="10">
                  <c:v>Hồ Kẻ Gỗ</c:v>
                </c:pt>
                <c:pt idx="11">
                  <c:v>Hồ Bộc Nguyên</c:v>
                </c:pt>
                <c:pt idx="12">
                  <c:v>Đập Đá Hàn</c:v>
                </c:pt>
                <c:pt idx="13">
                  <c:v>Hồ Sông Rác</c:v>
                </c:pt>
                <c:pt idx="14">
                  <c:v>Hồ Mặc Khê</c:v>
                </c:pt>
                <c:pt idx="15">
                  <c:v>Hồ Thượng Sông Trí</c:v>
                </c:pt>
                <c:pt idx="16">
                  <c:v>Hồ Kim Sơn</c:v>
                </c:pt>
                <c:pt idx="17">
                  <c:v>Hồ Tàu Voi</c:v>
                </c:pt>
                <c:pt idx="18">
                  <c:v>Đập Nhà Đường</c:v>
                </c:pt>
                <c:pt idx="19">
                  <c:v>Hồ Thượng Tuy</c:v>
                </c:pt>
                <c:pt idx="20">
                  <c:v>Hồ Đá Cát</c:v>
                </c:pt>
                <c:pt idx="21">
                  <c:v>Hồ Bồng Sơn</c:v>
                </c:pt>
                <c:pt idx="22">
                  <c:v>Hồ Bình Sơn</c:v>
                </c:pt>
              </c:strCache>
            </c:strRef>
          </c:cat>
          <c:val>
            <c:numRef>
              <c:f>WQI!$L$116:$L$138</c:f>
              <c:numCache>
                <c:formatCode>General</c:formatCode>
                <c:ptCount val="23"/>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pt idx="16">
                  <c:v>10</c:v>
                </c:pt>
                <c:pt idx="17">
                  <c:v>10</c:v>
                </c:pt>
                <c:pt idx="18">
                  <c:v>10</c:v>
                </c:pt>
                <c:pt idx="19">
                  <c:v>10</c:v>
                </c:pt>
                <c:pt idx="20">
                  <c:v>10</c:v>
                </c:pt>
                <c:pt idx="21">
                  <c:v>10</c:v>
                </c:pt>
                <c:pt idx="22">
                  <c:v>10</c:v>
                </c:pt>
              </c:numCache>
            </c:numRef>
          </c:val>
          <c:smooth val="0"/>
          <c:extLst>
            <c:ext xmlns:c16="http://schemas.microsoft.com/office/drawing/2014/chart" uri="{C3380CC4-5D6E-409C-BE32-E72D297353CC}">
              <c16:uniqueId val="{00000008-B2F3-4B2C-95BC-10576A746161}"/>
            </c:ext>
          </c:extLst>
        </c:ser>
        <c:dLbls>
          <c:showLegendKey val="0"/>
          <c:showVal val="0"/>
          <c:showCatName val="0"/>
          <c:showSerName val="0"/>
          <c:showPercent val="0"/>
          <c:showBubbleSize val="0"/>
        </c:dLbls>
        <c:marker val="1"/>
        <c:smooth val="0"/>
        <c:axId val="380595343"/>
        <c:axId val="380604495"/>
      </c:lineChart>
      <c:catAx>
        <c:axId val="380595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0604495"/>
        <c:crosses val="autoZero"/>
        <c:auto val="1"/>
        <c:lblAlgn val="ctr"/>
        <c:lblOffset val="100"/>
        <c:noMultiLvlLbl val="0"/>
      </c:catAx>
      <c:valAx>
        <c:axId val="3806044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80595343"/>
        <c:crosses val="autoZero"/>
        <c:crossBetween val="between"/>
      </c:valAx>
      <c:spPr>
        <a:noFill/>
        <a:ln>
          <a:noFill/>
        </a:ln>
        <a:effectLst/>
      </c:spPr>
    </c:plotArea>
    <c:legend>
      <c:legendPos val="b"/>
      <c:layout>
        <c:manualLayout>
          <c:xMode val="edge"/>
          <c:yMode val="edge"/>
          <c:x val="9.3046961417032094E-3"/>
          <c:y val="0.8841769552219868"/>
          <c:w val="0.96884626928750217"/>
          <c:h val="9.6029053770091452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329477914312344E-2"/>
          <c:y val="7.2945055421791291E-2"/>
          <c:w val="0.95834288890917085"/>
          <c:h val="0.53913754582330098"/>
        </c:manualLayout>
      </c:layout>
      <c:barChart>
        <c:barDir val="col"/>
        <c:grouping val="clustered"/>
        <c:varyColors val="0"/>
        <c:ser>
          <c:idx val="0"/>
          <c:order val="0"/>
          <c:tx>
            <c:strRef>
              <c:f>pH!$E$5</c:f>
              <c:strCache>
                <c:ptCount val="1"/>
                <c:pt idx="0">
                  <c:v>2021</c:v>
                </c:pt>
              </c:strCache>
            </c:strRef>
          </c:tx>
          <c:spPr>
            <a:solidFill>
              <a:schemeClr val="accent1"/>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pH!$E$6:$E$21</c:f>
              <c:numCache>
                <c:formatCode>0.00</c:formatCode>
                <c:ptCount val="16"/>
                <c:pt idx="0">
                  <c:v>7.45</c:v>
                </c:pt>
                <c:pt idx="1">
                  <c:v>6.4250000000000007</c:v>
                </c:pt>
                <c:pt idx="2">
                  <c:v>6.7750000000000004</c:v>
                </c:pt>
                <c:pt idx="3">
                  <c:v>6.25</c:v>
                </c:pt>
                <c:pt idx="4">
                  <c:v>5.85</c:v>
                </c:pt>
                <c:pt idx="5">
                  <c:v>5.625</c:v>
                </c:pt>
                <c:pt idx="6">
                  <c:v>7.0749999999999993</c:v>
                </c:pt>
                <c:pt idx="7">
                  <c:v>7.3249999999999993</c:v>
                </c:pt>
                <c:pt idx="8">
                  <c:v>7.6999999999999993</c:v>
                </c:pt>
                <c:pt idx="9">
                  <c:v>7.7</c:v>
                </c:pt>
                <c:pt idx="10">
                  <c:v>6.1</c:v>
                </c:pt>
                <c:pt idx="11">
                  <c:v>6.2750000000000004</c:v>
                </c:pt>
                <c:pt idx="12">
                  <c:v>6.0749999999999993</c:v>
                </c:pt>
                <c:pt idx="13">
                  <c:v>6.4249999999999998</c:v>
                </c:pt>
                <c:pt idx="14">
                  <c:v>5.05</c:v>
                </c:pt>
                <c:pt idx="15">
                  <c:v>4.4000000000000004</c:v>
                </c:pt>
              </c:numCache>
            </c:numRef>
          </c:val>
          <c:extLst>
            <c:ext xmlns:c16="http://schemas.microsoft.com/office/drawing/2014/chart" uri="{C3380CC4-5D6E-409C-BE32-E72D297353CC}">
              <c16:uniqueId val="{00000000-5CBA-4AE3-A910-5307122E9BEF}"/>
            </c:ext>
          </c:extLst>
        </c:ser>
        <c:ser>
          <c:idx val="1"/>
          <c:order val="1"/>
          <c:tx>
            <c:strRef>
              <c:f>pH!$F$5</c:f>
              <c:strCache>
                <c:ptCount val="1"/>
                <c:pt idx="0">
                  <c:v>2022</c:v>
                </c:pt>
              </c:strCache>
            </c:strRef>
          </c:tx>
          <c:spPr>
            <a:solidFill>
              <a:schemeClr val="accent2"/>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pH!$F$6:$F$21</c:f>
              <c:numCache>
                <c:formatCode>0.00</c:formatCode>
                <c:ptCount val="16"/>
                <c:pt idx="0">
                  <c:v>6.6999999999999993</c:v>
                </c:pt>
                <c:pt idx="1">
                  <c:v>6.4249999999999998</c:v>
                </c:pt>
                <c:pt idx="2">
                  <c:v>6.8250000000000002</c:v>
                </c:pt>
                <c:pt idx="3">
                  <c:v>6.5749999999999993</c:v>
                </c:pt>
                <c:pt idx="4">
                  <c:v>6.0250000000000004</c:v>
                </c:pt>
                <c:pt idx="5">
                  <c:v>6.375</c:v>
                </c:pt>
                <c:pt idx="6">
                  <c:v>7.1749999999999998</c:v>
                </c:pt>
                <c:pt idx="7">
                  <c:v>6.9574999999999996</c:v>
                </c:pt>
                <c:pt idx="8">
                  <c:v>6.9</c:v>
                </c:pt>
                <c:pt idx="9">
                  <c:v>6.4250000000000007</c:v>
                </c:pt>
                <c:pt idx="10">
                  <c:v>6.0249999999999995</c:v>
                </c:pt>
                <c:pt idx="11">
                  <c:v>6.5250000000000004</c:v>
                </c:pt>
                <c:pt idx="12">
                  <c:v>6.2249999999999996</c:v>
                </c:pt>
                <c:pt idx="13">
                  <c:v>6.1250000000000009</c:v>
                </c:pt>
                <c:pt idx="14">
                  <c:v>5.85</c:v>
                </c:pt>
                <c:pt idx="15">
                  <c:v>5.875</c:v>
                </c:pt>
              </c:numCache>
            </c:numRef>
          </c:val>
          <c:extLst>
            <c:ext xmlns:c16="http://schemas.microsoft.com/office/drawing/2014/chart" uri="{C3380CC4-5D6E-409C-BE32-E72D297353CC}">
              <c16:uniqueId val="{00000001-5CBA-4AE3-A910-5307122E9BEF}"/>
            </c:ext>
          </c:extLst>
        </c:ser>
        <c:ser>
          <c:idx val="2"/>
          <c:order val="2"/>
          <c:tx>
            <c:strRef>
              <c:f>pH!$G$5</c:f>
              <c:strCache>
                <c:ptCount val="1"/>
                <c:pt idx="0">
                  <c:v>2023</c:v>
                </c:pt>
              </c:strCache>
            </c:strRef>
          </c:tx>
          <c:spPr>
            <a:solidFill>
              <a:schemeClr val="accent3"/>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pH!$G$6:$G$21</c:f>
              <c:numCache>
                <c:formatCode>0.00</c:formatCode>
                <c:ptCount val="16"/>
                <c:pt idx="0">
                  <c:v>7.1749999999999998</c:v>
                </c:pt>
                <c:pt idx="1">
                  <c:v>6.6750000000000007</c:v>
                </c:pt>
                <c:pt idx="2">
                  <c:v>6.9250000000000007</c:v>
                </c:pt>
                <c:pt idx="3">
                  <c:v>6.7499999999999991</c:v>
                </c:pt>
                <c:pt idx="4">
                  <c:v>6.2</c:v>
                </c:pt>
                <c:pt idx="5">
                  <c:v>6.6249999999999991</c:v>
                </c:pt>
                <c:pt idx="6">
                  <c:v>7.4</c:v>
                </c:pt>
                <c:pt idx="7">
                  <c:v>7.3999999999999995</c:v>
                </c:pt>
                <c:pt idx="8">
                  <c:v>7.5</c:v>
                </c:pt>
                <c:pt idx="9">
                  <c:v>6.95</c:v>
                </c:pt>
                <c:pt idx="10">
                  <c:v>6.25</c:v>
                </c:pt>
                <c:pt idx="11">
                  <c:v>6.4</c:v>
                </c:pt>
                <c:pt idx="12">
                  <c:v>6.4250000000000007</c:v>
                </c:pt>
                <c:pt idx="13">
                  <c:v>6.7750000000000004</c:v>
                </c:pt>
                <c:pt idx="14">
                  <c:v>5.8500000000000005</c:v>
                </c:pt>
                <c:pt idx="15">
                  <c:v>5.2249999999999996</c:v>
                </c:pt>
              </c:numCache>
            </c:numRef>
          </c:val>
          <c:extLst>
            <c:ext xmlns:c16="http://schemas.microsoft.com/office/drawing/2014/chart" uri="{C3380CC4-5D6E-409C-BE32-E72D297353CC}">
              <c16:uniqueId val="{00000002-5CBA-4AE3-A910-5307122E9BEF}"/>
            </c:ext>
          </c:extLst>
        </c:ser>
        <c:ser>
          <c:idx val="3"/>
          <c:order val="3"/>
          <c:tx>
            <c:strRef>
              <c:f>pH!$H$5</c:f>
              <c:strCache>
                <c:ptCount val="1"/>
                <c:pt idx="0">
                  <c:v>2024</c:v>
                </c:pt>
              </c:strCache>
            </c:strRef>
          </c:tx>
          <c:spPr>
            <a:solidFill>
              <a:schemeClr val="accent4"/>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pH!$H$6:$H$21</c:f>
              <c:numCache>
                <c:formatCode>0.00</c:formatCode>
                <c:ptCount val="16"/>
                <c:pt idx="0">
                  <c:v>7.2</c:v>
                </c:pt>
                <c:pt idx="1">
                  <c:v>6.65</c:v>
                </c:pt>
                <c:pt idx="2">
                  <c:v>6.4749999999999996</c:v>
                </c:pt>
                <c:pt idx="3">
                  <c:v>6.5750000000000011</c:v>
                </c:pt>
                <c:pt idx="4">
                  <c:v>6.25</c:v>
                </c:pt>
                <c:pt idx="5">
                  <c:v>6.375</c:v>
                </c:pt>
                <c:pt idx="6">
                  <c:v>7.6749999999999989</c:v>
                </c:pt>
                <c:pt idx="7">
                  <c:v>7.6</c:v>
                </c:pt>
                <c:pt idx="8">
                  <c:v>7.4750000000000005</c:v>
                </c:pt>
                <c:pt idx="9">
                  <c:v>7.3000000000000007</c:v>
                </c:pt>
                <c:pt idx="10">
                  <c:v>6.3250000000000002</c:v>
                </c:pt>
                <c:pt idx="11">
                  <c:v>6.4749999999999996</c:v>
                </c:pt>
                <c:pt idx="12">
                  <c:v>6.35</c:v>
                </c:pt>
                <c:pt idx="13">
                  <c:v>6.9250000000000007</c:v>
                </c:pt>
                <c:pt idx="14">
                  <c:v>6.55</c:v>
                </c:pt>
                <c:pt idx="15">
                  <c:v>6.05</c:v>
                </c:pt>
              </c:numCache>
            </c:numRef>
          </c:val>
          <c:extLst>
            <c:ext xmlns:c16="http://schemas.microsoft.com/office/drawing/2014/chart" uri="{C3380CC4-5D6E-409C-BE32-E72D297353CC}">
              <c16:uniqueId val="{00000003-5CBA-4AE3-A910-5307122E9BEF}"/>
            </c:ext>
          </c:extLst>
        </c:ser>
        <c:ser>
          <c:idx val="4"/>
          <c:order val="4"/>
          <c:tx>
            <c:strRef>
              <c:f>pH!$I$5</c:f>
              <c:strCache>
                <c:ptCount val="1"/>
                <c:pt idx="0">
                  <c:v>2025</c:v>
                </c:pt>
              </c:strCache>
            </c:strRef>
          </c:tx>
          <c:spPr>
            <a:solidFill>
              <a:schemeClr val="accent5"/>
            </a:solidFill>
            <a:ln>
              <a:noFill/>
            </a:ln>
            <a:effectLst/>
          </c:spPr>
          <c:invertIfNegative val="0"/>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pH!$I$6:$I$21</c:f>
              <c:numCache>
                <c:formatCode>0.00</c:formatCode>
                <c:ptCount val="16"/>
                <c:pt idx="0">
                  <c:v>6.4</c:v>
                </c:pt>
                <c:pt idx="1">
                  <c:v>7.7</c:v>
                </c:pt>
                <c:pt idx="2">
                  <c:v>6.9</c:v>
                </c:pt>
                <c:pt idx="3">
                  <c:v>6.9</c:v>
                </c:pt>
                <c:pt idx="4">
                  <c:v>6.7</c:v>
                </c:pt>
                <c:pt idx="5">
                  <c:v>6.9</c:v>
                </c:pt>
                <c:pt idx="6">
                  <c:v>7.4</c:v>
                </c:pt>
                <c:pt idx="7">
                  <c:v>7.4</c:v>
                </c:pt>
                <c:pt idx="8">
                  <c:v>7.3</c:v>
                </c:pt>
                <c:pt idx="9">
                  <c:v>6.8</c:v>
                </c:pt>
                <c:pt idx="10">
                  <c:v>6.2</c:v>
                </c:pt>
                <c:pt idx="11">
                  <c:v>6.3</c:v>
                </c:pt>
                <c:pt idx="12">
                  <c:v>6.7</c:v>
                </c:pt>
                <c:pt idx="13">
                  <c:v>7</c:v>
                </c:pt>
                <c:pt idx="14">
                  <c:v>5.8</c:v>
                </c:pt>
                <c:pt idx="15">
                  <c:v>6</c:v>
                </c:pt>
              </c:numCache>
            </c:numRef>
          </c:val>
          <c:extLst>
            <c:ext xmlns:c16="http://schemas.microsoft.com/office/drawing/2014/chart" uri="{C3380CC4-5D6E-409C-BE32-E72D297353CC}">
              <c16:uniqueId val="{00000004-5CBA-4AE3-A910-5307122E9BE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pH!$J$5</c:f>
              <c:strCache>
                <c:ptCount val="1"/>
                <c:pt idx="0">
                  <c:v>Ngưỡng trên QC</c:v>
                </c:pt>
              </c:strCache>
            </c:strRef>
          </c:tx>
          <c:spPr>
            <a:ln w="22225" cap="rnd">
              <a:solidFill>
                <a:schemeClr val="accent6"/>
              </a:solidFill>
              <a:round/>
            </a:ln>
            <a:effectLst/>
          </c:spPr>
          <c:marker>
            <c:symbol val="none"/>
          </c:marker>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pH!$J$6:$J$21</c:f>
              <c:numCache>
                <c:formatCode>General</c:formatCode>
                <c:ptCount val="16"/>
                <c:pt idx="0">
                  <c:v>8.5</c:v>
                </c:pt>
                <c:pt idx="1">
                  <c:v>8.5</c:v>
                </c:pt>
                <c:pt idx="2">
                  <c:v>8.5</c:v>
                </c:pt>
                <c:pt idx="3">
                  <c:v>8.5</c:v>
                </c:pt>
                <c:pt idx="4">
                  <c:v>8.5</c:v>
                </c:pt>
                <c:pt idx="5">
                  <c:v>8.5</c:v>
                </c:pt>
                <c:pt idx="6">
                  <c:v>8.5</c:v>
                </c:pt>
                <c:pt idx="7">
                  <c:v>8.5</c:v>
                </c:pt>
                <c:pt idx="8">
                  <c:v>8.5</c:v>
                </c:pt>
                <c:pt idx="9">
                  <c:v>8.5</c:v>
                </c:pt>
                <c:pt idx="10">
                  <c:v>8.5</c:v>
                </c:pt>
                <c:pt idx="11">
                  <c:v>8.5</c:v>
                </c:pt>
                <c:pt idx="12">
                  <c:v>8.5</c:v>
                </c:pt>
                <c:pt idx="13">
                  <c:v>8.5</c:v>
                </c:pt>
                <c:pt idx="14">
                  <c:v>8.5</c:v>
                </c:pt>
                <c:pt idx="15">
                  <c:v>8.5</c:v>
                </c:pt>
              </c:numCache>
            </c:numRef>
          </c:val>
          <c:smooth val="0"/>
          <c:extLst>
            <c:ext xmlns:c16="http://schemas.microsoft.com/office/drawing/2014/chart" uri="{C3380CC4-5D6E-409C-BE32-E72D297353CC}">
              <c16:uniqueId val="{00000005-5CBA-4AE3-A910-5307122E9BEF}"/>
            </c:ext>
          </c:extLst>
        </c:ser>
        <c:ser>
          <c:idx val="6"/>
          <c:order val="6"/>
          <c:tx>
            <c:strRef>
              <c:f>pH!$K$5</c:f>
              <c:strCache>
                <c:ptCount val="1"/>
                <c:pt idx="0">
                  <c:v>Ngưỡng dưới QC 2015</c:v>
                </c:pt>
              </c:strCache>
            </c:strRef>
          </c:tx>
          <c:spPr>
            <a:ln w="22225" cap="rnd">
              <a:solidFill>
                <a:schemeClr val="accent1">
                  <a:lumMod val="60000"/>
                </a:schemeClr>
              </a:solidFill>
              <a:round/>
            </a:ln>
            <a:effectLst/>
          </c:spPr>
          <c:marker>
            <c:symbol val="none"/>
          </c:marker>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pH!$K$6:$K$21</c:f>
              <c:numCache>
                <c:formatCode>General</c:formatCode>
                <c:ptCount val="16"/>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numCache>
            </c:numRef>
          </c:val>
          <c:smooth val="0"/>
          <c:extLst>
            <c:ext xmlns:c16="http://schemas.microsoft.com/office/drawing/2014/chart" uri="{C3380CC4-5D6E-409C-BE32-E72D297353CC}">
              <c16:uniqueId val="{00000006-5CBA-4AE3-A910-5307122E9BEF}"/>
            </c:ext>
          </c:extLst>
        </c:ser>
        <c:ser>
          <c:idx val="7"/>
          <c:order val="7"/>
          <c:tx>
            <c:strRef>
              <c:f>pH!$L$5</c:f>
              <c:strCache>
                <c:ptCount val="1"/>
                <c:pt idx="0">
                  <c:v>Ngưỡng dưới QC 2023</c:v>
                </c:pt>
              </c:strCache>
            </c:strRef>
          </c:tx>
          <c:spPr>
            <a:ln w="22225" cap="rnd">
              <a:solidFill>
                <a:schemeClr val="accent2">
                  <a:lumMod val="60000"/>
                </a:schemeClr>
              </a:solidFill>
              <a:round/>
            </a:ln>
            <a:effectLst/>
          </c:spPr>
          <c:marker>
            <c:symbol val="none"/>
          </c:marker>
          <c:cat>
            <c:strRef>
              <c:f>pH!$D$6:$D$21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pH!$L$6:$L$21</c:f>
              <c:numCache>
                <c:formatCode>General</c:formatCode>
                <c:ptCount val="16"/>
                <c:pt idx="0">
                  <c:v>5.8</c:v>
                </c:pt>
                <c:pt idx="1">
                  <c:v>5.8</c:v>
                </c:pt>
                <c:pt idx="2">
                  <c:v>5.8</c:v>
                </c:pt>
                <c:pt idx="3">
                  <c:v>5.8</c:v>
                </c:pt>
                <c:pt idx="4">
                  <c:v>5.8</c:v>
                </c:pt>
                <c:pt idx="5">
                  <c:v>5.8</c:v>
                </c:pt>
                <c:pt idx="6">
                  <c:v>5.8</c:v>
                </c:pt>
                <c:pt idx="7">
                  <c:v>5.8</c:v>
                </c:pt>
                <c:pt idx="8">
                  <c:v>5.8</c:v>
                </c:pt>
                <c:pt idx="9">
                  <c:v>5.8</c:v>
                </c:pt>
                <c:pt idx="10">
                  <c:v>5.8</c:v>
                </c:pt>
                <c:pt idx="11">
                  <c:v>5.8</c:v>
                </c:pt>
                <c:pt idx="12">
                  <c:v>5.8</c:v>
                </c:pt>
                <c:pt idx="13">
                  <c:v>5.8</c:v>
                </c:pt>
                <c:pt idx="14">
                  <c:v>5.8</c:v>
                </c:pt>
                <c:pt idx="15">
                  <c:v>5.8</c:v>
                </c:pt>
              </c:numCache>
            </c:numRef>
          </c:val>
          <c:smooth val="0"/>
          <c:extLst>
            <c:ext xmlns:c16="http://schemas.microsoft.com/office/drawing/2014/chart" uri="{C3380CC4-5D6E-409C-BE32-E72D297353CC}">
              <c16:uniqueId val="{00000007-5CBA-4AE3-A910-5307122E9BE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000">
                <a:solidFill>
                  <a:sysClr val="windowText" lastClr="000000"/>
                </a:solidFill>
                <a:latin typeface="Times New Roman" panose="02020603050405020304" pitchFamily="18" charset="0"/>
                <a:cs typeface="Times New Roman" panose="02020603050405020304" pitchFamily="18" charset="0"/>
              </a:rPr>
              <a:t>triệu</a:t>
            </a:r>
            <a:r>
              <a:rPr lang="en-US" sz="1000" baseline="0">
                <a:solidFill>
                  <a:sysClr val="windowText" lastClr="000000"/>
                </a:solidFill>
                <a:latin typeface="Times New Roman" panose="02020603050405020304" pitchFamily="18" charset="0"/>
                <a:cs typeface="Times New Roman" panose="02020603050405020304" pitchFamily="18" charset="0"/>
              </a:rPr>
              <a:t> USD</a:t>
            </a:r>
            <a:endParaRPr lang="en-US" sz="10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5.5555555555555558E-3"/>
          <c:y val="4.166666666666666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2502077865266845"/>
          <c:y val="0.14583333333333334"/>
          <c:w val="0.84442366579177608"/>
          <c:h val="0.64086395450568678"/>
        </c:manualLayout>
      </c:layout>
      <c:lineChart>
        <c:grouping val="standard"/>
        <c:varyColors val="0"/>
        <c:ser>
          <c:idx val="0"/>
          <c:order val="0"/>
          <c:tx>
            <c:strRef>
              <c:f>Sheet1!$B$59</c:f>
              <c:strCache>
                <c:ptCount val="1"/>
                <c:pt idx="0">
                  <c:v>Kim ngạch xuất khẩu</c:v>
                </c:pt>
              </c:strCache>
            </c:strRef>
          </c:tx>
          <c:spPr>
            <a:ln w="28575" cap="rnd">
              <a:solidFill>
                <a:schemeClr val="accent1"/>
              </a:solidFill>
              <a:round/>
            </a:ln>
            <a:effectLst/>
          </c:spPr>
          <c:marker>
            <c:symbol val="none"/>
          </c:marker>
          <c:cat>
            <c:numRef>
              <c:f>Sheet1!$C$58:$G$58</c:f>
              <c:numCache>
                <c:formatCode>General</c:formatCode>
                <c:ptCount val="5"/>
                <c:pt idx="0">
                  <c:v>2020</c:v>
                </c:pt>
                <c:pt idx="1">
                  <c:v>2021</c:v>
                </c:pt>
                <c:pt idx="2">
                  <c:v>2022</c:v>
                </c:pt>
                <c:pt idx="3">
                  <c:v>2023</c:v>
                </c:pt>
                <c:pt idx="4">
                  <c:v>2024</c:v>
                </c:pt>
              </c:numCache>
            </c:numRef>
          </c:cat>
          <c:val>
            <c:numRef>
              <c:f>Sheet1!$C$59:$G$59</c:f>
              <c:numCache>
                <c:formatCode>General</c:formatCode>
                <c:ptCount val="5"/>
                <c:pt idx="0">
                  <c:v>1200</c:v>
                </c:pt>
                <c:pt idx="1">
                  <c:v>2000</c:v>
                </c:pt>
                <c:pt idx="2">
                  <c:v>1800.3</c:v>
                </c:pt>
                <c:pt idx="3">
                  <c:v>2444.6</c:v>
                </c:pt>
                <c:pt idx="4">
                  <c:v>2400</c:v>
                </c:pt>
              </c:numCache>
            </c:numRef>
          </c:val>
          <c:smooth val="0"/>
          <c:extLst>
            <c:ext xmlns:c16="http://schemas.microsoft.com/office/drawing/2014/chart" uri="{C3380CC4-5D6E-409C-BE32-E72D297353CC}">
              <c16:uniqueId val="{00000000-7AC6-4B3A-9B26-8A66255AAD89}"/>
            </c:ext>
          </c:extLst>
        </c:ser>
        <c:ser>
          <c:idx val="1"/>
          <c:order val="1"/>
          <c:tx>
            <c:strRef>
              <c:f>Sheet1!$B$60</c:f>
              <c:strCache>
                <c:ptCount val="1"/>
                <c:pt idx="0">
                  <c:v>Kim ngạch nhập khẩu</c:v>
                </c:pt>
              </c:strCache>
            </c:strRef>
          </c:tx>
          <c:spPr>
            <a:ln w="28575" cap="rnd">
              <a:solidFill>
                <a:schemeClr val="accent2"/>
              </a:solidFill>
              <a:round/>
            </a:ln>
            <a:effectLst/>
          </c:spPr>
          <c:marker>
            <c:symbol val="none"/>
          </c:marker>
          <c:cat>
            <c:numRef>
              <c:f>Sheet1!$C$58:$G$58</c:f>
              <c:numCache>
                <c:formatCode>General</c:formatCode>
                <c:ptCount val="5"/>
                <c:pt idx="0">
                  <c:v>2020</c:v>
                </c:pt>
                <c:pt idx="1">
                  <c:v>2021</c:v>
                </c:pt>
                <c:pt idx="2">
                  <c:v>2022</c:v>
                </c:pt>
                <c:pt idx="3">
                  <c:v>2023</c:v>
                </c:pt>
                <c:pt idx="4">
                  <c:v>2024</c:v>
                </c:pt>
              </c:numCache>
            </c:numRef>
          </c:cat>
          <c:val>
            <c:numRef>
              <c:f>Sheet1!$C$60:$G$60</c:f>
              <c:numCache>
                <c:formatCode>General</c:formatCode>
                <c:ptCount val="5"/>
                <c:pt idx="0">
                  <c:v>2200</c:v>
                </c:pt>
                <c:pt idx="1">
                  <c:v>3300</c:v>
                </c:pt>
                <c:pt idx="2">
                  <c:v>3400.44</c:v>
                </c:pt>
                <c:pt idx="3">
                  <c:v>3623.4</c:v>
                </c:pt>
                <c:pt idx="4">
                  <c:v>3740</c:v>
                </c:pt>
              </c:numCache>
            </c:numRef>
          </c:val>
          <c:smooth val="0"/>
          <c:extLst>
            <c:ext xmlns:c16="http://schemas.microsoft.com/office/drawing/2014/chart" uri="{C3380CC4-5D6E-409C-BE32-E72D297353CC}">
              <c16:uniqueId val="{00000001-7AC6-4B3A-9B26-8A66255AAD89}"/>
            </c:ext>
          </c:extLst>
        </c:ser>
        <c:dLbls>
          <c:showLegendKey val="0"/>
          <c:showVal val="0"/>
          <c:showCatName val="0"/>
          <c:showSerName val="0"/>
          <c:showPercent val="0"/>
          <c:showBubbleSize val="0"/>
        </c:dLbls>
        <c:smooth val="0"/>
        <c:axId val="1688831984"/>
        <c:axId val="1688833904"/>
      </c:lineChart>
      <c:catAx>
        <c:axId val="16888319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88833904"/>
        <c:crosses val="autoZero"/>
        <c:auto val="1"/>
        <c:lblAlgn val="ctr"/>
        <c:lblOffset val="100"/>
        <c:noMultiLvlLbl val="0"/>
      </c:catAx>
      <c:valAx>
        <c:axId val="1688833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6888319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5552630053735396E-3"/>
          <c:y val="0.1485608509462632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0991193135558369E-2"/>
          <c:y val="3.7037740972033668E-2"/>
          <c:w val="0.93021684592265086"/>
          <c:h val="0.61269910291064367"/>
        </c:manualLayout>
      </c:layout>
      <c:barChart>
        <c:barDir val="col"/>
        <c:grouping val="clustered"/>
        <c:varyColors val="0"/>
        <c:ser>
          <c:idx val="0"/>
          <c:order val="0"/>
          <c:tx>
            <c:strRef>
              <c:f>Coliform!$D$5</c:f>
              <c:strCache>
                <c:ptCount val="1"/>
                <c:pt idx="0">
                  <c:v>2021</c:v>
                </c:pt>
              </c:strCache>
            </c:strRef>
          </c:tx>
          <c:spPr>
            <a:solidFill>
              <a:schemeClr val="accent1"/>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Coliform!$D$6:$D$21</c:f>
              <c:numCache>
                <c:formatCode>General</c:formatCode>
                <c:ptCount val="16"/>
                <c:pt idx="0">
                  <c:v>28</c:v>
                </c:pt>
                <c:pt idx="1">
                  <c:v>12</c:v>
                </c:pt>
                <c:pt idx="2">
                  <c:v>24</c:v>
                </c:pt>
                <c:pt idx="3">
                  <c:v>32</c:v>
                </c:pt>
                <c:pt idx="4">
                  <c:v>4.75</c:v>
                </c:pt>
                <c:pt idx="5">
                  <c:v>7.25</c:v>
                </c:pt>
                <c:pt idx="6">
                  <c:v>60.5</c:v>
                </c:pt>
                <c:pt idx="7">
                  <c:v>14.5</c:v>
                </c:pt>
                <c:pt idx="8">
                  <c:v>14.5</c:v>
                </c:pt>
                <c:pt idx="9">
                  <c:v>9.5</c:v>
                </c:pt>
                <c:pt idx="10">
                  <c:v>65.25</c:v>
                </c:pt>
                <c:pt idx="11">
                  <c:v>11.75</c:v>
                </c:pt>
                <c:pt idx="12">
                  <c:v>87.25</c:v>
                </c:pt>
                <c:pt idx="13">
                  <c:v>35</c:v>
                </c:pt>
                <c:pt idx="14">
                  <c:v>2.25</c:v>
                </c:pt>
                <c:pt idx="15">
                  <c:v>2.75</c:v>
                </c:pt>
              </c:numCache>
            </c:numRef>
          </c:val>
          <c:extLst>
            <c:ext xmlns:c16="http://schemas.microsoft.com/office/drawing/2014/chart" uri="{C3380CC4-5D6E-409C-BE32-E72D297353CC}">
              <c16:uniqueId val="{00000000-A1CC-49A6-83CE-9FB4DE1425E9}"/>
            </c:ext>
          </c:extLst>
        </c:ser>
        <c:ser>
          <c:idx val="1"/>
          <c:order val="1"/>
          <c:tx>
            <c:strRef>
              <c:f>Coliform!$E$5</c:f>
              <c:strCache>
                <c:ptCount val="1"/>
                <c:pt idx="0">
                  <c:v>2022</c:v>
                </c:pt>
              </c:strCache>
            </c:strRef>
          </c:tx>
          <c:spPr>
            <a:solidFill>
              <a:schemeClr val="accent2"/>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Coliform!$E$6:$E$21</c:f>
              <c:numCache>
                <c:formatCode>General</c:formatCode>
                <c:ptCount val="16"/>
                <c:pt idx="0">
                  <c:v>7.3250000000000002</c:v>
                </c:pt>
                <c:pt idx="1">
                  <c:v>9.35</c:v>
                </c:pt>
                <c:pt idx="2">
                  <c:v>68.224999999999994</c:v>
                </c:pt>
                <c:pt idx="3">
                  <c:v>9.25</c:v>
                </c:pt>
                <c:pt idx="4">
                  <c:v>11.7</c:v>
                </c:pt>
                <c:pt idx="5">
                  <c:v>126.5</c:v>
                </c:pt>
                <c:pt idx="6">
                  <c:v>15.225</c:v>
                </c:pt>
                <c:pt idx="7">
                  <c:v>18.5</c:v>
                </c:pt>
                <c:pt idx="8">
                  <c:v>2.4500000000000002</c:v>
                </c:pt>
                <c:pt idx="9">
                  <c:v>64.25</c:v>
                </c:pt>
                <c:pt idx="10">
                  <c:v>21.4</c:v>
                </c:pt>
                <c:pt idx="11">
                  <c:v>66.25</c:v>
                </c:pt>
                <c:pt idx="12">
                  <c:v>93.4</c:v>
                </c:pt>
                <c:pt idx="13">
                  <c:v>68.775000000000006</c:v>
                </c:pt>
                <c:pt idx="14">
                  <c:v>3.25</c:v>
                </c:pt>
                <c:pt idx="15">
                  <c:v>28</c:v>
                </c:pt>
              </c:numCache>
            </c:numRef>
          </c:val>
          <c:extLst>
            <c:ext xmlns:c16="http://schemas.microsoft.com/office/drawing/2014/chart" uri="{C3380CC4-5D6E-409C-BE32-E72D297353CC}">
              <c16:uniqueId val="{00000001-A1CC-49A6-83CE-9FB4DE1425E9}"/>
            </c:ext>
          </c:extLst>
        </c:ser>
        <c:ser>
          <c:idx val="2"/>
          <c:order val="2"/>
          <c:tx>
            <c:strRef>
              <c:f>Coliform!$F$5</c:f>
              <c:strCache>
                <c:ptCount val="1"/>
                <c:pt idx="0">
                  <c:v>2023</c:v>
                </c:pt>
              </c:strCache>
            </c:strRef>
          </c:tx>
          <c:spPr>
            <a:solidFill>
              <a:schemeClr val="accent3"/>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Coliform!$F$6:$F$21</c:f>
              <c:numCache>
                <c:formatCode>General</c:formatCode>
                <c:ptCount val="16"/>
                <c:pt idx="0">
                  <c:v>138</c:v>
                </c:pt>
                <c:pt idx="1">
                  <c:v>73.7</c:v>
                </c:pt>
                <c:pt idx="2">
                  <c:v>133</c:v>
                </c:pt>
                <c:pt idx="3">
                  <c:v>68.75</c:v>
                </c:pt>
                <c:pt idx="4">
                  <c:v>27.5</c:v>
                </c:pt>
                <c:pt idx="5">
                  <c:v>184.5</c:v>
                </c:pt>
                <c:pt idx="6">
                  <c:v>21.5</c:v>
                </c:pt>
                <c:pt idx="7">
                  <c:v>67.3</c:v>
                </c:pt>
                <c:pt idx="8">
                  <c:v>15.65</c:v>
                </c:pt>
                <c:pt idx="9">
                  <c:v>167.5</c:v>
                </c:pt>
                <c:pt idx="10">
                  <c:v>45.75</c:v>
                </c:pt>
                <c:pt idx="11">
                  <c:v>71.525000000000006</c:v>
                </c:pt>
                <c:pt idx="12">
                  <c:v>150</c:v>
                </c:pt>
                <c:pt idx="13">
                  <c:v>147.25</c:v>
                </c:pt>
                <c:pt idx="14">
                  <c:v>102.27500000000001</c:v>
                </c:pt>
                <c:pt idx="15">
                  <c:v>12.5</c:v>
                </c:pt>
              </c:numCache>
            </c:numRef>
          </c:val>
          <c:extLst>
            <c:ext xmlns:c16="http://schemas.microsoft.com/office/drawing/2014/chart" uri="{C3380CC4-5D6E-409C-BE32-E72D297353CC}">
              <c16:uniqueId val="{00000002-A1CC-49A6-83CE-9FB4DE1425E9}"/>
            </c:ext>
          </c:extLst>
        </c:ser>
        <c:ser>
          <c:idx val="3"/>
          <c:order val="3"/>
          <c:tx>
            <c:strRef>
              <c:f>Coliform!$G$5</c:f>
              <c:strCache>
                <c:ptCount val="1"/>
                <c:pt idx="0">
                  <c:v>2024</c:v>
                </c:pt>
              </c:strCache>
            </c:strRef>
          </c:tx>
          <c:spPr>
            <a:solidFill>
              <a:schemeClr val="accent4"/>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Coliform!$G$6:$G$21</c:f>
              <c:numCache>
                <c:formatCode>General</c:formatCode>
                <c:ptCount val="16"/>
                <c:pt idx="0">
                  <c:v>108</c:v>
                </c:pt>
                <c:pt idx="1">
                  <c:v>11.75</c:v>
                </c:pt>
                <c:pt idx="2">
                  <c:v>195</c:v>
                </c:pt>
                <c:pt idx="3">
                  <c:v>13.275</c:v>
                </c:pt>
                <c:pt idx="4">
                  <c:v>97.25</c:v>
                </c:pt>
                <c:pt idx="5">
                  <c:v>15.5</c:v>
                </c:pt>
                <c:pt idx="6">
                  <c:v>126.25</c:v>
                </c:pt>
                <c:pt idx="7">
                  <c:v>63</c:v>
                </c:pt>
                <c:pt idx="8">
                  <c:v>163.5</c:v>
                </c:pt>
                <c:pt idx="9">
                  <c:v>68.7</c:v>
                </c:pt>
                <c:pt idx="10">
                  <c:v>13.75</c:v>
                </c:pt>
                <c:pt idx="11">
                  <c:v>15.5</c:v>
                </c:pt>
                <c:pt idx="12">
                  <c:v>74.5</c:v>
                </c:pt>
                <c:pt idx="13">
                  <c:v>8.2249999999999996</c:v>
                </c:pt>
                <c:pt idx="14">
                  <c:v>81.75</c:v>
                </c:pt>
                <c:pt idx="15">
                  <c:v>10.324999999999999</c:v>
                </c:pt>
              </c:numCache>
            </c:numRef>
          </c:val>
          <c:extLst>
            <c:ext xmlns:c16="http://schemas.microsoft.com/office/drawing/2014/chart" uri="{C3380CC4-5D6E-409C-BE32-E72D297353CC}">
              <c16:uniqueId val="{00000003-A1CC-49A6-83CE-9FB4DE1425E9}"/>
            </c:ext>
          </c:extLst>
        </c:ser>
        <c:ser>
          <c:idx val="4"/>
          <c:order val="4"/>
          <c:tx>
            <c:strRef>
              <c:f>Coliform!$H$5</c:f>
              <c:strCache>
                <c:ptCount val="1"/>
                <c:pt idx="0">
                  <c:v>2025</c:v>
                </c:pt>
              </c:strCache>
            </c:strRef>
          </c:tx>
          <c:spPr>
            <a:solidFill>
              <a:schemeClr val="accent5"/>
            </a:solidFill>
            <a:ln>
              <a:noFill/>
            </a:ln>
            <a:effectLst/>
          </c:spPr>
          <c:invertIfNegative val="0"/>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Coliform!$H$6:$H$21</c:f>
              <c:numCache>
                <c:formatCode>General</c:formatCode>
                <c:ptCount val="16"/>
                <c:pt idx="0">
                  <c:v>33</c:v>
                </c:pt>
                <c:pt idx="1">
                  <c:v>17</c:v>
                </c:pt>
                <c:pt idx="2">
                  <c:v>1.8</c:v>
                </c:pt>
                <c:pt idx="3">
                  <c:v>6</c:v>
                </c:pt>
                <c:pt idx="4">
                  <c:v>20</c:v>
                </c:pt>
                <c:pt idx="5">
                  <c:v>49</c:v>
                </c:pt>
                <c:pt idx="6">
                  <c:v>1.8</c:v>
                </c:pt>
                <c:pt idx="7">
                  <c:v>21</c:v>
                </c:pt>
                <c:pt idx="8">
                  <c:v>26</c:v>
                </c:pt>
                <c:pt idx="9">
                  <c:v>49</c:v>
                </c:pt>
                <c:pt idx="10">
                  <c:v>10</c:v>
                </c:pt>
                <c:pt idx="11">
                  <c:v>1.8</c:v>
                </c:pt>
                <c:pt idx="12">
                  <c:v>26</c:v>
                </c:pt>
                <c:pt idx="13">
                  <c:v>4</c:v>
                </c:pt>
                <c:pt idx="14">
                  <c:v>10</c:v>
                </c:pt>
                <c:pt idx="15">
                  <c:v>9.1999999999999993</c:v>
                </c:pt>
              </c:numCache>
            </c:numRef>
          </c:val>
          <c:extLst>
            <c:ext xmlns:c16="http://schemas.microsoft.com/office/drawing/2014/chart" uri="{C3380CC4-5D6E-409C-BE32-E72D297353CC}">
              <c16:uniqueId val="{00000004-A1CC-49A6-83CE-9FB4DE1425E9}"/>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Coliform!$I$5</c:f>
              <c:strCache>
                <c:ptCount val="1"/>
                <c:pt idx="0">
                  <c:v>Quy chuẩn đánh giá </c:v>
                </c:pt>
              </c:strCache>
            </c:strRef>
          </c:tx>
          <c:spPr>
            <a:ln w="22225" cap="rnd">
              <a:solidFill>
                <a:schemeClr val="accent6"/>
              </a:solidFill>
              <a:round/>
            </a:ln>
            <a:effectLst/>
          </c:spPr>
          <c:marker>
            <c:symbol val="none"/>
          </c:marker>
          <c:cat>
            <c:strRef>
              <c:f>Coliform!$C$6:$C$21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Coliform!$I$6:$I$21</c:f>
              <c:numCache>
                <c:formatCode>General</c:formatCode>
                <c:ptCount val="16"/>
                <c:pt idx="0">
                  <c:v>3</c:v>
                </c:pt>
                <c:pt idx="1">
                  <c:v>3</c:v>
                </c:pt>
                <c:pt idx="2">
                  <c:v>3</c:v>
                </c:pt>
                <c:pt idx="3">
                  <c:v>3</c:v>
                </c:pt>
                <c:pt idx="4">
                  <c:v>3</c:v>
                </c:pt>
                <c:pt idx="5">
                  <c:v>3</c:v>
                </c:pt>
                <c:pt idx="6">
                  <c:v>3</c:v>
                </c:pt>
                <c:pt idx="7">
                  <c:v>3</c:v>
                </c:pt>
                <c:pt idx="8">
                  <c:v>3</c:v>
                </c:pt>
                <c:pt idx="9">
                  <c:v>3</c:v>
                </c:pt>
                <c:pt idx="10">
                  <c:v>3</c:v>
                </c:pt>
                <c:pt idx="11">
                  <c:v>3</c:v>
                </c:pt>
                <c:pt idx="12">
                  <c:v>3</c:v>
                </c:pt>
                <c:pt idx="13">
                  <c:v>3</c:v>
                </c:pt>
                <c:pt idx="14">
                  <c:v>3</c:v>
                </c:pt>
                <c:pt idx="15">
                  <c:v>3</c:v>
                </c:pt>
              </c:numCache>
            </c:numRef>
          </c:val>
          <c:smooth val="0"/>
          <c:extLst>
            <c:ext xmlns:c16="http://schemas.microsoft.com/office/drawing/2014/chart" uri="{C3380CC4-5D6E-409C-BE32-E72D297353CC}">
              <c16:uniqueId val="{00000005-A1CC-49A6-83CE-9FB4DE1425E9}"/>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20"/>
      </c:valAx>
      <c:spPr>
        <a:noFill/>
        <a:ln>
          <a:noFill/>
        </a:ln>
        <a:effectLst/>
      </c:spPr>
    </c:plotArea>
    <c:legend>
      <c:legendPos val="b"/>
      <c:layout>
        <c:manualLayout>
          <c:xMode val="edge"/>
          <c:yMode val="edge"/>
          <c:x val="5.9633981083594835E-2"/>
          <c:y val="0.89770594465165543"/>
          <c:w val="0.869515663854321"/>
          <c:h val="7.422387990974811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9844775692348E-4"/>
          <c:y val="0.238800853018372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8699549348784234E-2"/>
          <c:y val="3.9336286089238844E-2"/>
          <c:w val="0.92884541947979771"/>
          <c:h val="0.61547260033791318"/>
        </c:manualLayout>
      </c:layout>
      <c:barChart>
        <c:barDir val="col"/>
        <c:grouping val="clustered"/>
        <c:varyColors val="0"/>
        <c:ser>
          <c:idx val="0"/>
          <c:order val="0"/>
          <c:tx>
            <c:strRef>
              <c:f>Nitrat!$D$5</c:f>
              <c:strCache>
                <c:ptCount val="1"/>
                <c:pt idx="0">
                  <c:v>2021</c:v>
                </c:pt>
              </c:strCache>
            </c:strRef>
          </c:tx>
          <c:spPr>
            <a:solidFill>
              <a:schemeClr val="accent1"/>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Nitrat!$D$6:$D$21</c:f>
              <c:numCache>
                <c:formatCode>General</c:formatCode>
                <c:ptCount val="16"/>
                <c:pt idx="0">
                  <c:v>0.92749999999999999</c:v>
                </c:pt>
                <c:pt idx="1">
                  <c:v>1.0225</c:v>
                </c:pt>
                <c:pt idx="2">
                  <c:v>5.6325000000000003</c:v>
                </c:pt>
                <c:pt idx="3">
                  <c:v>9.49</c:v>
                </c:pt>
                <c:pt idx="4">
                  <c:v>5.3775000000000004</c:v>
                </c:pt>
                <c:pt idx="5">
                  <c:v>1.0074999999999998</c:v>
                </c:pt>
                <c:pt idx="6">
                  <c:v>2.2999999999999998</c:v>
                </c:pt>
                <c:pt idx="7">
                  <c:v>13.9</c:v>
                </c:pt>
                <c:pt idx="8">
                  <c:v>2.25</c:v>
                </c:pt>
                <c:pt idx="9">
                  <c:v>0.08</c:v>
                </c:pt>
                <c:pt idx="10">
                  <c:v>8.2750000000000004</c:v>
                </c:pt>
                <c:pt idx="11">
                  <c:v>24.25</c:v>
                </c:pt>
                <c:pt idx="12">
                  <c:v>1.1850000000000001</c:v>
                </c:pt>
                <c:pt idx="13">
                  <c:v>2.5849999999999995</c:v>
                </c:pt>
                <c:pt idx="14">
                  <c:v>0.9</c:v>
                </c:pt>
                <c:pt idx="15">
                  <c:v>8.5</c:v>
                </c:pt>
              </c:numCache>
            </c:numRef>
          </c:val>
          <c:extLst>
            <c:ext xmlns:c16="http://schemas.microsoft.com/office/drawing/2014/chart" uri="{C3380CC4-5D6E-409C-BE32-E72D297353CC}">
              <c16:uniqueId val="{00000000-2D3F-46AC-A631-FE16E71F9A44}"/>
            </c:ext>
          </c:extLst>
        </c:ser>
        <c:ser>
          <c:idx val="1"/>
          <c:order val="1"/>
          <c:tx>
            <c:strRef>
              <c:f>Nitrat!$E$5</c:f>
              <c:strCache>
                <c:ptCount val="1"/>
                <c:pt idx="0">
                  <c:v>2022</c:v>
                </c:pt>
              </c:strCache>
            </c:strRef>
          </c:tx>
          <c:spPr>
            <a:solidFill>
              <a:schemeClr val="accent2"/>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Nitrat!$E$6:$E$21</c:f>
              <c:numCache>
                <c:formatCode>General</c:formatCode>
                <c:ptCount val="16"/>
                <c:pt idx="0">
                  <c:v>1.0674999999999999</c:v>
                </c:pt>
                <c:pt idx="1">
                  <c:v>0.1525</c:v>
                </c:pt>
                <c:pt idx="2">
                  <c:v>8.1</c:v>
                </c:pt>
                <c:pt idx="3">
                  <c:v>7.45</c:v>
                </c:pt>
                <c:pt idx="4">
                  <c:v>8.625</c:v>
                </c:pt>
                <c:pt idx="5">
                  <c:v>5.8000000000000007</c:v>
                </c:pt>
                <c:pt idx="6">
                  <c:v>4.2500000000000003E-2</c:v>
                </c:pt>
                <c:pt idx="7">
                  <c:v>11.625</c:v>
                </c:pt>
                <c:pt idx="8">
                  <c:v>1.3474999999999999</c:v>
                </c:pt>
                <c:pt idx="9">
                  <c:v>7.0000000000000007E-2</c:v>
                </c:pt>
                <c:pt idx="10">
                  <c:v>3.9000000000000004</c:v>
                </c:pt>
                <c:pt idx="11">
                  <c:v>11.925000000000001</c:v>
                </c:pt>
                <c:pt idx="12">
                  <c:v>1.115</c:v>
                </c:pt>
                <c:pt idx="13">
                  <c:v>0.3075</c:v>
                </c:pt>
                <c:pt idx="14">
                  <c:v>0.76749999999999996</c:v>
                </c:pt>
                <c:pt idx="15">
                  <c:v>8.8249999999999993</c:v>
                </c:pt>
              </c:numCache>
            </c:numRef>
          </c:val>
          <c:extLst>
            <c:ext xmlns:c16="http://schemas.microsoft.com/office/drawing/2014/chart" uri="{C3380CC4-5D6E-409C-BE32-E72D297353CC}">
              <c16:uniqueId val="{00000001-2D3F-46AC-A631-FE16E71F9A44}"/>
            </c:ext>
          </c:extLst>
        </c:ser>
        <c:ser>
          <c:idx val="2"/>
          <c:order val="2"/>
          <c:tx>
            <c:strRef>
              <c:f>Nitrat!$F$5</c:f>
              <c:strCache>
                <c:ptCount val="1"/>
                <c:pt idx="0">
                  <c:v>2023</c:v>
                </c:pt>
              </c:strCache>
            </c:strRef>
          </c:tx>
          <c:spPr>
            <a:solidFill>
              <a:schemeClr val="accent3"/>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Nitrat!$F$6:$F$21</c:f>
              <c:numCache>
                <c:formatCode>General</c:formatCode>
                <c:ptCount val="16"/>
                <c:pt idx="0">
                  <c:v>1.1525000000000001</c:v>
                </c:pt>
                <c:pt idx="1">
                  <c:v>0.19500000000000001</c:v>
                </c:pt>
                <c:pt idx="2">
                  <c:v>20.575000000000003</c:v>
                </c:pt>
                <c:pt idx="3">
                  <c:v>6.5449999999999999</c:v>
                </c:pt>
                <c:pt idx="4">
                  <c:v>6.15</c:v>
                </c:pt>
                <c:pt idx="5">
                  <c:v>5.1624999999999996</c:v>
                </c:pt>
                <c:pt idx="6">
                  <c:v>0.22999999999999998</c:v>
                </c:pt>
                <c:pt idx="7">
                  <c:v>14.875</c:v>
                </c:pt>
                <c:pt idx="8">
                  <c:v>0.57250000000000001</c:v>
                </c:pt>
                <c:pt idx="9">
                  <c:v>1.1324999999999998</c:v>
                </c:pt>
                <c:pt idx="10">
                  <c:v>4.21</c:v>
                </c:pt>
                <c:pt idx="11">
                  <c:v>21</c:v>
                </c:pt>
                <c:pt idx="12">
                  <c:v>1.2524999999999999</c:v>
                </c:pt>
                <c:pt idx="13">
                  <c:v>0.14000000000000001</c:v>
                </c:pt>
                <c:pt idx="14">
                  <c:v>0.9900000000000001</c:v>
                </c:pt>
                <c:pt idx="15">
                  <c:v>6.1899999999999995</c:v>
                </c:pt>
              </c:numCache>
            </c:numRef>
          </c:val>
          <c:extLst>
            <c:ext xmlns:c16="http://schemas.microsoft.com/office/drawing/2014/chart" uri="{C3380CC4-5D6E-409C-BE32-E72D297353CC}">
              <c16:uniqueId val="{00000002-2D3F-46AC-A631-FE16E71F9A44}"/>
            </c:ext>
          </c:extLst>
        </c:ser>
        <c:ser>
          <c:idx val="3"/>
          <c:order val="3"/>
          <c:tx>
            <c:strRef>
              <c:f>Nitrat!$G$5</c:f>
              <c:strCache>
                <c:ptCount val="1"/>
                <c:pt idx="0">
                  <c:v>2024</c:v>
                </c:pt>
              </c:strCache>
            </c:strRef>
          </c:tx>
          <c:spPr>
            <a:solidFill>
              <a:schemeClr val="accent4"/>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Nitrat!$G$6:$G$21</c:f>
              <c:numCache>
                <c:formatCode>General</c:formatCode>
                <c:ptCount val="16"/>
                <c:pt idx="0">
                  <c:v>1.7075</c:v>
                </c:pt>
                <c:pt idx="1">
                  <c:v>2.42</c:v>
                </c:pt>
                <c:pt idx="2">
                  <c:v>22.475000000000001</c:v>
                </c:pt>
                <c:pt idx="3">
                  <c:v>6.2225000000000001</c:v>
                </c:pt>
                <c:pt idx="4">
                  <c:v>5.0775000000000006</c:v>
                </c:pt>
                <c:pt idx="5">
                  <c:v>6.01</c:v>
                </c:pt>
                <c:pt idx="6">
                  <c:v>0.05</c:v>
                </c:pt>
                <c:pt idx="7">
                  <c:v>10.545</c:v>
                </c:pt>
                <c:pt idx="8">
                  <c:v>2.0324999999999998</c:v>
                </c:pt>
                <c:pt idx="9">
                  <c:v>2.9324999999999997</c:v>
                </c:pt>
                <c:pt idx="10">
                  <c:v>7.6225000000000005</c:v>
                </c:pt>
                <c:pt idx="11">
                  <c:v>7.68</c:v>
                </c:pt>
                <c:pt idx="12">
                  <c:v>2.4</c:v>
                </c:pt>
                <c:pt idx="13">
                  <c:v>0.09</c:v>
                </c:pt>
                <c:pt idx="14">
                  <c:v>0.75</c:v>
                </c:pt>
                <c:pt idx="15">
                  <c:v>4.17</c:v>
                </c:pt>
              </c:numCache>
            </c:numRef>
          </c:val>
          <c:extLst>
            <c:ext xmlns:c16="http://schemas.microsoft.com/office/drawing/2014/chart" uri="{C3380CC4-5D6E-409C-BE32-E72D297353CC}">
              <c16:uniqueId val="{00000003-2D3F-46AC-A631-FE16E71F9A44}"/>
            </c:ext>
          </c:extLst>
        </c:ser>
        <c:ser>
          <c:idx val="4"/>
          <c:order val="4"/>
          <c:tx>
            <c:strRef>
              <c:f>Nitrat!$H$5</c:f>
              <c:strCache>
                <c:ptCount val="1"/>
                <c:pt idx="0">
                  <c:v>2025</c:v>
                </c:pt>
              </c:strCache>
            </c:strRef>
          </c:tx>
          <c:spPr>
            <a:solidFill>
              <a:schemeClr val="accent5"/>
            </a:solidFill>
            <a:ln>
              <a:noFill/>
            </a:ln>
            <a:effectLst/>
          </c:spPr>
          <c:invertIfNegative val="0"/>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Nitrat!$H$6:$H$21</c:f>
              <c:numCache>
                <c:formatCode>General</c:formatCode>
                <c:ptCount val="16"/>
                <c:pt idx="0">
                  <c:v>0.15</c:v>
                </c:pt>
                <c:pt idx="1">
                  <c:v>0.15</c:v>
                </c:pt>
                <c:pt idx="2">
                  <c:v>11.2</c:v>
                </c:pt>
                <c:pt idx="3">
                  <c:v>0.82</c:v>
                </c:pt>
                <c:pt idx="4">
                  <c:v>8.2200000000000006</c:v>
                </c:pt>
                <c:pt idx="5">
                  <c:v>5.05</c:v>
                </c:pt>
                <c:pt idx="6">
                  <c:v>0.31</c:v>
                </c:pt>
                <c:pt idx="7">
                  <c:v>12.9</c:v>
                </c:pt>
                <c:pt idx="8">
                  <c:v>0.15</c:v>
                </c:pt>
                <c:pt idx="9">
                  <c:v>0.54</c:v>
                </c:pt>
                <c:pt idx="10">
                  <c:v>0.79</c:v>
                </c:pt>
                <c:pt idx="11">
                  <c:v>0.26</c:v>
                </c:pt>
                <c:pt idx="12">
                  <c:v>0.21</c:v>
                </c:pt>
                <c:pt idx="13">
                  <c:v>0.26</c:v>
                </c:pt>
                <c:pt idx="14">
                  <c:v>0.65</c:v>
                </c:pt>
                <c:pt idx="15">
                  <c:v>8.73</c:v>
                </c:pt>
              </c:numCache>
            </c:numRef>
          </c:val>
          <c:extLst>
            <c:ext xmlns:c16="http://schemas.microsoft.com/office/drawing/2014/chart" uri="{C3380CC4-5D6E-409C-BE32-E72D297353CC}">
              <c16:uniqueId val="{00000004-2D3F-46AC-A631-FE16E71F9A44}"/>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Nitrat!$I$5</c:f>
              <c:strCache>
                <c:ptCount val="1"/>
                <c:pt idx="0">
                  <c:v>Quy chuẩn đánh giá</c:v>
                </c:pt>
              </c:strCache>
            </c:strRef>
          </c:tx>
          <c:spPr>
            <a:ln w="22225" cap="rnd">
              <a:solidFill>
                <a:schemeClr val="accent6"/>
              </a:solidFill>
              <a:round/>
            </a:ln>
            <a:effectLst/>
          </c:spPr>
          <c:marker>
            <c:symbol val="none"/>
          </c:marker>
          <c:cat>
            <c:strRef>
              <c:f>Nitrat!$C$6:$C$21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Nitrat!$I$6:$I$21</c:f>
              <c:numCache>
                <c:formatCode>General</c:formatCode>
                <c:ptCount val="16"/>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numCache>
            </c:numRef>
          </c:val>
          <c:smooth val="0"/>
          <c:extLst>
            <c:ext xmlns:c16="http://schemas.microsoft.com/office/drawing/2014/chart" uri="{C3380CC4-5D6E-409C-BE32-E72D297353CC}">
              <c16:uniqueId val="{00000005-2D3F-46AC-A631-FE16E71F9A44}"/>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5"/>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2.5"/>
      </c:valAx>
      <c:spPr>
        <a:noFill/>
        <a:ln>
          <a:noFill/>
        </a:ln>
        <a:effectLst/>
      </c:spPr>
    </c:plotArea>
    <c:legend>
      <c:legendPos val="b"/>
      <c:layout>
        <c:manualLayout>
          <c:xMode val="edge"/>
          <c:yMode val="edge"/>
          <c:x val="7.6954500184332308E-2"/>
          <c:y val="0.90468700787401579"/>
          <c:w val="0.85307900977786588"/>
          <c:h val="7.0312992125984256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solidFill>
                  <a:schemeClr val="tx1"/>
                </a:solidFill>
              </a:rPr>
              <a:t>(mg/l)</a:t>
            </a:r>
          </a:p>
        </c:rich>
      </c:tx>
      <c:layout>
        <c:manualLayout>
          <c:xMode val="edge"/>
          <c:yMode val="edge"/>
          <c:x val="4.3638071556844869E-3"/>
          <c:y val="0.2080683496613536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0203177234424641E-2"/>
          <c:y val="3.4171369933299126E-2"/>
          <c:w val="0.93837789749965461"/>
          <c:h val="0.57333100291376193"/>
        </c:manualLayout>
      </c:layout>
      <c:barChart>
        <c:barDir val="col"/>
        <c:grouping val="clustered"/>
        <c:varyColors val="0"/>
        <c:ser>
          <c:idx val="0"/>
          <c:order val="0"/>
          <c:tx>
            <c:strRef>
              <c:f>Amoni!$D$5</c:f>
              <c:strCache>
                <c:ptCount val="1"/>
                <c:pt idx="0">
                  <c:v>2021</c:v>
                </c:pt>
              </c:strCache>
            </c:strRef>
          </c:tx>
          <c:spPr>
            <a:solidFill>
              <a:schemeClr val="accent1"/>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Amoni!$D$6:$D$21</c:f>
              <c:numCache>
                <c:formatCode>General</c:formatCode>
                <c:ptCount val="16"/>
                <c:pt idx="0">
                  <c:v>1.1499999999999999</c:v>
                </c:pt>
                <c:pt idx="1">
                  <c:v>2.5249999999999999</c:v>
                </c:pt>
                <c:pt idx="2">
                  <c:v>0.05</c:v>
                </c:pt>
                <c:pt idx="3">
                  <c:v>0.05</c:v>
                </c:pt>
                <c:pt idx="4">
                  <c:v>0.1</c:v>
                </c:pt>
                <c:pt idx="5">
                  <c:v>2.5000000000000001E-2</c:v>
                </c:pt>
                <c:pt idx="6">
                  <c:v>0.25</c:v>
                </c:pt>
                <c:pt idx="7">
                  <c:v>0.05</c:v>
                </c:pt>
                <c:pt idx="8">
                  <c:v>2.5000000000000001E-2</c:v>
                </c:pt>
                <c:pt idx="9">
                  <c:v>0.78</c:v>
                </c:pt>
                <c:pt idx="10">
                  <c:v>0.1</c:v>
                </c:pt>
                <c:pt idx="11">
                  <c:v>6.0024999999999995</c:v>
                </c:pt>
                <c:pt idx="12">
                  <c:v>0.1</c:v>
                </c:pt>
                <c:pt idx="13">
                  <c:v>0.12250000000000001</c:v>
                </c:pt>
                <c:pt idx="14">
                  <c:v>0.05</c:v>
                </c:pt>
                <c:pt idx="15">
                  <c:v>0.11749999999999999</c:v>
                </c:pt>
              </c:numCache>
            </c:numRef>
          </c:val>
          <c:extLst>
            <c:ext xmlns:c16="http://schemas.microsoft.com/office/drawing/2014/chart" uri="{C3380CC4-5D6E-409C-BE32-E72D297353CC}">
              <c16:uniqueId val="{00000000-C697-4F31-A399-AF701491191C}"/>
            </c:ext>
          </c:extLst>
        </c:ser>
        <c:ser>
          <c:idx val="1"/>
          <c:order val="1"/>
          <c:tx>
            <c:strRef>
              <c:f>Amoni!$E$5</c:f>
              <c:strCache>
                <c:ptCount val="1"/>
                <c:pt idx="0">
                  <c:v>2022</c:v>
                </c:pt>
              </c:strCache>
            </c:strRef>
          </c:tx>
          <c:spPr>
            <a:solidFill>
              <a:schemeClr val="accent2"/>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Amoni!$E$6:$E$21</c:f>
              <c:numCache>
                <c:formatCode>General</c:formatCode>
                <c:ptCount val="16"/>
                <c:pt idx="0">
                  <c:v>0.98750000000000004</c:v>
                </c:pt>
                <c:pt idx="1">
                  <c:v>0.42749999999999999</c:v>
                </c:pt>
                <c:pt idx="2">
                  <c:v>0.03</c:v>
                </c:pt>
                <c:pt idx="3">
                  <c:v>0.11</c:v>
                </c:pt>
                <c:pt idx="4">
                  <c:v>4.2500000000000003E-2</c:v>
                </c:pt>
                <c:pt idx="5">
                  <c:v>0.03</c:v>
                </c:pt>
                <c:pt idx="6">
                  <c:v>9.9999999999999992E-2</c:v>
                </c:pt>
                <c:pt idx="7">
                  <c:v>0.03</c:v>
                </c:pt>
                <c:pt idx="8">
                  <c:v>4.7500000000000001E-2</c:v>
                </c:pt>
                <c:pt idx="9">
                  <c:v>0.76749999999999996</c:v>
                </c:pt>
                <c:pt idx="10">
                  <c:v>0.03</c:v>
                </c:pt>
                <c:pt idx="11">
                  <c:v>11.85</c:v>
                </c:pt>
                <c:pt idx="12">
                  <c:v>1.2500000000000001E-2</c:v>
                </c:pt>
                <c:pt idx="13">
                  <c:v>0.2</c:v>
                </c:pt>
                <c:pt idx="14">
                  <c:v>0.03</c:v>
                </c:pt>
                <c:pt idx="15">
                  <c:v>0.03</c:v>
                </c:pt>
              </c:numCache>
            </c:numRef>
          </c:val>
          <c:extLst>
            <c:ext xmlns:c16="http://schemas.microsoft.com/office/drawing/2014/chart" uri="{C3380CC4-5D6E-409C-BE32-E72D297353CC}">
              <c16:uniqueId val="{00000001-C697-4F31-A399-AF701491191C}"/>
            </c:ext>
          </c:extLst>
        </c:ser>
        <c:ser>
          <c:idx val="2"/>
          <c:order val="2"/>
          <c:tx>
            <c:strRef>
              <c:f>Amoni!$F$5</c:f>
              <c:strCache>
                <c:ptCount val="1"/>
                <c:pt idx="0">
                  <c:v>2023</c:v>
                </c:pt>
              </c:strCache>
            </c:strRef>
          </c:tx>
          <c:spPr>
            <a:solidFill>
              <a:schemeClr val="accent3"/>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Amoni!$F$6:$F$21</c:f>
              <c:numCache>
                <c:formatCode>General</c:formatCode>
                <c:ptCount val="16"/>
                <c:pt idx="0">
                  <c:v>0.98499999999999999</c:v>
                </c:pt>
                <c:pt idx="1">
                  <c:v>1.0925</c:v>
                </c:pt>
                <c:pt idx="2">
                  <c:v>0.01</c:v>
                </c:pt>
                <c:pt idx="3">
                  <c:v>4.7500000000000001E-2</c:v>
                </c:pt>
                <c:pt idx="4">
                  <c:v>0.03</c:v>
                </c:pt>
                <c:pt idx="5">
                  <c:v>0.01</c:v>
                </c:pt>
                <c:pt idx="6">
                  <c:v>0.33750000000000002</c:v>
                </c:pt>
                <c:pt idx="7">
                  <c:v>0.03</c:v>
                </c:pt>
                <c:pt idx="8">
                  <c:v>0.03</c:v>
                </c:pt>
                <c:pt idx="9">
                  <c:v>0.42249999999999999</c:v>
                </c:pt>
                <c:pt idx="10">
                  <c:v>0.03</c:v>
                </c:pt>
                <c:pt idx="11">
                  <c:v>6.6700000000000008</c:v>
                </c:pt>
                <c:pt idx="12">
                  <c:v>4.7500000000000001E-2</c:v>
                </c:pt>
                <c:pt idx="13">
                  <c:v>0.10249999999999999</c:v>
                </c:pt>
                <c:pt idx="14">
                  <c:v>0.03</c:v>
                </c:pt>
                <c:pt idx="15">
                  <c:v>0.77</c:v>
                </c:pt>
              </c:numCache>
            </c:numRef>
          </c:val>
          <c:extLst>
            <c:ext xmlns:c16="http://schemas.microsoft.com/office/drawing/2014/chart" uri="{C3380CC4-5D6E-409C-BE32-E72D297353CC}">
              <c16:uniqueId val="{00000002-C697-4F31-A399-AF701491191C}"/>
            </c:ext>
          </c:extLst>
        </c:ser>
        <c:ser>
          <c:idx val="3"/>
          <c:order val="3"/>
          <c:tx>
            <c:strRef>
              <c:f>Amoni!$G$5</c:f>
              <c:strCache>
                <c:ptCount val="1"/>
                <c:pt idx="0">
                  <c:v>2024</c:v>
                </c:pt>
              </c:strCache>
            </c:strRef>
          </c:tx>
          <c:spPr>
            <a:solidFill>
              <a:schemeClr val="accent4"/>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Amoni!$G$6:$G$21</c:f>
              <c:numCache>
                <c:formatCode>General</c:formatCode>
                <c:ptCount val="16"/>
                <c:pt idx="0">
                  <c:v>1.1524999999999999</c:v>
                </c:pt>
                <c:pt idx="1">
                  <c:v>0.39500000000000002</c:v>
                </c:pt>
                <c:pt idx="2">
                  <c:v>0.52500000000000002</c:v>
                </c:pt>
                <c:pt idx="3">
                  <c:v>0.16250000000000001</c:v>
                </c:pt>
                <c:pt idx="4">
                  <c:v>1.3225</c:v>
                </c:pt>
                <c:pt idx="5">
                  <c:v>6.25E-2</c:v>
                </c:pt>
                <c:pt idx="6">
                  <c:v>0.67749999999999999</c:v>
                </c:pt>
                <c:pt idx="7">
                  <c:v>6.5000000000000002E-2</c:v>
                </c:pt>
                <c:pt idx="8">
                  <c:v>0.11749999999999999</c:v>
                </c:pt>
                <c:pt idx="9">
                  <c:v>2.5000000000000001E-2</c:v>
                </c:pt>
                <c:pt idx="10">
                  <c:v>0.15</c:v>
                </c:pt>
                <c:pt idx="11">
                  <c:v>4.3174999999999999</c:v>
                </c:pt>
                <c:pt idx="12">
                  <c:v>7.4999999999999997E-2</c:v>
                </c:pt>
                <c:pt idx="13">
                  <c:v>0.16500000000000001</c:v>
                </c:pt>
                <c:pt idx="14">
                  <c:v>1.4999999999999999E-2</c:v>
                </c:pt>
                <c:pt idx="15">
                  <c:v>0.03</c:v>
                </c:pt>
              </c:numCache>
            </c:numRef>
          </c:val>
          <c:extLst>
            <c:ext xmlns:c16="http://schemas.microsoft.com/office/drawing/2014/chart" uri="{C3380CC4-5D6E-409C-BE32-E72D297353CC}">
              <c16:uniqueId val="{00000003-C697-4F31-A399-AF701491191C}"/>
            </c:ext>
          </c:extLst>
        </c:ser>
        <c:ser>
          <c:idx val="4"/>
          <c:order val="4"/>
          <c:tx>
            <c:strRef>
              <c:f>Amoni!$H$5</c:f>
              <c:strCache>
                <c:ptCount val="1"/>
                <c:pt idx="0">
                  <c:v>2025</c:v>
                </c:pt>
              </c:strCache>
            </c:strRef>
          </c:tx>
          <c:spPr>
            <a:solidFill>
              <a:schemeClr val="accent5"/>
            </a:solidFill>
            <a:ln>
              <a:noFill/>
            </a:ln>
            <a:effectLst/>
          </c:spPr>
          <c:invertIfNegative val="0"/>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Amoni!$H$6:$H$21</c:f>
              <c:numCache>
                <c:formatCode>General</c:formatCode>
                <c:ptCount val="16"/>
                <c:pt idx="0">
                  <c:v>0.08</c:v>
                </c:pt>
                <c:pt idx="1">
                  <c:v>7.0000000000000007E-2</c:v>
                </c:pt>
                <c:pt idx="2">
                  <c:v>0.03</c:v>
                </c:pt>
                <c:pt idx="3">
                  <c:v>0.03</c:v>
                </c:pt>
                <c:pt idx="4">
                  <c:v>0.06</c:v>
                </c:pt>
                <c:pt idx="5">
                  <c:v>0.06</c:v>
                </c:pt>
                <c:pt idx="6">
                  <c:v>0.78</c:v>
                </c:pt>
                <c:pt idx="7">
                  <c:v>0.03</c:v>
                </c:pt>
                <c:pt idx="8">
                  <c:v>0.04</c:v>
                </c:pt>
                <c:pt idx="9">
                  <c:v>0.04</c:v>
                </c:pt>
                <c:pt idx="10">
                  <c:v>0.04</c:v>
                </c:pt>
                <c:pt idx="11">
                  <c:v>1.34</c:v>
                </c:pt>
                <c:pt idx="12">
                  <c:v>7.0000000000000007E-2</c:v>
                </c:pt>
                <c:pt idx="13">
                  <c:v>0.08</c:v>
                </c:pt>
                <c:pt idx="14">
                  <c:v>0.09</c:v>
                </c:pt>
                <c:pt idx="15">
                  <c:v>0.1</c:v>
                </c:pt>
              </c:numCache>
            </c:numRef>
          </c:val>
          <c:extLst>
            <c:ext xmlns:c16="http://schemas.microsoft.com/office/drawing/2014/chart" uri="{C3380CC4-5D6E-409C-BE32-E72D297353CC}">
              <c16:uniqueId val="{00000004-C697-4F31-A399-AF701491191C}"/>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Amoni!$I$5</c:f>
              <c:strCache>
                <c:ptCount val="1"/>
                <c:pt idx="0">
                  <c:v>Quy chuẩn đánh giá </c:v>
                </c:pt>
              </c:strCache>
            </c:strRef>
          </c:tx>
          <c:spPr>
            <a:ln w="22225" cap="rnd">
              <a:solidFill>
                <a:schemeClr val="accent6"/>
              </a:solidFill>
              <a:round/>
            </a:ln>
            <a:effectLst/>
          </c:spPr>
          <c:marker>
            <c:symbol val="none"/>
          </c:marker>
          <c:cat>
            <c:strRef>
              <c:f>Amoni!$C$6:$C$21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Amoni!$I$6:$I$21</c:f>
              <c:numCache>
                <c:formatCode>General</c:formatCode>
                <c:ptCount val="16"/>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numCache>
            </c:numRef>
          </c:val>
          <c:smooth val="0"/>
          <c:extLst>
            <c:ext xmlns:c16="http://schemas.microsoft.com/office/drawing/2014/chart" uri="{C3380CC4-5D6E-409C-BE32-E72D297353CC}">
              <c16:uniqueId val="{00000005-C697-4F31-A399-AF701491191C}"/>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2"/>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1"/>
      </c:valAx>
      <c:spPr>
        <a:noFill/>
        <a:ln>
          <a:noFill/>
        </a:ln>
        <a:effectLst/>
      </c:spPr>
    </c:plotArea>
    <c:legend>
      <c:legendPos val="b"/>
      <c:layout>
        <c:manualLayout>
          <c:xMode val="edge"/>
          <c:yMode val="edge"/>
          <c:x val="0.1020103426486257"/>
          <c:y val="0.87712641567457905"/>
          <c:w val="0.80959389946916949"/>
          <c:h val="8.91562479949910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solidFill>
                  <a:schemeClr val="tx1"/>
                </a:solidFill>
              </a:rPr>
              <a:t>(mg/l)</a:t>
            </a:r>
          </a:p>
        </c:rich>
      </c:tx>
      <c:layout>
        <c:manualLayout>
          <c:xMode val="edge"/>
          <c:yMode val="edge"/>
          <c:x val="1.5329159720007979E-4"/>
          <c:y val="0.2197532808398950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4254156805036183E-2"/>
          <c:y val="5.8383952005999253E-2"/>
          <c:w val="0.91071212070138374"/>
          <c:h val="0.60226471691038619"/>
        </c:manualLayout>
      </c:layout>
      <c:barChart>
        <c:barDir val="col"/>
        <c:grouping val="clustered"/>
        <c:varyColors val="0"/>
        <c:ser>
          <c:idx val="0"/>
          <c:order val="0"/>
          <c:tx>
            <c:strRef>
              <c:f>TDS!$E$5</c:f>
              <c:strCache>
                <c:ptCount val="1"/>
                <c:pt idx="0">
                  <c:v>2021</c:v>
                </c:pt>
              </c:strCache>
            </c:strRef>
          </c:tx>
          <c:spPr>
            <a:solidFill>
              <a:schemeClr val="accent1"/>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TDS!$E$6:$E$21</c:f>
              <c:numCache>
                <c:formatCode>General</c:formatCode>
                <c:ptCount val="16"/>
                <c:pt idx="0">
                  <c:v>1746</c:v>
                </c:pt>
                <c:pt idx="1">
                  <c:v>588</c:v>
                </c:pt>
                <c:pt idx="2">
                  <c:v>216</c:v>
                </c:pt>
                <c:pt idx="3">
                  <c:v>125.25</c:v>
                </c:pt>
                <c:pt idx="4">
                  <c:v>84</c:v>
                </c:pt>
                <c:pt idx="5">
                  <c:v>46.5</c:v>
                </c:pt>
                <c:pt idx="6">
                  <c:v>216.25</c:v>
                </c:pt>
                <c:pt idx="7">
                  <c:v>250.25</c:v>
                </c:pt>
                <c:pt idx="8">
                  <c:v>166</c:v>
                </c:pt>
                <c:pt idx="9">
                  <c:v>357.25</c:v>
                </c:pt>
                <c:pt idx="10">
                  <c:v>135.25</c:v>
                </c:pt>
                <c:pt idx="11">
                  <c:v>336.75</c:v>
                </c:pt>
                <c:pt idx="12">
                  <c:v>175.25</c:v>
                </c:pt>
                <c:pt idx="13">
                  <c:v>191.25</c:v>
                </c:pt>
                <c:pt idx="14">
                  <c:v>25.375</c:v>
                </c:pt>
                <c:pt idx="15">
                  <c:v>92.25</c:v>
                </c:pt>
              </c:numCache>
            </c:numRef>
          </c:val>
          <c:extLst>
            <c:ext xmlns:c16="http://schemas.microsoft.com/office/drawing/2014/chart" uri="{C3380CC4-5D6E-409C-BE32-E72D297353CC}">
              <c16:uniqueId val="{00000000-EC6B-408B-9DF4-84443E15EB20}"/>
            </c:ext>
          </c:extLst>
        </c:ser>
        <c:ser>
          <c:idx val="1"/>
          <c:order val="1"/>
          <c:tx>
            <c:strRef>
              <c:f>TDS!$F$5</c:f>
              <c:strCache>
                <c:ptCount val="1"/>
                <c:pt idx="0">
                  <c:v>2022</c:v>
                </c:pt>
              </c:strCache>
            </c:strRef>
          </c:tx>
          <c:spPr>
            <a:solidFill>
              <a:schemeClr val="accent2"/>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TDS!$F$6:$F$21</c:f>
              <c:numCache>
                <c:formatCode>General</c:formatCode>
                <c:ptCount val="16"/>
                <c:pt idx="0">
                  <c:v>2085.25</c:v>
                </c:pt>
                <c:pt idx="1">
                  <c:v>756.75</c:v>
                </c:pt>
                <c:pt idx="2">
                  <c:v>433.75</c:v>
                </c:pt>
                <c:pt idx="3">
                  <c:v>146.5</c:v>
                </c:pt>
                <c:pt idx="4">
                  <c:v>132.75</c:v>
                </c:pt>
                <c:pt idx="5">
                  <c:v>143.25</c:v>
                </c:pt>
                <c:pt idx="6">
                  <c:v>417</c:v>
                </c:pt>
                <c:pt idx="7">
                  <c:v>261.75</c:v>
                </c:pt>
                <c:pt idx="8">
                  <c:v>170.75</c:v>
                </c:pt>
                <c:pt idx="9">
                  <c:v>315.5</c:v>
                </c:pt>
                <c:pt idx="10">
                  <c:v>113.25</c:v>
                </c:pt>
                <c:pt idx="11">
                  <c:v>445.25</c:v>
                </c:pt>
                <c:pt idx="12">
                  <c:v>139.25</c:v>
                </c:pt>
                <c:pt idx="13">
                  <c:v>239</c:v>
                </c:pt>
                <c:pt idx="14">
                  <c:v>36.174999999999997</c:v>
                </c:pt>
                <c:pt idx="15">
                  <c:v>122.25</c:v>
                </c:pt>
              </c:numCache>
            </c:numRef>
          </c:val>
          <c:extLst>
            <c:ext xmlns:c16="http://schemas.microsoft.com/office/drawing/2014/chart" uri="{C3380CC4-5D6E-409C-BE32-E72D297353CC}">
              <c16:uniqueId val="{00000001-EC6B-408B-9DF4-84443E15EB20}"/>
            </c:ext>
          </c:extLst>
        </c:ser>
        <c:ser>
          <c:idx val="2"/>
          <c:order val="2"/>
          <c:tx>
            <c:strRef>
              <c:f>TDS!$G$5</c:f>
              <c:strCache>
                <c:ptCount val="1"/>
                <c:pt idx="0">
                  <c:v>2023</c:v>
                </c:pt>
              </c:strCache>
            </c:strRef>
          </c:tx>
          <c:spPr>
            <a:solidFill>
              <a:schemeClr val="accent3"/>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TDS!$G$6:$G$21</c:f>
              <c:numCache>
                <c:formatCode>General</c:formatCode>
                <c:ptCount val="16"/>
                <c:pt idx="0">
                  <c:v>1995.75</c:v>
                </c:pt>
                <c:pt idx="1">
                  <c:v>680.5</c:v>
                </c:pt>
                <c:pt idx="2">
                  <c:v>320.5</c:v>
                </c:pt>
                <c:pt idx="3">
                  <c:v>101.375</c:v>
                </c:pt>
                <c:pt idx="4">
                  <c:v>110.5</c:v>
                </c:pt>
                <c:pt idx="5">
                  <c:v>237.75</c:v>
                </c:pt>
                <c:pt idx="6">
                  <c:v>576</c:v>
                </c:pt>
                <c:pt idx="7">
                  <c:v>240</c:v>
                </c:pt>
                <c:pt idx="8">
                  <c:v>164.5</c:v>
                </c:pt>
                <c:pt idx="9">
                  <c:v>253.75</c:v>
                </c:pt>
                <c:pt idx="10">
                  <c:v>173.25</c:v>
                </c:pt>
                <c:pt idx="11">
                  <c:v>321</c:v>
                </c:pt>
                <c:pt idx="12">
                  <c:v>107.875</c:v>
                </c:pt>
                <c:pt idx="13">
                  <c:v>159.02500000000001</c:v>
                </c:pt>
                <c:pt idx="14">
                  <c:v>24.775000000000002</c:v>
                </c:pt>
                <c:pt idx="15">
                  <c:v>147.57499999999999</c:v>
                </c:pt>
              </c:numCache>
            </c:numRef>
          </c:val>
          <c:extLst>
            <c:ext xmlns:c16="http://schemas.microsoft.com/office/drawing/2014/chart" uri="{C3380CC4-5D6E-409C-BE32-E72D297353CC}">
              <c16:uniqueId val="{00000002-EC6B-408B-9DF4-84443E15EB20}"/>
            </c:ext>
          </c:extLst>
        </c:ser>
        <c:ser>
          <c:idx val="3"/>
          <c:order val="3"/>
          <c:tx>
            <c:strRef>
              <c:f>TDS!$H$5</c:f>
              <c:strCache>
                <c:ptCount val="1"/>
                <c:pt idx="0">
                  <c:v>2024</c:v>
                </c:pt>
              </c:strCache>
            </c:strRef>
          </c:tx>
          <c:spPr>
            <a:solidFill>
              <a:schemeClr val="accent4"/>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TDS!$H$6:$H$21</c:f>
              <c:numCache>
                <c:formatCode>General</c:formatCode>
                <c:ptCount val="16"/>
                <c:pt idx="0">
                  <c:v>2196.75</c:v>
                </c:pt>
                <c:pt idx="1">
                  <c:v>503</c:v>
                </c:pt>
                <c:pt idx="2">
                  <c:v>344.75</c:v>
                </c:pt>
                <c:pt idx="3">
                  <c:v>137.125</c:v>
                </c:pt>
                <c:pt idx="4">
                  <c:v>171.25</c:v>
                </c:pt>
                <c:pt idx="5">
                  <c:v>162</c:v>
                </c:pt>
                <c:pt idx="6">
                  <c:v>422.95</c:v>
                </c:pt>
                <c:pt idx="7">
                  <c:v>219</c:v>
                </c:pt>
                <c:pt idx="8">
                  <c:v>178.5</c:v>
                </c:pt>
                <c:pt idx="9">
                  <c:v>242.625</c:v>
                </c:pt>
                <c:pt idx="10">
                  <c:v>124.375</c:v>
                </c:pt>
                <c:pt idx="11">
                  <c:v>293.75</c:v>
                </c:pt>
                <c:pt idx="12">
                  <c:v>133.22499999999999</c:v>
                </c:pt>
                <c:pt idx="13">
                  <c:v>288.75</c:v>
                </c:pt>
                <c:pt idx="14">
                  <c:v>24.95</c:v>
                </c:pt>
                <c:pt idx="15">
                  <c:v>98.725000000000009</c:v>
                </c:pt>
              </c:numCache>
            </c:numRef>
          </c:val>
          <c:extLst>
            <c:ext xmlns:c16="http://schemas.microsoft.com/office/drawing/2014/chart" uri="{C3380CC4-5D6E-409C-BE32-E72D297353CC}">
              <c16:uniqueId val="{00000003-EC6B-408B-9DF4-84443E15EB20}"/>
            </c:ext>
          </c:extLst>
        </c:ser>
        <c:ser>
          <c:idx val="4"/>
          <c:order val="4"/>
          <c:tx>
            <c:strRef>
              <c:f>TDS!$I$5</c:f>
              <c:strCache>
                <c:ptCount val="1"/>
                <c:pt idx="0">
                  <c:v>2025</c:v>
                </c:pt>
              </c:strCache>
            </c:strRef>
          </c:tx>
          <c:spPr>
            <a:solidFill>
              <a:schemeClr val="accent5"/>
            </a:solidFill>
            <a:ln>
              <a:noFill/>
            </a:ln>
            <a:effectLst/>
          </c:spPr>
          <c:invertIfNegative val="0"/>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TDS!$I$6:$I$21</c:f>
              <c:numCache>
                <c:formatCode>General</c:formatCode>
                <c:ptCount val="16"/>
                <c:pt idx="0">
                  <c:v>99.3</c:v>
                </c:pt>
                <c:pt idx="1">
                  <c:v>388</c:v>
                </c:pt>
                <c:pt idx="2">
                  <c:v>206</c:v>
                </c:pt>
                <c:pt idx="3">
                  <c:v>89.6</c:v>
                </c:pt>
                <c:pt idx="4">
                  <c:v>196</c:v>
                </c:pt>
                <c:pt idx="5">
                  <c:v>160</c:v>
                </c:pt>
                <c:pt idx="6">
                  <c:v>618</c:v>
                </c:pt>
                <c:pt idx="7">
                  <c:v>224</c:v>
                </c:pt>
                <c:pt idx="8">
                  <c:v>183</c:v>
                </c:pt>
                <c:pt idx="9">
                  <c:v>194</c:v>
                </c:pt>
                <c:pt idx="10">
                  <c:v>99.2</c:v>
                </c:pt>
                <c:pt idx="11">
                  <c:v>309</c:v>
                </c:pt>
                <c:pt idx="12">
                  <c:v>140</c:v>
                </c:pt>
                <c:pt idx="13">
                  <c:v>236</c:v>
                </c:pt>
                <c:pt idx="14">
                  <c:v>24.3</c:v>
                </c:pt>
                <c:pt idx="15">
                  <c:v>136</c:v>
                </c:pt>
              </c:numCache>
            </c:numRef>
          </c:val>
          <c:extLst>
            <c:ext xmlns:c16="http://schemas.microsoft.com/office/drawing/2014/chart" uri="{C3380CC4-5D6E-409C-BE32-E72D297353CC}">
              <c16:uniqueId val="{00000004-EC6B-408B-9DF4-84443E15EB20}"/>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TDS!$J$5</c:f>
              <c:strCache>
                <c:ptCount val="1"/>
                <c:pt idx="0">
                  <c:v>Quy chuẩn đánh giá </c:v>
                </c:pt>
              </c:strCache>
            </c:strRef>
          </c:tx>
          <c:spPr>
            <a:ln w="22225" cap="rnd">
              <a:solidFill>
                <a:schemeClr val="accent6"/>
              </a:solidFill>
              <a:round/>
            </a:ln>
            <a:effectLst/>
          </c:spPr>
          <c:marker>
            <c:symbol val="none"/>
          </c:marker>
          <c:cat>
            <c:strRef>
              <c:f>TDS!$D$6:$D$21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TDS!$J$6:$J$21</c:f>
              <c:numCache>
                <c:formatCode>General</c:formatCode>
                <c:ptCount val="16"/>
                <c:pt idx="0">
                  <c:v>1500</c:v>
                </c:pt>
                <c:pt idx="1">
                  <c:v>1500</c:v>
                </c:pt>
                <c:pt idx="2">
                  <c:v>1500</c:v>
                </c:pt>
                <c:pt idx="3">
                  <c:v>1500</c:v>
                </c:pt>
                <c:pt idx="4">
                  <c:v>1500</c:v>
                </c:pt>
                <c:pt idx="5">
                  <c:v>1500</c:v>
                </c:pt>
                <c:pt idx="6">
                  <c:v>1500</c:v>
                </c:pt>
                <c:pt idx="7">
                  <c:v>1500</c:v>
                </c:pt>
                <c:pt idx="8">
                  <c:v>1500</c:v>
                </c:pt>
                <c:pt idx="9">
                  <c:v>1500</c:v>
                </c:pt>
                <c:pt idx="10">
                  <c:v>1500</c:v>
                </c:pt>
                <c:pt idx="11">
                  <c:v>1500</c:v>
                </c:pt>
                <c:pt idx="12">
                  <c:v>1500</c:v>
                </c:pt>
                <c:pt idx="13">
                  <c:v>1500</c:v>
                </c:pt>
                <c:pt idx="14">
                  <c:v>1500</c:v>
                </c:pt>
                <c:pt idx="15">
                  <c:v>1500</c:v>
                </c:pt>
              </c:numCache>
            </c:numRef>
          </c:val>
          <c:smooth val="0"/>
          <c:extLst>
            <c:ext xmlns:c16="http://schemas.microsoft.com/office/drawing/2014/chart" uri="{C3380CC4-5D6E-409C-BE32-E72D297353CC}">
              <c16:uniqueId val="{00000005-EC6B-408B-9DF4-84443E15EB20}"/>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500"/>
      </c:valAx>
      <c:spPr>
        <a:noFill/>
        <a:ln>
          <a:noFill/>
        </a:ln>
        <a:effectLst/>
      </c:spPr>
    </c:plotArea>
    <c:legend>
      <c:legendPos val="b"/>
      <c:layout>
        <c:manualLayout>
          <c:xMode val="edge"/>
          <c:yMode val="edge"/>
          <c:x val="9.8690390208347259E-2"/>
          <c:y val="0.88519388652328124"/>
          <c:w val="0.8026191090630479"/>
          <c:h val="8.4693190013732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9159720007979E-4"/>
          <c:y val="0.1721342332208473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8464978617093178E-2"/>
          <c:y val="5.362204724409448E-2"/>
          <c:w val="0.91913376432549776"/>
          <c:h val="0.6022647169103863"/>
        </c:manualLayout>
      </c:layout>
      <c:barChart>
        <c:barDir val="col"/>
        <c:grouping val="clustered"/>
        <c:varyColors val="0"/>
        <c:ser>
          <c:idx val="0"/>
          <c:order val="0"/>
          <c:tx>
            <c:strRef>
              <c:f>'Do cung'!$D$5</c:f>
              <c:strCache>
                <c:ptCount val="1"/>
                <c:pt idx="0">
                  <c:v>2021</c:v>
                </c:pt>
              </c:strCache>
            </c:strRef>
          </c:tx>
          <c:spPr>
            <a:solidFill>
              <a:schemeClr val="accent1"/>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cung'!$D$6:$D$21</c:f>
              <c:numCache>
                <c:formatCode>General</c:formatCode>
                <c:ptCount val="16"/>
                <c:pt idx="0">
                  <c:v>761.25</c:v>
                </c:pt>
                <c:pt idx="1">
                  <c:v>426.75</c:v>
                </c:pt>
                <c:pt idx="2">
                  <c:v>132.75</c:v>
                </c:pt>
                <c:pt idx="3">
                  <c:v>58</c:v>
                </c:pt>
                <c:pt idx="4">
                  <c:v>69.25</c:v>
                </c:pt>
                <c:pt idx="5">
                  <c:v>28.75</c:v>
                </c:pt>
                <c:pt idx="6">
                  <c:v>199.5</c:v>
                </c:pt>
                <c:pt idx="7">
                  <c:v>178.25</c:v>
                </c:pt>
                <c:pt idx="8">
                  <c:v>169.75</c:v>
                </c:pt>
                <c:pt idx="9">
                  <c:v>270.25</c:v>
                </c:pt>
                <c:pt idx="10">
                  <c:v>91.5</c:v>
                </c:pt>
                <c:pt idx="11">
                  <c:v>188</c:v>
                </c:pt>
                <c:pt idx="12">
                  <c:v>133.5</c:v>
                </c:pt>
                <c:pt idx="13">
                  <c:v>180</c:v>
                </c:pt>
                <c:pt idx="14">
                  <c:v>7</c:v>
                </c:pt>
                <c:pt idx="15">
                  <c:v>50.25</c:v>
                </c:pt>
              </c:numCache>
            </c:numRef>
          </c:val>
          <c:extLst>
            <c:ext xmlns:c16="http://schemas.microsoft.com/office/drawing/2014/chart" uri="{C3380CC4-5D6E-409C-BE32-E72D297353CC}">
              <c16:uniqueId val="{00000000-E9AB-43AC-9DD0-96F6F0D598AD}"/>
            </c:ext>
          </c:extLst>
        </c:ser>
        <c:ser>
          <c:idx val="1"/>
          <c:order val="1"/>
          <c:tx>
            <c:strRef>
              <c:f>'Do cung'!$E$5</c:f>
              <c:strCache>
                <c:ptCount val="1"/>
                <c:pt idx="0">
                  <c:v>2022</c:v>
                </c:pt>
              </c:strCache>
            </c:strRef>
          </c:tx>
          <c:spPr>
            <a:solidFill>
              <a:schemeClr val="accent2"/>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cung'!$E$6:$E$21</c:f>
              <c:numCache>
                <c:formatCode>General</c:formatCode>
                <c:ptCount val="16"/>
                <c:pt idx="0">
                  <c:v>840</c:v>
                </c:pt>
                <c:pt idx="1">
                  <c:v>580</c:v>
                </c:pt>
                <c:pt idx="2">
                  <c:v>137</c:v>
                </c:pt>
                <c:pt idx="3">
                  <c:v>89.75</c:v>
                </c:pt>
                <c:pt idx="4">
                  <c:v>87.5</c:v>
                </c:pt>
                <c:pt idx="5">
                  <c:v>78.75</c:v>
                </c:pt>
                <c:pt idx="6">
                  <c:v>171.25</c:v>
                </c:pt>
                <c:pt idx="7">
                  <c:v>159</c:v>
                </c:pt>
                <c:pt idx="8">
                  <c:v>152</c:v>
                </c:pt>
                <c:pt idx="9">
                  <c:v>206.5</c:v>
                </c:pt>
                <c:pt idx="10">
                  <c:v>70.25</c:v>
                </c:pt>
                <c:pt idx="11">
                  <c:v>236</c:v>
                </c:pt>
                <c:pt idx="12">
                  <c:v>73.75</c:v>
                </c:pt>
                <c:pt idx="13">
                  <c:v>203.5</c:v>
                </c:pt>
                <c:pt idx="14">
                  <c:v>8.5</c:v>
                </c:pt>
                <c:pt idx="15">
                  <c:v>40</c:v>
                </c:pt>
              </c:numCache>
            </c:numRef>
          </c:val>
          <c:extLst>
            <c:ext xmlns:c16="http://schemas.microsoft.com/office/drawing/2014/chart" uri="{C3380CC4-5D6E-409C-BE32-E72D297353CC}">
              <c16:uniqueId val="{00000001-E9AB-43AC-9DD0-96F6F0D598AD}"/>
            </c:ext>
          </c:extLst>
        </c:ser>
        <c:ser>
          <c:idx val="2"/>
          <c:order val="2"/>
          <c:tx>
            <c:strRef>
              <c:f>'Do cung'!$F$5</c:f>
              <c:strCache>
                <c:ptCount val="1"/>
                <c:pt idx="0">
                  <c:v>2023</c:v>
                </c:pt>
              </c:strCache>
            </c:strRef>
          </c:tx>
          <c:spPr>
            <a:solidFill>
              <a:schemeClr val="accent3"/>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cung'!$F$6:$F$21</c:f>
              <c:numCache>
                <c:formatCode>General</c:formatCode>
                <c:ptCount val="16"/>
                <c:pt idx="0">
                  <c:v>785</c:v>
                </c:pt>
                <c:pt idx="1">
                  <c:v>346.25</c:v>
                </c:pt>
                <c:pt idx="2">
                  <c:v>114.5</c:v>
                </c:pt>
                <c:pt idx="3">
                  <c:v>56.75</c:v>
                </c:pt>
                <c:pt idx="4">
                  <c:v>73.75</c:v>
                </c:pt>
                <c:pt idx="5">
                  <c:v>99</c:v>
                </c:pt>
                <c:pt idx="6">
                  <c:v>293</c:v>
                </c:pt>
                <c:pt idx="7">
                  <c:v>166.5</c:v>
                </c:pt>
                <c:pt idx="8">
                  <c:v>149.75</c:v>
                </c:pt>
                <c:pt idx="9">
                  <c:v>181</c:v>
                </c:pt>
                <c:pt idx="10">
                  <c:v>69.5</c:v>
                </c:pt>
                <c:pt idx="11">
                  <c:v>182.5</c:v>
                </c:pt>
                <c:pt idx="12">
                  <c:v>69</c:v>
                </c:pt>
                <c:pt idx="13">
                  <c:v>190.5</c:v>
                </c:pt>
                <c:pt idx="14">
                  <c:v>13</c:v>
                </c:pt>
                <c:pt idx="15">
                  <c:v>56.75</c:v>
                </c:pt>
              </c:numCache>
            </c:numRef>
          </c:val>
          <c:extLst>
            <c:ext xmlns:c16="http://schemas.microsoft.com/office/drawing/2014/chart" uri="{C3380CC4-5D6E-409C-BE32-E72D297353CC}">
              <c16:uniqueId val="{00000002-E9AB-43AC-9DD0-96F6F0D598AD}"/>
            </c:ext>
          </c:extLst>
        </c:ser>
        <c:ser>
          <c:idx val="3"/>
          <c:order val="3"/>
          <c:tx>
            <c:strRef>
              <c:f>'Do cung'!$G$5</c:f>
              <c:strCache>
                <c:ptCount val="1"/>
                <c:pt idx="0">
                  <c:v>2024</c:v>
                </c:pt>
              </c:strCache>
            </c:strRef>
          </c:tx>
          <c:spPr>
            <a:solidFill>
              <a:schemeClr val="accent4"/>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cung'!$G$6:$G$21</c:f>
              <c:numCache>
                <c:formatCode>General</c:formatCode>
                <c:ptCount val="16"/>
                <c:pt idx="0">
                  <c:v>1202</c:v>
                </c:pt>
                <c:pt idx="1">
                  <c:v>398</c:v>
                </c:pt>
                <c:pt idx="2">
                  <c:v>164.75</c:v>
                </c:pt>
                <c:pt idx="3">
                  <c:v>106.25</c:v>
                </c:pt>
                <c:pt idx="4">
                  <c:v>97.25</c:v>
                </c:pt>
                <c:pt idx="5">
                  <c:v>128.75</c:v>
                </c:pt>
                <c:pt idx="6">
                  <c:v>305.5</c:v>
                </c:pt>
                <c:pt idx="7">
                  <c:v>146.25</c:v>
                </c:pt>
                <c:pt idx="8">
                  <c:v>140</c:v>
                </c:pt>
                <c:pt idx="9">
                  <c:v>153.25</c:v>
                </c:pt>
                <c:pt idx="10">
                  <c:v>84.5</c:v>
                </c:pt>
                <c:pt idx="11">
                  <c:v>144</c:v>
                </c:pt>
                <c:pt idx="12">
                  <c:v>91.25</c:v>
                </c:pt>
                <c:pt idx="13">
                  <c:v>223.5</c:v>
                </c:pt>
                <c:pt idx="14">
                  <c:v>31.75</c:v>
                </c:pt>
                <c:pt idx="15">
                  <c:v>67.75</c:v>
                </c:pt>
              </c:numCache>
            </c:numRef>
          </c:val>
          <c:extLst>
            <c:ext xmlns:c16="http://schemas.microsoft.com/office/drawing/2014/chart" uri="{C3380CC4-5D6E-409C-BE32-E72D297353CC}">
              <c16:uniqueId val="{00000003-E9AB-43AC-9DD0-96F6F0D598AD}"/>
            </c:ext>
          </c:extLst>
        </c:ser>
        <c:ser>
          <c:idx val="4"/>
          <c:order val="4"/>
          <c:tx>
            <c:strRef>
              <c:f>'Do cung'!$H$5</c:f>
              <c:strCache>
                <c:ptCount val="1"/>
                <c:pt idx="0">
                  <c:v>2025</c:v>
                </c:pt>
              </c:strCache>
            </c:strRef>
          </c:tx>
          <c:spPr>
            <a:solidFill>
              <a:schemeClr val="accent5"/>
            </a:solidFill>
            <a:ln>
              <a:noFill/>
            </a:ln>
            <a:effectLst/>
          </c:spPr>
          <c:invertIfNegative val="0"/>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cung'!$H$6:$H$21</c:f>
              <c:numCache>
                <c:formatCode>General</c:formatCode>
                <c:ptCount val="16"/>
                <c:pt idx="0">
                  <c:v>74</c:v>
                </c:pt>
                <c:pt idx="1">
                  <c:v>224</c:v>
                </c:pt>
                <c:pt idx="2">
                  <c:v>140</c:v>
                </c:pt>
                <c:pt idx="3">
                  <c:v>53</c:v>
                </c:pt>
                <c:pt idx="4">
                  <c:v>87</c:v>
                </c:pt>
                <c:pt idx="5">
                  <c:v>89</c:v>
                </c:pt>
                <c:pt idx="6">
                  <c:v>435</c:v>
                </c:pt>
                <c:pt idx="7">
                  <c:v>160</c:v>
                </c:pt>
                <c:pt idx="8">
                  <c:v>102</c:v>
                </c:pt>
                <c:pt idx="9">
                  <c:v>124</c:v>
                </c:pt>
                <c:pt idx="10">
                  <c:v>63</c:v>
                </c:pt>
                <c:pt idx="11">
                  <c:v>130</c:v>
                </c:pt>
                <c:pt idx="12">
                  <c:v>83</c:v>
                </c:pt>
                <c:pt idx="13">
                  <c:v>146</c:v>
                </c:pt>
                <c:pt idx="14">
                  <c:v>12</c:v>
                </c:pt>
                <c:pt idx="15">
                  <c:v>93</c:v>
                </c:pt>
              </c:numCache>
            </c:numRef>
          </c:val>
          <c:extLst>
            <c:ext xmlns:c16="http://schemas.microsoft.com/office/drawing/2014/chart" uri="{C3380CC4-5D6E-409C-BE32-E72D297353CC}">
              <c16:uniqueId val="{00000004-E9AB-43AC-9DD0-96F6F0D598A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 cung'!$I$5</c:f>
              <c:strCache>
                <c:ptCount val="1"/>
                <c:pt idx="0">
                  <c:v>Quy chuẩn đánh giá </c:v>
                </c:pt>
              </c:strCache>
            </c:strRef>
          </c:tx>
          <c:spPr>
            <a:ln w="22225" cap="rnd">
              <a:solidFill>
                <a:schemeClr val="accent6"/>
              </a:solidFill>
              <a:round/>
            </a:ln>
            <a:effectLst/>
          </c:spPr>
          <c:marker>
            <c:symbol val="none"/>
          </c:marker>
          <c:cat>
            <c:strRef>
              <c:f>'Do cung'!$C$6:$C$21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'Do cung'!$I$6:$I$21</c:f>
              <c:numCache>
                <c:formatCode>General</c:formatCode>
                <c:ptCount val="16"/>
                <c:pt idx="0">
                  <c:v>500</c:v>
                </c:pt>
                <c:pt idx="1">
                  <c:v>500</c:v>
                </c:pt>
                <c:pt idx="2">
                  <c:v>500</c:v>
                </c:pt>
                <c:pt idx="3">
                  <c:v>500</c:v>
                </c:pt>
                <c:pt idx="4">
                  <c:v>500</c:v>
                </c:pt>
                <c:pt idx="5">
                  <c:v>500</c:v>
                </c:pt>
                <c:pt idx="6">
                  <c:v>500</c:v>
                </c:pt>
                <c:pt idx="7">
                  <c:v>500</c:v>
                </c:pt>
                <c:pt idx="8">
                  <c:v>500</c:v>
                </c:pt>
                <c:pt idx="9">
                  <c:v>500</c:v>
                </c:pt>
                <c:pt idx="10">
                  <c:v>500</c:v>
                </c:pt>
                <c:pt idx="11">
                  <c:v>500</c:v>
                </c:pt>
                <c:pt idx="12">
                  <c:v>500</c:v>
                </c:pt>
                <c:pt idx="13">
                  <c:v>500</c:v>
                </c:pt>
                <c:pt idx="14">
                  <c:v>500</c:v>
                </c:pt>
                <c:pt idx="15">
                  <c:v>500</c:v>
                </c:pt>
              </c:numCache>
            </c:numRef>
          </c:val>
          <c:smooth val="0"/>
          <c:extLst>
            <c:ext xmlns:c16="http://schemas.microsoft.com/office/drawing/2014/chart" uri="{C3380CC4-5D6E-409C-BE32-E72D297353CC}">
              <c16:uniqueId val="{00000005-E9AB-43AC-9DD0-96F6F0D598A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200"/>
      </c:valAx>
      <c:spPr>
        <a:noFill/>
        <a:ln>
          <a:noFill/>
        </a:ln>
        <a:effectLst/>
      </c:spPr>
    </c:plotArea>
    <c:legend>
      <c:legendPos val="b"/>
      <c:layout>
        <c:manualLayout>
          <c:xMode val="edge"/>
          <c:yMode val="edge"/>
          <c:x val="8.4654317501490647E-2"/>
          <c:y val="0.87944601786436771"/>
          <c:w val="0.8433237199129322"/>
          <c:h val="8.893342877594846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8083989501313E-4"/>
          <c:y val="0.2429675196850393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061748860339832E-2"/>
          <c:y val="4.3502952755905509E-2"/>
          <c:w val="0.92334311368973621"/>
          <c:h val="0.65449081364829398"/>
        </c:manualLayout>
      </c:layout>
      <c:barChart>
        <c:barDir val="col"/>
        <c:grouping val="clustered"/>
        <c:varyColors val="0"/>
        <c:ser>
          <c:idx val="0"/>
          <c:order val="0"/>
          <c:tx>
            <c:strRef>
              <c:f>Asen!$D$5</c:f>
              <c:strCache>
                <c:ptCount val="1"/>
                <c:pt idx="0">
                  <c:v>2021</c:v>
                </c:pt>
              </c:strCache>
            </c:strRef>
          </c:tx>
          <c:spPr>
            <a:solidFill>
              <a:schemeClr val="accent1"/>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Asen!$D$6:$D$21</c:f>
              <c:numCache>
                <c:formatCode>General</c:formatCode>
                <c:ptCount val="16"/>
                <c:pt idx="0">
                  <c:v>3.0000000000000001E-3</c:v>
                </c:pt>
                <c:pt idx="1">
                  <c:v>2.5499999999999998E-2</c:v>
                </c:pt>
                <c:pt idx="2">
                  <c:v>3.0000000000000001E-3</c:v>
                </c:pt>
                <c:pt idx="3">
                  <c:v>3.0000000000000001E-3</c:v>
                </c:pt>
                <c:pt idx="4">
                  <c:v>3.0000000000000001E-3</c:v>
                </c:pt>
                <c:pt idx="5">
                  <c:v>3.4999999999999996E-3</c:v>
                </c:pt>
                <c:pt idx="6">
                  <c:v>4.7499999999999999E-3</c:v>
                </c:pt>
                <c:pt idx="7">
                  <c:v>3.0000000000000001E-3</c:v>
                </c:pt>
                <c:pt idx="8">
                  <c:v>3.0000000000000001E-3</c:v>
                </c:pt>
                <c:pt idx="9">
                  <c:v>3.0000000000000001E-3</c:v>
                </c:pt>
                <c:pt idx="10">
                  <c:v>2.1250000000000002E-2</c:v>
                </c:pt>
                <c:pt idx="11">
                  <c:v>1.25E-3</c:v>
                </c:pt>
                <c:pt idx="12">
                  <c:v>3.4999999999999996E-3</c:v>
                </c:pt>
                <c:pt idx="13">
                  <c:v>0.08</c:v>
                </c:pt>
                <c:pt idx="14">
                  <c:v>3.0000000000000001E-3</c:v>
                </c:pt>
                <c:pt idx="15">
                  <c:v>3.0000000000000001E-3</c:v>
                </c:pt>
              </c:numCache>
            </c:numRef>
          </c:val>
          <c:extLst>
            <c:ext xmlns:c16="http://schemas.microsoft.com/office/drawing/2014/chart" uri="{C3380CC4-5D6E-409C-BE32-E72D297353CC}">
              <c16:uniqueId val="{00000000-6829-489B-A2CC-7291F70E564D}"/>
            </c:ext>
          </c:extLst>
        </c:ser>
        <c:ser>
          <c:idx val="1"/>
          <c:order val="1"/>
          <c:tx>
            <c:strRef>
              <c:f>Asen!$E$5</c:f>
              <c:strCache>
                <c:ptCount val="1"/>
                <c:pt idx="0">
                  <c:v>2022</c:v>
                </c:pt>
              </c:strCache>
            </c:strRef>
          </c:tx>
          <c:spPr>
            <a:solidFill>
              <a:schemeClr val="accent2"/>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Asen!$E$6:$E$21</c:f>
              <c:numCache>
                <c:formatCode>General</c:formatCode>
                <c:ptCount val="16"/>
                <c:pt idx="0">
                  <c:v>2.15E-3</c:v>
                </c:pt>
                <c:pt idx="1">
                  <c:v>3.2000000000000001E-2</c:v>
                </c:pt>
                <c:pt idx="2">
                  <c:v>3.65E-3</c:v>
                </c:pt>
                <c:pt idx="3">
                  <c:v>3.0999999999999999E-3</c:v>
                </c:pt>
                <c:pt idx="4">
                  <c:v>1.4499999999999999E-3</c:v>
                </c:pt>
                <c:pt idx="5">
                  <c:v>2.4499999999999999E-3</c:v>
                </c:pt>
                <c:pt idx="6">
                  <c:v>3.5500000000000002E-3</c:v>
                </c:pt>
                <c:pt idx="7">
                  <c:v>3.7000000000000002E-3</c:v>
                </c:pt>
                <c:pt idx="8">
                  <c:v>3.1749999999999999E-3</c:v>
                </c:pt>
                <c:pt idx="9">
                  <c:v>3.2750000000000001E-3</c:v>
                </c:pt>
                <c:pt idx="10">
                  <c:v>3.075E-2</c:v>
                </c:pt>
                <c:pt idx="11">
                  <c:v>3.1749999999999999E-3</c:v>
                </c:pt>
                <c:pt idx="12">
                  <c:v>5.4000000000000003E-3</c:v>
                </c:pt>
                <c:pt idx="13">
                  <c:v>5.5000000000000005E-3</c:v>
                </c:pt>
                <c:pt idx="14">
                  <c:v>3.7499999999999999E-3</c:v>
                </c:pt>
                <c:pt idx="15">
                  <c:v>3.4749999999999998E-3</c:v>
                </c:pt>
              </c:numCache>
            </c:numRef>
          </c:val>
          <c:extLst>
            <c:ext xmlns:c16="http://schemas.microsoft.com/office/drawing/2014/chart" uri="{C3380CC4-5D6E-409C-BE32-E72D297353CC}">
              <c16:uniqueId val="{00000001-6829-489B-A2CC-7291F70E564D}"/>
            </c:ext>
          </c:extLst>
        </c:ser>
        <c:ser>
          <c:idx val="2"/>
          <c:order val="2"/>
          <c:tx>
            <c:strRef>
              <c:f>Asen!$F$5</c:f>
              <c:strCache>
                <c:ptCount val="1"/>
                <c:pt idx="0">
                  <c:v>2023</c:v>
                </c:pt>
              </c:strCache>
            </c:strRef>
          </c:tx>
          <c:spPr>
            <a:solidFill>
              <a:schemeClr val="accent3"/>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Asen!$F$6:$F$21</c:f>
              <c:numCache>
                <c:formatCode>General</c:formatCode>
                <c:ptCount val="16"/>
                <c:pt idx="0">
                  <c:v>5.1500000000000001E-3</c:v>
                </c:pt>
                <c:pt idx="1">
                  <c:v>2.2200000000000001E-2</c:v>
                </c:pt>
                <c:pt idx="2">
                  <c:v>1.9250000000000001E-3</c:v>
                </c:pt>
                <c:pt idx="3">
                  <c:v>2.2500000000000003E-3</c:v>
                </c:pt>
                <c:pt idx="4">
                  <c:v>1.3500000000000001E-3</c:v>
                </c:pt>
                <c:pt idx="5">
                  <c:v>8.25E-4</c:v>
                </c:pt>
                <c:pt idx="6">
                  <c:v>1.065E-2</c:v>
                </c:pt>
                <c:pt idx="7">
                  <c:v>7.1249999999999994E-3</c:v>
                </c:pt>
                <c:pt idx="8">
                  <c:v>1.575E-3</c:v>
                </c:pt>
                <c:pt idx="9">
                  <c:v>2.5000000000000001E-3</c:v>
                </c:pt>
                <c:pt idx="10">
                  <c:v>1.8499999999999999E-2</c:v>
                </c:pt>
                <c:pt idx="11">
                  <c:v>2.875E-3</c:v>
                </c:pt>
                <c:pt idx="12">
                  <c:v>5.3749999999999996E-3</c:v>
                </c:pt>
                <c:pt idx="13">
                  <c:v>8.5850000000000006E-3</c:v>
                </c:pt>
                <c:pt idx="14">
                  <c:v>1.2999999999999999E-3</c:v>
                </c:pt>
                <c:pt idx="15">
                  <c:v>1.325E-3</c:v>
                </c:pt>
              </c:numCache>
            </c:numRef>
          </c:val>
          <c:extLst>
            <c:ext xmlns:c16="http://schemas.microsoft.com/office/drawing/2014/chart" uri="{C3380CC4-5D6E-409C-BE32-E72D297353CC}">
              <c16:uniqueId val="{00000002-6829-489B-A2CC-7291F70E564D}"/>
            </c:ext>
          </c:extLst>
        </c:ser>
        <c:ser>
          <c:idx val="3"/>
          <c:order val="3"/>
          <c:tx>
            <c:strRef>
              <c:f>Asen!$G$5</c:f>
              <c:strCache>
                <c:ptCount val="1"/>
                <c:pt idx="0">
                  <c:v>2024</c:v>
                </c:pt>
              </c:strCache>
            </c:strRef>
          </c:tx>
          <c:spPr>
            <a:solidFill>
              <a:schemeClr val="accent4"/>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Asen!$G$6:$G$21</c:f>
              <c:numCache>
                <c:formatCode>General</c:formatCode>
                <c:ptCount val="16"/>
                <c:pt idx="0">
                  <c:v>5.025E-3</c:v>
                </c:pt>
                <c:pt idx="1">
                  <c:v>2.225E-3</c:v>
                </c:pt>
                <c:pt idx="2">
                  <c:v>1.25E-3</c:v>
                </c:pt>
                <c:pt idx="3">
                  <c:v>1.0499999999999999E-3</c:v>
                </c:pt>
                <c:pt idx="4">
                  <c:v>3.0000000000000001E-3</c:v>
                </c:pt>
                <c:pt idx="5">
                  <c:v>2.5000000000000001E-4</c:v>
                </c:pt>
                <c:pt idx="6">
                  <c:v>1.085E-2</c:v>
                </c:pt>
                <c:pt idx="7">
                  <c:v>7.9000000000000008E-3</c:v>
                </c:pt>
                <c:pt idx="8">
                  <c:v>7.2499999999999995E-4</c:v>
                </c:pt>
                <c:pt idx="9">
                  <c:v>3.0000000000000001E-3</c:v>
                </c:pt>
                <c:pt idx="10">
                  <c:v>9.7999999999999997E-3</c:v>
                </c:pt>
                <c:pt idx="11">
                  <c:v>1.75E-4</c:v>
                </c:pt>
                <c:pt idx="12">
                  <c:v>2.4999999999999996E-3</c:v>
                </c:pt>
                <c:pt idx="13">
                  <c:v>8.2500000000000004E-3</c:v>
                </c:pt>
                <c:pt idx="14">
                  <c:v>5.7499999999999999E-4</c:v>
                </c:pt>
                <c:pt idx="15">
                  <c:v>3.0000000000000001E-3</c:v>
                </c:pt>
              </c:numCache>
            </c:numRef>
          </c:val>
          <c:extLst>
            <c:ext xmlns:c16="http://schemas.microsoft.com/office/drawing/2014/chart" uri="{C3380CC4-5D6E-409C-BE32-E72D297353CC}">
              <c16:uniqueId val="{00000003-6829-489B-A2CC-7291F70E564D}"/>
            </c:ext>
          </c:extLst>
        </c:ser>
        <c:ser>
          <c:idx val="4"/>
          <c:order val="4"/>
          <c:tx>
            <c:strRef>
              <c:f>Asen!$H$5</c:f>
              <c:strCache>
                <c:ptCount val="1"/>
                <c:pt idx="0">
                  <c:v>2025</c:v>
                </c:pt>
              </c:strCache>
            </c:strRef>
          </c:tx>
          <c:spPr>
            <a:solidFill>
              <a:schemeClr val="accent5"/>
            </a:solidFill>
            <a:ln>
              <a:noFill/>
            </a:ln>
            <a:effectLst/>
          </c:spPr>
          <c:invertIfNegative val="0"/>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Asen!$H$6:$H$21</c:f>
              <c:numCache>
                <c:formatCode>General</c:formatCode>
                <c:ptCount val="16"/>
                <c:pt idx="0">
                  <c:v>1.6000000000000001E-3</c:v>
                </c:pt>
                <c:pt idx="1">
                  <c:v>1.4E-3</c:v>
                </c:pt>
                <c:pt idx="2">
                  <c:v>3.3999999999999998E-3</c:v>
                </c:pt>
                <c:pt idx="3">
                  <c:v>6.9999999999999999E-4</c:v>
                </c:pt>
                <c:pt idx="4">
                  <c:v>2.8999999999999998E-3</c:v>
                </c:pt>
                <c:pt idx="5">
                  <c:v>6.9999999999999999E-4</c:v>
                </c:pt>
                <c:pt idx="6">
                  <c:v>1.2E-2</c:v>
                </c:pt>
                <c:pt idx="7">
                  <c:v>8.8000000000000005E-3</c:v>
                </c:pt>
                <c:pt idx="8">
                  <c:v>6.9999999999999999E-4</c:v>
                </c:pt>
                <c:pt idx="9">
                  <c:v>5.0000000000000001E-3</c:v>
                </c:pt>
                <c:pt idx="10">
                  <c:v>8.6999999999999994E-3</c:v>
                </c:pt>
                <c:pt idx="11">
                  <c:v>6.9999999999999999E-4</c:v>
                </c:pt>
                <c:pt idx="12">
                  <c:v>2.8999999999999998E-3</c:v>
                </c:pt>
                <c:pt idx="13">
                  <c:v>8.3999999999999995E-3</c:v>
                </c:pt>
                <c:pt idx="14">
                  <c:v>6.9999999999999999E-4</c:v>
                </c:pt>
                <c:pt idx="15">
                  <c:v>6.9999999999999999E-4</c:v>
                </c:pt>
              </c:numCache>
            </c:numRef>
          </c:val>
          <c:extLst>
            <c:ext xmlns:c16="http://schemas.microsoft.com/office/drawing/2014/chart" uri="{C3380CC4-5D6E-409C-BE32-E72D297353CC}">
              <c16:uniqueId val="{00000004-6829-489B-A2CC-7291F70E564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Asen!$I$5</c:f>
              <c:strCache>
                <c:ptCount val="1"/>
                <c:pt idx="0">
                  <c:v>Quy chuẩn đánh giá </c:v>
                </c:pt>
              </c:strCache>
            </c:strRef>
          </c:tx>
          <c:spPr>
            <a:ln w="22225" cap="rnd">
              <a:solidFill>
                <a:schemeClr val="accent6"/>
              </a:solidFill>
              <a:round/>
            </a:ln>
            <a:effectLst/>
          </c:spPr>
          <c:marker>
            <c:symbol val="none"/>
          </c:marker>
          <c:cat>
            <c:strRef>
              <c:f>Asen!$C$6:$C$21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Asen!$I$6:$I$21</c:f>
              <c:numCache>
                <c:formatCode>General</c:formatCode>
                <c:ptCount val="16"/>
                <c:pt idx="0">
                  <c:v>0.05</c:v>
                </c:pt>
                <c:pt idx="1">
                  <c:v>0.05</c:v>
                </c:pt>
                <c:pt idx="2">
                  <c:v>0.05</c:v>
                </c:pt>
                <c:pt idx="3">
                  <c:v>0.05</c:v>
                </c:pt>
                <c:pt idx="4">
                  <c:v>0.05</c:v>
                </c:pt>
                <c:pt idx="5">
                  <c:v>0.05</c:v>
                </c:pt>
                <c:pt idx="6">
                  <c:v>0.05</c:v>
                </c:pt>
                <c:pt idx="7">
                  <c:v>0.05</c:v>
                </c:pt>
                <c:pt idx="8">
                  <c:v>0.05</c:v>
                </c:pt>
                <c:pt idx="9">
                  <c:v>0.05</c:v>
                </c:pt>
                <c:pt idx="10">
                  <c:v>0.05</c:v>
                </c:pt>
                <c:pt idx="11">
                  <c:v>0.05</c:v>
                </c:pt>
                <c:pt idx="12">
                  <c:v>0.05</c:v>
                </c:pt>
                <c:pt idx="13">
                  <c:v>0.05</c:v>
                </c:pt>
                <c:pt idx="14">
                  <c:v>0.05</c:v>
                </c:pt>
                <c:pt idx="15">
                  <c:v>0.05</c:v>
                </c:pt>
              </c:numCache>
            </c:numRef>
          </c:val>
          <c:smooth val="0"/>
          <c:extLst>
            <c:ext xmlns:c16="http://schemas.microsoft.com/office/drawing/2014/chart" uri="{C3380CC4-5D6E-409C-BE32-E72D297353CC}">
              <c16:uniqueId val="{00000005-6829-489B-A2CC-7291F70E564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1"/>
        </c:scaling>
        <c:delete val="0"/>
        <c:axPos val="l"/>
        <c:majorGridlines>
          <c:spPr>
            <a:ln w="9525" cap="flat" cmpd="sng" algn="ctr">
              <a:solidFill>
                <a:schemeClr val="dk1">
                  <a:lumMod val="15000"/>
                  <a:lumOff val="85000"/>
                </a:schemeClr>
              </a:solidFill>
              <a:round/>
            </a:ln>
            <a:effectLst/>
          </c:spPr>
        </c:majorGridlines>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2.5000000000000005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6660442972198249E-3"/>
          <c:y val="0.2518300033342737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7.57013269869517E-2"/>
          <c:y val="6.8502952755905511E-2"/>
          <c:w val="0.91136696748849211"/>
          <c:h val="0.54472375053536704"/>
        </c:manualLayout>
      </c:layout>
      <c:barChart>
        <c:barDir val="col"/>
        <c:grouping val="clustered"/>
        <c:varyColors val="0"/>
        <c:ser>
          <c:idx val="0"/>
          <c:order val="0"/>
          <c:tx>
            <c:strRef>
              <c:f>Clorua!$D$5</c:f>
              <c:strCache>
                <c:ptCount val="1"/>
                <c:pt idx="0">
                  <c:v>2021</c:v>
                </c:pt>
              </c:strCache>
            </c:strRef>
          </c:tx>
          <c:spPr>
            <a:solidFill>
              <a:schemeClr val="accent1"/>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Clorua!$D$6:$D$21</c:f>
              <c:numCache>
                <c:formatCode>General</c:formatCode>
                <c:ptCount val="16"/>
                <c:pt idx="0">
                  <c:v>968.5</c:v>
                </c:pt>
                <c:pt idx="1">
                  <c:v>38.5</c:v>
                </c:pt>
                <c:pt idx="2">
                  <c:v>26.25</c:v>
                </c:pt>
                <c:pt idx="3">
                  <c:v>18.75</c:v>
                </c:pt>
                <c:pt idx="4">
                  <c:v>11.75</c:v>
                </c:pt>
                <c:pt idx="5">
                  <c:v>10.25</c:v>
                </c:pt>
                <c:pt idx="6">
                  <c:v>28.75</c:v>
                </c:pt>
                <c:pt idx="7">
                  <c:v>46.25</c:v>
                </c:pt>
                <c:pt idx="8">
                  <c:v>12.5</c:v>
                </c:pt>
                <c:pt idx="9">
                  <c:v>124.25</c:v>
                </c:pt>
                <c:pt idx="10">
                  <c:v>28</c:v>
                </c:pt>
                <c:pt idx="11">
                  <c:v>61</c:v>
                </c:pt>
                <c:pt idx="12">
                  <c:v>35.75</c:v>
                </c:pt>
                <c:pt idx="13">
                  <c:v>52.75</c:v>
                </c:pt>
                <c:pt idx="14">
                  <c:v>10</c:v>
                </c:pt>
                <c:pt idx="15">
                  <c:v>32.25</c:v>
                </c:pt>
              </c:numCache>
            </c:numRef>
          </c:val>
          <c:extLst>
            <c:ext xmlns:c16="http://schemas.microsoft.com/office/drawing/2014/chart" uri="{C3380CC4-5D6E-409C-BE32-E72D297353CC}">
              <c16:uniqueId val="{00000000-4A87-4B47-96A5-85B9AC033A7F}"/>
            </c:ext>
          </c:extLst>
        </c:ser>
        <c:ser>
          <c:idx val="1"/>
          <c:order val="1"/>
          <c:tx>
            <c:strRef>
              <c:f>Clorua!$E$5</c:f>
              <c:strCache>
                <c:ptCount val="1"/>
                <c:pt idx="0">
                  <c:v>2022</c:v>
                </c:pt>
              </c:strCache>
            </c:strRef>
          </c:tx>
          <c:spPr>
            <a:solidFill>
              <a:schemeClr val="accent2"/>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Clorua!$E$6:$E$21</c:f>
              <c:numCache>
                <c:formatCode>General</c:formatCode>
                <c:ptCount val="16"/>
                <c:pt idx="0">
                  <c:v>1409.25</c:v>
                </c:pt>
                <c:pt idx="1">
                  <c:v>23.5</c:v>
                </c:pt>
                <c:pt idx="2">
                  <c:v>129.25</c:v>
                </c:pt>
                <c:pt idx="3">
                  <c:v>21.574999999999999</c:v>
                </c:pt>
                <c:pt idx="4">
                  <c:v>16.024999999999999</c:v>
                </c:pt>
                <c:pt idx="5">
                  <c:v>20</c:v>
                </c:pt>
                <c:pt idx="6">
                  <c:v>127.75</c:v>
                </c:pt>
                <c:pt idx="7">
                  <c:v>32.25</c:v>
                </c:pt>
                <c:pt idx="8">
                  <c:v>12.1</c:v>
                </c:pt>
                <c:pt idx="9">
                  <c:v>66.25</c:v>
                </c:pt>
                <c:pt idx="10">
                  <c:v>17.5</c:v>
                </c:pt>
                <c:pt idx="11">
                  <c:v>58.25</c:v>
                </c:pt>
                <c:pt idx="12">
                  <c:v>20.5</c:v>
                </c:pt>
                <c:pt idx="13">
                  <c:v>20.75</c:v>
                </c:pt>
                <c:pt idx="14">
                  <c:v>8.4249999999999989</c:v>
                </c:pt>
                <c:pt idx="15">
                  <c:v>29</c:v>
                </c:pt>
              </c:numCache>
            </c:numRef>
          </c:val>
          <c:extLst>
            <c:ext xmlns:c16="http://schemas.microsoft.com/office/drawing/2014/chart" uri="{C3380CC4-5D6E-409C-BE32-E72D297353CC}">
              <c16:uniqueId val="{00000001-4A87-4B47-96A5-85B9AC033A7F}"/>
            </c:ext>
          </c:extLst>
        </c:ser>
        <c:ser>
          <c:idx val="2"/>
          <c:order val="2"/>
          <c:tx>
            <c:strRef>
              <c:f>Clorua!$F$5</c:f>
              <c:strCache>
                <c:ptCount val="1"/>
                <c:pt idx="0">
                  <c:v>2023</c:v>
                </c:pt>
              </c:strCache>
            </c:strRef>
          </c:tx>
          <c:spPr>
            <a:solidFill>
              <a:schemeClr val="accent3"/>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Clorua!$F$6:$F$21</c:f>
              <c:numCache>
                <c:formatCode>General</c:formatCode>
                <c:ptCount val="16"/>
                <c:pt idx="0">
                  <c:v>1032</c:v>
                </c:pt>
                <c:pt idx="1">
                  <c:v>65.3</c:v>
                </c:pt>
                <c:pt idx="2">
                  <c:v>83.875</c:v>
                </c:pt>
                <c:pt idx="3">
                  <c:v>15.395000000000001</c:v>
                </c:pt>
                <c:pt idx="4">
                  <c:v>15.475000000000001</c:v>
                </c:pt>
                <c:pt idx="5">
                  <c:v>19.5</c:v>
                </c:pt>
                <c:pt idx="6">
                  <c:v>157</c:v>
                </c:pt>
                <c:pt idx="7">
                  <c:v>40.174999999999997</c:v>
                </c:pt>
                <c:pt idx="8">
                  <c:v>13.45</c:v>
                </c:pt>
                <c:pt idx="9">
                  <c:v>47.4</c:v>
                </c:pt>
                <c:pt idx="10">
                  <c:v>16.475000000000001</c:v>
                </c:pt>
                <c:pt idx="11">
                  <c:v>40.5</c:v>
                </c:pt>
                <c:pt idx="12">
                  <c:v>20.425000000000001</c:v>
                </c:pt>
                <c:pt idx="13">
                  <c:v>18</c:v>
                </c:pt>
                <c:pt idx="14">
                  <c:v>7.9</c:v>
                </c:pt>
                <c:pt idx="15">
                  <c:v>22.22</c:v>
                </c:pt>
              </c:numCache>
            </c:numRef>
          </c:val>
          <c:extLst>
            <c:ext xmlns:c16="http://schemas.microsoft.com/office/drawing/2014/chart" uri="{C3380CC4-5D6E-409C-BE32-E72D297353CC}">
              <c16:uniqueId val="{00000002-4A87-4B47-96A5-85B9AC033A7F}"/>
            </c:ext>
          </c:extLst>
        </c:ser>
        <c:ser>
          <c:idx val="3"/>
          <c:order val="3"/>
          <c:tx>
            <c:strRef>
              <c:f>Clorua!$G$5</c:f>
              <c:strCache>
                <c:ptCount val="1"/>
                <c:pt idx="0">
                  <c:v>2024</c:v>
                </c:pt>
              </c:strCache>
            </c:strRef>
          </c:tx>
          <c:spPr>
            <a:solidFill>
              <a:schemeClr val="accent4"/>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Clorua!$G$6:$G$21</c:f>
              <c:numCache>
                <c:formatCode>General</c:formatCode>
                <c:ptCount val="16"/>
                <c:pt idx="0">
                  <c:v>1454.75</c:v>
                </c:pt>
                <c:pt idx="1">
                  <c:v>240.97499999999999</c:v>
                </c:pt>
                <c:pt idx="2">
                  <c:v>51.625</c:v>
                </c:pt>
                <c:pt idx="3">
                  <c:v>23.224999999999998</c:v>
                </c:pt>
                <c:pt idx="4">
                  <c:v>37.4</c:v>
                </c:pt>
                <c:pt idx="5">
                  <c:v>21.974999999999998</c:v>
                </c:pt>
                <c:pt idx="6">
                  <c:v>88.78</c:v>
                </c:pt>
                <c:pt idx="7">
                  <c:v>36.85</c:v>
                </c:pt>
                <c:pt idx="8">
                  <c:v>16.3</c:v>
                </c:pt>
                <c:pt idx="9">
                  <c:v>42.8675</c:v>
                </c:pt>
                <c:pt idx="10">
                  <c:v>23.225000000000001</c:v>
                </c:pt>
                <c:pt idx="11">
                  <c:v>57.925000000000004</c:v>
                </c:pt>
                <c:pt idx="12">
                  <c:v>21.274999999999999</c:v>
                </c:pt>
                <c:pt idx="13">
                  <c:v>23.924999999999997</c:v>
                </c:pt>
                <c:pt idx="14">
                  <c:v>8.6649999999999991</c:v>
                </c:pt>
                <c:pt idx="15">
                  <c:v>28.7</c:v>
                </c:pt>
              </c:numCache>
            </c:numRef>
          </c:val>
          <c:extLst>
            <c:ext xmlns:c16="http://schemas.microsoft.com/office/drawing/2014/chart" uri="{C3380CC4-5D6E-409C-BE32-E72D297353CC}">
              <c16:uniqueId val="{00000003-4A87-4B47-96A5-85B9AC033A7F}"/>
            </c:ext>
          </c:extLst>
        </c:ser>
        <c:ser>
          <c:idx val="4"/>
          <c:order val="4"/>
          <c:tx>
            <c:strRef>
              <c:f>Clorua!$H$5</c:f>
              <c:strCache>
                <c:ptCount val="1"/>
                <c:pt idx="0">
                  <c:v>2025</c:v>
                </c:pt>
              </c:strCache>
            </c:strRef>
          </c:tx>
          <c:spPr>
            <a:solidFill>
              <a:schemeClr val="accent5"/>
            </a:solidFill>
            <a:ln>
              <a:noFill/>
            </a:ln>
            <a:effectLst/>
          </c:spPr>
          <c:invertIfNegative val="0"/>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Clorua!$H$6:$H$21</c:f>
              <c:numCache>
                <c:formatCode>General</c:formatCode>
                <c:ptCount val="16"/>
                <c:pt idx="0">
                  <c:v>18.399999999999999</c:v>
                </c:pt>
                <c:pt idx="1">
                  <c:v>83.6</c:v>
                </c:pt>
                <c:pt idx="2">
                  <c:v>26.2</c:v>
                </c:pt>
                <c:pt idx="3">
                  <c:v>12</c:v>
                </c:pt>
                <c:pt idx="4">
                  <c:v>41.8</c:v>
                </c:pt>
                <c:pt idx="5">
                  <c:v>22.7</c:v>
                </c:pt>
                <c:pt idx="6">
                  <c:v>152</c:v>
                </c:pt>
                <c:pt idx="7">
                  <c:v>34.700000000000003</c:v>
                </c:pt>
                <c:pt idx="8">
                  <c:v>14.2</c:v>
                </c:pt>
                <c:pt idx="9">
                  <c:v>29.8</c:v>
                </c:pt>
                <c:pt idx="10">
                  <c:v>15.6</c:v>
                </c:pt>
                <c:pt idx="11">
                  <c:v>51.7</c:v>
                </c:pt>
                <c:pt idx="12">
                  <c:v>22.7</c:v>
                </c:pt>
                <c:pt idx="13">
                  <c:v>33.299999999999997</c:v>
                </c:pt>
                <c:pt idx="14">
                  <c:v>8.5</c:v>
                </c:pt>
                <c:pt idx="15">
                  <c:v>36.9</c:v>
                </c:pt>
              </c:numCache>
            </c:numRef>
          </c:val>
          <c:extLst>
            <c:ext xmlns:c16="http://schemas.microsoft.com/office/drawing/2014/chart" uri="{C3380CC4-5D6E-409C-BE32-E72D297353CC}">
              <c16:uniqueId val="{00000004-4A87-4B47-96A5-85B9AC033A7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Clorua!$I$5</c:f>
              <c:strCache>
                <c:ptCount val="1"/>
                <c:pt idx="0">
                  <c:v>Quy chuẩn đánh giá </c:v>
                </c:pt>
              </c:strCache>
            </c:strRef>
          </c:tx>
          <c:spPr>
            <a:ln w="22225" cap="rnd">
              <a:solidFill>
                <a:schemeClr val="accent6"/>
              </a:solidFill>
              <a:round/>
            </a:ln>
            <a:effectLst/>
          </c:spPr>
          <c:marker>
            <c:symbol val="none"/>
          </c:marker>
          <c:cat>
            <c:strRef>
              <c:f>Clorua!$C$6:$C$21</c:f>
              <c:strCache>
                <c:ptCount val="16"/>
                <c:pt idx="0">
                  <c:v>Xóm Đại Tiến, xã Thạch Trị</c:v>
                </c:pt>
                <c:pt idx="1">
                  <c:v>Thôn Trường Xuân, xã Đỉnh Bàn</c:v>
                </c:pt>
                <c:pt idx="2">
                  <c:v>Xóm Hội Thủy, xã Xuân Hội</c:v>
                </c:pt>
                <c:pt idx="3">
                  <c:v>Thôn Song Long, xã Cương Gián</c:v>
                </c:pt>
                <c:pt idx="4">
                  <c:v>Thôn Trường An, xã Xuân Phổ</c:v>
                </c:pt>
                <c:pt idx="5">
                  <c:v>Thôn Thanh Văn, xã Xuân Thành</c:v>
                </c:pt>
                <c:pt idx="6">
                  <c:v>Thôn Liên Tân, xã Thạch Kim</c:v>
                </c:pt>
                <c:pt idx="7">
                  <c:v>Thôn Xuân Nam, xã Cẩm Nhượng</c:v>
                </c:pt>
                <c:pt idx="8">
                  <c:v>Thôn Bắc Hòa, xã Yên Hòa</c:v>
                </c:pt>
                <c:pt idx="9">
                  <c:v>Xóm Tam Hải, P. Kỳ Ninh</c:v>
                </c:pt>
                <c:pt idx="10">
                  <c:v>Xóm Minh Đức, xã Kỳ Nam</c:v>
                </c:pt>
                <c:pt idx="11">
                  <c:v>Làng Hải Phong, xã Kỳ Lợi</c:v>
                </c:pt>
                <c:pt idx="12">
                  <c:v>Làng Hải Thanh, xã Kỳ Lợi</c:v>
                </c:pt>
                <c:pt idx="13">
                  <c:v>Thôn Hải Hà, xã Kỳ Hà</c:v>
                </c:pt>
                <c:pt idx="14">
                  <c:v>Thôn Quang Trung, xã Kỳ Xuân</c:v>
                </c:pt>
                <c:pt idx="15">
                  <c:v>Thôn Trung Tiến, xã Kỳ Khang</c:v>
                </c:pt>
              </c:strCache>
            </c:strRef>
          </c:cat>
          <c:val>
            <c:numRef>
              <c:f>Clorua!$I$6:$I$21</c:f>
              <c:numCache>
                <c:formatCode>General</c:formatCode>
                <c:ptCount val="16"/>
                <c:pt idx="0">
                  <c:v>250</c:v>
                </c:pt>
                <c:pt idx="1">
                  <c:v>250</c:v>
                </c:pt>
                <c:pt idx="2">
                  <c:v>250</c:v>
                </c:pt>
                <c:pt idx="3">
                  <c:v>250</c:v>
                </c:pt>
                <c:pt idx="4">
                  <c:v>250</c:v>
                </c:pt>
                <c:pt idx="5">
                  <c:v>250</c:v>
                </c:pt>
                <c:pt idx="6">
                  <c:v>250</c:v>
                </c:pt>
                <c:pt idx="7">
                  <c:v>250</c:v>
                </c:pt>
                <c:pt idx="8">
                  <c:v>250</c:v>
                </c:pt>
                <c:pt idx="9">
                  <c:v>250</c:v>
                </c:pt>
                <c:pt idx="10">
                  <c:v>250</c:v>
                </c:pt>
                <c:pt idx="11">
                  <c:v>250</c:v>
                </c:pt>
                <c:pt idx="12">
                  <c:v>250</c:v>
                </c:pt>
                <c:pt idx="13">
                  <c:v>250</c:v>
                </c:pt>
                <c:pt idx="14">
                  <c:v>250</c:v>
                </c:pt>
                <c:pt idx="15">
                  <c:v>250</c:v>
                </c:pt>
              </c:numCache>
            </c:numRef>
          </c:val>
          <c:smooth val="0"/>
          <c:extLst>
            <c:ext xmlns:c16="http://schemas.microsoft.com/office/drawing/2014/chart" uri="{C3380CC4-5D6E-409C-BE32-E72D297353CC}">
              <c16:uniqueId val="{00000005-4A87-4B47-96A5-85B9AC033A7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0"/>
      </c:valAx>
      <c:spPr>
        <a:noFill/>
        <a:ln>
          <a:noFill/>
        </a:ln>
        <a:effectLst/>
      </c:spPr>
    </c:plotArea>
    <c:legend>
      <c:legendPos val="b"/>
      <c:layout>
        <c:manualLayout>
          <c:xMode val="edge"/>
          <c:yMode val="edge"/>
          <c:x val="8.2232016595409838E-2"/>
          <c:y val="0.87238427832504195"/>
          <c:w val="0.82854784661351288"/>
          <c:h val="9.414291832767765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8083989501313E-4"/>
          <c:y val="0.197950405453049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4.7968393424506151E-2"/>
          <c:y val="4.2294303655729039E-2"/>
          <c:w val="0.94515430308053594"/>
          <c:h val="0.51975633642809571"/>
        </c:manualLayout>
      </c:layout>
      <c:barChart>
        <c:barDir val="col"/>
        <c:grouping val="clustered"/>
        <c:varyColors val="0"/>
        <c:ser>
          <c:idx val="0"/>
          <c:order val="0"/>
          <c:tx>
            <c:strRef>
              <c:f>pH!$E$23</c:f>
              <c:strCache>
                <c:ptCount val="1"/>
                <c:pt idx="0">
                  <c:v>2021</c:v>
                </c:pt>
              </c:strCache>
            </c:strRef>
          </c:tx>
          <c:spPr>
            <a:solidFill>
              <a:schemeClr val="accent1"/>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pH!$E$24:$E$46</c:f>
              <c:numCache>
                <c:formatCode>0.00</c:formatCode>
                <c:ptCount val="23"/>
                <c:pt idx="0">
                  <c:v>7.625</c:v>
                </c:pt>
                <c:pt idx="1">
                  <c:v>7.4749999999999996</c:v>
                </c:pt>
                <c:pt idx="2">
                  <c:v>7.4249999999999989</c:v>
                </c:pt>
                <c:pt idx="3">
                  <c:v>7.3749999999999991</c:v>
                </c:pt>
                <c:pt idx="4">
                  <c:v>6.5750000000000002</c:v>
                </c:pt>
                <c:pt idx="5">
                  <c:v>6.4</c:v>
                </c:pt>
                <c:pt idx="6">
                  <c:v>6.4249999999999998</c:v>
                </c:pt>
                <c:pt idx="7">
                  <c:v>5.6</c:v>
                </c:pt>
                <c:pt idx="8">
                  <c:v>6.25</c:v>
                </c:pt>
                <c:pt idx="9">
                  <c:v>5.55</c:v>
                </c:pt>
                <c:pt idx="10">
                  <c:v>5.7750000000000004</c:v>
                </c:pt>
                <c:pt idx="11">
                  <c:v>7.4749999999999996</c:v>
                </c:pt>
                <c:pt idx="12">
                  <c:v>5.7249999999999996</c:v>
                </c:pt>
                <c:pt idx="13">
                  <c:v>6.7750000000000004</c:v>
                </c:pt>
                <c:pt idx="14">
                  <c:v>6.9</c:v>
                </c:pt>
                <c:pt idx="15">
                  <c:v>5.3250000000000002</c:v>
                </c:pt>
                <c:pt idx="16">
                  <c:v>4.6574999999999998</c:v>
                </c:pt>
                <c:pt idx="17">
                  <c:v>5.1499999999999995</c:v>
                </c:pt>
                <c:pt idx="18">
                  <c:v>4.8499999999999996</c:v>
                </c:pt>
                <c:pt idx="19">
                  <c:v>5.2625000000000002</c:v>
                </c:pt>
                <c:pt idx="20">
                  <c:v>3.875</c:v>
                </c:pt>
                <c:pt idx="21">
                  <c:v>5.3</c:v>
                </c:pt>
                <c:pt idx="22">
                  <c:v>6.8500000000000005</c:v>
                </c:pt>
              </c:numCache>
            </c:numRef>
          </c:val>
          <c:extLst>
            <c:ext xmlns:c16="http://schemas.microsoft.com/office/drawing/2014/chart" uri="{C3380CC4-5D6E-409C-BE32-E72D297353CC}">
              <c16:uniqueId val="{00000000-B9B0-4895-A445-F98A167BC497}"/>
            </c:ext>
          </c:extLst>
        </c:ser>
        <c:ser>
          <c:idx val="1"/>
          <c:order val="1"/>
          <c:tx>
            <c:strRef>
              <c:f>pH!$F$23</c:f>
              <c:strCache>
                <c:ptCount val="1"/>
                <c:pt idx="0">
                  <c:v>2022</c:v>
                </c:pt>
              </c:strCache>
            </c:strRef>
          </c:tx>
          <c:spPr>
            <a:solidFill>
              <a:schemeClr val="accent2"/>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pH!$F$24:$F$46</c:f>
              <c:numCache>
                <c:formatCode>0.00</c:formatCode>
                <c:ptCount val="23"/>
                <c:pt idx="0">
                  <c:v>6.5</c:v>
                </c:pt>
                <c:pt idx="1">
                  <c:v>6.9249999999999998</c:v>
                </c:pt>
                <c:pt idx="2">
                  <c:v>7.375</c:v>
                </c:pt>
                <c:pt idx="3">
                  <c:v>6.7250000000000005</c:v>
                </c:pt>
                <c:pt idx="4">
                  <c:v>6.5499999999999989</c:v>
                </c:pt>
                <c:pt idx="5">
                  <c:v>6.6750000000000007</c:v>
                </c:pt>
                <c:pt idx="6">
                  <c:v>6.4249999999999989</c:v>
                </c:pt>
                <c:pt idx="7">
                  <c:v>5.5000000000000009</c:v>
                </c:pt>
                <c:pt idx="8">
                  <c:v>6.375</c:v>
                </c:pt>
                <c:pt idx="9">
                  <c:v>5.7</c:v>
                </c:pt>
                <c:pt idx="10">
                  <c:v>5.9499999999999993</c:v>
                </c:pt>
                <c:pt idx="11">
                  <c:v>6.9250000000000007</c:v>
                </c:pt>
                <c:pt idx="12">
                  <c:v>6.1</c:v>
                </c:pt>
                <c:pt idx="13">
                  <c:v>6.6749999999999998</c:v>
                </c:pt>
                <c:pt idx="14">
                  <c:v>6.4</c:v>
                </c:pt>
                <c:pt idx="15">
                  <c:v>5.4250000000000007</c:v>
                </c:pt>
                <c:pt idx="16">
                  <c:v>4.9249999999999998</c:v>
                </c:pt>
                <c:pt idx="17">
                  <c:v>5.9625000000000004</c:v>
                </c:pt>
                <c:pt idx="18">
                  <c:v>5.25</c:v>
                </c:pt>
                <c:pt idx="19">
                  <c:v>5.5</c:v>
                </c:pt>
                <c:pt idx="20">
                  <c:v>4.8125</c:v>
                </c:pt>
                <c:pt idx="21">
                  <c:v>5.4499999999999993</c:v>
                </c:pt>
                <c:pt idx="22">
                  <c:v>6.85</c:v>
                </c:pt>
              </c:numCache>
            </c:numRef>
          </c:val>
          <c:extLst>
            <c:ext xmlns:c16="http://schemas.microsoft.com/office/drawing/2014/chart" uri="{C3380CC4-5D6E-409C-BE32-E72D297353CC}">
              <c16:uniqueId val="{00000001-B9B0-4895-A445-F98A167BC497}"/>
            </c:ext>
          </c:extLst>
        </c:ser>
        <c:ser>
          <c:idx val="2"/>
          <c:order val="2"/>
          <c:tx>
            <c:strRef>
              <c:f>pH!$G$23</c:f>
              <c:strCache>
                <c:ptCount val="1"/>
                <c:pt idx="0">
                  <c:v>2023</c:v>
                </c:pt>
              </c:strCache>
            </c:strRef>
          </c:tx>
          <c:spPr>
            <a:solidFill>
              <a:schemeClr val="accent3"/>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pH!$G$24:$G$46</c:f>
              <c:numCache>
                <c:formatCode>0.00</c:formatCode>
                <c:ptCount val="23"/>
                <c:pt idx="0">
                  <c:v>7.0250000000000004</c:v>
                </c:pt>
                <c:pt idx="1">
                  <c:v>6.9749999999999996</c:v>
                </c:pt>
                <c:pt idx="2">
                  <c:v>7.3250000000000002</c:v>
                </c:pt>
                <c:pt idx="3">
                  <c:v>7.1750000000000007</c:v>
                </c:pt>
                <c:pt idx="4">
                  <c:v>6.45</c:v>
                </c:pt>
                <c:pt idx="5">
                  <c:v>5.875</c:v>
                </c:pt>
                <c:pt idx="6">
                  <c:v>7.0250000000000004</c:v>
                </c:pt>
                <c:pt idx="7">
                  <c:v>5.9749999999999996</c:v>
                </c:pt>
                <c:pt idx="8">
                  <c:v>6.4249999999999998</c:v>
                </c:pt>
                <c:pt idx="9">
                  <c:v>5.9500000000000011</c:v>
                </c:pt>
                <c:pt idx="10">
                  <c:v>6.15</c:v>
                </c:pt>
                <c:pt idx="11">
                  <c:v>7.4</c:v>
                </c:pt>
                <c:pt idx="12">
                  <c:v>5.8</c:v>
                </c:pt>
                <c:pt idx="13">
                  <c:v>6.9250000000000007</c:v>
                </c:pt>
                <c:pt idx="14">
                  <c:v>6.875</c:v>
                </c:pt>
                <c:pt idx="15">
                  <c:v>5.125</c:v>
                </c:pt>
                <c:pt idx="16">
                  <c:v>5.3249999999999993</c:v>
                </c:pt>
                <c:pt idx="17">
                  <c:v>5.7249999999999996</c:v>
                </c:pt>
                <c:pt idx="18">
                  <c:v>5.45</c:v>
                </c:pt>
                <c:pt idx="19">
                  <c:v>5.6000000000000005</c:v>
                </c:pt>
                <c:pt idx="20">
                  <c:v>5.1749999999999998</c:v>
                </c:pt>
                <c:pt idx="21">
                  <c:v>5.5249999999999995</c:v>
                </c:pt>
                <c:pt idx="22">
                  <c:v>6.7250000000000005</c:v>
                </c:pt>
              </c:numCache>
            </c:numRef>
          </c:val>
          <c:extLst>
            <c:ext xmlns:c16="http://schemas.microsoft.com/office/drawing/2014/chart" uri="{C3380CC4-5D6E-409C-BE32-E72D297353CC}">
              <c16:uniqueId val="{00000002-B9B0-4895-A445-F98A167BC497}"/>
            </c:ext>
          </c:extLst>
        </c:ser>
        <c:ser>
          <c:idx val="3"/>
          <c:order val="3"/>
          <c:tx>
            <c:strRef>
              <c:f>pH!$H$23</c:f>
              <c:strCache>
                <c:ptCount val="1"/>
                <c:pt idx="0">
                  <c:v>2024</c:v>
                </c:pt>
              </c:strCache>
            </c:strRef>
          </c:tx>
          <c:spPr>
            <a:solidFill>
              <a:schemeClr val="accent4"/>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pH!$H$24:$H$46</c:f>
              <c:numCache>
                <c:formatCode>0.00</c:formatCode>
                <c:ptCount val="23"/>
                <c:pt idx="0">
                  <c:v>7.0750000000000002</c:v>
                </c:pt>
                <c:pt idx="1">
                  <c:v>7.0500000000000007</c:v>
                </c:pt>
                <c:pt idx="2">
                  <c:v>7.1999999999999993</c:v>
                </c:pt>
                <c:pt idx="3">
                  <c:v>7.1000000000000005</c:v>
                </c:pt>
                <c:pt idx="4">
                  <c:v>6.8250000000000002</c:v>
                </c:pt>
                <c:pt idx="5">
                  <c:v>6.8999999999999995</c:v>
                </c:pt>
                <c:pt idx="6">
                  <c:v>6.9749999999999996</c:v>
                </c:pt>
                <c:pt idx="7">
                  <c:v>6.0500000000000007</c:v>
                </c:pt>
                <c:pt idx="8">
                  <c:v>6.2999999999999989</c:v>
                </c:pt>
                <c:pt idx="9">
                  <c:v>6.2</c:v>
                </c:pt>
                <c:pt idx="10">
                  <c:v>6.625</c:v>
                </c:pt>
                <c:pt idx="11">
                  <c:v>7.2250000000000005</c:v>
                </c:pt>
                <c:pt idx="12">
                  <c:v>5.95</c:v>
                </c:pt>
                <c:pt idx="13">
                  <c:v>6.9749999999999996</c:v>
                </c:pt>
                <c:pt idx="14">
                  <c:v>6.65</c:v>
                </c:pt>
                <c:pt idx="15">
                  <c:v>5.5749999999999993</c:v>
                </c:pt>
                <c:pt idx="16">
                  <c:v>6.3</c:v>
                </c:pt>
                <c:pt idx="17">
                  <c:v>5.9</c:v>
                </c:pt>
                <c:pt idx="18">
                  <c:v>5.55</c:v>
                </c:pt>
                <c:pt idx="19">
                  <c:v>5.85</c:v>
                </c:pt>
                <c:pt idx="20">
                  <c:v>5.9249999999999998</c:v>
                </c:pt>
                <c:pt idx="21">
                  <c:v>5.4249999999999998</c:v>
                </c:pt>
                <c:pt idx="22">
                  <c:v>6.7750000000000004</c:v>
                </c:pt>
              </c:numCache>
            </c:numRef>
          </c:val>
          <c:extLst>
            <c:ext xmlns:c16="http://schemas.microsoft.com/office/drawing/2014/chart" uri="{C3380CC4-5D6E-409C-BE32-E72D297353CC}">
              <c16:uniqueId val="{00000003-B9B0-4895-A445-F98A167BC497}"/>
            </c:ext>
          </c:extLst>
        </c:ser>
        <c:ser>
          <c:idx val="4"/>
          <c:order val="4"/>
          <c:tx>
            <c:strRef>
              <c:f>pH!$I$23</c:f>
              <c:strCache>
                <c:ptCount val="1"/>
                <c:pt idx="0">
                  <c:v>2025</c:v>
                </c:pt>
              </c:strCache>
            </c:strRef>
          </c:tx>
          <c:spPr>
            <a:solidFill>
              <a:schemeClr val="accent5"/>
            </a:solidFill>
            <a:ln>
              <a:noFill/>
            </a:ln>
            <a:effectLst/>
          </c:spPr>
          <c:invertIfNegative val="0"/>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pH!$I$24:$I$46</c:f>
              <c:numCache>
                <c:formatCode>0.00</c:formatCode>
                <c:ptCount val="23"/>
                <c:pt idx="0">
                  <c:v>7</c:v>
                </c:pt>
                <c:pt idx="1">
                  <c:v>7.4</c:v>
                </c:pt>
                <c:pt idx="2">
                  <c:v>7.4</c:v>
                </c:pt>
                <c:pt idx="3">
                  <c:v>7.3</c:v>
                </c:pt>
                <c:pt idx="4">
                  <c:v>6.8</c:v>
                </c:pt>
                <c:pt idx="5">
                  <c:v>7.1</c:v>
                </c:pt>
                <c:pt idx="6">
                  <c:v>6.9</c:v>
                </c:pt>
                <c:pt idx="7">
                  <c:v>5.9</c:v>
                </c:pt>
                <c:pt idx="8">
                  <c:v>6.5</c:v>
                </c:pt>
                <c:pt idx="9">
                  <c:v>6.2</c:v>
                </c:pt>
                <c:pt idx="10">
                  <c:v>6.2</c:v>
                </c:pt>
                <c:pt idx="11">
                  <c:v>7.5</c:v>
                </c:pt>
                <c:pt idx="12">
                  <c:v>6.2</c:v>
                </c:pt>
                <c:pt idx="13">
                  <c:v>6.8</c:v>
                </c:pt>
                <c:pt idx="14">
                  <c:v>6.7</c:v>
                </c:pt>
                <c:pt idx="15">
                  <c:v>6.2</c:v>
                </c:pt>
                <c:pt idx="16">
                  <c:v>5.8</c:v>
                </c:pt>
                <c:pt idx="17">
                  <c:v>5.9</c:v>
                </c:pt>
                <c:pt idx="18">
                  <c:v>6</c:v>
                </c:pt>
                <c:pt idx="19">
                  <c:v>5.6</c:v>
                </c:pt>
                <c:pt idx="20">
                  <c:v>7.6</c:v>
                </c:pt>
                <c:pt idx="21">
                  <c:v>6.2</c:v>
                </c:pt>
                <c:pt idx="22">
                  <c:v>7.1</c:v>
                </c:pt>
              </c:numCache>
            </c:numRef>
          </c:val>
          <c:extLst>
            <c:ext xmlns:c16="http://schemas.microsoft.com/office/drawing/2014/chart" uri="{C3380CC4-5D6E-409C-BE32-E72D297353CC}">
              <c16:uniqueId val="{00000004-B9B0-4895-A445-F98A167BC49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pH!$J$23</c:f>
              <c:strCache>
                <c:ptCount val="1"/>
                <c:pt idx="0">
                  <c:v>Ngưỡng trên QC</c:v>
                </c:pt>
              </c:strCache>
            </c:strRef>
          </c:tx>
          <c:spPr>
            <a:ln w="22225" cap="rnd">
              <a:solidFill>
                <a:schemeClr val="accent6"/>
              </a:solidFill>
              <a:round/>
            </a:ln>
            <a:effectLst/>
          </c:spPr>
          <c:marker>
            <c:symbol val="none"/>
          </c:marker>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pH!$J$24:$J$46</c:f>
              <c:numCache>
                <c:formatCode>General</c:formatCode>
                <c:ptCount val="23"/>
                <c:pt idx="0">
                  <c:v>8.5</c:v>
                </c:pt>
                <c:pt idx="1">
                  <c:v>8.5</c:v>
                </c:pt>
                <c:pt idx="2">
                  <c:v>8.5</c:v>
                </c:pt>
                <c:pt idx="3">
                  <c:v>8.5</c:v>
                </c:pt>
                <c:pt idx="4">
                  <c:v>8.5</c:v>
                </c:pt>
                <c:pt idx="5">
                  <c:v>8.5</c:v>
                </c:pt>
                <c:pt idx="6">
                  <c:v>8.5</c:v>
                </c:pt>
                <c:pt idx="7">
                  <c:v>8.5</c:v>
                </c:pt>
                <c:pt idx="8">
                  <c:v>8.5</c:v>
                </c:pt>
                <c:pt idx="9">
                  <c:v>8.5</c:v>
                </c:pt>
                <c:pt idx="10">
                  <c:v>8.5</c:v>
                </c:pt>
                <c:pt idx="11">
                  <c:v>8.5</c:v>
                </c:pt>
                <c:pt idx="12">
                  <c:v>8.5</c:v>
                </c:pt>
                <c:pt idx="13">
                  <c:v>8.5</c:v>
                </c:pt>
                <c:pt idx="14">
                  <c:v>8.5</c:v>
                </c:pt>
                <c:pt idx="15">
                  <c:v>8.5</c:v>
                </c:pt>
                <c:pt idx="16">
                  <c:v>8.5</c:v>
                </c:pt>
                <c:pt idx="17">
                  <c:v>8.5</c:v>
                </c:pt>
                <c:pt idx="18">
                  <c:v>8.5</c:v>
                </c:pt>
                <c:pt idx="19">
                  <c:v>8.5</c:v>
                </c:pt>
                <c:pt idx="20">
                  <c:v>8.5</c:v>
                </c:pt>
                <c:pt idx="21">
                  <c:v>8.5</c:v>
                </c:pt>
                <c:pt idx="22">
                  <c:v>8.5</c:v>
                </c:pt>
              </c:numCache>
            </c:numRef>
          </c:val>
          <c:smooth val="0"/>
          <c:extLst>
            <c:ext xmlns:c16="http://schemas.microsoft.com/office/drawing/2014/chart" uri="{C3380CC4-5D6E-409C-BE32-E72D297353CC}">
              <c16:uniqueId val="{00000005-B9B0-4895-A445-F98A167BC497}"/>
            </c:ext>
          </c:extLst>
        </c:ser>
        <c:ser>
          <c:idx val="6"/>
          <c:order val="6"/>
          <c:tx>
            <c:strRef>
              <c:f>pH!$K$23</c:f>
              <c:strCache>
                <c:ptCount val="1"/>
                <c:pt idx="0">
                  <c:v>Ngưỡng dưới QC 2015</c:v>
                </c:pt>
              </c:strCache>
            </c:strRef>
          </c:tx>
          <c:spPr>
            <a:ln w="22225" cap="rnd">
              <a:solidFill>
                <a:schemeClr val="accent1">
                  <a:lumMod val="60000"/>
                </a:schemeClr>
              </a:solidFill>
              <a:round/>
            </a:ln>
            <a:effectLst/>
          </c:spPr>
          <c:marker>
            <c:symbol val="none"/>
          </c:marker>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pH!$K$24:$K$46</c:f>
              <c:numCache>
                <c:formatCode>General</c:formatCode>
                <c:ptCount val="23"/>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numCache>
            </c:numRef>
          </c:val>
          <c:smooth val="0"/>
          <c:extLst>
            <c:ext xmlns:c16="http://schemas.microsoft.com/office/drawing/2014/chart" uri="{C3380CC4-5D6E-409C-BE32-E72D297353CC}">
              <c16:uniqueId val="{00000006-B9B0-4895-A445-F98A167BC497}"/>
            </c:ext>
          </c:extLst>
        </c:ser>
        <c:ser>
          <c:idx val="7"/>
          <c:order val="7"/>
          <c:tx>
            <c:strRef>
              <c:f>pH!$L$23</c:f>
              <c:strCache>
                <c:ptCount val="1"/>
                <c:pt idx="0">
                  <c:v>Ngưỡng dưới QC 2023</c:v>
                </c:pt>
              </c:strCache>
            </c:strRef>
          </c:tx>
          <c:spPr>
            <a:ln w="22225" cap="rnd">
              <a:solidFill>
                <a:schemeClr val="accent2">
                  <a:lumMod val="60000"/>
                </a:schemeClr>
              </a:solidFill>
              <a:round/>
            </a:ln>
            <a:effectLst/>
          </c:spPr>
          <c:marker>
            <c:symbol val="none"/>
          </c:marker>
          <c:cat>
            <c:strRef>
              <c:f>pH!$D$24:$D$46</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pH!$L$24:$L$46</c:f>
              <c:numCache>
                <c:formatCode>General</c:formatCode>
                <c:ptCount val="23"/>
                <c:pt idx="0">
                  <c:v>5.8</c:v>
                </c:pt>
                <c:pt idx="1">
                  <c:v>5.8</c:v>
                </c:pt>
                <c:pt idx="2">
                  <c:v>5.8</c:v>
                </c:pt>
                <c:pt idx="3">
                  <c:v>5.8</c:v>
                </c:pt>
                <c:pt idx="4">
                  <c:v>5.8</c:v>
                </c:pt>
                <c:pt idx="5">
                  <c:v>5.8</c:v>
                </c:pt>
                <c:pt idx="6">
                  <c:v>5.8</c:v>
                </c:pt>
                <c:pt idx="7">
                  <c:v>5.8</c:v>
                </c:pt>
                <c:pt idx="8">
                  <c:v>5.8</c:v>
                </c:pt>
                <c:pt idx="9">
                  <c:v>5.8</c:v>
                </c:pt>
                <c:pt idx="10">
                  <c:v>5.8</c:v>
                </c:pt>
                <c:pt idx="11">
                  <c:v>5.8</c:v>
                </c:pt>
                <c:pt idx="12">
                  <c:v>5.8</c:v>
                </c:pt>
                <c:pt idx="13">
                  <c:v>5.8</c:v>
                </c:pt>
                <c:pt idx="14">
                  <c:v>5.8</c:v>
                </c:pt>
                <c:pt idx="15">
                  <c:v>5.8</c:v>
                </c:pt>
                <c:pt idx="16">
                  <c:v>5.8</c:v>
                </c:pt>
                <c:pt idx="17">
                  <c:v>5.8</c:v>
                </c:pt>
                <c:pt idx="18">
                  <c:v>5.8</c:v>
                </c:pt>
                <c:pt idx="19">
                  <c:v>5.8</c:v>
                </c:pt>
                <c:pt idx="20">
                  <c:v>5.8</c:v>
                </c:pt>
                <c:pt idx="21">
                  <c:v>5.8</c:v>
                </c:pt>
                <c:pt idx="22">
                  <c:v>5.8</c:v>
                </c:pt>
              </c:numCache>
            </c:numRef>
          </c:val>
          <c:smooth val="0"/>
          <c:extLst>
            <c:ext xmlns:c16="http://schemas.microsoft.com/office/drawing/2014/chart" uri="{C3380CC4-5D6E-409C-BE32-E72D297353CC}">
              <c16:uniqueId val="{00000007-B9B0-4895-A445-F98A167BC49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5326308312940798E-4"/>
          <c:y val="0.1447438592088339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8780443142281633E-2"/>
          <c:y val="3.5169619422572178E-2"/>
          <c:w val="0.93450439202499269"/>
          <c:h val="0.53277197493170492"/>
        </c:manualLayout>
      </c:layout>
      <c:barChart>
        <c:barDir val="col"/>
        <c:grouping val="clustered"/>
        <c:varyColors val="0"/>
        <c:ser>
          <c:idx val="0"/>
          <c:order val="0"/>
          <c:tx>
            <c:strRef>
              <c:f>Coliform!$D$24</c:f>
              <c:strCache>
                <c:ptCount val="1"/>
                <c:pt idx="0">
                  <c:v>2021</c:v>
                </c:pt>
              </c:strCache>
            </c:strRef>
          </c:tx>
          <c:spPr>
            <a:solidFill>
              <a:schemeClr val="accent1"/>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Coliform!$D$25:$D$47</c:f>
              <c:numCache>
                <c:formatCode>General</c:formatCode>
                <c:ptCount val="23"/>
                <c:pt idx="0">
                  <c:v>132.25</c:v>
                </c:pt>
                <c:pt idx="1">
                  <c:v>105</c:v>
                </c:pt>
                <c:pt idx="2">
                  <c:v>40.5</c:v>
                </c:pt>
                <c:pt idx="3">
                  <c:v>76.75</c:v>
                </c:pt>
                <c:pt idx="4">
                  <c:v>7</c:v>
                </c:pt>
                <c:pt idx="5">
                  <c:v>25</c:v>
                </c:pt>
                <c:pt idx="6">
                  <c:v>43</c:v>
                </c:pt>
                <c:pt idx="7">
                  <c:v>3.75</c:v>
                </c:pt>
                <c:pt idx="8">
                  <c:v>8.75</c:v>
                </c:pt>
                <c:pt idx="9">
                  <c:v>17.25</c:v>
                </c:pt>
                <c:pt idx="10">
                  <c:v>10</c:v>
                </c:pt>
                <c:pt idx="11">
                  <c:v>50.5</c:v>
                </c:pt>
                <c:pt idx="12">
                  <c:v>66.75</c:v>
                </c:pt>
                <c:pt idx="13">
                  <c:v>3</c:v>
                </c:pt>
                <c:pt idx="14">
                  <c:v>6.25</c:v>
                </c:pt>
                <c:pt idx="15">
                  <c:v>8</c:v>
                </c:pt>
                <c:pt idx="16">
                  <c:v>16.75</c:v>
                </c:pt>
                <c:pt idx="17">
                  <c:v>16.25</c:v>
                </c:pt>
                <c:pt idx="18">
                  <c:v>5.25</c:v>
                </c:pt>
                <c:pt idx="19">
                  <c:v>11.75</c:v>
                </c:pt>
                <c:pt idx="20">
                  <c:v>59.75</c:v>
                </c:pt>
                <c:pt idx="21">
                  <c:v>21.75</c:v>
                </c:pt>
                <c:pt idx="22">
                  <c:v>120</c:v>
                </c:pt>
              </c:numCache>
            </c:numRef>
          </c:val>
          <c:extLst>
            <c:ext xmlns:c16="http://schemas.microsoft.com/office/drawing/2014/chart" uri="{C3380CC4-5D6E-409C-BE32-E72D297353CC}">
              <c16:uniqueId val="{00000000-BD0A-414D-8660-BA6D195388A8}"/>
            </c:ext>
          </c:extLst>
        </c:ser>
        <c:ser>
          <c:idx val="1"/>
          <c:order val="1"/>
          <c:tx>
            <c:strRef>
              <c:f>Coliform!$E$24</c:f>
              <c:strCache>
                <c:ptCount val="1"/>
                <c:pt idx="0">
                  <c:v>2022</c:v>
                </c:pt>
              </c:strCache>
            </c:strRef>
          </c:tx>
          <c:spPr>
            <a:solidFill>
              <a:schemeClr val="accent2"/>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Coliform!$E$25:$E$47</c:f>
              <c:numCache>
                <c:formatCode>General</c:formatCode>
                <c:ptCount val="23"/>
                <c:pt idx="0">
                  <c:v>58.5</c:v>
                </c:pt>
                <c:pt idx="1">
                  <c:v>41.25</c:v>
                </c:pt>
                <c:pt idx="2">
                  <c:v>102.25</c:v>
                </c:pt>
                <c:pt idx="3">
                  <c:v>190.5</c:v>
                </c:pt>
                <c:pt idx="4">
                  <c:v>46.05</c:v>
                </c:pt>
                <c:pt idx="5">
                  <c:v>66.25</c:v>
                </c:pt>
                <c:pt idx="6">
                  <c:v>19.524999999999999</c:v>
                </c:pt>
                <c:pt idx="7">
                  <c:v>7.1249999999999991</c:v>
                </c:pt>
                <c:pt idx="8">
                  <c:v>8.9</c:v>
                </c:pt>
                <c:pt idx="9">
                  <c:v>4.25</c:v>
                </c:pt>
                <c:pt idx="10">
                  <c:v>14.824999999999999</c:v>
                </c:pt>
                <c:pt idx="11">
                  <c:v>9.0250000000000004</c:v>
                </c:pt>
                <c:pt idx="12">
                  <c:v>69.2</c:v>
                </c:pt>
                <c:pt idx="13">
                  <c:v>8.7750000000000004</c:v>
                </c:pt>
                <c:pt idx="14">
                  <c:v>5.2750000000000004</c:v>
                </c:pt>
                <c:pt idx="15">
                  <c:v>6.65</c:v>
                </c:pt>
                <c:pt idx="16">
                  <c:v>29.9</c:v>
                </c:pt>
                <c:pt idx="17">
                  <c:v>11.5</c:v>
                </c:pt>
                <c:pt idx="18">
                  <c:v>1.425</c:v>
                </c:pt>
                <c:pt idx="19">
                  <c:v>62.95</c:v>
                </c:pt>
                <c:pt idx="20">
                  <c:v>22.5</c:v>
                </c:pt>
                <c:pt idx="21">
                  <c:v>10.25</c:v>
                </c:pt>
                <c:pt idx="22">
                  <c:v>43.2</c:v>
                </c:pt>
              </c:numCache>
            </c:numRef>
          </c:val>
          <c:extLst>
            <c:ext xmlns:c16="http://schemas.microsoft.com/office/drawing/2014/chart" uri="{C3380CC4-5D6E-409C-BE32-E72D297353CC}">
              <c16:uniqueId val="{00000001-BD0A-414D-8660-BA6D195388A8}"/>
            </c:ext>
          </c:extLst>
        </c:ser>
        <c:ser>
          <c:idx val="2"/>
          <c:order val="2"/>
          <c:tx>
            <c:strRef>
              <c:f>Coliform!$F$24</c:f>
              <c:strCache>
                <c:ptCount val="1"/>
                <c:pt idx="0">
                  <c:v>2023</c:v>
                </c:pt>
              </c:strCache>
            </c:strRef>
          </c:tx>
          <c:spPr>
            <a:solidFill>
              <a:schemeClr val="accent3"/>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Coliform!$F$25:$F$47</c:f>
              <c:numCache>
                <c:formatCode>General</c:formatCode>
                <c:ptCount val="23"/>
                <c:pt idx="0">
                  <c:v>195</c:v>
                </c:pt>
                <c:pt idx="1">
                  <c:v>145.25</c:v>
                </c:pt>
                <c:pt idx="2">
                  <c:v>117.5</c:v>
                </c:pt>
                <c:pt idx="3">
                  <c:v>177.75</c:v>
                </c:pt>
                <c:pt idx="4">
                  <c:v>104.5</c:v>
                </c:pt>
                <c:pt idx="5">
                  <c:v>128.25</c:v>
                </c:pt>
                <c:pt idx="6">
                  <c:v>89.25</c:v>
                </c:pt>
                <c:pt idx="7">
                  <c:v>91.5</c:v>
                </c:pt>
                <c:pt idx="8">
                  <c:v>3.875</c:v>
                </c:pt>
                <c:pt idx="9">
                  <c:v>115.5</c:v>
                </c:pt>
                <c:pt idx="10">
                  <c:v>152.5</c:v>
                </c:pt>
                <c:pt idx="11">
                  <c:v>39.9</c:v>
                </c:pt>
                <c:pt idx="12">
                  <c:v>116.25</c:v>
                </c:pt>
                <c:pt idx="13">
                  <c:v>81.55</c:v>
                </c:pt>
                <c:pt idx="14">
                  <c:v>29.65</c:v>
                </c:pt>
                <c:pt idx="15">
                  <c:v>25.574999999999999</c:v>
                </c:pt>
                <c:pt idx="16">
                  <c:v>75.5</c:v>
                </c:pt>
                <c:pt idx="17">
                  <c:v>23.4</c:v>
                </c:pt>
                <c:pt idx="18">
                  <c:v>11.05</c:v>
                </c:pt>
                <c:pt idx="19">
                  <c:v>111.25</c:v>
                </c:pt>
                <c:pt idx="20">
                  <c:v>6.95</c:v>
                </c:pt>
                <c:pt idx="21">
                  <c:v>19.05</c:v>
                </c:pt>
                <c:pt idx="22">
                  <c:v>17.5</c:v>
                </c:pt>
              </c:numCache>
            </c:numRef>
          </c:val>
          <c:extLst>
            <c:ext xmlns:c16="http://schemas.microsoft.com/office/drawing/2014/chart" uri="{C3380CC4-5D6E-409C-BE32-E72D297353CC}">
              <c16:uniqueId val="{00000002-BD0A-414D-8660-BA6D195388A8}"/>
            </c:ext>
          </c:extLst>
        </c:ser>
        <c:ser>
          <c:idx val="3"/>
          <c:order val="3"/>
          <c:tx>
            <c:strRef>
              <c:f>Coliform!$G$24</c:f>
              <c:strCache>
                <c:ptCount val="1"/>
                <c:pt idx="0">
                  <c:v>2024</c:v>
                </c:pt>
              </c:strCache>
            </c:strRef>
          </c:tx>
          <c:spPr>
            <a:solidFill>
              <a:schemeClr val="accent4"/>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Coliform!$G$25:$G$47</c:f>
              <c:numCache>
                <c:formatCode>General</c:formatCode>
                <c:ptCount val="23"/>
                <c:pt idx="0">
                  <c:v>63.25</c:v>
                </c:pt>
                <c:pt idx="1">
                  <c:v>114</c:v>
                </c:pt>
                <c:pt idx="2">
                  <c:v>41</c:v>
                </c:pt>
                <c:pt idx="3">
                  <c:v>120</c:v>
                </c:pt>
                <c:pt idx="4">
                  <c:v>99.525000000000006</c:v>
                </c:pt>
                <c:pt idx="5">
                  <c:v>130.25</c:v>
                </c:pt>
                <c:pt idx="6">
                  <c:v>127.5</c:v>
                </c:pt>
                <c:pt idx="7">
                  <c:v>41.524999999999999</c:v>
                </c:pt>
                <c:pt idx="8">
                  <c:v>28.925000000000001</c:v>
                </c:pt>
                <c:pt idx="9">
                  <c:v>81.05</c:v>
                </c:pt>
                <c:pt idx="10">
                  <c:v>82.75</c:v>
                </c:pt>
                <c:pt idx="11">
                  <c:v>5</c:v>
                </c:pt>
                <c:pt idx="12">
                  <c:v>6.2</c:v>
                </c:pt>
                <c:pt idx="13">
                  <c:v>39.75</c:v>
                </c:pt>
                <c:pt idx="14">
                  <c:v>10.5</c:v>
                </c:pt>
                <c:pt idx="15">
                  <c:v>66.525000000000006</c:v>
                </c:pt>
                <c:pt idx="16">
                  <c:v>5.5</c:v>
                </c:pt>
                <c:pt idx="17">
                  <c:v>10.775</c:v>
                </c:pt>
                <c:pt idx="18">
                  <c:v>3.75</c:v>
                </c:pt>
                <c:pt idx="19">
                  <c:v>15.8</c:v>
                </c:pt>
                <c:pt idx="20">
                  <c:v>13.824999999999999</c:v>
                </c:pt>
                <c:pt idx="21">
                  <c:v>6.7750000000000004</c:v>
                </c:pt>
                <c:pt idx="22">
                  <c:v>18.5</c:v>
                </c:pt>
              </c:numCache>
            </c:numRef>
          </c:val>
          <c:extLst>
            <c:ext xmlns:c16="http://schemas.microsoft.com/office/drawing/2014/chart" uri="{C3380CC4-5D6E-409C-BE32-E72D297353CC}">
              <c16:uniqueId val="{00000003-BD0A-414D-8660-BA6D195388A8}"/>
            </c:ext>
          </c:extLst>
        </c:ser>
        <c:ser>
          <c:idx val="4"/>
          <c:order val="4"/>
          <c:tx>
            <c:strRef>
              <c:f>Coliform!$H$24</c:f>
              <c:strCache>
                <c:ptCount val="1"/>
                <c:pt idx="0">
                  <c:v>2025</c:v>
                </c:pt>
              </c:strCache>
            </c:strRef>
          </c:tx>
          <c:spPr>
            <a:solidFill>
              <a:schemeClr val="accent5"/>
            </a:solidFill>
            <a:ln>
              <a:noFill/>
            </a:ln>
            <a:effectLst/>
          </c:spPr>
          <c:invertIfNegative val="0"/>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Coliform!$H$25:$H$47</c:f>
              <c:numCache>
                <c:formatCode>General</c:formatCode>
                <c:ptCount val="23"/>
                <c:pt idx="0">
                  <c:v>1.8</c:v>
                </c:pt>
                <c:pt idx="1">
                  <c:v>1.8</c:v>
                </c:pt>
                <c:pt idx="2">
                  <c:v>1.8</c:v>
                </c:pt>
                <c:pt idx="3">
                  <c:v>17</c:v>
                </c:pt>
                <c:pt idx="4">
                  <c:v>1.8</c:v>
                </c:pt>
                <c:pt idx="5">
                  <c:v>6</c:v>
                </c:pt>
                <c:pt idx="6">
                  <c:v>21</c:v>
                </c:pt>
                <c:pt idx="7">
                  <c:v>9.1999999999999993</c:v>
                </c:pt>
                <c:pt idx="8">
                  <c:v>6</c:v>
                </c:pt>
                <c:pt idx="9">
                  <c:v>17</c:v>
                </c:pt>
                <c:pt idx="10">
                  <c:v>100</c:v>
                </c:pt>
                <c:pt idx="11">
                  <c:v>1.8</c:v>
                </c:pt>
                <c:pt idx="12">
                  <c:v>11</c:v>
                </c:pt>
                <c:pt idx="13">
                  <c:v>1.8</c:v>
                </c:pt>
                <c:pt idx="14">
                  <c:v>20</c:v>
                </c:pt>
                <c:pt idx="15">
                  <c:v>1.8</c:v>
                </c:pt>
                <c:pt idx="16">
                  <c:v>1.8</c:v>
                </c:pt>
                <c:pt idx="17">
                  <c:v>1.8</c:v>
                </c:pt>
                <c:pt idx="18">
                  <c:v>10</c:v>
                </c:pt>
                <c:pt idx="19">
                  <c:v>4</c:v>
                </c:pt>
                <c:pt idx="20">
                  <c:v>20</c:v>
                </c:pt>
                <c:pt idx="21">
                  <c:v>1.8</c:v>
                </c:pt>
                <c:pt idx="22">
                  <c:v>21</c:v>
                </c:pt>
              </c:numCache>
            </c:numRef>
          </c:val>
          <c:extLst>
            <c:ext xmlns:c16="http://schemas.microsoft.com/office/drawing/2014/chart" uri="{C3380CC4-5D6E-409C-BE32-E72D297353CC}">
              <c16:uniqueId val="{00000004-BD0A-414D-8660-BA6D195388A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Coliform!$I$24</c:f>
              <c:strCache>
                <c:ptCount val="1"/>
                <c:pt idx="0">
                  <c:v>Quy chuẩn đánh giá </c:v>
                </c:pt>
              </c:strCache>
            </c:strRef>
          </c:tx>
          <c:spPr>
            <a:ln w="22225" cap="rnd">
              <a:solidFill>
                <a:schemeClr val="accent6"/>
              </a:solidFill>
              <a:round/>
            </a:ln>
            <a:effectLst/>
          </c:spPr>
          <c:marker>
            <c:symbol val="none"/>
          </c:marker>
          <c:cat>
            <c:strRef>
              <c:f>Coliform!$C$25:$C$47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Coliform!$I$25:$I$47</c:f>
              <c:numCache>
                <c:formatCode>General</c:formatCode>
                <c:ptCount val="23"/>
                <c:pt idx="0">
                  <c:v>3</c:v>
                </c:pt>
                <c:pt idx="1">
                  <c:v>3</c:v>
                </c:pt>
                <c:pt idx="2">
                  <c:v>3</c:v>
                </c:pt>
                <c:pt idx="3">
                  <c:v>3</c:v>
                </c:pt>
                <c:pt idx="4">
                  <c:v>3</c:v>
                </c:pt>
                <c:pt idx="5">
                  <c:v>3</c:v>
                </c:pt>
                <c:pt idx="6">
                  <c:v>3</c:v>
                </c:pt>
                <c:pt idx="7">
                  <c:v>3</c:v>
                </c:pt>
                <c:pt idx="8">
                  <c:v>3</c:v>
                </c:pt>
                <c:pt idx="9">
                  <c:v>3</c:v>
                </c:pt>
                <c:pt idx="10">
                  <c:v>3</c:v>
                </c:pt>
                <c:pt idx="11">
                  <c:v>3</c:v>
                </c:pt>
                <c:pt idx="12">
                  <c:v>3</c:v>
                </c:pt>
                <c:pt idx="13">
                  <c:v>3</c:v>
                </c:pt>
                <c:pt idx="14">
                  <c:v>3</c:v>
                </c:pt>
                <c:pt idx="15">
                  <c:v>3</c:v>
                </c:pt>
                <c:pt idx="16">
                  <c:v>3</c:v>
                </c:pt>
                <c:pt idx="17">
                  <c:v>3</c:v>
                </c:pt>
                <c:pt idx="18">
                  <c:v>3</c:v>
                </c:pt>
                <c:pt idx="19">
                  <c:v>3</c:v>
                </c:pt>
                <c:pt idx="20">
                  <c:v>3</c:v>
                </c:pt>
                <c:pt idx="21">
                  <c:v>3</c:v>
                </c:pt>
                <c:pt idx="22">
                  <c:v>3</c:v>
                </c:pt>
              </c:numCache>
            </c:numRef>
          </c:val>
          <c:smooth val="0"/>
          <c:extLst>
            <c:ext xmlns:c16="http://schemas.microsoft.com/office/drawing/2014/chart" uri="{C3380CC4-5D6E-409C-BE32-E72D297353CC}">
              <c16:uniqueId val="{00000005-BD0A-414D-8660-BA6D195388A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0"/>
      </c:valAx>
      <c:spPr>
        <a:noFill/>
        <a:ln>
          <a:noFill/>
        </a:ln>
        <a:effectLst/>
      </c:spPr>
    </c:plotArea>
    <c:legend>
      <c:legendPos val="b"/>
      <c:layout>
        <c:manualLayout>
          <c:xMode val="edge"/>
          <c:yMode val="edge"/>
          <c:x val="9.5612414198753687E-2"/>
          <c:y val="0.90585708167232226"/>
          <c:w val="0.80313739852285904"/>
          <c:h val="9.414291832767765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8083989501313E-4"/>
          <c:y val="0.24553159701191193"/>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3026661141041584E-2"/>
          <c:y val="3.9336286089238837E-2"/>
          <c:w val="0.9401852189528942"/>
          <c:h val="0.55300302846759541"/>
        </c:manualLayout>
      </c:layout>
      <c:barChart>
        <c:barDir val="col"/>
        <c:grouping val="clustered"/>
        <c:varyColors val="0"/>
        <c:ser>
          <c:idx val="0"/>
          <c:order val="0"/>
          <c:tx>
            <c:strRef>
              <c:f>Nitrat!$D$24</c:f>
              <c:strCache>
                <c:ptCount val="1"/>
                <c:pt idx="0">
                  <c:v>2021</c:v>
                </c:pt>
              </c:strCache>
            </c:strRef>
          </c:tx>
          <c:spPr>
            <a:solidFill>
              <a:schemeClr val="accent1"/>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Nitrat!$D$25:$D$47</c:f>
              <c:numCache>
                <c:formatCode>General</c:formatCode>
                <c:ptCount val="23"/>
                <c:pt idx="0">
                  <c:v>2.1274999999999999</c:v>
                </c:pt>
                <c:pt idx="1">
                  <c:v>0.16749999999999998</c:v>
                </c:pt>
                <c:pt idx="2">
                  <c:v>0.22</c:v>
                </c:pt>
                <c:pt idx="3">
                  <c:v>2.0324999999999998</c:v>
                </c:pt>
                <c:pt idx="4">
                  <c:v>0</c:v>
                </c:pt>
                <c:pt idx="5">
                  <c:v>0.65250000000000008</c:v>
                </c:pt>
                <c:pt idx="6">
                  <c:v>1.5249999999999999</c:v>
                </c:pt>
                <c:pt idx="7">
                  <c:v>0.35250000000000004</c:v>
                </c:pt>
                <c:pt idx="8">
                  <c:v>0.3775</c:v>
                </c:pt>
                <c:pt idx="9">
                  <c:v>2.2999999999999998</c:v>
                </c:pt>
                <c:pt idx="10">
                  <c:v>17</c:v>
                </c:pt>
                <c:pt idx="11">
                  <c:v>0.17749999999999999</c:v>
                </c:pt>
                <c:pt idx="12">
                  <c:v>0.23750000000000002</c:v>
                </c:pt>
                <c:pt idx="13">
                  <c:v>0.4425</c:v>
                </c:pt>
                <c:pt idx="14">
                  <c:v>2.5000000000000001E-2</c:v>
                </c:pt>
                <c:pt idx="15">
                  <c:v>8.6</c:v>
                </c:pt>
                <c:pt idx="16">
                  <c:v>1.925</c:v>
                </c:pt>
                <c:pt idx="17">
                  <c:v>0.61499999999999999</c:v>
                </c:pt>
                <c:pt idx="18">
                  <c:v>3.2</c:v>
                </c:pt>
                <c:pt idx="19">
                  <c:v>6.0500000000000007</c:v>
                </c:pt>
                <c:pt idx="20">
                  <c:v>0.46499999999999997</c:v>
                </c:pt>
                <c:pt idx="21">
                  <c:v>14.5</c:v>
                </c:pt>
                <c:pt idx="22">
                  <c:v>1.6600000000000001</c:v>
                </c:pt>
              </c:numCache>
            </c:numRef>
          </c:val>
          <c:extLst>
            <c:ext xmlns:c16="http://schemas.microsoft.com/office/drawing/2014/chart" uri="{C3380CC4-5D6E-409C-BE32-E72D297353CC}">
              <c16:uniqueId val="{00000000-A155-4876-87E8-67D87EA5D9D5}"/>
            </c:ext>
          </c:extLst>
        </c:ser>
        <c:ser>
          <c:idx val="1"/>
          <c:order val="1"/>
          <c:tx>
            <c:strRef>
              <c:f>Nitrat!$E$24</c:f>
              <c:strCache>
                <c:ptCount val="1"/>
                <c:pt idx="0">
                  <c:v>2022</c:v>
                </c:pt>
              </c:strCache>
            </c:strRef>
          </c:tx>
          <c:spPr>
            <a:solidFill>
              <a:schemeClr val="accent2"/>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Nitrat!$E$25:$E$47</c:f>
              <c:numCache>
                <c:formatCode>General</c:formatCode>
                <c:ptCount val="23"/>
                <c:pt idx="0">
                  <c:v>2.8275000000000006</c:v>
                </c:pt>
                <c:pt idx="1">
                  <c:v>0.17499999999999999</c:v>
                </c:pt>
                <c:pt idx="2">
                  <c:v>0.04</c:v>
                </c:pt>
                <c:pt idx="3">
                  <c:v>0.36000000000000004</c:v>
                </c:pt>
                <c:pt idx="4">
                  <c:v>0.66500000000000004</c:v>
                </c:pt>
                <c:pt idx="5">
                  <c:v>1.675</c:v>
                </c:pt>
                <c:pt idx="6">
                  <c:v>1.4924999999999999</c:v>
                </c:pt>
                <c:pt idx="7">
                  <c:v>0.5</c:v>
                </c:pt>
                <c:pt idx="8">
                  <c:v>0.38</c:v>
                </c:pt>
                <c:pt idx="9">
                  <c:v>2.3250000000000002</c:v>
                </c:pt>
                <c:pt idx="10">
                  <c:v>11.375</c:v>
                </c:pt>
                <c:pt idx="11">
                  <c:v>0.185</c:v>
                </c:pt>
                <c:pt idx="12">
                  <c:v>0</c:v>
                </c:pt>
                <c:pt idx="13">
                  <c:v>0.29000000000000004</c:v>
                </c:pt>
                <c:pt idx="14">
                  <c:v>0.25</c:v>
                </c:pt>
                <c:pt idx="15">
                  <c:v>5.6999999999999993</c:v>
                </c:pt>
                <c:pt idx="16">
                  <c:v>1.7749999999999999</c:v>
                </c:pt>
                <c:pt idx="17">
                  <c:v>0.47749999999999998</c:v>
                </c:pt>
                <c:pt idx="18">
                  <c:v>3.6875000000000004</c:v>
                </c:pt>
                <c:pt idx="19">
                  <c:v>6.5274999999999999</c:v>
                </c:pt>
                <c:pt idx="20">
                  <c:v>0.55499999999999994</c:v>
                </c:pt>
                <c:pt idx="21">
                  <c:v>11.074999999999999</c:v>
                </c:pt>
                <c:pt idx="22">
                  <c:v>2.8450000000000002</c:v>
                </c:pt>
              </c:numCache>
            </c:numRef>
          </c:val>
          <c:extLst>
            <c:ext xmlns:c16="http://schemas.microsoft.com/office/drawing/2014/chart" uri="{C3380CC4-5D6E-409C-BE32-E72D297353CC}">
              <c16:uniqueId val="{00000001-A155-4876-87E8-67D87EA5D9D5}"/>
            </c:ext>
          </c:extLst>
        </c:ser>
        <c:ser>
          <c:idx val="2"/>
          <c:order val="2"/>
          <c:tx>
            <c:strRef>
              <c:f>Nitrat!$F$24</c:f>
              <c:strCache>
                <c:ptCount val="1"/>
                <c:pt idx="0">
                  <c:v>2023</c:v>
                </c:pt>
              </c:strCache>
            </c:strRef>
          </c:tx>
          <c:spPr>
            <a:solidFill>
              <a:schemeClr val="accent3"/>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Nitrat!$F$25:$F$47</c:f>
              <c:numCache>
                <c:formatCode>General</c:formatCode>
                <c:ptCount val="23"/>
                <c:pt idx="0">
                  <c:v>0.85250000000000004</c:v>
                </c:pt>
                <c:pt idx="1">
                  <c:v>0.20250000000000001</c:v>
                </c:pt>
                <c:pt idx="2">
                  <c:v>0</c:v>
                </c:pt>
                <c:pt idx="3">
                  <c:v>0.91249999999999998</c:v>
                </c:pt>
                <c:pt idx="4">
                  <c:v>0.63249999999999995</c:v>
                </c:pt>
                <c:pt idx="5">
                  <c:v>4.46</c:v>
                </c:pt>
                <c:pt idx="6">
                  <c:v>2.5049999999999999</c:v>
                </c:pt>
                <c:pt idx="7">
                  <c:v>0.75499999999999989</c:v>
                </c:pt>
                <c:pt idx="8">
                  <c:v>0.11499999999999999</c:v>
                </c:pt>
                <c:pt idx="9">
                  <c:v>1.8974999999999997</c:v>
                </c:pt>
                <c:pt idx="10">
                  <c:v>13.7</c:v>
                </c:pt>
                <c:pt idx="11">
                  <c:v>1.5974999999999999</c:v>
                </c:pt>
                <c:pt idx="12">
                  <c:v>0</c:v>
                </c:pt>
                <c:pt idx="13">
                  <c:v>0.26500000000000001</c:v>
                </c:pt>
                <c:pt idx="14">
                  <c:v>7.0000000000000007E-2</c:v>
                </c:pt>
                <c:pt idx="15">
                  <c:v>6.9050000000000002</c:v>
                </c:pt>
                <c:pt idx="16">
                  <c:v>4.6974999999999998</c:v>
                </c:pt>
                <c:pt idx="17">
                  <c:v>0.36749999999999994</c:v>
                </c:pt>
                <c:pt idx="18">
                  <c:v>3.2525000000000004</c:v>
                </c:pt>
                <c:pt idx="19">
                  <c:v>3.0949999999999998</c:v>
                </c:pt>
                <c:pt idx="20">
                  <c:v>8.6300000000000008</c:v>
                </c:pt>
                <c:pt idx="21">
                  <c:v>12.574999999999999</c:v>
                </c:pt>
                <c:pt idx="22">
                  <c:v>3.5049999999999999</c:v>
                </c:pt>
              </c:numCache>
            </c:numRef>
          </c:val>
          <c:extLst>
            <c:ext xmlns:c16="http://schemas.microsoft.com/office/drawing/2014/chart" uri="{C3380CC4-5D6E-409C-BE32-E72D297353CC}">
              <c16:uniqueId val="{00000002-A155-4876-87E8-67D87EA5D9D5}"/>
            </c:ext>
          </c:extLst>
        </c:ser>
        <c:ser>
          <c:idx val="3"/>
          <c:order val="3"/>
          <c:tx>
            <c:strRef>
              <c:f>Nitrat!$G$24</c:f>
              <c:strCache>
                <c:ptCount val="1"/>
                <c:pt idx="0">
                  <c:v>2024</c:v>
                </c:pt>
              </c:strCache>
            </c:strRef>
          </c:tx>
          <c:spPr>
            <a:solidFill>
              <a:schemeClr val="accent4"/>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Nitrat!$G$25:$G$47</c:f>
              <c:numCache>
                <c:formatCode>General</c:formatCode>
                <c:ptCount val="23"/>
                <c:pt idx="0">
                  <c:v>0.22</c:v>
                </c:pt>
                <c:pt idx="1">
                  <c:v>8.4999999999999992E-2</c:v>
                </c:pt>
                <c:pt idx="2">
                  <c:v>0.03</c:v>
                </c:pt>
                <c:pt idx="3">
                  <c:v>3.6399999999999997</c:v>
                </c:pt>
                <c:pt idx="4">
                  <c:v>0.5</c:v>
                </c:pt>
                <c:pt idx="5">
                  <c:v>0.52749999999999997</c:v>
                </c:pt>
                <c:pt idx="6">
                  <c:v>3.5350000000000001</c:v>
                </c:pt>
                <c:pt idx="7">
                  <c:v>0.76749999999999996</c:v>
                </c:pt>
                <c:pt idx="8">
                  <c:v>0.54</c:v>
                </c:pt>
                <c:pt idx="9">
                  <c:v>1.4524999999999999</c:v>
                </c:pt>
                <c:pt idx="10">
                  <c:v>17.155000000000001</c:v>
                </c:pt>
                <c:pt idx="11">
                  <c:v>9.7500000000000003E-2</c:v>
                </c:pt>
                <c:pt idx="12">
                  <c:v>0.74750000000000005</c:v>
                </c:pt>
                <c:pt idx="13">
                  <c:v>0.77249999999999996</c:v>
                </c:pt>
                <c:pt idx="14">
                  <c:v>2.9075000000000002</c:v>
                </c:pt>
                <c:pt idx="15">
                  <c:v>3.6849999999999996</c:v>
                </c:pt>
                <c:pt idx="16">
                  <c:v>1.1325000000000001</c:v>
                </c:pt>
                <c:pt idx="17">
                  <c:v>0.28749999999999998</c:v>
                </c:pt>
                <c:pt idx="18">
                  <c:v>1.9350000000000001</c:v>
                </c:pt>
                <c:pt idx="19">
                  <c:v>2.5950000000000002</c:v>
                </c:pt>
                <c:pt idx="20">
                  <c:v>3.2725</c:v>
                </c:pt>
                <c:pt idx="21">
                  <c:v>9.7274999999999991</c:v>
                </c:pt>
                <c:pt idx="22">
                  <c:v>0.88000000000000012</c:v>
                </c:pt>
              </c:numCache>
            </c:numRef>
          </c:val>
          <c:extLst>
            <c:ext xmlns:c16="http://schemas.microsoft.com/office/drawing/2014/chart" uri="{C3380CC4-5D6E-409C-BE32-E72D297353CC}">
              <c16:uniqueId val="{00000003-A155-4876-87E8-67D87EA5D9D5}"/>
            </c:ext>
          </c:extLst>
        </c:ser>
        <c:ser>
          <c:idx val="4"/>
          <c:order val="4"/>
          <c:tx>
            <c:strRef>
              <c:f>Nitrat!$H$24</c:f>
              <c:strCache>
                <c:ptCount val="1"/>
                <c:pt idx="0">
                  <c:v>2025</c:v>
                </c:pt>
              </c:strCache>
            </c:strRef>
          </c:tx>
          <c:spPr>
            <a:solidFill>
              <a:schemeClr val="accent5"/>
            </a:solidFill>
            <a:ln>
              <a:noFill/>
            </a:ln>
            <a:effectLst/>
          </c:spPr>
          <c:invertIfNegative val="0"/>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Nitrat!$H$25:$H$47</c:f>
              <c:numCache>
                <c:formatCode>General</c:formatCode>
                <c:ptCount val="23"/>
                <c:pt idx="0">
                  <c:v>0.12</c:v>
                </c:pt>
                <c:pt idx="1">
                  <c:v>0.31</c:v>
                </c:pt>
                <c:pt idx="2">
                  <c:v>0.15</c:v>
                </c:pt>
                <c:pt idx="3">
                  <c:v>5.7</c:v>
                </c:pt>
                <c:pt idx="4">
                  <c:v>0.36</c:v>
                </c:pt>
                <c:pt idx="5">
                  <c:v>0.26</c:v>
                </c:pt>
                <c:pt idx="6">
                  <c:v>1.0900000000000001</c:v>
                </c:pt>
                <c:pt idx="7">
                  <c:v>0.6</c:v>
                </c:pt>
                <c:pt idx="8">
                  <c:v>0.11</c:v>
                </c:pt>
                <c:pt idx="9">
                  <c:v>1.69</c:v>
                </c:pt>
                <c:pt idx="10">
                  <c:v>0.22</c:v>
                </c:pt>
                <c:pt idx="11">
                  <c:v>0.22</c:v>
                </c:pt>
                <c:pt idx="12">
                  <c:v>0.7</c:v>
                </c:pt>
                <c:pt idx="13">
                  <c:v>0.47</c:v>
                </c:pt>
                <c:pt idx="14">
                  <c:v>0.2</c:v>
                </c:pt>
                <c:pt idx="15">
                  <c:v>0.15</c:v>
                </c:pt>
                <c:pt idx="16">
                  <c:v>3.3</c:v>
                </c:pt>
                <c:pt idx="17">
                  <c:v>0.52</c:v>
                </c:pt>
                <c:pt idx="18">
                  <c:v>2.1</c:v>
                </c:pt>
                <c:pt idx="19">
                  <c:v>5.36</c:v>
                </c:pt>
                <c:pt idx="20">
                  <c:v>0.15</c:v>
                </c:pt>
                <c:pt idx="21">
                  <c:v>1.0900000000000001</c:v>
                </c:pt>
                <c:pt idx="22">
                  <c:v>0.65</c:v>
                </c:pt>
              </c:numCache>
            </c:numRef>
          </c:val>
          <c:extLst>
            <c:ext xmlns:c16="http://schemas.microsoft.com/office/drawing/2014/chart" uri="{C3380CC4-5D6E-409C-BE32-E72D297353CC}">
              <c16:uniqueId val="{00000004-A155-4876-87E8-67D87EA5D9D5}"/>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Nitrat!$I$24</c:f>
              <c:strCache>
                <c:ptCount val="1"/>
                <c:pt idx="0">
                  <c:v>Quy chuẩn đánh giá </c:v>
                </c:pt>
              </c:strCache>
            </c:strRef>
          </c:tx>
          <c:spPr>
            <a:ln w="22225" cap="rnd">
              <a:solidFill>
                <a:schemeClr val="accent6"/>
              </a:solidFill>
              <a:round/>
            </a:ln>
            <a:effectLst/>
          </c:spPr>
          <c:marker>
            <c:symbol val="none"/>
          </c:marker>
          <c:cat>
            <c:strRef>
              <c:f>Nitrat!$C$25:$C$47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Nitrat!$I$25:$I$47</c:f>
              <c:numCache>
                <c:formatCode>General</c:formatCode>
                <c:ptCount val="23"/>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pt idx="15">
                  <c:v>15</c:v>
                </c:pt>
                <c:pt idx="16">
                  <c:v>15</c:v>
                </c:pt>
                <c:pt idx="17">
                  <c:v>15</c:v>
                </c:pt>
                <c:pt idx="18">
                  <c:v>15</c:v>
                </c:pt>
                <c:pt idx="19">
                  <c:v>15</c:v>
                </c:pt>
                <c:pt idx="20">
                  <c:v>15</c:v>
                </c:pt>
                <c:pt idx="21">
                  <c:v>15</c:v>
                </c:pt>
                <c:pt idx="22">
                  <c:v>15</c:v>
                </c:pt>
              </c:numCache>
            </c:numRef>
          </c:val>
          <c:smooth val="0"/>
          <c:extLst>
            <c:ext xmlns:c16="http://schemas.microsoft.com/office/drawing/2014/chart" uri="{C3380CC4-5D6E-409C-BE32-E72D297353CC}">
              <c16:uniqueId val="{00000005-A155-4876-87E8-67D87EA5D9D5}"/>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8.3280011051250158E-2"/>
          <c:y val="0.9296870078740157"/>
          <c:w val="0.83765050421328924"/>
          <c:h val="7.03129921259842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en-US" sz="1100">
                <a:solidFill>
                  <a:sysClr val="windowText" lastClr="000000"/>
                </a:solidFill>
                <a:latin typeface="Times New Roman" panose="02020603050405020304" pitchFamily="18" charset="0"/>
                <a:cs typeface="Times New Roman" panose="02020603050405020304" pitchFamily="18" charset="0"/>
              </a:rPr>
              <a:t>1000m</a:t>
            </a:r>
            <a:r>
              <a:rPr lang="en-US" sz="1100" baseline="30000">
                <a:solidFill>
                  <a:sysClr val="windowText" lastClr="000000"/>
                </a:solidFill>
                <a:latin typeface="Times New Roman" panose="02020603050405020304" pitchFamily="18" charset="0"/>
                <a:cs typeface="Times New Roman" panose="02020603050405020304" pitchFamily="18" charset="0"/>
              </a:rPr>
              <a:t>3</a:t>
            </a:r>
            <a:r>
              <a:rPr lang="en-US" sz="1100">
                <a:solidFill>
                  <a:sysClr val="windowText" lastClr="000000"/>
                </a:solidFill>
                <a:latin typeface="Times New Roman" panose="02020603050405020304" pitchFamily="18" charset="0"/>
                <a:cs typeface="Times New Roman" panose="02020603050405020304" pitchFamily="18" charset="0"/>
              </a:rPr>
              <a:t>/năm</a:t>
            </a:r>
          </a:p>
        </c:rich>
      </c:tx>
      <c:layout>
        <c:manualLayout>
          <c:xMode val="edge"/>
          <c:yMode val="edge"/>
          <c:x val="2.6703372333103893E-3"/>
          <c:y val="1.1483253588516746E-2"/>
        </c:manualLayout>
      </c:layout>
      <c:overlay val="0"/>
      <c:spPr>
        <a:noFill/>
        <a:ln>
          <a:noFill/>
        </a:ln>
        <a:effectLst/>
      </c:spPr>
      <c:txPr>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endParaRPr lang="en-US"/>
        </a:p>
      </c:txPr>
    </c:title>
    <c:autoTitleDeleted val="0"/>
    <c:plotArea>
      <c:layout>
        <c:manualLayout>
          <c:layoutTarget val="inner"/>
          <c:xMode val="edge"/>
          <c:yMode val="edge"/>
          <c:x val="9.3724364585351785E-2"/>
          <c:y val="0.11088060882341859"/>
          <c:w val="0.84133468289448976"/>
          <c:h val="0.65185481012954261"/>
        </c:manualLayout>
      </c:layout>
      <c:lineChart>
        <c:grouping val="standard"/>
        <c:varyColors val="0"/>
        <c:ser>
          <c:idx val="0"/>
          <c:order val="0"/>
          <c:tx>
            <c:strRef>
              <c:f>Sheet2!#REF!</c:f>
              <c:strCache>
                <c:ptCount val="1"/>
                <c:pt idx="0">
                  <c:v>#REF!</c:v>
                </c:pt>
              </c:strCache>
            </c:strRef>
          </c:tx>
          <c:spPr>
            <a:ln w="22225" cap="rnd" cmpd="sng" algn="ctr">
              <a:solidFill>
                <a:schemeClr val="accent1"/>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Sheet2!#REF!</c:f>
              <c:numCache>
                <c:formatCode>General</c:formatCode>
                <c:ptCount val="1"/>
                <c:pt idx="0">
                  <c:v>1</c:v>
                </c:pt>
              </c:numCache>
            </c:numRef>
          </c:val>
          <c:smooth val="0"/>
          <c:extLst>
            <c:ext xmlns:c16="http://schemas.microsoft.com/office/drawing/2014/chart" uri="{C3380CC4-5D6E-409C-BE32-E72D297353CC}">
              <c16:uniqueId val="{00000000-5001-43DB-9D97-BE43ADACA515}"/>
            </c:ext>
          </c:extLst>
        </c:ser>
        <c:ser>
          <c:idx val="1"/>
          <c:order val="1"/>
          <c:tx>
            <c:strRef>
              <c:f>Sheet2!$C$46</c:f>
              <c:strCache>
                <c:ptCount val="1"/>
                <c:pt idx="0">
                  <c:v>Lợn </c:v>
                </c:pt>
              </c:strCache>
            </c:strRef>
          </c:tx>
          <c:spPr>
            <a:ln w="22225" cap="rnd" cmpd="sng" algn="ctr">
              <a:solidFill>
                <a:schemeClr val="accent2"/>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Sheet2!$D$46:$I$46</c:f>
              <c:numCache>
                <c:formatCode>_(* #,##0.00_);_(* \(#,##0.00\);_(* "-"??_);_(@_)</c:formatCode>
                <c:ptCount val="6"/>
                <c:pt idx="0">
                  <c:v>2959.5149000000001</c:v>
                </c:pt>
                <c:pt idx="1">
                  <c:v>2983.6632999999997</c:v>
                </c:pt>
                <c:pt idx="2">
                  <c:v>2891.5007999999998</c:v>
                </c:pt>
                <c:pt idx="3">
                  <c:v>2920.5839999999998</c:v>
                </c:pt>
                <c:pt idx="4">
                  <c:v>2958.471</c:v>
                </c:pt>
                <c:pt idx="5">
                  <c:v>2960.15</c:v>
                </c:pt>
              </c:numCache>
            </c:numRef>
          </c:val>
          <c:smooth val="0"/>
          <c:extLst>
            <c:ext xmlns:c16="http://schemas.microsoft.com/office/drawing/2014/chart" uri="{C3380CC4-5D6E-409C-BE32-E72D297353CC}">
              <c16:uniqueId val="{00000001-5001-43DB-9D97-BE43ADACA515}"/>
            </c:ext>
          </c:extLst>
        </c:ser>
        <c:ser>
          <c:idx val="2"/>
          <c:order val="2"/>
          <c:tx>
            <c:strRef>
              <c:f>Sheet2!$C$47</c:f>
              <c:strCache>
                <c:ptCount val="1"/>
                <c:pt idx="0">
                  <c:v>Bò </c:v>
                </c:pt>
              </c:strCache>
            </c:strRef>
          </c:tx>
          <c:spPr>
            <a:ln w="22225" cap="rnd" cmpd="sng" algn="ctr">
              <a:solidFill>
                <a:schemeClr val="accent3"/>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Sheet2!$D$47:$I$47</c:f>
              <c:numCache>
                <c:formatCode>_(* #,##0.00_);_(* \(#,##0.00\);_(* "-"??_);_(@_)</c:formatCode>
                <c:ptCount val="6"/>
                <c:pt idx="0">
                  <c:v>1850.4076499999999</c:v>
                </c:pt>
                <c:pt idx="1">
                  <c:v>1828.4748</c:v>
                </c:pt>
                <c:pt idx="2">
                  <c:v>1837.5742499999999</c:v>
                </c:pt>
                <c:pt idx="3">
                  <c:v>1796.019</c:v>
                </c:pt>
                <c:pt idx="4">
                  <c:v>1764.7239</c:v>
                </c:pt>
                <c:pt idx="5">
                  <c:v>1708.2</c:v>
                </c:pt>
              </c:numCache>
            </c:numRef>
          </c:val>
          <c:smooth val="0"/>
          <c:extLst>
            <c:ext xmlns:c16="http://schemas.microsoft.com/office/drawing/2014/chart" uri="{C3380CC4-5D6E-409C-BE32-E72D297353CC}">
              <c16:uniqueId val="{00000002-5001-43DB-9D97-BE43ADACA515}"/>
            </c:ext>
          </c:extLst>
        </c:ser>
        <c:ser>
          <c:idx val="3"/>
          <c:order val="3"/>
          <c:tx>
            <c:strRef>
              <c:f>Sheet2!$C$48</c:f>
              <c:strCache>
                <c:ptCount val="1"/>
                <c:pt idx="0">
                  <c:v>Hươu</c:v>
                </c:pt>
              </c:strCache>
            </c:strRef>
          </c:tx>
          <c:spPr>
            <a:ln w="22225" cap="rnd" cmpd="sng" algn="ctr">
              <a:solidFill>
                <a:schemeClr val="accent4"/>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Sheet2!$D$48:$I$48</c:f>
              <c:numCache>
                <c:formatCode>_(* #,##0.00_);_(* \(#,##0.00\);_(* "-"??_);_(@_)</c:formatCode>
                <c:ptCount val="6"/>
                <c:pt idx="0">
                  <c:v>137.90064999999998</c:v>
                </c:pt>
                <c:pt idx="1">
                  <c:v>137.46265</c:v>
                </c:pt>
                <c:pt idx="2">
                  <c:v>146.24454999999998</c:v>
                </c:pt>
                <c:pt idx="3">
                  <c:v>183.67165</c:v>
                </c:pt>
                <c:pt idx="4">
                  <c:v>183.67165</c:v>
                </c:pt>
                <c:pt idx="5">
                  <c:v>186.15</c:v>
                </c:pt>
              </c:numCache>
            </c:numRef>
          </c:val>
          <c:smooth val="0"/>
          <c:extLst>
            <c:ext xmlns:c16="http://schemas.microsoft.com/office/drawing/2014/chart" uri="{C3380CC4-5D6E-409C-BE32-E72D297353CC}">
              <c16:uniqueId val="{00000003-5001-43DB-9D97-BE43ADACA515}"/>
            </c:ext>
          </c:extLst>
        </c:ser>
        <c:ser>
          <c:idx val="4"/>
          <c:order val="4"/>
          <c:tx>
            <c:strRef>
              <c:f>Sheet2!$C$49</c:f>
              <c:strCache>
                <c:ptCount val="1"/>
                <c:pt idx="0">
                  <c:v>Trâu </c:v>
                </c:pt>
              </c:strCache>
            </c:strRef>
          </c:tx>
          <c:spPr>
            <a:ln w="22225" cap="rnd" cmpd="sng" algn="ctr">
              <a:solidFill>
                <a:schemeClr val="accent5"/>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Sheet2!$D$49:$I$49</c:f>
              <c:numCache>
                <c:formatCode>_(* #,##0.00_);_(* \(#,##0.00\);_(* "-"??_);_(@_)</c:formatCode>
                <c:ptCount val="6"/>
                <c:pt idx="0">
                  <c:v>736.26705000000004</c:v>
                </c:pt>
                <c:pt idx="1">
                  <c:v>735.29250000000002</c:v>
                </c:pt>
                <c:pt idx="2">
                  <c:v>744.44669999999996</c:v>
                </c:pt>
                <c:pt idx="3">
                  <c:v>714.15899999999999</c:v>
                </c:pt>
                <c:pt idx="4">
                  <c:v>714.15899999999999</c:v>
                </c:pt>
                <c:pt idx="5">
                  <c:v>673.42499999999995</c:v>
                </c:pt>
              </c:numCache>
            </c:numRef>
          </c:val>
          <c:smooth val="0"/>
          <c:extLst>
            <c:ext xmlns:c16="http://schemas.microsoft.com/office/drawing/2014/chart" uri="{C3380CC4-5D6E-409C-BE32-E72D297353CC}">
              <c16:uniqueId val="{00000004-5001-43DB-9D97-BE43ADACA515}"/>
            </c:ext>
          </c:extLst>
        </c:ser>
        <c:ser>
          <c:idx val="5"/>
          <c:order val="5"/>
          <c:tx>
            <c:strRef>
              <c:f>Sheet2!$C$50</c:f>
              <c:strCache>
                <c:ptCount val="1"/>
                <c:pt idx="0">
                  <c:v>Gia cầm</c:v>
                </c:pt>
              </c:strCache>
            </c:strRef>
          </c:tx>
          <c:spPr>
            <a:ln w="22225" cap="rnd" cmpd="sng" algn="ctr">
              <a:solidFill>
                <a:schemeClr val="accent6"/>
              </a:solidFill>
              <a:round/>
            </a:ln>
            <a:effectLst/>
          </c:spPr>
          <c:marker>
            <c:symbol val="none"/>
          </c:marker>
          <c:cat>
            <c:strRef>
              <c:f>Sheet2!$D$45:$I$45</c:f>
              <c:strCache>
                <c:ptCount val="6"/>
                <c:pt idx="0">
                  <c:v>2020</c:v>
                </c:pt>
                <c:pt idx="1">
                  <c:v>2021</c:v>
                </c:pt>
                <c:pt idx="2">
                  <c:v>2022</c:v>
                </c:pt>
                <c:pt idx="3">
                  <c:v>2023</c:v>
                </c:pt>
                <c:pt idx="4">
                  <c:v>2024</c:v>
                </c:pt>
                <c:pt idx="5">
                  <c:v>2025 (ước cả năm)</c:v>
                </c:pt>
              </c:strCache>
            </c:strRef>
          </c:cat>
          <c:val>
            <c:numRef>
              <c:f>Sheet2!$D$50:$I$50</c:f>
              <c:numCache>
                <c:formatCode>_(* #,##0.00_);_(* \(#,##0.00\);_(* "-"??_);_(@_)</c:formatCode>
                <c:ptCount val="6"/>
                <c:pt idx="0">
                  <c:v>1472.556</c:v>
                </c:pt>
                <c:pt idx="1">
                  <c:v>1474.7460000000001</c:v>
                </c:pt>
                <c:pt idx="2">
                  <c:v>1453.1379999999999</c:v>
                </c:pt>
                <c:pt idx="3">
                  <c:v>1496.2080000000001</c:v>
                </c:pt>
                <c:pt idx="4">
                  <c:v>1496.2080000000001</c:v>
                </c:pt>
                <c:pt idx="5">
                  <c:v>1515.48</c:v>
                </c:pt>
              </c:numCache>
            </c:numRef>
          </c:val>
          <c:smooth val="0"/>
          <c:extLst>
            <c:ext xmlns:c16="http://schemas.microsoft.com/office/drawing/2014/chart" uri="{C3380CC4-5D6E-409C-BE32-E72D297353CC}">
              <c16:uniqueId val="{00000005-5001-43DB-9D97-BE43ADACA515}"/>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479501647"/>
        <c:axId val="1479500687"/>
      </c:lineChart>
      <c:catAx>
        <c:axId val="1479501647"/>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05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79500687"/>
        <c:crosses val="autoZero"/>
        <c:auto val="1"/>
        <c:lblAlgn val="ctr"/>
        <c:lblOffset val="100"/>
        <c:noMultiLvlLbl val="0"/>
      </c:catAx>
      <c:valAx>
        <c:axId val="1479500687"/>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479501647"/>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legendEntry>
        <c:idx val="0"/>
        <c:delete val="1"/>
      </c:legendEntry>
      <c:layout>
        <c:manualLayout>
          <c:xMode val="edge"/>
          <c:yMode val="edge"/>
          <c:x val="0"/>
          <c:y val="0.87587235806050556"/>
          <c:w val="1"/>
          <c:h val="0.12412764193949441"/>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7198024297595E-4"/>
          <c:y val="0.2673723284589426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0172320232122876E-2"/>
          <c:y val="3.197973615743447E-2"/>
          <c:w val="0.94167170559376279"/>
          <c:h val="0.50478102900892852"/>
        </c:manualLayout>
      </c:layout>
      <c:barChart>
        <c:barDir val="col"/>
        <c:grouping val="clustered"/>
        <c:varyColors val="0"/>
        <c:ser>
          <c:idx val="0"/>
          <c:order val="0"/>
          <c:tx>
            <c:strRef>
              <c:f>Amoni!$D$24</c:f>
              <c:strCache>
                <c:ptCount val="1"/>
                <c:pt idx="0">
                  <c:v>2021</c:v>
                </c:pt>
              </c:strCache>
            </c:strRef>
          </c:tx>
          <c:spPr>
            <a:solidFill>
              <a:schemeClr val="accent1"/>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Amoni!$D$25:$D$47</c:f>
              <c:numCache>
                <c:formatCode>General</c:formatCode>
                <c:ptCount val="23"/>
                <c:pt idx="0">
                  <c:v>0.27</c:v>
                </c:pt>
                <c:pt idx="1">
                  <c:v>0.13750000000000001</c:v>
                </c:pt>
                <c:pt idx="2">
                  <c:v>0.56000000000000005</c:v>
                </c:pt>
                <c:pt idx="3">
                  <c:v>0.05</c:v>
                </c:pt>
                <c:pt idx="4">
                  <c:v>2.5000000000000001E-2</c:v>
                </c:pt>
                <c:pt idx="5">
                  <c:v>0.1</c:v>
                </c:pt>
                <c:pt idx="6">
                  <c:v>8.5749999999999993</c:v>
                </c:pt>
                <c:pt idx="7">
                  <c:v>2.5000000000000001E-2</c:v>
                </c:pt>
                <c:pt idx="8">
                  <c:v>0.33</c:v>
                </c:pt>
                <c:pt idx="9">
                  <c:v>2.5000000000000001E-2</c:v>
                </c:pt>
                <c:pt idx="10">
                  <c:v>0.31999999999999995</c:v>
                </c:pt>
                <c:pt idx="11">
                  <c:v>0.35</c:v>
                </c:pt>
                <c:pt idx="12">
                  <c:v>2.5000000000000001E-2</c:v>
                </c:pt>
                <c:pt idx="13">
                  <c:v>0.1</c:v>
                </c:pt>
                <c:pt idx="14">
                  <c:v>0.26750000000000002</c:v>
                </c:pt>
                <c:pt idx="15">
                  <c:v>0.1</c:v>
                </c:pt>
                <c:pt idx="16">
                  <c:v>0.1</c:v>
                </c:pt>
                <c:pt idx="17">
                  <c:v>0.1</c:v>
                </c:pt>
                <c:pt idx="18">
                  <c:v>7.4999999999999997E-2</c:v>
                </c:pt>
                <c:pt idx="19">
                  <c:v>0.1</c:v>
                </c:pt>
                <c:pt idx="20">
                  <c:v>5.5E-2</c:v>
                </c:pt>
                <c:pt idx="21">
                  <c:v>0.23249999999999998</c:v>
                </c:pt>
                <c:pt idx="22">
                  <c:v>9.2499999999999999E-2</c:v>
                </c:pt>
              </c:numCache>
            </c:numRef>
          </c:val>
          <c:extLst>
            <c:ext xmlns:c16="http://schemas.microsoft.com/office/drawing/2014/chart" uri="{C3380CC4-5D6E-409C-BE32-E72D297353CC}">
              <c16:uniqueId val="{00000000-57CD-4E30-AB9A-56A9BDC35FE4}"/>
            </c:ext>
          </c:extLst>
        </c:ser>
        <c:ser>
          <c:idx val="1"/>
          <c:order val="1"/>
          <c:tx>
            <c:strRef>
              <c:f>Amoni!$E$24</c:f>
              <c:strCache>
                <c:ptCount val="1"/>
                <c:pt idx="0">
                  <c:v>2022</c:v>
                </c:pt>
              </c:strCache>
            </c:strRef>
          </c:tx>
          <c:spPr>
            <a:solidFill>
              <a:schemeClr val="accent2"/>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Amoni!$E$25:$E$47</c:f>
              <c:numCache>
                <c:formatCode>General</c:formatCode>
                <c:ptCount val="23"/>
                <c:pt idx="0">
                  <c:v>0.57499999999999996</c:v>
                </c:pt>
                <c:pt idx="1">
                  <c:v>1.1400000000000001</c:v>
                </c:pt>
                <c:pt idx="2">
                  <c:v>0.45749999999999996</c:v>
                </c:pt>
                <c:pt idx="3">
                  <c:v>3.2500000000000001E-2</c:v>
                </c:pt>
                <c:pt idx="4">
                  <c:v>0.03</c:v>
                </c:pt>
                <c:pt idx="5">
                  <c:v>0.03</c:v>
                </c:pt>
                <c:pt idx="6">
                  <c:v>10.875</c:v>
                </c:pt>
                <c:pt idx="7">
                  <c:v>1.2500000000000001E-2</c:v>
                </c:pt>
                <c:pt idx="8">
                  <c:v>0.65</c:v>
                </c:pt>
                <c:pt idx="9">
                  <c:v>1.4999999999999999E-2</c:v>
                </c:pt>
                <c:pt idx="10">
                  <c:v>0.36</c:v>
                </c:pt>
                <c:pt idx="11">
                  <c:v>0.1825</c:v>
                </c:pt>
                <c:pt idx="12">
                  <c:v>0.04</c:v>
                </c:pt>
                <c:pt idx="13">
                  <c:v>3.7499999999999999E-2</c:v>
                </c:pt>
                <c:pt idx="14">
                  <c:v>0.1825</c:v>
                </c:pt>
                <c:pt idx="15">
                  <c:v>0.03</c:v>
                </c:pt>
                <c:pt idx="16">
                  <c:v>0.03</c:v>
                </c:pt>
                <c:pt idx="17">
                  <c:v>0.03</c:v>
                </c:pt>
                <c:pt idx="18">
                  <c:v>0.03</c:v>
                </c:pt>
                <c:pt idx="19">
                  <c:v>0.03</c:v>
                </c:pt>
                <c:pt idx="20">
                  <c:v>0.09</c:v>
                </c:pt>
                <c:pt idx="21">
                  <c:v>5.5000000000000007E-2</c:v>
                </c:pt>
                <c:pt idx="22">
                  <c:v>5.7500000000000002E-2</c:v>
                </c:pt>
              </c:numCache>
            </c:numRef>
          </c:val>
          <c:extLst>
            <c:ext xmlns:c16="http://schemas.microsoft.com/office/drawing/2014/chart" uri="{C3380CC4-5D6E-409C-BE32-E72D297353CC}">
              <c16:uniqueId val="{00000001-57CD-4E30-AB9A-56A9BDC35FE4}"/>
            </c:ext>
          </c:extLst>
        </c:ser>
        <c:ser>
          <c:idx val="2"/>
          <c:order val="2"/>
          <c:tx>
            <c:strRef>
              <c:f>Amoni!$F$24</c:f>
              <c:strCache>
                <c:ptCount val="1"/>
                <c:pt idx="0">
                  <c:v>2023</c:v>
                </c:pt>
              </c:strCache>
            </c:strRef>
          </c:tx>
          <c:spPr>
            <a:solidFill>
              <a:schemeClr val="accent3"/>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Amoni!$F$25:$F$47</c:f>
              <c:numCache>
                <c:formatCode>General</c:formatCode>
                <c:ptCount val="23"/>
                <c:pt idx="0">
                  <c:v>1.1525000000000001</c:v>
                </c:pt>
                <c:pt idx="1">
                  <c:v>1.2</c:v>
                </c:pt>
                <c:pt idx="2">
                  <c:v>0.7649999999999999</c:v>
                </c:pt>
                <c:pt idx="3">
                  <c:v>0.03</c:v>
                </c:pt>
                <c:pt idx="4">
                  <c:v>0.01</c:v>
                </c:pt>
                <c:pt idx="5">
                  <c:v>0.03</c:v>
                </c:pt>
                <c:pt idx="6">
                  <c:v>4.5574999999999992</c:v>
                </c:pt>
                <c:pt idx="7">
                  <c:v>1.7500000000000002E-2</c:v>
                </c:pt>
                <c:pt idx="8">
                  <c:v>0.55000000000000004</c:v>
                </c:pt>
                <c:pt idx="9">
                  <c:v>0.03</c:v>
                </c:pt>
                <c:pt idx="10">
                  <c:v>0.27500000000000002</c:v>
                </c:pt>
                <c:pt idx="11">
                  <c:v>0.20500000000000002</c:v>
                </c:pt>
                <c:pt idx="12">
                  <c:v>2.75E-2</c:v>
                </c:pt>
                <c:pt idx="13">
                  <c:v>7.7499999999999999E-2</c:v>
                </c:pt>
                <c:pt idx="14">
                  <c:v>0.09</c:v>
                </c:pt>
                <c:pt idx="15">
                  <c:v>5.2499999999999998E-2</c:v>
                </c:pt>
                <c:pt idx="16">
                  <c:v>0.03</c:v>
                </c:pt>
                <c:pt idx="17">
                  <c:v>2.5000000000000001E-2</c:v>
                </c:pt>
                <c:pt idx="18">
                  <c:v>0.03</c:v>
                </c:pt>
                <c:pt idx="19">
                  <c:v>0.03</c:v>
                </c:pt>
                <c:pt idx="20">
                  <c:v>0.94</c:v>
                </c:pt>
                <c:pt idx="21">
                  <c:v>0.03</c:v>
                </c:pt>
                <c:pt idx="22">
                  <c:v>0.45250000000000001</c:v>
                </c:pt>
              </c:numCache>
            </c:numRef>
          </c:val>
          <c:extLst>
            <c:ext xmlns:c16="http://schemas.microsoft.com/office/drawing/2014/chart" uri="{C3380CC4-5D6E-409C-BE32-E72D297353CC}">
              <c16:uniqueId val="{00000002-57CD-4E30-AB9A-56A9BDC35FE4}"/>
            </c:ext>
          </c:extLst>
        </c:ser>
        <c:ser>
          <c:idx val="3"/>
          <c:order val="3"/>
          <c:tx>
            <c:strRef>
              <c:f>Amoni!$G$24</c:f>
              <c:strCache>
                <c:ptCount val="1"/>
                <c:pt idx="0">
                  <c:v>2024</c:v>
                </c:pt>
              </c:strCache>
            </c:strRef>
          </c:tx>
          <c:spPr>
            <a:solidFill>
              <a:schemeClr val="accent4"/>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Amoni!$G$25:$G$47</c:f>
              <c:numCache>
                <c:formatCode>General</c:formatCode>
                <c:ptCount val="23"/>
                <c:pt idx="0">
                  <c:v>5.7499999999999996E-2</c:v>
                </c:pt>
                <c:pt idx="1">
                  <c:v>1.3774999999999999</c:v>
                </c:pt>
                <c:pt idx="2">
                  <c:v>0.47500000000000003</c:v>
                </c:pt>
                <c:pt idx="3">
                  <c:v>0.33250000000000002</c:v>
                </c:pt>
                <c:pt idx="4">
                  <c:v>6.25E-2</c:v>
                </c:pt>
                <c:pt idx="5">
                  <c:v>2.2499999999999999E-2</c:v>
                </c:pt>
                <c:pt idx="6">
                  <c:v>1.61</c:v>
                </c:pt>
                <c:pt idx="7">
                  <c:v>0.05</c:v>
                </c:pt>
                <c:pt idx="8">
                  <c:v>0.6825</c:v>
                </c:pt>
                <c:pt idx="9">
                  <c:v>1.7500000000000002E-2</c:v>
                </c:pt>
                <c:pt idx="10">
                  <c:v>0.55500000000000005</c:v>
                </c:pt>
                <c:pt idx="11">
                  <c:v>0.24</c:v>
                </c:pt>
                <c:pt idx="12">
                  <c:v>6.5000000000000002E-2</c:v>
                </c:pt>
                <c:pt idx="13">
                  <c:v>8.2500000000000004E-2</c:v>
                </c:pt>
                <c:pt idx="14">
                  <c:v>8.4999999999999992E-2</c:v>
                </c:pt>
                <c:pt idx="15">
                  <c:v>0.01</c:v>
                </c:pt>
                <c:pt idx="16">
                  <c:v>8.4999999999999992E-2</c:v>
                </c:pt>
                <c:pt idx="17">
                  <c:v>5.5E-2</c:v>
                </c:pt>
                <c:pt idx="18">
                  <c:v>0.22750000000000001</c:v>
                </c:pt>
                <c:pt idx="19">
                  <c:v>2.5000000000000001E-2</c:v>
                </c:pt>
                <c:pt idx="20">
                  <c:v>2.2274999999999996</c:v>
                </c:pt>
                <c:pt idx="21">
                  <c:v>0.03</c:v>
                </c:pt>
                <c:pt idx="22">
                  <c:v>9.2499999999999999E-2</c:v>
                </c:pt>
              </c:numCache>
            </c:numRef>
          </c:val>
          <c:extLst>
            <c:ext xmlns:c16="http://schemas.microsoft.com/office/drawing/2014/chart" uri="{C3380CC4-5D6E-409C-BE32-E72D297353CC}">
              <c16:uniqueId val="{00000003-57CD-4E30-AB9A-56A9BDC35FE4}"/>
            </c:ext>
          </c:extLst>
        </c:ser>
        <c:ser>
          <c:idx val="4"/>
          <c:order val="4"/>
          <c:tx>
            <c:strRef>
              <c:f>Amoni!$H$24</c:f>
              <c:strCache>
                <c:ptCount val="1"/>
                <c:pt idx="0">
                  <c:v>2025</c:v>
                </c:pt>
              </c:strCache>
            </c:strRef>
          </c:tx>
          <c:spPr>
            <a:solidFill>
              <a:schemeClr val="accent5"/>
            </a:solidFill>
            <a:ln>
              <a:noFill/>
            </a:ln>
            <a:effectLst/>
          </c:spPr>
          <c:invertIfNegative val="0"/>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Amoni!$H$25:$H$47</c:f>
              <c:numCache>
                <c:formatCode>General</c:formatCode>
                <c:ptCount val="23"/>
                <c:pt idx="0">
                  <c:v>0.23</c:v>
                </c:pt>
                <c:pt idx="1">
                  <c:v>0.24</c:v>
                </c:pt>
                <c:pt idx="2">
                  <c:v>0.04</c:v>
                </c:pt>
                <c:pt idx="3">
                  <c:v>0.04</c:v>
                </c:pt>
                <c:pt idx="4">
                  <c:v>0.03</c:v>
                </c:pt>
                <c:pt idx="5">
                  <c:v>0.04</c:v>
                </c:pt>
                <c:pt idx="6">
                  <c:v>0.13</c:v>
                </c:pt>
                <c:pt idx="7">
                  <c:v>0.05</c:v>
                </c:pt>
                <c:pt idx="8">
                  <c:v>0.19</c:v>
                </c:pt>
                <c:pt idx="9">
                  <c:v>0.04</c:v>
                </c:pt>
                <c:pt idx="10">
                  <c:v>0.33</c:v>
                </c:pt>
                <c:pt idx="11">
                  <c:v>0.92</c:v>
                </c:pt>
                <c:pt idx="12">
                  <c:v>0.03</c:v>
                </c:pt>
                <c:pt idx="13">
                  <c:v>0.04</c:v>
                </c:pt>
                <c:pt idx="14">
                  <c:v>0.49</c:v>
                </c:pt>
                <c:pt idx="15">
                  <c:v>0.03</c:v>
                </c:pt>
                <c:pt idx="16">
                  <c:v>0.04</c:v>
                </c:pt>
                <c:pt idx="17">
                  <c:v>0.03</c:v>
                </c:pt>
                <c:pt idx="18">
                  <c:v>0.05</c:v>
                </c:pt>
                <c:pt idx="19">
                  <c:v>0.05</c:v>
                </c:pt>
                <c:pt idx="20">
                  <c:v>0.08</c:v>
                </c:pt>
                <c:pt idx="21">
                  <c:v>0.03</c:v>
                </c:pt>
                <c:pt idx="22">
                  <c:v>0.03</c:v>
                </c:pt>
              </c:numCache>
            </c:numRef>
          </c:val>
          <c:extLst>
            <c:ext xmlns:c16="http://schemas.microsoft.com/office/drawing/2014/chart" uri="{C3380CC4-5D6E-409C-BE32-E72D297353CC}">
              <c16:uniqueId val="{00000004-57CD-4E30-AB9A-56A9BDC35FE4}"/>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Amoni!$I$24</c:f>
              <c:strCache>
                <c:ptCount val="1"/>
                <c:pt idx="0">
                  <c:v>Quy chuẩn đánh giá </c:v>
                </c:pt>
              </c:strCache>
            </c:strRef>
          </c:tx>
          <c:spPr>
            <a:ln w="22225" cap="rnd">
              <a:solidFill>
                <a:schemeClr val="accent6"/>
              </a:solidFill>
              <a:round/>
            </a:ln>
            <a:effectLst/>
          </c:spPr>
          <c:marker>
            <c:symbol val="none"/>
          </c:marker>
          <c:cat>
            <c:strRef>
              <c:f>Amoni!$C$25:$C$47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Amoni!$I$25:$I$47</c:f>
              <c:numCache>
                <c:formatCode>General</c:formatCode>
                <c:ptCount val="23"/>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numCache>
            </c:numRef>
          </c:val>
          <c:smooth val="0"/>
          <c:extLst>
            <c:ext xmlns:c16="http://schemas.microsoft.com/office/drawing/2014/chart" uri="{C3380CC4-5D6E-409C-BE32-E72D297353CC}">
              <c16:uniqueId val="{00000005-57CD-4E30-AB9A-56A9BDC35FE4}"/>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1"/>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
      </c:valAx>
      <c:spPr>
        <a:noFill/>
        <a:ln>
          <a:noFill/>
        </a:ln>
        <a:effectLst/>
      </c:spPr>
    </c:plotArea>
    <c:legend>
      <c:legendPos val="b"/>
      <c:layout>
        <c:manualLayout>
          <c:xMode val="edge"/>
          <c:yMode val="edge"/>
          <c:x val="0.23967507226153698"/>
          <c:y val="0.90762530229572835"/>
          <c:w val="0.5206498554769261"/>
          <c:h val="9.237469770427168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7198024297595E-4"/>
          <c:y val="0.2029032909347870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049957362924573E-2"/>
          <c:y val="3.7627027390806915E-2"/>
          <c:w val="0.92479406846296097"/>
          <c:h val="0.59638165421629985"/>
        </c:manualLayout>
      </c:layout>
      <c:barChart>
        <c:barDir val="col"/>
        <c:grouping val="clustered"/>
        <c:varyColors val="0"/>
        <c:ser>
          <c:idx val="0"/>
          <c:order val="0"/>
          <c:tx>
            <c:strRef>
              <c:f>TDS!$E$24</c:f>
              <c:strCache>
                <c:ptCount val="1"/>
                <c:pt idx="0">
                  <c:v>2021</c:v>
                </c:pt>
              </c:strCache>
            </c:strRef>
          </c:tx>
          <c:spPr>
            <a:solidFill>
              <a:schemeClr val="accent1"/>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TDS!$E$25:$E$47</c:f>
              <c:numCache>
                <c:formatCode>General</c:formatCode>
                <c:ptCount val="23"/>
                <c:pt idx="0">
                  <c:v>522.25</c:v>
                </c:pt>
                <c:pt idx="1">
                  <c:v>169</c:v>
                </c:pt>
                <c:pt idx="2">
                  <c:v>484.25</c:v>
                </c:pt>
                <c:pt idx="3">
                  <c:v>1538.25</c:v>
                </c:pt>
                <c:pt idx="4">
                  <c:v>192</c:v>
                </c:pt>
                <c:pt idx="5">
                  <c:v>81.5</c:v>
                </c:pt>
                <c:pt idx="6">
                  <c:v>266.75</c:v>
                </c:pt>
                <c:pt idx="7">
                  <c:v>43</c:v>
                </c:pt>
                <c:pt idx="8">
                  <c:v>127.25</c:v>
                </c:pt>
                <c:pt idx="9">
                  <c:v>40.75</c:v>
                </c:pt>
                <c:pt idx="10">
                  <c:v>248.25</c:v>
                </c:pt>
                <c:pt idx="11">
                  <c:v>5527.5</c:v>
                </c:pt>
                <c:pt idx="12">
                  <c:v>39.5</c:v>
                </c:pt>
                <c:pt idx="13">
                  <c:v>387.75</c:v>
                </c:pt>
                <c:pt idx="14">
                  <c:v>104</c:v>
                </c:pt>
                <c:pt idx="15">
                  <c:v>80.5</c:v>
                </c:pt>
                <c:pt idx="16">
                  <c:v>25</c:v>
                </c:pt>
                <c:pt idx="17">
                  <c:v>47.5</c:v>
                </c:pt>
                <c:pt idx="18">
                  <c:v>75.25</c:v>
                </c:pt>
                <c:pt idx="19">
                  <c:v>94.75</c:v>
                </c:pt>
                <c:pt idx="20">
                  <c:v>33.25</c:v>
                </c:pt>
                <c:pt idx="21">
                  <c:v>102.5</c:v>
                </c:pt>
                <c:pt idx="22">
                  <c:v>540.25</c:v>
                </c:pt>
              </c:numCache>
            </c:numRef>
          </c:val>
          <c:extLst>
            <c:ext xmlns:c16="http://schemas.microsoft.com/office/drawing/2014/chart" uri="{C3380CC4-5D6E-409C-BE32-E72D297353CC}">
              <c16:uniqueId val="{00000000-97BD-463D-A5F6-C58378FE905D}"/>
            </c:ext>
          </c:extLst>
        </c:ser>
        <c:ser>
          <c:idx val="1"/>
          <c:order val="1"/>
          <c:tx>
            <c:strRef>
              <c:f>TDS!$F$24</c:f>
              <c:strCache>
                <c:ptCount val="1"/>
                <c:pt idx="0">
                  <c:v>2022</c:v>
                </c:pt>
              </c:strCache>
            </c:strRef>
          </c:tx>
          <c:spPr>
            <a:solidFill>
              <a:schemeClr val="accent2"/>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TDS!$F$25:$F$47</c:f>
              <c:numCache>
                <c:formatCode>General</c:formatCode>
                <c:ptCount val="23"/>
                <c:pt idx="0">
                  <c:v>317</c:v>
                </c:pt>
                <c:pt idx="1">
                  <c:v>221</c:v>
                </c:pt>
                <c:pt idx="2">
                  <c:v>513.75</c:v>
                </c:pt>
                <c:pt idx="3">
                  <c:v>1975</c:v>
                </c:pt>
                <c:pt idx="4">
                  <c:v>167</c:v>
                </c:pt>
                <c:pt idx="5">
                  <c:v>95</c:v>
                </c:pt>
                <c:pt idx="6">
                  <c:v>327</c:v>
                </c:pt>
                <c:pt idx="7">
                  <c:v>18</c:v>
                </c:pt>
                <c:pt idx="8">
                  <c:v>107.675</c:v>
                </c:pt>
                <c:pt idx="9">
                  <c:v>40.5</c:v>
                </c:pt>
                <c:pt idx="10">
                  <c:v>218</c:v>
                </c:pt>
                <c:pt idx="11">
                  <c:v>2391.25</c:v>
                </c:pt>
                <c:pt idx="12">
                  <c:v>40.75</c:v>
                </c:pt>
                <c:pt idx="13">
                  <c:v>423.75</c:v>
                </c:pt>
                <c:pt idx="14">
                  <c:v>128.75</c:v>
                </c:pt>
                <c:pt idx="15">
                  <c:v>77.25</c:v>
                </c:pt>
                <c:pt idx="16">
                  <c:v>24.5</c:v>
                </c:pt>
                <c:pt idx="17">
                  <c:v>53.75</c:v>
                </c:pt>
                <c:pt idx="18">
                  <c:v>104</c:v>
                </c:pt>
                <c:pt idx="19">
                  <c:v>94</c:v>
                </c:pt>
                <c:pt idx="20">
                  <c:v>42.75</c:v>
                </c:pt>
                <c:pt idx="21">
                  <c:v>119.25</c:v>
                </c:pt>
                <c:pt idx="22">
                  <c:v>549.5</c:v>
                </c:pt>
              </c:numCache>
            </c:numRef>
          </c:val>
          <c:extLst>
            <c:ext xmlns:c16="http://schemas.microsoft.com/office/drawing/2014/chart" uri="{C3380CC4-5D6E-409C-BE32-E72D297353CC}">
              <c16:uniqueId val="{00000001-97BD-463D-A5F6-C58378FE905D}"/>
            </c:ext>
          </c:extLst>
        </c:ser>
        <c:ser>
          <c:idx val="2"/>
          <c:order val="2"/>
          <c:tx>
            <c:strRef>
              <c:f>TDS!$G$24</c:f>
              <c:strCache>
                <c:ptCount val="1"/>
                <c:pt idx="0">
                  <c:v>2023</c:v>
                </c:pt>
              </c:strCache>
            </c:strRef>
          </c:tx>
          <c:spPr>
            <a:solidFill>
              <a:schemeClr val="accent3"/>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TDS!$G$25:$G$47</c:f>
              <c:numCache>
                <c:formatCode>General</c:formatCode>
                <c:ptCount val="23"/>
                <c:pt idx="0">
                  <c:v>520.79999999999995</c:v>
                </c:pt>
                <c:pt idx="1">
                  <c:v>212</c:v>
                </c:pt>
                <c:pt idx="2">
                  <c:v>568.5</c:v>
                </c:pt>
                <c:pt idx="3">
                  <c:v>1403</c:v>
                </c:pt>
                <c:pt idx="4">
                  <c:v>110.52500000000001</c:v>
                </c:pt>
                <c:pt idx="5">
                  <c:v>76.125</c:v>
                </c:pt>
                <c:pt idx="6">
                  <c:v>308.25</c:v>
                </c:pt>
                <c:pt idx="7">
                  <c:v>22.875</c:v>
                </c:pt>
                <c:pt idx="8">
                  <c:v>88.95</c:v>
                </c:pt>
                <c:pt idx="9">
                  <c:v>42.550000000000004</c:v>
                </c:pt>
                <c:pt idx="10">
                  <c:v>212.75</c:v>
                </c:pt>
                <c:pt idx="11">
                  <c:v>1502.75</c:v>
                </c:pt>
                <c:pt idx="12">
                  <c:v>44.375</c:v>
                </c:pt>
                <c:pt idx="13">
                  <c:v>381.25</c:v>
                </c:pt>
                <c:pt idx="14">
                  <c:v>95.15</c:v>
                </c:pt>
                <c:pt idx="15">
                  <c:v>61.875</c:v>
                </c:pt>
                <c:pt idx="16">
                  <c:v>48.3</c:v>
                </c:pt>
                <c:pt idx="17">
                  <c:v>69.099999999999994</c:v>
                </c:pt>
                <c:pt idx="18">
                  <c:v>150.47499999999999</c:v>
                </c:pt>
                <c:pt idx="19">
                  <c:v>92.924999999999997</c:v>
                </c:pt>
                <c:pt idx="20">
                  <c:v>144.4</c:v>
                </c:pt>
                <c:pt idx="21">
                  <c:v>99.174999999999997</c:v>
                </c:pt>
                <c:pt idx="22">
                  <c:v>491.25</c:v>
                </c:pt>
              </c:numCache>
            </c:numRef>
          </c:val>
          <c:extLst>
            <c:ext xmlns:c16="http://schemas.microsoft.com/office/drawing/2014/chart" uri="{C3380CC4-5D6E-409C-BE32-E72D297353CC}">
              <c16:uniqueId val="{00000002-97BD-463D-A5F6-C58378FE905D}"/>
            </c:ext>
          </c:extLst>
        </c:ser>
        <c:ser>
          <c:idx val="3"/>
          <c:order val="3"/>
          <c:tx>
            <c:strRef>
              <c:f>TDS!$H$24</c:f>
              <c:strCache>
                <c:ptCount val="1"/>
                <c:pt idx="0">
                  <c:v>2024</c:v>
                </c:pt>
              </c:strCache>
            </c:strRef>
          </c:tx>
          <c:spPr>
            <a:solidFill>
              <a:schemeClr val="accent4"/>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TDS!$H$25:$H$47</c:f>
              <c:numCache>
                <c:formatCode>General</c:formatCode>
                <c:ptCount val="23"/>
                <c:pt idx="0">
                  <c:v>2749.5</c:v>
                </c:pt>
                <c:pt idx="1">
                  <c:v>238</c:v>
                </c:pt>
                <c:pt idx="2">
                  <c:v>459.5</c:v>
                </c:pt>
                <c:pt idx="3">
                  <c:v>251.75</c:v>
                </c:pt>
                <c:pt idx="4">
                  <c:v>110</c:v>
                </c:pt>
                <c:pt idx="5">
                  <c:v>105.85</c:v>
                </c:pt>
                <c:pt idx="6">
                  <c:v>267.25</c:v>
                </c:pt>
                <c:pt idx="7">
                  <c:v>52.475000000000001</c:v>
                </c:pt>
                <c:pt idx="8">
                  <c:v>69.724999999999994</c:v>
                </c:pt>
                <c:pt idx="9">
                  <c:v>42.024999999999999</c:v>
                </c:pt>
                <c:pt idx="10">
                  <c:v>239.25</c:v>
                </c:pt>
                <c:pt idx="11">
                  <c:v>1555.75</c:v>
                </c:pt>
                <c:pt idx="12">
                  <c:v>37.150000000000006</c:v>
                </c:pt>
                <c:pt idx="13">
                  <c:v>349</c:v>
                </c:pt>
                <c:pt idx="14">
                  <c:v>151.5</c:v>
                </c:pt>
                <c:pt idx="15">
                  <c:v>46.15</c:v>
                </c:pt>
                <c:pt idx="16">
                  <c:v>27.475000000000001</c:v>
                </c:pt>
                <c:pt idx="17">
                  <c:v>53.400000000000006</c:v>
                </c:pt>
                <c:pt idx="18">
                  <c:v>86.125</c:v>
                </c:pt>
                <c:pt idx="19">
                  <c:v>91.05</c:v>
                </c:pt>
                <c:pt idx="20">
                  <c:v>144.82499999999999</c:v>
                </c:pt>
                <c:pt idx="21">
                  <c:v>110.5</c:v>
                </c:pt>
                <c:pt idx="22">
                  <c:v>511.75</c:v>
                </c:pt>
              </c:numCache>
            </c:numRef>
          </c:val>
          <c:extLst>
            <c:ext xmlns:c16="http://schemas.microsoft.com/office/drawing/2014/chart" uri="{C3380CC4-5D6E-409C-BE32-E72D297353CC}">
              <c16:uniqueId val="{00000003-97BD-463D-A5F6-C58378FE905D}"/>
            </c:ext>
          </c:extLst>
        </c:ser>
        <c:ser>
          <c:idx val="4"/>
          <c:order val="4"/>
          <c:tx>
            <c:strRef>
              <c:f>TDS!$I$24</c:f>
              <c:strCache>
                <c:ptCount val="1"/>
                <c:pt idx="0">
                  <c:v>2025</c:v>
                </c:pt>
              </c:strCache>
            </c:strRef>
          </c:tx>
          <c:spPr>
            <a:solidFill>
              <a:schemeClr val="accent5"/>
            </a:solidFill>
            <a:ln>
              <a:noFill/>
            </a:ln>
            <a:effectLst/>
          </c:spPr>
          <c:invertIfNegative val="0"/>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TDS!$I$25:$I$47</c:f>
              <c:numCache>
                <c:formatCode>General</c:formatCode>
                <c:ptCount val="23"/>
                <c:pt idx="0">
                  <c:v>3020</c:v>
                </c:pt>
                <c:pt idx="1">
                  <c:v>209</c:v>
                </c:pt>
                <c:pt idx="2">
                  <c:v>239</c:v>
                </c:pt>
                <c:pt idx="3">
                  <c:v>235</c:v>
                </c:pt>
                <c:pt idx="4">
                  <c:v>128</c:v>
                </c:pt>
                <c:pt idx="5">
                  <c:v>136</c:v>
                </c:pt>
                <c:pt idx="6">
                  <c:v>334</c:v>
                </c:pt>
                <c:pt idx="7">
                  <c:v>21.4</c:v>
                </c:pt>
                <c:pt idx="8">
                  <c:v>131</c:v>
                </c:pt>
                <c:pt idx="9">
                  <c:v>50.2</c:v>
                </c:pt>
                <c:pt idx="10">
                  <c:v>190</c:v>
                </c:pt>
                <c:pt idx="11">
                  <c:v>700</c:v>
                </c:pt>
                <c:pt idx="12">
                  <c:v>89.1</c:v>
                </c:pt>
                <c:pt idx="13">
                  <c:v>370</c:v>
                </c:pt>
                <c:pt idx="14">
                  <c:v>124</c:v>
                </c:pt>
                <c:pt idx="15">
                  <c:v>32.4</c:v>
                </c:pt>
                <c:pt idx="16">
                  <c:v>39.1</c:v>
                </c:pt>
                <c:pt idx="17">
                  <c:v>48.9</c:v>
                </c:pt>
                <c:pt idx="18">
                  <c:v>111</c:v>
                </c:pt>
                <c:pt idx="19">
                  <c:v>109</c:v>
                </c:pt>
                <c:pt idx="20">
                  <c:v>194</c:v>
                </c:pt>
                <c:pt idx="21">
                  <c:v>63.1</c:v>
                </c:pt>
                <c:pt idx="22">
                  <c:v>495</c:v>
                </c:pt>
              </c:numCache>
            </c:numRef>
          </c:val>
          <c:extLst>
            <c:ext xmlns:c16="http://schemas.microsoft.com/office/drawing/2014/chart" uri="{C3380CC4-5D6E-409C-BE32-E72D297353CC}">
              <c16:uniqueId val="{00000004-97BD-463D-A5F6-C58378FE905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TDS!$J$24</c:f>
              <c:strCache>
                <c:ptCount val="1"/>
                <c:pt idx="0">
                  <c:v>Quy chuẩn đánh giá </c:v>
                </c:pt>
              </c:strCache>
            </c:strRef>
          </c:tx>
          <c:spPr>
            <a:ln w="22225" cap="rnd">
              <a:solidFill>
                <a:schemeClr val="accent6"/>
              </a:solidFill>
              <a:round/>
            </a:ln>
            <a:effectLst/>
          </c:spPr>
          <c:marker>
            <c:symbol val="none"/>
          </c:marker>
          <c:cat>
            <c:strRef>
              <c:f>TDS!$D$25:$D$47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TDS!$J$25:$J$47</c:f>
              <c:numCache>
                <c:formatCode>General</c:formatCode>
                <c:ptCount val="23"/>
                <c:pt idx="0">
                  <c:v>1500</c:v>
                </c:pt>
                <c:pt idx="1">
                  <c:v>1500</c:v>
                </c:pt>
                <c:pt idx="2">
                  <c:v>1500</c:v>
                </c:pt>
                <c:pt idx="3">
                  <c:v>1500</c:v>
                </c:pt>
                <c:pt idx="4">
                  <c:v>1500</c:v>
                </c:pt>
                <c:pt idx="5">
                  <c:v>1500</c:v>
                </c:pt>
                <c:pt idx="6">
                  <c:v>1500</c:v>
                </c:pt>
                <c:pt idx="7">
                  <c:v>1500</c:v>
                </c:pt>
                <c:pt idx="8">
                  <c:v>1500</c:v>
                </c:pt>
                <c:pt idx="9">
                  <c:v>1500</c:v>
                </c:pt>
                <c:pt idx="10">
                  <c:v>1500</c:v>
                </c:pt>
                <c:pt idx="11">
                  <c:v>1500</c:v>
                </c:pt>
                <c:pt idx="12">
                  <c:v>1500</c:v>
                </c:pt>
                <c:pt idx="13">
                  <c:v>1500</c:v>
                </c:pt>
                <c:pt idx="14">
                  <c:v>1500</c:v>
                </c:pt>
                <c:pt idx="15">
                  <c:v>1500</c:v>
                </c:pt>
                <c:pt idx="16">
                  <c:v>1500</c:v>
                </c:pt>
                <c:pt idx="17">
                  <c:v>1500</c:v>
                </c:pt>
                <c:pt idx="18">
                  <c:v>1500</c:v>
                </c:pt>
                <c:pt idx="19">
                  <c:v>1500</c:v>
                </c:pt>
                <c:pt idx="20">
                  <c:v>1500</c:v>
                </c:pt>
                <c:pt idx="21">
                  <c:v>1500</c:v>
                </c:pt>
                <c:pt idx="22">
                  <c:v>1500</c:v>
                </c:pt>
              </c:numCache>
            </c:numRef>
          </c:val>
          <c:smooth val="0"/>
          <c:extLst>
            <c:ext xmlns:c16="http://schemas.microsoft.com/office/drawing/2014/chart" uri="{C3380CC4-5D6E-409C-BE32-E72D297353CC}">
              <c16:uniqueId val="{00000005-97BD-463D-A5F6-C58378FE905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6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5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32296768078225E-4"/>
          <c:y val="0.1093477204238359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8451997882524457E-2"/>
          <c:y val="4.4098237720284962E-2"/>
          <c:w val="0.92200184586219236"/>
          <c:h val="0.47157334499854192"/>
        </c:manualLayout>
      </c:layout>
      <c:barChart>
        <c:barDir val="col"/>
        <c:grouping val="clustered"/>
        <c:varyColors val="0"/>
        <c:ser>
          <c:idx val="0"/>
          <c:order val="0"/>
          <c:tx>
            <c:strRef>
              <c:f>'Do cung'!$D$24</c:f>
              <c:strCache>
                <c:ptCount val="1"/>
                <c:pt idx="0">
                  <c:v>2021</c:v>
                </c:pt>
              </c:strCache>
            </c:strRef>
          </c:tx>
          <c:spPr>
            <a:solidFill>
              <a:schemeClr val="accent1"/>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cung'!$D$25:$D$47</c:f>
              <c:numCache>
                <c:formatCode>General</c:formatCode>
                <c:ptCount val="23"/>
                <c:pt idx="0">
                  <c:v>255.5</c:v>
                </c:pt>
                <c:pt idx="1">
                  <c:v>180.5</c:v>
                </c:pt>
                <c:pt idx="2">
                  <c:v>159.75</c:v>
                </c:pt>
                <c:pt idx="3">
                  <c:v>426</c:v>
                </c:pt>
                <c:pt idx="4">
                  <c:v>190.25</c:v>
                </c:pt>
                <c:pt idx="5">
                  <c:v>80.25</c:v>
                </c:pt>
                <c:pt idx="6">
                  <c:v>230</c:v>
                </c:pt>
                <c:pt idx="7">
                  <c:v>14.25</c:v>
                </c:pt>
                <c:pt idx="8">
                  <c:v>113.5</c:v>
                </c:pt>
                <c:pt idx="9">
                  <c:v>38.25</c:v>
                </c:pt>
                <c:pt idx="10">
                  <c:v>131.25</c:v>
                </c:pt>
                <c:pt idx="11">
                  <c:v>1247.5</c:v>
                </c:pt>
                <c:pt idx="12">
                  <c:v>38.75</c:v>
                </c:pt>
                <c:pt idx="13">
                  <c:v>388.25</c:v>
                </c:pt>
                <c:pt idx="14">
                  <c:v>77.75</c:v>
                </c:pt>
                <c:pt idx="15">
                  <c:v>31</c:v>
                </c:pt>
                <c:pt idx="16">
                  <c:v>18.5</c:v>
                </c:pt>
                <c:pt idx="17">
                  <c:v>34</c:v>
                </c:pt>
                <c:pt idx="18">
                  <c:v>46.75</c:v>
                </c:pt>
                <c:pt idx="19">
                  <c:v>59</c:v>
                </c:pt>
                <c:pt idx="20">
                  <c:v>11.25</c:v>
                </c:pt>
                <c:pt idx="21">
                  <c:v>53.25</c:v>
                </c:pt>
                <c:pt idx="22">
                  <c:v>382</c:v>
                </c:pt>
              </c:numCache>
            </c:numRef>
          </c:val>
          <c:extLst>
            <c:ext xmlns:c16="http://schemas.microsoft.com/office/drawing/2014/chart" uri="{C3380CC4-5D6E-409C-BE32-E72D297353CC}">
              <c16:uniqueId val="{00000000-E6CE-4670-83A0-FBC1B8C6C72A}"/>
            </c:ext>
          </c:extLst>
        </c:ser>
        <c:ser>
          <c:idx val="1"/>
          <c:order val="1"/>
          <c:tx>
            <c:strRef>
              <c:f>'Do cung'!$E$24</c:f>
              <c:strCache>
                <c:ptCount val="1"/>
                <c:pt idx="0">
                  <c:v>2022</c:v>
                </c:pt>
              </c:strCache>
            </c:strRef>
          </c:tx>
          <c:spPr>
            <a:solidFill>
              <a:schemeClr val="accent2"/>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cung'!$E$25:$E$47</c:f>
              <c:numCache>
                <c:formatCode>General</c:formatCode>
                <c:ptCount val="23"/>
                <c:pt idx="0">
                  <c:v>165.5</c:v>
                </c:pt>
                <c:pt idx="1">
                  <c:v>152.25</c:v>
                </c:pt>
                <c:pt idx="2">
                  <c:v>124.25</c:v>
                </c:pt>
                <c:pt idx="3">
                  <c:v>149.25</c:v>
                </c:pt>
                <c:pt idx="4">
                  <c:v>108.25</c:v>
                </c:pt>
                <c:pt idx="5">
                  <c:v>55.25</c:v>
                </c:pt>
                <c:pt idx="6">
                  <c:v>33.25</c:v>
                </c:pt>
                <c:pt idx="7">
                  <c:v>7</c:v>
                </c:pt>
                <c:pt idx="8">
                  <c:v>73.5</c:v>
                </c:pt>
                <c:pt idx="9">
                  <c:v>28.5</c:v>
                </c:pt>
                <c:pt idx="10">
                  <c:v>118.5</c:v>
                </c:pt>
                <c:pt idx="11">
                  <c:v>373.75</c:v>
                </c:pt>
                <c:pt idx="12">
                  <c:v>25.5</c:v>
                </c:pt>
                <c:pt idx="13">
                  <c:v>298.25</c:v>
                </c:pt>
                <c:pt idx="14">
                  <c:v>85.25</c:v>
                </c:pt>
                <c:pt idx="15">
                  <c:v>27.75</c:v>
                </c:pt>
                <c:pt idx="16">
                  <c:v>13.5</c:v>
                </c:pt>
                <c:pt idx="17">
                  <c:v>58.75</c:v>
                </c:pt>
                <c:pt idx="18">
                  <c:v>49</c:v>
                </c:pt>
                <c:pt idx="19">
                  <c:v>61.25</c:v>
                </c:pt>
                <c:pt idx="20">
                  <c:v>15</c:v>
                </c:pt>
                <c:pt idx="21">
                  <c:v>54.25</c:v>
                </c:pt>
                <c:pt idx="22">
                  <c:v>258</c:v>
                </c:pt>
              </c:numCache>
            </c:numRef>
          </c:val>
          <c:extLst>
            <c:ext xmlns:c16="http://schemas.microsoft.com/office/drawing/2014/chart" uri="{C3380CC4-5D6E-409C-BE32-E72D297353CC}">
              <c16:uniqueId val="{00000001-E6CE-4670-83A0-FBC1B8C6C72A}"/>
            </c:ext>
          </c:extLst>
        </c:ser>
        <c:ser>
          <c:idx val="2"/>
          <c:order val="2"/>
          <c:tx>
            <c:strRef>
              <c:f>'Do cung'!$F$24</c:f>
              <c:strCache>
                <c:ptCount val="1"/>
                <c:pt idx="0">
                  <c:v>2023</c:v>
                </c:pt>
              </c:strCache>
            </c:strRef>
          </c:tx>
          <c:spPr>
            <a:solidFill>
              <a:schemeClr val="accent3"/>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cung'!$F$25:$F$47</c:f>
              <c:numCache>
                <c:formatCode>General</c:formatCode>
                <c:ptCount val="23"/>
                <c:pt idx="0">
                  <c:v>217</c:v>
                </c:pt>
                <c:pt idx="1">
                  <c:v>164.5</c:v>
                </c:pt>
                <c:pt idx="2">
                  <c:v>164</c:v>
                </c:pt>
                <c:pt idx="3">
                  <c:v>360.5</c:v>
                </c:pt>
                <c:pt idx="4">
                  <c:v>91.5</c:v>
                </c:pt>
                <c:pt idx="5">
                  <c:v>66.5</c:v>
                </c:pt>
                <c:pt idx="6">
                  <c:v>51.25</c:v>
                </c:pt>
                <c:pt idx="7">
                  <c:v>6.5</c:v>
                </c:pt>
                <c:pt idx="8">
                  <c:v>52.75</c:v>
                </c:pt>
                <c:pt idx="9">
                  <c:v>31.75</c:v>
                </c:pt>
                <c:pt idx="10">
                  <c:v>143.75</c:v>
                </c:pt>
                <c:pt idx="11">
                  <c:v>291.75</c:v>
                </c:pt>
                <c:pt idx="12">
                  <c:v>25</c:v>
                </c:pt>
                <c:pt idx="13">
                  <c:v>304.75</c:v>
                </c:pt>
                <c:pt idx="14">
                  <c:v>55.5</c:v>
                </c:pt>
                <c:pt idx="15">
                  <c:v>30.25</c:v>
                </c:pt>
                <c:pt idx="16">
                  <c:v>12.75</c:v>
                </c:pt>
                <c:pt idx="17">
                  <c:v>43.75</c:v>
                </c:pt>
                <c:pt idx="18">
                  <c:v>59.25</c:v>
                </c:pt>
                <c:pt idx="19">
                  <c:v>60.5</c:v>
                </c:pt>
                <c:pt idx="20">
                  <c:v>54.75</c:v>
                </c:pt>
                <c:pt idx="21">
                  <c:v>60.25</c:v>
                </c:pt>
                <c:pt idx="22">
                  <c:v>260</c:v>
                </c:pt>
              </c:numCache>
            </c:numRef>
          </c:val>
          <c:extLst>
            <c:ext xmlns:c16="http://schemas.microsoft.com/office/drawing/2014/chart" uri="{C3380CC4-5D6E-409C-BE32-E72D297353CC}">
              <c16:uniqueId val="{00000002-E6CE-4670-83A0-FBC1B8C6C72A}"/>
            </c:ext>
          </c:extLst>
        </c:ser>
        <c:ser>
          <c:idx val="3"/>
          <c:order val="3"/>
          <c:tx>
            <c:strRef>
              <c:f>'Do cung'!$G$24</c:f>
              <c:strCache>
                <c:ptCount val="1"/>
                <c:pt idx="0">
                  <c:v>2024</c:v>
                </c:pt>
              </c:strCache>
            </c:strRef>
          </c:tx>
          <c:spPr>
            <a:solidFill>
              <a:schemeClr val="accent4"/>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cung'!$G$25:$G$47</c:f>
              <c:numCache>
                <c:formatCode>General</c:formatCode>
                <c:ptCount val="23"/>
                <c:pt idx="0">
                  <c:v>1093.5</c:v>
                </c:pt>
                <c:pt idx="1">
                  <c:v>152.5</c:v>
                </c:pt>
                <c:pt idx="2">
                  <c:v>284</c:v>
                </c:pt>
                <c:pt idx="3">
                  <c:v>154.75</c:v>
                </c:pt>
                <c:pt idx="4">
                  <c:v>103.5</c:v>
                </c:pt>
                <c:pt idx="5">
                  <c:v>94.75</c:v>
                </c:pt>
                <c:pt idx="6">
                  <c:v>194.75</c:v>
                </c:pt>
                <c:pt idx="7">
                  <c:v>40.75</c:v>
                </c:pt>
                <c:pt idx="8">
                  <c:v>63.75</c:v>
                </c:pt>
                <c:pt idx="9">
                  <c:v>34.5</c:v>
                </c:pt>
                <c:pt idx="10">
                  <c:v>158.25</c:v>
                </c:pt>
                <c:pt idx="11">
                  <c:v>635</c:v>
                </c:pt>
                <c:pt idx="12">
                  <c:v>23</c:v>
                </c:pt>
                <c:pt idx="13">
                  <c:v>268.5</c:v>
                </c:pt>
                <c:pt idx="14">
                  <c:v>104</c:v>
                </c:pt>
                <c:pt idx="15">
                  <c:v>29.75</c:v>
                </c:pt>
                <c:pt idx="16">
                  <c:v>19.5</c:v>
                </c:pt>
                <c:pt idx="17">
                  <c:v>39.75</c:v>
                </c:pt>
                <c:pt idx="18">
                  <c:v>74</c:v>
                </c:pt>
                <c:pt idx="19">
                  <c:v>60.75</c:v>
                </c:pt>
                <c:pt idx="20">
                  <c:v>81.25</c:v>
                </c:pt>
                <c:pt idx="21">
                  <c:v>74.25</c:v>
                </c:pt>
                <c:pt idx="22">
                  <c:v>240.75</c:v>
                </c:pt>
              </c:numCache>
            </c:numRef>
          </c:val>
          <c:extLst>
            <c:ext xmlns:c16="http://schemas.microsoft.com/office/drawing/2014/chart" uri="{C3380CC4-5D6E-409C-BE32-E72D297353CC}">
              <c16:uniqueId val="{00000003-E6CE-4670-83A0-FBC1B8C6C72A}"/>
            </c:ext>
          </c:extLst>
        </c:ser>
        <c:ser>
          <c:idx val="4"/>
          <c:order val="4"/>
          <c:tx>
            <c:strRef>
              <c:f>'Do cung'!$H$24</c:f>
              <c:strCache>
                <c:ptCount val="1"/>
                <c:pt idx="0">
                  <c:v>2025</c:v>
                </c:pt>
              </c:strCache>
            </c:strRef>
          </c:tx>
          <c:spPr>
            <a:solidFill>
              <a:schemeClr val="accent5"/>
            </a:solidFill>
            <a:ln>
              <a:noFill/>
            </a:ln>
            <a:effectLst/>
          </c:spPr>
          <c:invertIfNegative val="0"/>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cung'!$H$25:$H$47</c:f>
              <c:numCache>
                <c:formatCode>General</c:formatCode>
                <c:ptCount val="23"/>
                <c:pt idx="0">
                  <c:v>1740</c:v>
                </c:pt>
                <c:pt idx="1">
                  <c:v>130</c:v>
                </c:pt>
                <c:pt idx="2">
                  <c:v>166</c:v>
                </c:pt>
                <c:pt idx="3">
                  <c:v>136</c:v>
                </c:pt>
                <c:pt idx="4">
                  <c:v>91</c:v>
                </c:pt>
                <c:pt idx="5">
                  <c:v>98</c:v>
                </c:pt>
                <c:pt idx="6">
                  <c:v>170</c:v>
                </c:pt>
                <c:pt idx="7">
                  <c:v>10</c:v>
                </c:pt>
                <c:pt idx="8">
                  <c:v>35</c:v>
                </c:pt>
                <c:pt idx="9">
                  <c:v>34</c:v>
                </c:pt>
                <c:pt idx="10">
                  <c:v>90</c:v>
                </c:pt>
                <c:pt idx="11">
                  <c:v>445</c:v>
                </c:pt>
                <c:pt idx="12">
                  <c:v>65</c:v>
                </c:pt>
                <c:pt idx="13">
                  <c:v>224</c:v>
                </c:pt>
                <c:pt idx="14">
                  <c:v>88</c:v>
                </c:pt>
                <c:pt idx="15">
                  <c:v>12</c:v>
                </c:pt>
                <c:pt idx="16">
                  <c:v>15</c:v>
                </c:pt>
                <c:pt idx="17">
                  <c:v>21</c:v>
                </c:pt>
                <c:pt idx="18">
                  <c:v>92</c:v>
                </c:pt>
                <c:pt idx="19">
                  <c:v>87</c:v>
                </c:pt>
                <c:pt idx="20">
                  <c:v>186</c:v>
                </c:pt>
                <c:pt idx="21">
                  <c:v>32</c:v>
                </c:pt>
                <c:pt idx="22">
                  <c:v>256</c:v>
                </c:pt>
              </c:numCache>
            </c:numRef>
          </c:val>
          <c:extLst>
            <c:ext xmlns:c16="http://schemas.microsoft.com/office/drawing/2014/chart" uri="{C3380CC4-5D6E-409C-BE32-E72D297353CC}">
              <c16:uniqueId val="{00000004-E6CE-4670-83A0-FBC1B8C6C72A}"/>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 cung'!$I$24</c:f>
              <c:strCache>
                <c:ptCount val="1"/>
                <c:pt idx="0">
                  <c:v>Quy chuẩn đánh giá </c:v>
                </c:pt>
              </c:strCache>
            </c:strRef>
          </c:tx>
          <c:spPr>
            <a:ln w="22225" cap="rnd">
              <a:solidFill>
                <a:schemeClr val="accent6"/>
              </a:solidFill>
              <a:round/>
            </a:ln>
            <a:effectLst/>
          </c:spPr>
          <c:marker>
            <c:symbol val="none"/>
          </c:marker>
          <c:cat>
            <c:strRef>
              <c:f>'Do cung'!$C$25:$C$47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'Do cung'!$I$25:$I$47</c:f>
              <c:numCache>
                <c:formatCode>General</c:formatCode>
                <c:ptCount val="23"/>
                <c:pt idx="0">
                  <c:v>500</c:v>
                </c:pt>
                <c:pt idx="1">
                  <c:v>500</c:v>
                </c:pt>
                <c:pt idx="2">
                  <c:v>500</c:v>
                </c:pt>
                <c:pt idx="3">
                  <c:v>500</c:v>
                </c:pt>
                <c:pt idx="4">
                  <c:v>500</c:v>
                </c:pt>
                <c:pt idx="5">
                  <c:v>500</c:v>
                </c:pt>
                <c:pt idx="6">
                  <c:v>500</c:v>
                </c:pt>
                <c:pt idx="7">
                  <c:v>500</c:v>
                </c:pt>
                <c:pt idx="8">
                  <c:v>500</c:v>
                </c:pt>
                <c:pt idx="9">
                  <c:v>500</c:v>
                </c:pt>
                <c:pt idx="10">
                  <c:v>500</c:v>
                </c:pt>
                <c:pt idx="11">
                  <c:v>500</c:v>
                </c:pt>
                <c:pt idx="12">
                  <c:v>500</c:v>
                </c:pt>
                <c:pt idx="13">
                  <c:v>500</c:v>
                </c:pt>
                <c:pt idx="14">
                  <c:v>500</c:v>
                </c:pt>
                <c:pt idx="15">
                  <c:v>500</c:v>
                </c:pt>
                <c:pt idx="16">
                  <c:v>500</c:v>
                </c:pt>
                <c:pt idx="17">
                  <c:v>500</c:v>
                </c:pt>
                <c:pt idx="18">
                  <c:v>500</c:v>
                </c:pt>
                <c:pt idx="19">
                  <c:v>500</c:v>
                </c:pt>
                <c:pt idx="20">
                  <c:v>500</c:v>
                </c:pt>
                <c:pt idx="21">
                  <c:v>500</c:v>
                </c:pt>
                <c:pt idx="22">
                  <c:v>500</c:v>
                </c:pt>
              </c:numCache>
            </c:numRef>
          </c:val>
          <c:smooth val="0"/>
          <c:extLst>
            <c:ext xmlns:c16="http://schemas.microsoft.com/office/drawing/2014/chart" uri="{C3380CC4-5D6E-409C-BE32-E72D297353CC}">
              <c16:uniqueId val="{00000005-E6CE-4670-83A0-FBC1B8C6C72A}"/>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0"/>
      </c:valAx>
      <c:spPr>
        <a:noFill/>
        <a:ln>
          <a:noFill/>
        </a:ln>
        <a:effectLst/>
      </c:spPr>
    </c:plotArea>
    <c:legend>
      <c:legendPos val="b"/>
      <c:layout>
        <c:manualLayout>
          <c:xMode val="edge"/>
          <c:yMode val="edge"/>
          <c:x val="7.773596410269204E-2"/>
          <c:y val="0.89583260425780109"/>
          <c:w val="0.8431200059865801"/>
          <c:h val="0.104167395742198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2.969232858564274E-3"/>
          <c:y val="0.2513008530183726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044042937082687E-2"/>
          <c:y val="3.9336286089238837E-2"/>
          <c:w val="0.92622571069851745"/>
          <c:h val="0.54293029576836493"/>
        </c:manualLayout>
      </c:layout>
      <c:barChart>
        <c:barDir val="col"/>
        <c:grouping val="clustered"/>
        <c:varyColors val="0"/>
        <c:ser>
          <c:idx val="0"/>
          <c:order val="0"/>
          <c:tx>
            <c:strRef>
              <c:f>Asen!$D$24</c:f>
              <c:strCache>
                <c:ptCount val="1"/>
                <c:pt idx="0">
                  <c:v>2021</c:v>
                </c:pt>
              </c:strCache>
            </c:strRef>
          </c:tx>
          <c:spPr>
            <a:solidFill>
              <a:schemeClr val="accent1"/>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Asen!$D$25:$D$47</c:f>
              <c:numCache>
                <c:formatCode>General</c:formatCode>
                <c:ptCount val="23"/>
                <c:pt idx="0">
                  <c:v>8.4999999999999989E-3</c:v>
                </c:pt>
                <c:pt idx="1">
                  <c:v>3.0000000000000001E-3</c:v>
                </c:pt>
                <c:pt idx="2">
                  <c:v>9.2500000000000013E-3</c:v>
                </c:pt>
                <c:pt idx="3">
                  <c:v>9.2500000000000013E-3</c:v>
                </c:pt>
                <c:pt idx="4">
                  <c:v>3.0000000000000001E-3</c:v>
                </c:pt>
                <c:pt idx="5">
                  <c:v>1.75E-3</c:v>
                </c:pt>
                <c:pt idx="6">
                  <c:v>3.0000000000000001E-3</c:v>
                </c:pt>
                <c:pt idx="7">
                  <c:v>3.0000000000000001E-3</c:v>
                </c:pt>
                <c:pt idx="8">
                  <c:v>4.4250000000000005E-2</c:v>
                </c:pt>
                <c:pt idx="9">
                  <c:v>3.0000000000000001E-3</c:v>
                </c:pt>
                <c:pt idx="10">
                  <c:v>3.2500000000000003E-3</c:v>
                </c:pt>
                <c:pt idx="11">
                  <c:v>3.0000000000000001E-3</c:v>
                </c:pt>
                <c:pt idx="12">
                  <c:v>2.7499999999999998E-3</c:v>
                </c:pt>
                <c:pt idx="13">
                  <c:v>4.7499999999999999E-3</c:v>
                </c:pt>
                <c:pt idx="14">
                  <c:v>7.5000000000000002E-4</c:v>
                </c:pt>
                <c:pt idx="15">
                  <c:v>3.0000000000000001E-3</c:v>
                </c:pt>
                <c:pt idx="16">
                  <c:v>3.0000000000000001E-3</c:v>
                </c:pt>
                <c:pt idx="17">
                  <c:v>3.0000000000000001E-3</c:v>
                </c:pt>
                <c:pt idx="18">
                  <c:v>7.5000000000000002E-4</c:v>
                </c:pt>
                <c:pt idx="19">
                  <c:v>3.0000000000000001E-3</c:v>
                </c:pt>
                <c:pt idx="20">
                  <c:v>7.5000000000000002E-4</c:v>
                </c:pt>
                <c:pt idx="21">
                  <c:v>1.25E-3</c:v>
                </c:pt>
                <c:pt idx="22">
                  <c:v>2.325E-2</c:v>
                </c:pt>
              </c:numCache>
            </c:numRef>
          </c:val>
          <c:extLst>
            <c:ext xmlns:c16="http://schemas.microsoft.com/office/drawing/2014/chart" uri="{C3380CC4-5D6E-409C-BE32-E72D297353CC}">
              <c16:uniqueId val="{00000000-E6DC-4358-866E-3D059251C225}"/>
            </c:ext>
          </c:extLst>
        </c:ser>
        <c:ser>
          <c:idx val="1"/>
          <c:order val="1"/>
          <c:tx>
            <c:strRef>
              <c:f>Asen!$E$24</c:f>
              <c:strCache>
                <c:ptCount val="1"/>
                <c:pt idx="0">
                  <c:v>2022</c:v>
                </c:pt>
              </c:strCache>
            </c:strRef>
          </c:tx>
          <c:spPr>
            <a:solidFill>
              <a:schemeClr val="accent2"/>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Asen!$E$25:$E$47</c:f>
              <c:numCache>
                <c:formatCode>General</c:formatCode>
                <c:ptCount val="23"/>
                <c:pt idx="0">
                  <c:v>4.1250000000000002E-3</c:v>
                </c:pt>
                <c:pt idx="1">
                  <c:v>3.65E-3</c:v>
                </c:pt>
                <c:pt idx="2">
                  <c:v>7.9749999999999995E-3</c:v>
                </c:pt>
                <c:pt idx="3">
                  <c:v>4.0249999999999999E-3</c:v>
                </c:pt>
                <c:pt idx="4">
                  <c:v>4.3250000000000007E-3</c:v>
                </c:pt>
                <c:pt idx="5">
                  <c:v>3.225E-3</c:v>
                </c:pt>
                <c:pt idx="6">
                  <c:v>2.9749999999999998E-3</c:v>
                </c:pt>
                <c:pt idx="7">
                  <c:v>3.0499999999999998E-3</c:v>
                </c:pt>
                <c:pt idx="8">
                  <c:v>6.0000000000000006E-4</c:v>
                </c:pt>
                <c:pt idx="9">
                  <c:v>2.9750000000000002E-3</c:v>
                </c:pt>
                <c:pt idx="10">
                  <c:v>3.3500000000000001E-3</c:v>
                </c:pt>
                <c:pt idx="11">
                  <c:v>3.4749999999999998E-3</c:v>
                </c:pt>
                <c:pt idx="12">
                  <c:v>4.15E-3</c:v>
                </c:pt>
                <c:pt idx="13">
                  <c:v>3.8499999999999997E-3</c:v>
                </c:pt>
                <c:pt idx="14">
                  <c:v>2.5249999999999999E-3</c:v>
                </c:pt>
                <c:pt idx="15">
                  <c:v>2.875E-3</c:v>
                </c:pt>
                <c:pt idx="16">
                  <c:v>2.0249999999999999E-3</c:v>
                </c:pt>
                <c:pt idx="17">
                  <c:v>3.0499999999999998E-3</c:v>
                </c:pt>
                <c:pt idx="18">
                  <c:v>4.5750000000000001E-3</c:v>
                </c:pt>
                <c:pt idx="19">
                  <c:v>3.65E-3</c:v>
                </c:pt>
                <c:pt idx="20">
                  <c:v>3.0249999999999999E-3</c:v>
                </c:pt>
                <c:pt idx="21">
                  <c:v>3.9499999999999995E-3</c:v>
                </c:pt>
                <c:pt idx="22">
                  <c:v>2.8999999999999998E-2</c:v>
                </c:pt>
              </c:numCache>
            </c:numRef>
          </c:val>
          <c:extLst>
            <c:ext xmlns:c16="http://schemas.microsoft.com/office/drawing/2014/chart" uri="{C3380CC4-5D6E-409C-BE32-E72D297353CC}">
              <c16:uniqueId val="{00000001-E6DC-4358-866E-3D059251C225}"/>
            </c:ext>
          </c:extLst>
        </c:ser>
        <c:ser>
          <c:idx val="2"/>
          <c:order val="2"/>
          <c:tx>
            <c:strRef>
              <c:f>Asen!$F$24</c:f>
              <c:strCache>
                <c:ptCount val="1"/>
                <c:pt idx="0">
                  <c:v>2023</c:v>
                </c:pt>
              </c:strCache>
            </c:strRef>
          </c:tx>
          <c:spPr>
            <a:solidFill>
              <a:schemeClr val="accent3"/>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Asen!$F$25:$F$47</c:f>
              <c:numCache>
                <c:formatCode>General</c:formatCode>
                <c:ptCount val="23"/>
                <c:pt idx="0">
                  <c:v>1.8749999999999999E-3</c:v>
                </c:pt>
                <c:pt idx="1">
                  <c:v>1.2999999999999999E-3</c:v>
                </c:pt>
                <c:pt idx="2">
                  <c:v>9.4249999999999994E-3</c:v>
                </c:pt>
                <c:pt idx="3">
                  <c:v>4.5750000000000001E-3</c:v>
                </c:pt>
                <c:pt idx="4">
                  <c:v>3.8999999999999998E-3</c:v>
                </c:pt>
                <c:pt idx="5">
                  <c:v>1.7000000000000001E-3</c:v>
                </c:pt>
                <c:pt idx="6">
                  <c:v>2.9749999999999998E-3</c:v>
                </c:pt>
                <c:pt idx="7">
                  <c:v>1.5249999999999999E-3</c:v>
                </c:pt>
                <c:pt idx="8">
                  <c:v>2.23E-2</c:v>
                </c:pt>
                <c:pt idx="9">
                  <c:v>8.4999999999999995E-4</c:v>
                </c:pt>
                <c:pt idx="10">
                  <c:v>5.0000000000000001E-4</c:v>
                </c:pt>
                <c:pt idx="11">
                  <c:v>2.65E-3</c:v>
                </c:pt>
                <c:pt idx="12">
                  <c:v>3.3E-3</c:v>
                </c:pt>
                <c:pt idx="13">
                  <c:v>3.225E-3</c:v>
                </c:pt>
                <c:pt idx="14">
                  <c:v>3.225E-3</c:v>
                </c:pt>
                <c:pt idx="15">
                  <c:v>9.4999999999999989E-4</c:v>
                </c:pt>
                <c:pt idx="16">
                  <c:v>1.9000000000000002E-3</c:v>
                </c:pt>
                <c:pt idx="17">
                  <c:v>1.5E-3</c:v>
                </c:pt>
                <c:pt idx="18">
                  <c:v>2.5500000000000002E-3</c:v>
                </c:pt>
                <c:pt idx="19">
                  <c:v>2.4250000000000001E-3</c:v>
                </c:pt>
                <c:pt idx="20">
                  <c:v>1.5E-3</c:v>
                </c:pt>
                <c:pt idx="21">
                  <c:v>1.0499999999999999E-3</c:v>
                </c:pt>
                <c:pt idx="22">
                  <c:v>1.5900000000000001E-2</c:v>
                </c:pt>
              </c:numCache>
            </c:numRef>
          </c:val>
          <c:extLst>
            <c:ext xmlns:c16="http://schemas.microsoft.com/office/drawing/2014/chart" uri="{C3380CC4-5D6E-409C-BE32-E72D297353CC}">
              <c16:uniqueId val="{00000002-E6DC-4358-866E-3D059251C225}"/>
            </c:ext>
          </c:extLst>
        </c:ser>
        <c:ser>
          <c:idx val="3"/>
          <c:order val="3"/>
          <c:tx>
            <c:strRef>
              <c:f>Asen!$G$24</c:f>
              <c:strCache>
                <c:ptCount val="1"/>
                <c:pt idx="0">
                  <c:v>2024</c:v>
                </c:pt>
              </c:strCache>
            </c:strRef>
          </c:tx>
          <c:spPr>
            <a:solidFill>
              <a:schemeClr val="accent4"/>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Asen!$G$25:$G$47</c:f>
              <c:numCache>
                <c:formatCode>General</c:formatCode>
                <c:ptCount val="23"/>
                <c:pt idx="0">
                  <c:v>6.9000000000000008E-4</c:v>
                </c:pt>
                <c:pt idx="1">
                  <c:v>5.2499999999999997E-4</c:v>
                </c:pt>
                <c:pt idx="2">
                  <c:v>1.02375E-2</c:v>
                </c:pt>
                <c:pt idx="3">
                  <c:v>6.0499999999999998E-3</c:v>
                </c:pt>
                <c:pt idx="4">
                  <c:v>3.0000000000000001E-3</c:v>
                </c:pt>
                <c:pt idx="5">
                  <c:v>2.2499999999999999E-4</c:v>
                </c:pt>
                <c:pt idx="6">
                  <c:v>2.5999999999999999E-3</c:v>
                </c:pt>
                <c:pt idx="7">
                  <c:v>3.0000000000000001E-3</c:v>
                </c:pt>
                <c:pt idx="8">
                  <c:v>2.7824999999999999E-2</c:v>
                </c:pt>
                <c:pt idx="9">
                  <c:v>3.0000000000000001E-3</c:v>
                </c:pt>
                <c:pt idx="10">
                  <c:v>2.2499999999999999E-4</c:v>
                </c:pt>
                <c:pt idx="11">
                  <c:v>3.0000000000000001E-3</c:v>
                </c:pt>
                <c:pt idx="12">
                  <c:v>3.0000000000000001E-3</c:v>
                </c:pt>
                <c:pt idx="13">
                  <c:v>5.0000000000000001E-3</c:v>
                </c:pt>
                <c:pt idx="14">
                  <c:v>9.1E-4</c:v>
                </c:pt>
                <c:pt idx="15">
                  <c:v>3.0000000000000001E-3</c:v>
                </c:pt>
                <c:pt idx="16">
                  <c:v>3.0000000000000001E-3</c:v>
                </c:pt>
                <c:pt idx="17">
                  <c:v>3.0000000000000001E-3</c:v>
                </c:pt>
                <c:pt idx="18">
                  <c:v>2.9999999999999997E-4</c:v>
                </c:pt>
                <c:pt idx="19">
                  <c:v>2.5000000000000001E-4</c:v>
                </c:pt>
                <c:pt idx="20">
                  <c:v>2.5000000000000001E-4</c:v>
                </c:pt>
                <c:pt idx="21">
                  <c:v>3.0000000000000001E-3</c:v>
                </c:pt>
                <c:pt idx="22">
                  <c:v>6.5249999999999996E-3</c:v>
                </c:pt>
              </c:numCache>
            </c:numRef>
          </c:val>
          <c:extLst>
            <c:ext xmlns:c16="http://schemas.microsoft.com/office/drawing/2014/chart" uri="{C3380CC4-5D6E-409C-BE32-E72D297353CC}">
              <c16:uniqueId val="{00000003-E6DC-4358-866E-3D059251C225}"/>
            </c:ext>
          </c:extLst>
        </c:ser>
        <c:ser>
          <c:idx val="4"/>
          <c:order val="4"/>
          <c:tx>
            <c:strRef>
              <c:f>Asen!$H$24</c:f>
              <c:strCache>
                <c:ptCount val="1"/>
                <c:pt idx="0">
                  <c:v>2025</c:v>
                </c:pt>
              </c:strCache>
            </c:strRef>
          </c:tx>
          <c:spPr>
            <a:solidFill>
              <a:schemeClr val="accent5"/>
            </a:solidFill>
            <a:ln>
              <a:noFill/>
            </a:ln>
            <a:effectLst/>
          </c:spPr>
          <c:invertIfNegative val="0"/>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Asen!$H$25:$H$47</c:f>
              <c:numCache>
                <c:formatCode>General</c:formatCode>
                <c:ptCount val="23"/>
                <c:pt idx="0">
                  <c:v>1.9E-3</c:v>
                </c:pt>
                <c:pt idx="1">
                  <c:v>2.0999999999999999E-3</c:v>
                </c:pt>
                <c:pt idx="2">
                  <c:v>2.3E-3</c:v>
                </c:pt>
                <c:pt idx="3">
                  <c:v>0.01</c:v>
                </c:pt>
                <c:pt idx="4">
                  <c:v>6.9999999999999999E-4</c:v>
                </c:pt>
                <c:pt idx="5">
                  <c:v>1.1000000000000001E-3</c:v>
                </c:pt>
                <c:pt idx="6">
                  <c:v>2.5999999999999999E-3</c:v>
                </c:pt>
                <c:pt idx="7">
                  <c:v>6.9999999999999999E-4</c:v>
                </c:pt>
                <c:pt idx="8">
                  <c:v>0.01</c:v>
                </c:pt>
                <c:pt idx="9">
                  <c:v>6.9999999999999999E-4</c:v>
                </c:pt>
                <c:pt idx="10">
                  <c:v>6.9999999999999999E-4</c:v>
                </c:pt>
                <c:pt idx="11">
                  <c:v>6.9999999999999999E-4</c:v>
                </c:pt>
                <c:pt idx="12">
                  <c:v>6.9999999999999999E-4</c:v>
                </c:pt>
                <c:pt idx="13">
                  <c:v>3.5999999999999999E-3</c:v>
                </c:pt>
                <c:pt idx="14">
                  <c:v>2.5999999999999999E-3</c:v>
                </c:pt>
                <c:pt idx="15">
                  <c:v>6.9999999999999999E-4</c:v>
                </c:pt>
                <c:pt idx="16">
                  <c:v>6.9999999999999999E-4</c:v>
                </c:pt>
                <c:pt idx="17">
                  <c:v>6.9999999999999999E-4</c:v>
                </c:pt>
                <c:pt idx="18">
                  <c:v>6.9999999999999999E-4</c:v>
                </c:pt>
                <c:pt idx="19">
                  <c:v>6.9999999999999999E-4</c:v>
                </c:pt>
                <c:pt idx="20">
                  <c:v>6.9999999999999999E-4</c:v>
                </c:pt>
                <c:pt idx="21">
                  <c:v>6.9999999999999999E-4</c:v>
                </c:pt>
                <c:pt idx="22">
                  <c:v>6.8999999999999999E-3</c:v>
                </c:pt>
              </c:numCache>
            </c:numRef>
          </c:val>
          <c:extLst>
            <c:ext xmlns:c16="http://schemas.microsoft.com/office/drawing/2014/chart" uri="{C3380CC4-5D6E-409C-BE32-E72D297353CC}">
              <c16:uniqueId val="{00000004-E6DC-4358-866E-3D059251C225}"/>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Asen!$I$24</c:f>
              <c:strCache>
                <c:ptCount val="1"/>
                <c:pt idx="0">
                  <c:v>Quy chuẩn đánh giá </c:v>
                </c:pt>
              </c:strCache>
            </c:strRef>
          </c:tx>
          <c:spPr>
            <a:ln w="22225" cap="rnd">
              <a:solidFill>
                <a:schemeClr val="accent6"/>
              </a:solidFill>
              <a:round/>
            </a:ln>
            <a:effectLst/>
          </c:spPr>
          <c:marker>
            <c:symbol val="none"/>
          </c:marker>
          <c:cat>
            <c:strRef>
              <c:f>Asen!$C$25:$C$47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Asen!$I$25:$I$47</c:f>
              <c:numCache>
                <c:formatCode>General</c:formatCode>
                <c:ptCount val="23"/>
                <c:pt idx="0">
                  <c:v>0.05</c:v>
                </c:pt>
                <c:pt idx="1">
                  <c:v>0.05</c:v>
                </c:pt>
                <c:pt idx="2">
                  <c:v>0.05</c:v>
                </c:pt>
                <c:pt idx="3">
                  <c:v>0.05</c:v>
                </c:pt>
                <c:pt idx="4">
                  <c:v>0.05</c:v>
                </c:pt>
                <c:pt idx="5">
                  <c:v>0.05</c:v>
                </c:pt>
                <c:pt idx="6">
                  <c:v>0.05</c:v>
                </c:pt>
                <c:pt idx="7">
                  <c:v>0.05</c:v>
                </c:pt>
                <c:pt idx="8">
                  <c:v>0.05</c:v>
                </c:pt>
                <c:pt idx="9">
                  <c:v>0.05</c:v>
                </c:pt>
                <c:pt idx="10">
                  <c:v>0.05</c:v>
                </c:pt>
                <c:pt idx="11">
                  <c:v>0.05</c:v>
                </c:pt>
                <c:pt idx="12">
                  <c:v>0.05</c:v>
                </c:pt>
                <c:pt idx="13">
                  <c:v>0.05</c:v>
                </c:pt>
                <c:pt idx="14">
                  <c:v>0.05</c:v>
                </c:pt>
                <c:pt idx="15">
                  <c:v>0.05</c:v>
                </c:pt>
                <c:pt idx="16">
                  <c:v>0.05</c:v>
                </c:pt>
                <c:pt idx="17">
                  <c:v>0.05</c:v>
                </c:pt>
                <c:pt idx="18">
                  <c:v>0.05</c:v>
                </c:pt>
                <c:pt idx="19">
                  <c:v>0.05</c:v>
                </c:pt>
                <c:pt idx="20">
                  <c:v>0.05</c:v>
                </c:pt>
                <c:pt idx="21">
                  <c:v>0.05</c:v>
                </c:pt>
                <c:pt idx="22">
                  <c:v>0.05</c:v>
                </c:pt>
              </c:numCache>
            </c:numRef>
          </c:val>
          <c:smooth val="0"/>
          <c:extLst>
            <c:ext xmlns:c16="http://schemas.microsoft.com/office/drawing/2014/chart" uri="{C3380CC4-5D6E-409C-BE32-E72D297353CC}">
              <c16:uniqueId val="{00000005-E6DC-4358-866E-3D059251C225}"/>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6.0000000000000012E-2"/>
        </c:scaling>
        <c:delete val="0"/>
        <c:axPos val="l"/>
        <c:majorGridlines>
          <c:spPr>
            <a:ln w="9525" cap="flat" cmpd="sng" algn="ctr">
              <a:solidFill>
                <a:schemeClr val="dk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00000000000002E-2"/>
      </c:valAx>
      <c:spPr>
        <a:noFill/>
        <a:ln>
          <a:noFill/>
        </a:ln>
        <a:effectLst/>
      </c:spPr>
    </c:plotArea>
    <c:legend>
      <c:legendPos val="b"/>
      <c:layout>
        <c:manualLayout>
          <c:xMode val="edge"/>
          <c:yMode val="edge"/>
          <c:x val="0.23824282788305104"/>
          <c:y val="0.88998620231759551"/>
          <c:w val="0.52351423337130376"/>
          <c:h val="8.893342877594846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1706359177012985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7055859324223033E-2"/>
          <c:y val="2.4411198600174978E-2"/>
          <c:w val="0.92055535734534755"/>
          <c:h val="0.58646299212598429"/>
        </c:manualLayout>
      </c:layout>
      <c:barChart>
        <c:barDir val="col"/>
        <c:grouping val="clustered"/>
        <c:varyColors val="0"/>
        <c:ser>
          <c:idx val="0"/>
          <c:order val="0"/>
          <c:tx>
            <c:strRef>
              <c:f>Clorua!$D$24</c:f>
              <c:strCache>
                <c:ptCount val="1"/>
                <c:pt idx="0">
                  <c:v>2021</c:v>
                </c:pt>
              </c:strCache>
            </c:strRef>
          </c:tx>
          <c:spPr>
            <a:solidFill>
              <a:schemeClr val="accent1"/>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Clorua!$D$25:$D$47</c:f>
              <c:numCache>
                <c:formatCode>General</c:formatCode>
                <c:ptCount val="23"/>
                <c:pt idx="0">
                  <c:v>270.5</c:v>
                </c:pt>
                <c:pt idx="1">
                  <c:v>19</c:v>
                </c:pt>
                <c:pt idx="2">
                  <c:v>147.25</c:v>
                </c:pt>
                <c:pt idx="3">
                  <c:v>739</c:v>
                </c:pt>
                <c:pt idx="4">
                  <c:v>52</c:v>
                </c:pt>
                <c:pt idx="5">
                  <c:v>10</c:v>
                </c:pt>
                <c:pt idx="6">
                  <c:v>37.25</c:v>
                </c:pt>
                <c:pt idx="7">
                  <c:v>7</c:v>
                </c:pt>
                <c:pt idx="8">
                  <c:v>12.75</c:v>
                </c:pt>
                <c:pt idx="9">
                  <c:v>10</c:v>
                </c:pt>
                <c:pt idx="10">
                  <c:v>56.5</c:v>
                </c:pt>
                <c:pt idx="11">
                  <c:v>3018</c:v>
                </c:pt>
                <c:pt idx="12">
                  <c:v>4.5</c:v>
                </c:pt>
                <c:pt idx="13">
                  <c:v>24.75</c:v>
                </c:pt>
                <c:pt idx="14">
                  <c:v>10.25</c:v>
                </c:pt>
                <c:pt idx="15">
                  <c:v>23</c:v>
                </c:pt>
                <c:pt idx="16">
                  <c:v>8</c:v>
                </c:pt>
                <c:pt idx="17">
                  <c:v>22.5</c:v>
                </c:pt>
                <c:pt idx="18">
                  <c:v>7.25</c:v>
                </c:pt>
                <c:pt idx="19">
                  <c:v>16.25</c:v>
                </c:pt>
                <c:pt idx="20">
                  <c:v>13.5</c:v>
                </c:pt>
                <c:pt idx="21">
                  <c:v>24.75</c:v>
                </c:pt>
                <c:pt idx="22">
                  <c:v>176</c:v>
                </c:pt>
              </c:numCache>
            </c:numRef>
          </c:val>
          <c:extLst>
            <c:ext xmlns:c16="http://schemas.microsoft.com/office/drawing/2014/chart" uri="{C3380CC4-5D6E-409C-BE32-E72D297353CC}">
              <c16:uniqueId val="{00000000-BCB5-4BF5-8810-436FC456FBDA}"/>
            </c:ext>
          </c:extLst>
        </c:ser>
        <c:ser>
          <c:idx val="1"/>
          <c:order val="1"/>
          <c:tx>
            <c:strRef>
              <c:f>Clorua!$E$24</c:f>
              <c:strCache>
                <c:ptCount val="1"/>
                <c:pt idx="0">
                  <c:v>2022</c:v>
                </c:pt>
              </c:strCache>
            </c:strRef>
          </c:tx>
          <c:spPr>
            <a:solidFill>
              <a:schemeClr val="accent2"/>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Clorua!$E$25:$E$47</c:f>
              <c:numCache>
                <c:formatCode>General</c:formatCode>
                <c:ptCount val="23"/>
                <c:pt idx="0">
                  <c:v>56.15</c:v>
                </c:pt>
                <c:pt idx="1">
                  <c:v>28.5</c:v>
                </c:pt>
                <c:pt idx="2">
                  <c:v>167.5</c:v>
                </c:pt>
                <c:pt idx="3">
                  <c:v>916.25</c:v>
                </c:pt>
                <c:pt idx="4">
                  <c:v>41.5</c:v>
                </c:pt>
                <c:pt idx="5">
                  <c:v>5.3</c:v>
                </c:pt>
                <c:pt idx="6">
                  <c:v>37.5</c:v>
                </c:pt>
                <c:pt idx="7">
                  <c:v>4.6749999999999998</c:v>
                </c:pt>
                <c:pt idx="8">
                  <c:v>6.875</c:v>
                </c:pt>
                <c:pt idx="9">
                  <c:v>6.4499999999999993</c:v>
                </c:pt>
                <c:pt idx="10">
                  <c:v>34.75</c:v>
                </c:pt>
                <c:pt idx="11">
                  <c:v>1269.5</c:v>
                </c:pt>
                <c:pt idx="12">
                  <c:v>5.0250000000000004</c:v>
                </c:pt>
                <c:pt idx="13">
                  <c:v>26</c:v>
                </c:pt>
                <c:pt idx="14">
                  <c:v>11.524999999999999</c:v>
                </c:pt>
                <c:pt idx="15">
                  <c:v>16.5</c:v>
                </c:pt>
                <c:pt idx="16">
                  <c:v>8.2250000000000014</c:v>
                </c:pt>
                <c:pt idx="17">
                  <c:v>38.5</c:v>
                </c:pt>
                <c:pt idx="18">
                  <c:v>12.95</c:v>
                </c:pt>
                <c:pt idx="19">
                  <c:v>20</c:v>
                </c:pt>
                <c:pt idx="20">
                  <c:v>13.925000000000001</c:v>
                </c:pt>
                <c:pt idx="21">
                  <c:v>23</c:v>
                </c:pt>
                <c:pt idx="22">
                  <c:v>91.75</c:v>
                </c:pt>
              </c:numCache>
            </c:numRef>
          </c:val>
          <c:extLst>
            <c:ext xmlns:c16="http://schemas.microsoft.com/office/drawing/2014/chart" uri="{C3380CC4-5D6E-409C-BE32-E72D297353CC}">
              <c16:uniqueId val="{00000001-BCB5-4BF5-8810-436FC456FBDA}"/>
            </c:ext>
          </c:extLst>
        </c:ser>
        <c:ser>
          <c:idx val="2"/>
          <c:order val="2"/>
          <c:tx>
            <c:strRef>
              <c:f>Clorua!$F$24</c:f>
              <c:strCache>
                <c:ptCount val="1"/>
                <c:pt idx="0">
                  <c:v>2023</c:v>
                </c:pt>
              </c:strCache>
            </c:strRef>
          </c:tx>
          <c:spPr>
            <a:solidFill>
              <a:schemeClr val="accent3"/>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Clorua!$F$25:$F$47</c:f>
              <c:numCache>
                <c:formatCode>General</c:formatCode>
                <c:ptCount val="23"/>
                <c:pt idx="0">
                  <c:v>160.5975</c:v>
                </c:pt>
                <c:pt idx="1">
                  <c:v>69.849999999999994</c:v>
                </c:pt>
                <c:pt idx="2">
                  <c:v>142.5</c:v>
                </c:pt>
                <c:pt idx="3">
                  <c:v>700.82500000000005</c:v>
                </c:pt>
                <c:pt idx="4">
                  <c:v>22.7</c:v>
                </c:pt>
                <c:pt idx="5">
                  <c:v>8.3000000000000007</c:v>
                </c:pt>
                <c:pt idx="6">
                  <c:v>54.475000000000001</c:v>
                </c:pt>
                <c:pt idx="7">
                  <c:v>5.7949999999999999</c:v>
                </c:pt>
                <c:pt idx="8">
                  <c:v>9.4250000000000007</c:v>
                </c:pt>
                <c:pt idx="9">
                  <c:v>10.85</c:v>
                </c:pt>
                <c:pt idx="10">
                  <c:v>25.075000000000003</c:v>
                </c:pt>
                <c:pt idx="11">
                  <c:v>712.22500000000002</c:v>
                </c:pt>
                <c:pt idx="12">
                  <c:v>5.5374999999999996</c:v>
                </c:pt>
                <c:pt idx="13">
                  <c:v>24.55</c:v>
                </c:pt>
                <c:pt idx="14">
                  <c:v>9.85</c:v>
                </c:pt>
                <c:pt idx="15">
                  <c:v>12.947499999999998</c:v>
                </c:pt>
                <c:pt idx="16">
                  <c:v>8.64</c:v>
                </c:pt>
                <c:pt idx="17">
                  <c:v>8.125</c:v>
                </c:pt>
                <c:pt idx="18">
                  <c:v>16.125</c:v>
                </c:pt>
                <c:pt idx="19">
                  <c:v>16.73</c:v>
                </c:pt>
                <c:pt idx="20">
                  <c:v>49.65</c:v>
                </c:pt>
                <c:pt idx="21">
                  <c:v>17.375</c:v>
                </c:pt>
                <c:pt idx="22">
                  <c:v>80.5</c:v>
                </c:pt>
              </c:numCache>
            </c:numRef>
          </c:val>
          <c:extLst>
            <c:ext xmlns:c16="http://schemas.microsoft.com/office/drawing/2014/chart" uri="{C3380CC4-5D6E-409C-BE32-E72D297353CC}">
              <c16:uniqueId val="{00000002-BCB5-4BF5-8810-436FC456FBDA}"/>
            </c:ext>
          </c:extLst>
        </c:ser>
        <c:ser>
          <c:idx val="3"/>
          <c:order val="3"/>
          <c:tx>
            <c:strRef>
              <c:f>Clorua!$G$24</c:f>
              <c:strCache>
                <c:ptCount val="1"/>
                <c:pt idx="0">
                  <c:v>2024</c:v>
                </c:pt>
              </c:strCache>
            </c:strRef>
          </c:tx>
          <c:spPr>
            <a:solidFill>
              <a:schemeClr val="accent4"/>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Clorua!$G$25:$G$47</c:f>
              <c:numCache>
                <c:formatCode>General</c:formatCode>
                <c:ptCount val="23"/>
                <c:pt idx="0">
                  <c:v>1009.425</c:v>
                </c:pt>
                <c:pt idx="1">
                  <c:v>43.6</c:v>
                </c:pt>
                <c:pt idx="2">
                  <c:v>145.99</c:v>
                </c:pt>
                <c:pt idx="3">
                  <c:v>42.15</c:v>
                </c:pt>
                <c:pt idx="4">
                  <c:v>35.274999999999999</c:v>
                </c:pt>
                <c:pt idx="5">
                  <c:v>18.772499999999997</c:v>
                </c:pt>
                <c:pt idx="6">
                  <c:v>39.5</c:v>
                </c:pt>
                <c:pt idx="7">
                  <c:v>11.16</c:v>
                </c:pt>
                <c:pt idx="8">
                  <c:v>8.6925000000000008</c:v>
                </c:pt>
                <c:pt idx="9">
                  <c:v>7.62</c:v>
                </c:pt>
                <c:pt idx="10">
                  <c:v>29.774999999999999</c:v>
                </c:pt>
                <c:pt idx="11">
                  <c:v>652</c:v>
                </c:pt>
                <c:pt idx="12">
                  <c:v>7.9625000000000004</c:v>
                </c:pt>
                <c:pt idx="13">
                  <c:v>35.825000000000003</c:v>
                </c:pt>
                <c:pt idx="14">
                  <c:v>22.324999999999996</c:v>
                </c:pt>
                <c:pt idx="15">
                  <c:v>14.55</c:v>
                </c:pt>
                <c:pt idx="16">
                  <c:v>8.8825000000000003</c:v>
                </c:pt>
                <c:pt idx="17">
                  <c:v>11.875</c:v>
                </c:pt>
                <c:pt idx="18">
                  <c:v>13.825000000000001</c:v>
                </c:pt>
                <c:pt idx="19">
                  <c:v>18.400000000000002</c:v>
                </c:pt>
                <c:pt idx="20">
                  <c:v>46.674999999999997</c:v>
                </c:pt>
                <c:pt idx="21">
                  <c:v>23.55</c:v>
                </c:pt>
                <c:pt idx="22">
                  <c:v>107.575</c:v>
                </c:pt>
              </c:numCache>
            </c:numRef>
          </c:val>
          <c:extLst>
            <c:ext xmlns:c16="http://schemas.microsoft.com/office/drawing/2014/chart" uri="{C3380CC4-5D6E-409C-BE32-E72D297353CC}">
              <c16:uniqueId val="{00000003-BCB5-4BF5-8810-436FC456FBDA}"/>
            </c:ext>
          </c:extLst>
        </c:ser>
        <c:ser>
          <c:idx val="4"/>
          <c:order val="4"/>
          <c:tx>
            <c:strRef>
              <c:f>Clorua!$H$24</c:f>
              <c:strCache>
                <c:ptCount val="1"/>
                <c:pt idx="0">
                  <c:v>2025</c:v>
                </c:pt>
              </c:strCache>
            </c:strRef>
          </c:tx>
          <c:spPr>
            <a:solidFill>
              <a:schemeClr val="accent5"/>
            </a:solidFill>
            <a:ln>
              <a:noFill/>
            </a:ln>
            <a:effectLst/>
          </c:spPr>
          <c:invertIfNegative val="0"/>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Clorua!$H$25:$H$47</c:f>
              <c:numCache>
                <c:formatCode>General</c:formatCode>
                <c:ptCount val="23"/>
                <c:pt idx="0">
                  <c:v>1417</c:v>
                </c:pt>
                <c:pt idx="1">
                  <c:v>19.100000000000001</c:v>
                </c:pt>
                <c:pt idx="2">
                  <c:v>26.2</c:v>
                </c:pt>
                <c:pt idx="3">
                  <c:v>36.9</c:v>
                </c:pt>
                <c:pt idx="4">
                  <c:v>38.299999999999997</c:v>
                </c:pt>
                <c:pt idx="5">
                  <c:v>5.67</c:v>
                </c:pt>
                <c:pt idx="6">
                  <c:v>24.1</c:v>
                </c:pt>
                <c:pt idx="7">
                  <c:v>3.54</c:v>
                </c:pt>
                <c:pt idx="8">
                  <c:v>14.9</c:v>
                </c:pt>
                <c:pt idx="9">
                  <c:v>8.5</c:v>
                </c:pt>
                <c:pt idx="10">
                  <c:v>34.700000000000003</c:v>
                </c:pt>
                <c:pt idx="11">
                  <c:v>220</c:v>
                </c:pt>
                <c:pt idx="12">
                  <c:v>40.4</c:v>
                </c:pt>
                <c:pt idx="13">
                  <c:v>31.2</c:v>
                </c:pt>
                <c:pt idx="14">
                  <c:v>15.6</c:v>
                </c:pt>
                <c:pt idx="15">
                  <c:v>7.8</c:v>
                </c:pt>
                <c:pt idx="16">
                  <c:v>9.2100000000000009</c:v>
                </c:pt>
                <c:pt idx="17">
                  <c:v>12.1</c:v>
                </c:pt>
                <c:pt idx="18">
                  <c:v>17.7</c:v>
                </c:pt>
                <c:pt idx="19">
                  <c:v>20.6</c:v>
                </c:pt>
                <c:pt idx="20">
                  <c:v>43.9</c:v>
                </c:pt>
                <c:pt idx="21">
                  <c:v>23.4</c:v>
                </c:pt>
                <c:pt idx="22">
                  <c:v>93.6</c:v>
                </c:pt>
              </c:numCache>
            </c:numRef>
          </c:val>
          <c:extLst>
            <c:ext xmlns:c16="http://schemas.microsoft.com/office/drawing/2014/chart" uri="{C3380CC4-5D6E-409C-BE32-E72D297353CC}">
              <c16:uniqueId val="{00000004-BCB5-4BF5-8810-436FC456FBDA}"/>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Clorua!$I$24</c:f>
              <c:strCache>
                <c:ptCount val="1"/>
                <c:pt idx="0">
                  <c:v>Quy chuẩn đánh giá </c:v>
                </c:pt>
              </c:strCache>
            </c:strRef>
          </c:tx>
          <c:spPr>
            <a:ln w="22225" cap="rnd">
              <a:solidFill>
                <a:schemeClr val="accent6"/>
              </a:solidFill>
              <a:round/>
            </a:ln>
            <a:effectLst/>
          </c:spPr>
          <c:marker>
            <c:symbol val="none"/>
          </c:marker>
          <c:cat>
            <c:strRef>
              <c:f>Clorua!$C$25:$C$47</c:f>
              <c:strCache>
                <c:ptCount val="23"/>
                <c:pt idx="0">
                  <c:v>Thôn Tiến Giang, P. Đồng Môn</c:v>
                </c:pt>
                <c:pt idx="1">
                  <c:v>Thôn Thống Nhất, xã Việt Tiến</c:v>
                </c:pt>
                <c:pt idx="2">
                  <c:v>Thôn Vĩnh Cát, xã Lưu Vĩnh Sơn</c:v>
                </c:pt>
                <c:pt idx="3">
                  <c:v>Thôn Trung Hải, xã Thiên Lộc</c:v>
                </c:pt>
                <c:pt idx="4">
                  <c:v>TDP Thượng Liên, TT. Đồng Lộc</c:v>
                </c:pt>
                <c:pt idx="5">
                  <c:v>Thôn Hồng Sơn, xã Phú Lộc</c:v>
                </c:pt>
                <c:pt idx="6">
                  <c:v>TDP Tiên Sơn, P. Trung Lương</c:v>
                </c:pt>
                <c:pt idx="7">
                  <c:v>TDP 4, P. Nam Hồng</c:v>
                </c:pt>
                <c:pt idx="8">
                  <c:v>Thôn Địa Châu, xã Tùng Châu</c:v>
                </c:pt>
                <c:pt idx="9">
                  <c:v>Thôn Đông Xá, xã Tùng Châu</c:v>
                </c:pt>
                <c:pt idx="10">
                  <c:v>Thôn Mỹ Lộc, xã Xuân Viên</c:v>
                </c:pt>
                <c:pt idx="11">
                  <c:v>Thôn Tân Quý, xã Hộ Độ</c:v>
                </c:pt>
                <c:pt idx="12">
                  <c:v>Thôn Thượng Phú, xã Hồng Lộc</c:v>
                </c:pt>
                <c:pt idx="13">
                  <c:v>Thôn 8, xã Cẩm Vịnh</c:v>
                </c:pt>
                <c:pt idx="14">
                  <c:v>Thôn Lạc Thọ, xã Cẩm Lạc</c:v>
                </c:pt>
                <c:pt idx="15">
                  <c:v>TDP Nhân Thắng, P. Kỳ Phương</c:v>
                </c:pt>
                <c:pt idx="16">
                  <c:v>TDP Tân Long, P. Kỳ Long</c:v>
                </c:pt>
                <c:pt idx="17">
                  <c:v>TDP Quyền Thượng, P Kỳ Trinh</c:v>
                </c:pt>
                <c:pt idx="18">
                  <c:v>TDP Độ Gỗ, P. Kỳ Thịnh</c:v>
                </c:pt>
                <c:pt idx="19">
                  <c:v>TDP Long Sơn, P. Kỳ Long</c:v>
                </c:pt>
                <c:pt idx="20">
                  <c:v>KCN Vũng Áng 1, P. Kỳ Thịnh</c:v>
                </c:pt>
                <c:pt idx="21">
                  <c:v>TDP Thắng lợi, P. Kỳ Phương</c:v>
                </c:pt>
                <c:pt idx="22">
                  <c:v>TDP Quyền Hành, P Kỳ Trinh</c:v>
                </c:pt>
              </c:strCache>
            </c:strRef>
          </c:cat>
          <c:val>
            <c:numRef>
              <c:f>Clorua!$I$25:$I$47</c:f>
              <c:numCache>
                <c:formatCode>General</c:formatCode>
                <c:ptCount val="23"/>
                <c:pt idx="0">
                  <c:v>250</c:v>
                </c:pt>
                <c:pt idx="1">
                  <c:v>250</c:v>
                </c:pt>
                <c:pt idx="2">
                  <c:v>250</c:v>
                </c:pt>
                <c:pt idx="3">
                  <c:v>250</c:v>
                </c:pt>
                <c:pt idx="4">
                  <c:v>250</c:v>
                </c:pt>
                <c:pt idx="5">
                  <c:v>250</c:v>
                </c:pt>
                <c:pt idx="6">
                  <c:v>250</c:v>
                </c:pt>
                <c:pt idx="7">
                  <c:v>250</c:v>
                </c:pt>
                <c:pt idx="8">
                  <c:v>250</c:v>
                </c:pt>
                <c:pt idx="9">
                  <c:v>250</c:v>
                </c:pt>
                <c:pt idx="10">
                  <c:v>250</c:v>
                </c:pt>
                <c:pt idx="11">
                  <c:v>250</c:v>
                </c:pt>
                <c:pt idx="12">
                  <c:v>250</c:v>
                </c:pt>
                <c:pt idx="13">
                  <c:v>250</c:v>
                </c:pt>
                <c:pt idx="14">
                  <c:v>250</c:v>
                </c:pt>
                <c:pt idx="15">
                  <c:v>250</c:v>
                </c:pt>
                <c:pt idx="16">
                  <c:v>250</c:v>
                </c:pt>
                <c:pt idx="17">
                  <c:v>250</c:v>
                </c:pt>
                <c:pt idx="18">
                  <c:v>250</c:v>
                </c:pt>
                <c:pt idx="19">
                  <c:v>250</c:v>
                </c:pt>
                <c:pt idx="20">
                  <c:v>250</c:v>
                </c:pt>
                <c:pt idx="21">
                  <c:v>250</c:v>
                </c:pt>
                <c:pt idx="22">
                  <c:v>250</c:v>
                </c:pt>
              </c:numCache>
            </c:numRef>
          </c:val>
          <c:smooth val="0"/>
          <c:extLst>
            <c:ext xmlns:c16="http://schemas.microsoft.com/office/drawing/2014/chart" uri="{C3380CC4-5D6E-409C-BE32-E72D297353CC}">
              <c16:uniqueId val="{00000005-BCB5-4BF5-8810-436FC456FBDA}"/>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2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6794964169051E-4"/>
          <c:y val="0.3054673978453119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7545738361652159E-2"/>
          <c:y val="4.0604548391023058E-2"/>
          <c:w val="0.93399640834369391"/>
          <c:h val="0.62625483348469668"/>
        </c:manualLayout>
      </c:layout>
      <c:barChart>
        <c:barDir val="col"/>
        <c:grouping val="clustered"/>
        <c:varyColors val="0"/>
        <c:ser>
          <c:idx val="0"/>
          <c:order val="0"/>
          <c:tx>
            <c:strRef>
              <c:f>pH!$E$48</c:f>
              <c:strCache>
                <c:ptCount val="1"/>
                <c:pt idx="0">
                  <c:v>2021</c:v>
                </c:pt>
              </c:strCache>
            </c:strRef>
          </c:tx>
          <c:spPr>
            <a:solidFill>
              <a:schemeClr val="accent1"/>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pH!$E$49:$E$56</c:f>
              <c:numCache>
                <c:formatCode>0.00</c:formatCode>
                <c:ptCount val="8"/>
                <c:pt idx="0">
                  <c:v>5.8249999999999993</c:v>
                </c:pt>
                <c:pt idx="1">
                  <c:v>5.0750000000000002</c:v>
                </c:pt>
                <c:pt idx="2">
                  <c:v>5.9249999999999989</c:v>
                </c:pt>
                <c:pt idx="3">
                  <c:v>5.2749999999999995</c:v>
                </c:pt>
                <c:pt idx="4">
                  <c:v>5.6</c:v>
                </c:pt>
                <c:pt idx="5">
                  <c:v>5.6925000000000008</c:v>
                </c:pt>
                <c:pt idx="6">
                  <c:v>7.15</c:v>
                </c:pt>
                <c:pt idx="7">
                  <c:v>4.8250000000000002</c:v>
                </c:pt>
              </c:numCache>
            </c:numRef>
          </c:val>
          <c:extLst>
            <c:ext xmlns:c16="http://schemas.microsoft.com/office/drawing/2014/chart" uri="{C3380CC4-5D6E-409C-BE32-E72D297353CC}">
              <c16:uniqueId val="{00000000-E781-4895-AFBD-90AE84905553}"/>
            </c:ext>
          </c:extLst>
        </c:ser>
        <c:ser>
          <c:idx val="1"/>
          <c:order val="1"/>
          <c:tx>
            <c:strRef>
              <c:f>pH!$F$48</c:f>
              <c:strCache>
                <c:ptCount val="1"/>
                <c:pt idx="0">
                  <c:v>2022</c:v>
                </c:pt>
              </c:strCache>
            </c:strRef>
          </c:tx>
          <c:spPr>
            <a:solidFill>
              <a:schemeClr val="accent2"/>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pH!$F$49:$F$56</c:f>
              <c:numCache>
                <c:formatCode>0.00</c:formatCode>
                <c:ptCount val="8"/>
                <c:pt idx="0">
                  <c:v>5.85</c:v>
                </c:pt>
                <c:pt idx="1">
                  <c:v>5.6999999999999993</c:v>
                </c:pt>
                <c:pt idx="2">
                  <c:v>5.9749999999999996</c:v>
                </c:pt>
                <c:pt idx="3">
                  <c:v>6.0250000000000004</c:v>
                </c:pt>
                <c:pt idx="4">
                  <c:v>6.0250000000000004</c:v>
                </c:pt>
                <c:pt idx="5">
                  <c:v>5.9</c:v>
                </c:pt>
                <c:pt idx="6">
                  <c:v>6.6</c:v>
                </c:pt>
                <c:pt idx="7">
                  <c:v>6.05</c:v>
                </c:pt>
              </c:numCache>
            </c:numRef>
          </c:val>
          <c:extLst>
            <c:ext xmlns:c16="http://schemas.microsoft.com/office/drawing/2014/chart" uri="{C3380CC4-5D6E-409C-BE32-E72D297353CC}">
              <c16:uniqueId val="{00000001-E781-4895-AFBD-90AE84905553}"/>
            </c:ext>
          </c:extLst>
        </c:ser>
        <c:ser>
          <c:idx val="2"/>
          <c:order val="2"/>
          <c:tx>
            <c:strRef>
              <c:f>pH!$G$48</c:f>
              <c:strCache>
                <c:ptCount val="1"/>
                <c:pt idx="0">
                  <c:v>2023</c:v>
                </c:pt>
              </c:strCache>
            </c:strRef>
          </c:tx>
          <c:spPr>
            <a:solidFill>
              <a:schemeClr val="accent3"/>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pH!$G$49:$G$56</c:f>
              <c:numCache>
                <c:formatCode>0.00</c:formatCode>
                <c:ptCount val="8"/>
                <c:pt idx="0">
                  <c:v>5.7</c:v>
                </c:pt>
                <c:pt idx="1">
                  <c:v>5.55</c:v>
                </c:pt>
                <c:pt idx="2">
                  <c:v>5.85</c:v>
                </c:pt>
                <c:pt idx="3">
                  <c:v>5.95</c:v>
                </c:pt>
                <c:pt idx="4">
                  <c:v>6.2249999999999996</c:v>
                </c:pt>
                <c:pt idx="5">
                  <c:v>6.0249999999999995</c:v>
                </c:pt>
                <c:pt idx="6">
                  <c:v>6.1750000000000007</c:v>
                </c:pt>
                <c:pt idx="7">
                  <c:v>6.5</c:v>
                </c:pt>
              </c:numCache>
            </c:numRef>
          </c:val>
          <c:extLst>
            <c:ext xmlns:c16="http://schemas.microsoft.com/office/drawing/2014/chart" uri="{C3380CC4-5D6E-409C-BE32-E72D297353CC}">
              <c16:uniqueId val="{00000002-E781-4895-AFBD-90AE84905553}"/>
            </c:ext>
          </c:extLst>
        </c:ser>
        <c:ser>
          <c:idx val="3"/>
          <c:order val="3"/>
          <c:tx>
            <c:strRef>
              <c:f>pH!$H$48</c:f>
              <c:strCache>
                <c:ptCount val="1"/>
                <c:pt idx="0">
                  <c:v>2024</c:v>
                </c:pt>
              </c:strCache>
            </c:strRef>
          </c:tx>
          <c:spPr>
            <a:solidFill>
              <a:schemeClr val="accent4"/>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pH!$H$49:$H$56</c:f>
              <c:numCache>
                <c:formatCode>0.00</c:formatCode>
                <c:ptCount val="8"/>
                <c:pt idx="0">
                  <c:v>5.7249999999999996</c:v>
                </c:pt>
                <c:pt idx="1">
                  <c:v>6.15</c:v>
                </c:pt>
                <c:pt idx="2">
                  <c:v>6.05</c:v>
                </c:pt>
                <c:pt idx="3">
                  <c:v>6.125</c:v>
                </c:pt>
                <c:pt idx="4">
                  <c:v>6.0750000000000002</c:v>
                </c:pt>
                <c:pt idx="5">
                  <c:v>6.25</c:v>
                </c:pt>
                <c:pt idx="6">
                  <c:v>6.8</c:v>
                </c:pt>
                <c:pt idx="7">
                  <c:v>6.3250000000000002</c:v>
                </c:pt>
              </c:numCache>
            </c:numRef>
          </c:val>
          <c:extLst>
            <c:ext xmlns:c16="http://schemas.microsoft.com/office/drawing/2014/chart" uri="{C3380CC4-5D6E-409C-BE32-E72D297353CC}">
              <c16:uniqueId val="{00000003-E781-4895-AFBD-90AE84905553}"/>
            </c:ext>
          </c:extLst>
        </c:ser>
        <c:ser>
          <c:idx val="4"/>
          <c:order val="4"/>
          <c:tx>
            <c:strRef>
              <c:f>pH!$I$48</c:f>
              <c:strCache>
                <c:ptCount val="1"/>
                <c:pt idx="0">
                  <c:v>2025</c:v>
                </c:pt>
              </c:strCache>
            </c:strRef>
          </c:tx>
          <c:spPr>
            <a:solidFill>
              <a:schemeClr val="accent5"/>
            </a:solidFill>
            <a:ln>
              <a:noFill/>
            </a:ln>
            <a:effectLst/>
          </c:spPr>
          <c:invertIfNegative val="0"/>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pH!$I$49:$I$56</c:f>
              <c:numCache>
                <c:formatCode>0.00</c:formatCode>
                <c:ptCount val="8"/>
                <c:pt idx="0">
                  <c:v>6.4</c:v>
                </c:pt>
                <c:pt idx="1">
                  <c:v>5.7</c:v>
                </c:pt>
                <c:pt idx="2">
                  <c:v>5.5</c:v>
                </c:pt>
                <c:pt idx="3">
                  <c:v>6.1</c:v>
                </c:pt>
                <c:pt idx="4">
                  <c:v>6.3</c:v>
                </c:pt>
                <c:pt idx="5">
                  <c:v>6.7</c:v>
                </c:pt>
                <c:pt idx="6">
                  <c:v>6.8</c:v>
                </c:pt>
                <c:pt idx="7">
                  <c:v>5.8</c:v>
                </c:pt>
              </c:numCache>
            </c:numRef>
          </c:val>
          <c:extLst>
            <c:ext xmlns:c16="http://schemas.microsoft.com/office/drawing/2014/chart" uri="{C3380CC4-5D6E-409C-BE32-E72D297353CC}">
              <c16:uniqueId val="{00000004-E781-4895-AFBD-90AE8490555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pH!$J$48</c:f>
              <c:strCache>
                <c:ptCount val="1"/>
                <c:pt idx="0">
                  <c:v>Ngưỡng trên QC</c:v>
                </c:pt>
              </c:strCache>
            </c:strRef>
          </c:tx>
          <c:spPr>
            <a:ln w="22225" cap="rnd">
              <a:solidFill>
                <a:schemeClr val="accent6"/>
              </a:solidFill>
              <a:round/>
            </a:ln>
            <a:effectLst/>
          </c:spPr>
          <c:marker>
            <c:symbol val="none"/>
          </c:marker>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pH!$J$49:$J$56</c:f>
              <c:numCache>
                <c:formatCode>General</c:formatCode>
                <c:ptCount val="8"/>
                <c:pt idx="0">
                  <c:v>8.5</c:v>
                </c:pt>
                <c:pt idx="1">
                  <c:v>8.5</c:v>
                </c:pt>
                <c:pt idx="2">
                  <c:v>8.5</c:v>
                </c:pt>
                <c:pt idx="3">
                  <c:v>8.5</c:v>
                </c:pt>
                <c:pt idx="4">
                  <c:v>8.5</c:v>
                </c:pt>
                <c:pt idx="5">
                  <c:v>8.5</c:v>
                </c:pt>
                <c:pt idx="6">
                  <c:v>8.5</c:v>
                </c:pt>
                <c:pt idx="7">
                  <c:v>8.5</c:v>
                </c:pt>
              </c:numCache>
            </c:numRef>
          </c:val>
          <c:smooth val="0"/>
          <c:extLst>
            <c:ext xmlns:c16="http://schemas.microsoft.com/office/drawing/2014/chart" uri="{C3380CC4-5D6E-409C-BE32-E72D297353CC}">
              <c16:uniqueId val="{00000005-E781-4895-AFBD-90AE84905553}"/>
            </c:ext>
          </c:extLst>
        </c:ser>
        <c:ser>
          <c:idx val="6"/>
          <c:order val="6"/>
          <c:tx>
            <c:strRef>
              <c:f>pH!$K$48</c:f>
              <c:strCache>
                <c:ptCount val="1"/>
                <c:pt idx="0">
                  <c:v>Ngưỡng dưới QC 2015</c:v>
                </c:pt>
              </c:strCache>
            </c:strRef>
          </c:tx>
          <c:spPr>
            <a:ln w="22225" cap="rnd">
              <a:solidFill>
                <a:schemeClr val="accent1">
                  <a:lumMod val="60000"/>
                </a:schemeClr>
              </a:solidFill>
              <a:round/>
            </a:ln>
            <a:effectLst/>
          </c:spPr>
          <c:marker>
            <c:symbol val="none"/>
          </c:marker>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pH!$K$49:$K$56</c:f>
              <c:numCache>
                <c:formatCode>General</c:formatCode>
                <c:ptCount val="8"/>
                <c:pt idx="0">
                  <c:v>5.5</c:v>
                </c:pt>
                <c:pt idx="1">
                  <c:v>5.5</c:v>
                </c:pt>
                <c:pt idx="2">
                  <c:v>5.5</c:v>
                </c:pt>
                <c:pt idx="3">
                  <c:v>5.5</c:v>
                </c:pt>
                <c:pt idx="4">
                  <c:v>5.5</c:v>
                </c:pt>
                <c:pt idx="5">
                  <c:v>5.5</c:v>
                </c:pt>
                <c:pt idx="6">
                  <c:v>5.5</c:v>
                </c:pt>
                <c:pt idx="7">
                  <c:v>5.5</c:v>
                </c:pt>
              </c:numCache>
            </c:numRef>
          </c:val>
          <c:smooth val="0"/>
          <c:extLst>
            <c:ext xmlns:c16="http://schemas.microsoft.com/office/drawing/2014/chart" uri="{C3380CC4-5D6E-409C-BE32-E72D297353CC}">
              <c16:uniqueId val="{00000006-E781-4895-AFBD-90AE84905553}"/>
            </c:ext>
          </c:extLst>
        </c:ser>
        <c:ser>
          <c:idx val="7"/>
          <c:order val="7"/>
          <c:tx>
            <c:strRef>
              <c:f>pH!$L$48</c:f>
              <c:strCache>
                <c:ptCount val="1"/>
                <c:pt idx="0">
                  <c:v>Ngưỡng dưới QC 2023</c:v>
                </c:pt>
              </c:strCache>
            </c:strRef>
          </c:tx>
          <c:spPr>
            <a:ln w="22225" cap="rnd">
              <a:solidFill>
                <a:schemeClr val="accent2">
                  <a:lumMod val="60000"/>
                </a:schemeClr>
              </a:solidFill>
              <a:round/>
            </a:ln>
            <a:effectLst/>
          </c:spPr>
          <c:marker>
            <c:symbol val="none"/>
          </c:marker>
          <c:cat>
            <c:strRef>
              <c:f>pH!$D$49:$D$56</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pH!$L$49:$L$56</c:f>
              <c:numCache>
                <c:formatCode>General</c:formatCode>
                <c:ptCount val="8"/>
                <c:pt idx="0">
                  <c:v>5.8</c:v>
                </c:pt>
                <c:pt idx="1">
                  <c:v>5.8</c:v>
                </c:pt>
                <c:pt idx="2">
                  <c:v>5.8</c:v>
                </c:pt>
                <c:pt idx="3">
                  <c:v>5.8</c:v>
                </c:pt>
                <c:pt idx="4">
                  <c:v>5.8</c:v>
                </c:pt>
                <c:pt idx="5">
                  <c:v>5.8</c:v>
                </c:pt>
                <c:pt idx="6">
                  <c:v>5.8</c:v>
                </c:pt>
                <c:pt idx="7">
                  <c:v>5.8</c:v>
                </c:pt>
              </c:numCache>
            </c:numRef>
          </c:val>
          <c:smooth val="0"/>
          <c:extLst>
            <c:ext xmlns:c16="http://schemas.microsoft.com/office/drawing/2014/chart" uri="{C3380CC4-5D6E-409C-BE32-E72D297353CC}">
              <c16:uniqueId val="{00000007-E781-4895-AFBD-90AE8490555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(MPN/100ml)</a:t>
            </a:r>
          </a:p>
        </c:rich>
      </c:tx>
      <c:layout>
        <c:manualLayout>
          <c:xMode val="edge"/>
          <c:yMode val="edge"/>
          <c:x val="1.5328083989501313E-4"/>
          <c:y val="0.14183106657122405"/>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9581820693465945E-2"/>
          <c:y val="5.7518014793605347E-2"/>
          <c:w val="0.9330356126536814"/>
          <c:h val="0.62916535433070864"/>
        </c:manualLayout>
      </c:layout>
      <c:barChart>
        <c:barDir val="col"/>
        <c:grouping val="clustered"/>
        <c:varyColors val="0"/>
        <c:ser>
          <c:idx val="0"/>
          <c:order val="0"/>
          <c:tx>
            <c:strRef>
              <c:f>Coliform!$D$50</c:f>
              <c:strCache>
                <c:ptCount val="1"/>
                <c:pt idx="0">
                  <c:v>2021</c:v>
                </c:pt>
              </c:strCache>
            </c:strRef>
          </c:tx>
          <c:spPr>
            <a:solidFill>
              <a:schemeClr val="accent1"/>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Coliform!$D$51:$D$58</c:f>
              <c:numCache>
                <c:formatCode>General</c:formatCode>
                <c:ptCount val="8"/>
                <c:pt idx="0">
                  <c:v>77.5</c:v>
                </c:pt>
                <c:pt idx="1">
                  <c:v>65.5</c:v>
                </c:pt>
                <c:pt idx="2">
                  <c:v>18.25</c:v>
                </c:pt>
                <c:pt idx="3">
                  <c:v>8</c:v>
                </c:pt>
                <c:pt idx="4">
                  <c:v>45.75</c:v>
                </c:pt>
                <c:pt idx="5">
                  <c:v>36.75</c:v>
                </c:pt>
                <c:pt idx="6">
                  <c:v>21.25</c:v>
                </c:pt>
                <c:pt idx="7">
                  <c:v>105.75</c:v>
                </c:pt>
              </c:numCache>
            </c:numRef>
          </c:val>
          <c:extLst>
            <c:ext xmlns:c16="http://schemas.microsoft.com/office/drawing/2014/chart" uri="{C3380CC4-5D6E-409C-BE32-E72D297353CC}">
              <c16:uniqueId val="{00000000-C8A3-4FC2-A84B-DFF96B1101DE}"/>
            </c:ext>
          </c:extLst>
        </c:ser>
        <c:ser>
          <c:idx val="1"/>
          <c:order val="1"/>
          <c:tx>
            <c:strRef>
              <c:f>Coliform!$E$50</c:f>
              <c:strCache>
                <c:ptCount val="1"/>
                <c:pt idx="0">
                  <c:v>2022</c:v>
                </c:pt>
              </c:strCache>
            </c:strRef>
          </c:tx>
          <c:spPr>
            <a:solidFill>
              <a:schemeClr val="accent2"/>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Coliform!$E$51:$E$58</c:f>
              <c:numCache>
                <c:formatCode>General</c:formatCode>
                <c:ptCount val="8"/>
                <c:pt idx="0">
                  <c:v>9.9749999999999996</c:v>
                </c:pt>
                <c:pt idx="1">
                  <c:v>66.775000000000006</c:v>
                </c:pt>
                <c:pt idx="2">
                  <c:v>4.375</c:v>
                </c:pt>
                <c:pt idx="3">
                  <c:v>13</c:v>
                </c:pt>
                <c:pt idx="4">
                  <c:v>74.7</c:v>
                </c:pt>
                <c:pt idx="5">
                  <c:v>139.5</c:v>
                </c:pt>
                <c:pt idx="6">
                  <c:v>6.7</c:v>
                </c:pt>
                <c:pt idx="7">
                  <c:v>110</c:v>
                </c:pt>
              </c:numCache>
            </c:numRef>
          </c:val>
          <c:extLst>
            <c:ext xmlns:c16="http://schemas.microsoft.com/office/drawing/2014/chart" uri="{C3380CC4-5D6E-409C-BE32-E72D297353CC}">
              <c16:uniqueId val="{00000001-C8A3-4FC2-A84B-DFF96B1101DE}"/>
            </c:ext>
          </c:extLst>
        </c:ser>
        <c:ser>
          <c:idx val="2"/>
          <c:order val="2"/>
          <c:tx>
            <c:strRef>
              <c:f>Coliform!$F$50</c:f>
              <c:strCache>
                <c:ptCount val="1"/>
                <c:pt idx="0">
                  <c:v>2023</c:v>
                </c:pt>
              </c:strCache>
            </c:strRef>
          </c:tx>
          <c:spPr>
            <a:solidFill>
              <a:schemeClr val="accent3"/>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Coliform!$F$51:$F$58</c:f>
              <c:numCache>
                <c:formatCode>General</c:formatCode>
                <c:ptCount val="8"/>
                <c:pt idx="0">
                  <c:v>20.824999999999999</c:v>
                </c:pt>
                <c:pt idx="1">
                  <c:v>4.4249999999999998</c:v>
                </c:pt>
                <c:pt idx="2">
                  <c:v>3.4</c:v>
                </c:pt>
                <c:pt idx="3">
                  <c:v>20.274999999999999</c:v>
                </c:pt>
                <c:pt idx="4">
                  <c:v>52.15</c:v>
                </c:pt>
                <c:pt idx="5">
                  <c:v>114.02500000000001</c:v>
                </c:pt>
                <c:pt idx="6">
                  <c:v>83.75</c:v>
                </c:pt>
                <c:pt idx="7">
                  <c:v>105.25</c:v>
                </c:pt>
              </c:numCache>
            </c:numRef>
          </c:val>
          <c:extLst>
            <c:ext xmlns:c16="http://schemas.microsoft.com/office/drawing/2014/chart" uri="{C3380CC4-5D6E-409C-BE32-E72D297353CC}">
              <c16:uniqueId val="{00000002-C8A3-4FC2-A84B-DFF96B1101DE}"/>
            </c:ext>
          </c:extLst>
        </c:ser>
        <c:ser>
          <c:idx val="3"/>
          <c:order val="3"/>
          <c:tx>
            <c:strRef>
              <c:f>Coliform!$G$50</c:f>
              <c:strCache>
                <c:ptCount val="1"/>
                <c:pt idx="0">
                  <c:v>2024</c:v>
                </c:pt>
              </c:strCache>
            </c:strRef>
          </c:tx>
          <c:spPr>
            <a:solidFill>
              <a:schemeClr val="accent4"/>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Coliform!$G$51:$G$58</c:f>
              <c:numCache>
                <c:formatCode>General</c:formatCode>
                <c:ptCount val="8"/>
                <c:pt idx="0">
                  <c:v>144</c:v>
                </c:pt>
                <c:pt idx="1">
                  <c:v>60.9</c:v>
                </c:pt>
                <c:pt idx="2">
                  <c:v>8.75</c:v>
                </c:pt>
                <c:pt idx="3">
                  <c:v>7.7</c:v>
                </c:pt>
                <c:pt idx="4">
                  <c:v>21.099999999999998</c:v>
                </c:pt>
                <c:pt idx="5">
                  <c:v>102</c:v>
                </c:pt>
                <c:pt idx="6">
                  <c:v>36.774999999999999</c:v>
                </c:pt>
                <c:pt idx="7">
                  <c:v>68.75</c:v>
                </c:pt>
              </c:numCache>
            </c:numRef>
          </c:val>
          <c:extLst>
            <c:ext xmlns:c16="http://schemas.microsoft.com/office/drawing/2014/chart" uri="{C3380CC4-5D6E-409C-BE32-E72D297353CC}">
              <c16:uniqueId val="{00000003-C8A3-4FC2-A84B-DFF96B1101DE}"/>
            </c:ext>
          </c:extLst>
        </c:ser>
        <c:ser>
          <c:idx val="4"/>
          <c:order val="4"/>
          <c:tx>
            <c:strRef>
              <c:f>Coliform!$H$50</c:f>
              <c:strCache>
                <c:ptCount val="1"/>
                <c:pt idx="0">
                  <c:v>2025</c:v>
                </c:pt>
              </c:strCache>
            </c:strRef>
          </c:tx>
          <c:spPr>
            <a:solidFill>
              <a:schemeClr val="accent5"/>
            </a:solidFill>
            <a:ln>
              <a:noFill/>
            </a:ln>
            <a:effectLst/>
          </c:spPr>
          <c:invertIfNegative val="0"/>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Coliform!$H$51:$H$58</c:f>
              <c:numCache>
                <c:formatCode>General</c:formatCode>
                <c:ptCount val="8"/>
                <c:pt idx="0">
                  <c:v>1.8</c:v>
                </c:pt>
                <c:pt idx="1">
                  <c:v>3</c:v>
                </c:pt>
                <c:pt idx="2">
                  <c:v>12</c:v>
                </c:pt>
                <c:pt idx="3">
                  <c:v>1.8</c:v>
                </c:pt>
                <c:pt idx="4">
                  <c:v>6.8</c:v>
                </c:pt>
                <c:pt idx="5">
                  <c:v>1.8</c:v>
                </c:pt>
                <c:pt idx="6">
                  <c:v>39</c:v>
                </c:pt>
                <c:pt idx="7">
                  <c:v>12</c:v>
                </c:pt>
              </c:numCache>
            </c:numRef>
          </c:val>
          <c:extLst>
            <c:ext xmlns:c16="http://schemas.microsoft.com/office/drawing/2014/chart" uri="{C3380CC4-5D6E-409C-BE32-E72D297353CC}">
              <c16:uniqueId val="{00000004-C8A3-4FC2-A84B-DFF96B1101DE}"/>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Coliform!$I$50</c:f>
              <c:strCache>
                <c:ptCount val="1"/>
                <c:pt idx="0">
                  <c:v>Quy chuẩn đánh giá </c:v>
                </c:pt>
              </c:strCache>
            </c:strRef>
          </c:tx>
          <c:spPr>
            <a:ln w="22225" cap="rnd">
              <a:solidFill>
                <a:schemeClr val="accent6"/>
              </a:solidFill>
              <a:round/>
            </a:ln>
            <a:effectLst/>
          </c:spPr>
          <c:marker>
            <c:symbol val="none"/>
          </c:marker>
          <c:cat>
            <c:strRef>
              <c:f>Coliform!$C$51:$C$58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Coliform!$I$51:$I$58</c:f>
              <c:numCache>
                <c:formatCode>General</c:formatCode>
                <c:ptCount val="8"/>
                <c:pt idx="0">
                  <c:v>3</c:v>
                </c:pt>
                <c:pt idx="1">
                  <c:v>3</c:v>
                </c:pt>
                <c:pt idx="2">
                  <c:v>3</c:v>
                </c:pt>
                <c:pt idx="3">
                  <c:v>3</c:v>
                </c:pt>
                <c:pt idx="4">
                  <c:v>3</c:v>
                </c:pt>
                <c:pt idx="5">
                  <c:v>3</c:v>
                </c:pt>
                <c:pt idx="6">
                  <c:v>3</c:v>
                </c:pt>
                <c:pt idx="7">
                  <c:v>3</c:v>
                </c:pt>
              </c:numCache>
            </c:numRef>
          </c:val>
          <c:smooth val="0"/>
          <c:extLst>
            <c:ext xmlns:c16="http://schemas.microsoft.com/office/drawing/2014/chart" uri="{C3380CC4-5D6E-409C-BE32-E72D297353CC}">
              <c16:uniqueId val="{00000005-C8A3-4FC2-A84B-DFF96B1101DE}"/>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25"/>
      </c:valAx>
      <c:spPr>
        <a:noFill/>
        <a:ln>
          <a:noFill/>
        </a:ln>
        <a:effectLst/>
      </c:spPr>
    </c:plotArea>
    <c:legend>
      <c:legendPos val="b"/>
      <c:layout>
        <c:manualLayout>
          <c:xMode val="edge"/>
          <c:yMode val="edge"/>
          <c:x val="7.2051940875811571E-2"/>
          <c:y val="0.89772655690765923"/>
          <c:w val="0.85589611824837697"/>
          <c:h val="0.102273443092340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2160319185926242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5650871617865467E-2"/>
          <c:y val="4.3747667742249065E-2"/>
          <c:w val="0.92336533275806276"/>
          <c:h val="0.5800550020853128"/>
        </c:manualLayout>
      </c:layout>
      <c:barChart>
        <c:barDir val="col"/>
        <c:grouping val="clustered"/>
        <c:varyColors val="0"/>
        <c:ser>
          <c:idx val="0"/>
          <c:order val="0"/>
          <c:tx>
            <c:strRef>
              <c:f>Nitrat!$D$50</c:f>
              <c:strCache>
                <c:ptCount val="1"/>
                <c:pt idx="0">
                  <c:v>2021</c:v>
                </c:pt>
              </c:strCache>
            </c:strRef>
          </c:tx>
          <c:spPr>
            <a:solidFill>
              <a:schemeClr val="accent1"/>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Nitrat!$D$51:$D$58</c:f>
              <c:numCache>
                <c:formatCode>General</c:formatCode>
                <c:ptCount val="8"/>
                <c:pt idx="0">
                  <c:v>1.7050000000000001</c:v>
                </c:pt>
                <c:pt idx="1">
                  <c:v>2.5250000000000004</c:v>
                </c:pt>
                <c:pt idx="2">
                  <c:v>0.64749999999999996</c:v>
                </c:pt>
                <c:pt idx="3">
                  <c:v>0.46250000000000002</c:v>
                </c:pt>
                <c:pt idx="4">
                  <c:v>0.85749999999999993</c:v>
                </c:pt>
                <c:pt idx="5">
                  <c:v>1.65</c:v>
                </c:pt>
                <c:pt idx="6">
                  <c:v>0</c:v>
                </c:pt>
                <c:pt idx="7">
                  <c:v>7.125</c:v>
                </c:pt>
              </c:numCache>
            </c:numRef>
          </c:val>
          <c:extLst>
            <c:ext xmlns:c16="http://schemas.microsoft.com/office/drawing/2014/chart" uri="{C3380CC4-5D6E-409C-BE32-E72D297353CC}">
              <c16:uniqueId val="{00000000-34A5-4E9D-BE1D-4FB5A56CC34A}"/>
            </c:ext>
          </c:extLst>
        </c:ser>
        <c:ser>
          <c:idx val="1"/>
          <c:order val="1"/>
          <c:tx>
            <c:strRef>
              <c:f>Nitrat!$E$50</c:f>
              <c:strCache>
                <c:ptCount val="1"/>
                <c:pt idx="0">
                  <c:v>2022</c:v>
                </c:pt>
              </c:strCache>
            </c:strRef>
          </c:tx>
          <c:spPr>
            <a:solidFill>
              <a:schemeClr val="accent2"/>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Nitrat!$E$51:$E$58</c:f>
              <c:numCache>
                <c:formatCode>General</c:formatCode>
                <c:ptCount val="8"/>
                <c:pt idx="0">
                  <c:v>1.65</c:v>
                </c:pt>
                <c:pt idx="1">
                  <c:v>2.5249999999999999</c:v>
                </c:pt>
                <c:pt idx="2">
                  <c:v>0.47250000000000003</c:v>
                </c:pt>
                <c:pt idx="3">
                  <c:v>0.72750000000000004</c:v>
                </c:pt>
                <c:pt idx="4">
                  <c:v>0.96750000000000003</c:v>
                </c:pt>
                <c:pt idx="5">
                  <c:v>1.4750000000000001</c:v>
                </c:pt>
                <c:pt idx="6">
                  <c:v>3.2949999999999999</c:v>
                </c:pt>
                <c:pt idx="7">
                  <c:v>2.4975000000000001</c:v>
                </c:pt>
              </c:numCache>
            </c:numRef>
          </c:val>
          <c:extLst>
            <c:ext xmlns:c16="http://schemas.microsoft.com/office/drawing/2014/chart" uri="{C3380CC4-5D6E-409C-BE32-E72D297353CC}">
              <c16:uniqueId val="{00000001-34A5-4E9D-BE1D-4FB5A56CC34A}"/>
            </c:ext>
          </c:extLst>
        </c:ser>
        <c:ser>
          <c:idx val="2"/>
          <c:order val="2"/>
          <c:tx>
            <c:strRef>
              <c:f>Nitrat!$F$50</c:f>
              <c:strCache>
                <c:ptCount val="1"/>
                <c:pt idx="0">
                  <c:v>2023</c:v>
                </c:pt>
              </c:strCache>
            </c:strRef>
          </c:tx>
          <c:spPr>
            <a:solidFill>
              <a:schemeClr val="accent3"/>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Nitrat!$F$51:$F$58</c:f>
              <c:numCache>
                <c:formatCode>General</c:formatCode>
                <c:ptCount val="8"/>
                <c:pt idx="0">
                  <c:v>1.79</c:v>
                </c:pt>
                <c:pt idx="1">
                  <c:v>1.8900000000000001</c:v>
                </c:pt>
                <c:pt idx="2">
                  <c:v>0.95750000000000002</c:v>
                </c:pt>
                <c:pt idx="3">
                  <c:v>0.45250000000000001</c:v>
                </c:pt>
                <c:pt idx="4">
                  <c:v>0.71</c:v>
                </c:pt>
                <c:pt idx="5">
                  <c:v>3.15</c:v>
                </c:pt>
                <c:pt idx="6">
                  <c:v>1.6924999999999999</c:v>
                </c:pt>
                <c:pt idx="7">
                  <c:v>2.3450000000000002</c:v>
                </c:pt>
              </c:numCache>
            </c:numRef>
          </c:val>
          <c:extLst>
            <c:ext xmlns:c16="http://schemas.microsoft.com/office/drawing/2014/chart" uri="{C3380CC4-5D6E-409C-BE32-E72D297353CC}">
              <c16:uniqueId val="{00000002-34A5-4E9D-BE1D-4FB5A56CC34A}"/>
            </c:ext>
          </c:extLst>
        </c:ser>
        <c:ser>
          <c:idx val="3"/>
          <c:order val="3"/>
          <c:tx>
            <c:strRef>
              <c:f>Nitrat!$G$50</c:f>
              <c:strCache>
                <c:ptCount val="1"/>
                <c:pt idx="0">
                  <c:v>2024</c:v>
                </c:pt>
              </c:strCache>
            </c:strRef>
          </c:tx>
          <c:spPr>
            <a:solidFill>
              <a:schemeClr val="accent4"/>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Nitrat!$G$51:$G$58</c:f>
              <c:numCache>
                <c:formatCode>General</c:formatCode>
                <c:ptCount val="8"/>
                <c:pt idx="0">
                  <c:v>1.4</c:v>
                </c:pt>
                <c:pt idx="1">
                  <c:v>1.43</c:v>
                </c:pt>
                <c:pt idx="2">
                  <c:v>0.62</c:v>
                </c:pt>
                <c:pt idx="3">
                  <c:v>1.2399999999999998</c:v>
                </c:pt>
                <c:pt idx="4">
                  <c:v>2.6749999999999998</c:v>
                </c:pt>
                <c:pt idx="5">
                  <c:v>2.2875000000000001</c:v>
                </c:pt>
                <c:pt idx="6">
                  <c:v>0.27999999999999997</c:v>
                </c:pt>
                <c:pt idx="7">
                  <c:v>0.98</c:v>
                </c:pt>
              </c:numCache>
            </c:numRef>
          </c:val>
          <c:extLst>
            <c:ext xmlns:c16="http://schemas.microsoft.com/office/drawing/2014/chart" uri="{C3380CC4-5D6E-409C-BE32-E72D297353CC}">
              <c16:uniqueId val="{00000003-34A5-4E9D-BE1D-4FB5A56CC34A}"/>
            </c:ext>
          </c:extLst>
        </c:ser>
        <c:ser>
          <c:idx val="4"/>
          <c:order val="4"/>
          <c:tx>
            <c:strRef>
              <c:f>Nitrat!$H$50</c:f>
              <c:strCache>
                <c:ptCount val="1"/>
                <c:pt idx="0">
                  <c:v>2025</c:v>
                </c:pt>
              </c:strCache>
            </c:strRef>
          </c:tx>
          <c:spPr>
            <a:solidFill>
              <a:schemeClr val="accent5"/>
            </a:solidFill>
            <a:ln>
              <a:noFill/>
            </a:ln>
            <a:effectLst/>
          </c:spPr>
          <c:invertIfNegative val="0"/>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Nitrat!$H$51:$H$58</c:f>
              <c:numCache>
                <c:formatCode>General</c:formatCode>
                <c:ptCount val="8"/>
                <c:pt idx="0">
                  <c:v>0.3</c:v>
                </c:pt>
                <c:pt idx="1">
                  <c:v>0.15</c:v>
                </c:pt>
                <c:pt idx="2">
                  <c:v>0.15</c:v>
                </c:pt>
                <c:pt idx="3">
                  <c:v>0.15</c:v>
                </c:pt>
                <c:pt idx="4">
                  <c:v>0.15</c:v>
                </c:pt>
                <c:pt idx="5">
                  <c:v>0.15</c:v>
                </c:pt>
                <c:pt idx="6">
                  <c:v>0.15</c:v>
                </c:pt>
                <c:pt idx="7">
                  <c:v>2.0499999999999998</c:v>
                </c:pt>
              </c:numCache>
            </c:numRef>
          </c:val>
          <c:extLst>
            <c:ext xmlns:c16="http://schemas.microsoft.com/office/drawing/2014/chart" uri="{C3380CC4-5D6E-409C-BE32-E72D297353CC}">
              <c16:uniqueId val="{00000004-34A5-4E9D-BE1D-4FB5A56CC34A}"/>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Nitrat!$I$50</c:f>
              <c:strCache>
                <c:ptCount val="1"/>
                <c:pt idx="0">
                  <c:v>Quy chuẩn đánh giá </c:v>
                </c:pt>
              </c:strCache>
            </c:strRef>
          </c:tx>
          <c:spPr>
            <a:ln w="22225" cap="rnd">
              <a:solidFill>
                <a:schemeClr val="accent6"/>
              </a:solidFill>
              <a:round/>
            </a:ln>
            <a:effectLst/>
          </c:spPr>
          <c:marker>
            <c:symbol val="none"/>
          </c:marker>
          <c:cat>
            <c:strRef>
              <c:f>Nitrat!$C$51:$C$58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Nitrat!$I$51:$I$58</c:f>
              <c:numCache>
                <c:formatCode>General</c:formatCode>
                <c:ptCount val="8"/>
                <c:pt idx="0">
                  <c:v>15</c:v>
                </c:pt>
                <c:pt idx="1">
                  <c:v>15</c:v>
                </c:pt>
                <c:pt idx="2">
                  <c:v>15</c:v>
                </c:pt>
                <c:pt idx="3">
                  <c:v>15</c:v>
                </c:pt>
                <c:pt idx="4">
                  <c:v>15</c:v>
                </c:pt>
                <c:pt idx="5">
                  <c:v>15</c:v>
                </c:pt>
                <c:pt idx="6">
                  <c:v>15</c:v>
                </c:pt>
                <c:pt idx="7">
                  <c:v>15</c:v>
                </c:pt>
              </c:numCache>
            </c:numRef>
          </c:val>
          <c:smooth val="0"/>
          <c:extLst>
            <c:ext xmlns:c16="http://schemas.microsoft.com/office/drawing/2014/chart" uri="{C3380CC4-5D6E-409C-BE32-E72D297353CC}">
              <c16:uniqueId val="{00000005-34A5-4E9D-BE1D-4FB5A56CC34A}"/>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
      </c:valAx>
      <c:spPr>
        <a:noFill/>
        <a:ln>
          <a:noFill/>
        </a:ln>
        <a:effectLst/>
      </c:spPr>
    </c:plotArea>
    <c:legend>
      <c:legendPos val="b"/>
      <c:layout>
        <c:manualLayout>
          <c:xMode val="edge"/>
          <c:yMode val="edge"/>
          <c:x val="0.11656054584325537"/>
          <c:y val="0.87213461089862365"/>
          <c:w val="0.73596906814466956"/>
          <c:h val="9.432709955414321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22586542353847563"/>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8625933086077622E-2"/>
          <c:y val="4.6301824212271976E-2"/>
          <c:w val="0.93460523440892329"/>
          <c:h val="0.60033950980008111"/>
        </c:manualLayout>
      </c:layout>
      <c:barChart>
        <c:barDir val="col"/>
        <c:grouping val="clustered"/>
        <c:varyColors val="0"/>
        <c:ser>
          <c:idx val="0"/>
          <c:order val="0"/>
          <c:tx>
            <c:strRef>
              <c:f>Amoni!$D$50</c:f>
              <c:strCache>
                <c:ptCount val="1"/>
                <c:pt idx="0">
                  <c:v>2021</c:v>
                </c:pt>
              </c:strCache>
            </c:strRef>
          </c:tx>
          <c:spPr>
            <a:solidFill>
              <a:schemeClr val="accent1"/>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Amoni!$D$51:$D$58</c:f>
              <c:numCache>
                <c:formatCode>General</c:formatCode>
                <c:ptCount val="8"/>
                <c:pt idx="0">
                  <c:v>0.1</c:v>
                </c:pt>
                <c:pt idx="1">
                  <c:v>2.5000000000000001E-2</c:v>
                </c:pt>
                <c:pt idx="2">
                  <c:v>0.1</c:v>
                </c:pt>
                <c:pt idx="3">
                  <c:v>0.19</c:v>
                </c:pt>
                <c:pt idx="4">
                  <c:v>2.5000000000000001E-2</c:v>
                </c:pt>
                <c:pt idx="5">
                  <c:v>0.1</c:v>
                </c:pt>
                <c:pt idx="6">
                  <c:v>2.5000000000000001E-2</c:v>
                </c:pt>
                <c:pt idx="7">
                  <c:v>0.05</c:v>
                </c:pt>
              </c:numCache>
            </c:numRef>
          </c:val>
          <c:extLst>
            <c:ext xmlns:c16="http://schemas.microsoft.com/office/drawing/2014/chart" uri="{C3380CC4-5D6E-409C-BE32-E72D297353CC}">
              <c16:uniqueId val="{00000000-286E-45E4-A182-BE7922ACBDFC}"/>
            </c:ext>
          </c:extLst>
        </c:ser>
        <c:ser>
          <c:idx val="1"/>
          <c:order val="1"/>
          <c:tx>
            <c:strRef>
              <c:f>Amoni!$E$50</c:f>
              <c:strCache>
                <c:ptCount val="1"/>
                <c:pt idx="0">
                  <c:v>2022</c:v>
                </c:pt>
              </c:strCache>
            </c:strRef>
          </c:tx>
          <c:spPr>
            <a:solidFill>
              <a:schemeClr val="accent2"/>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Amoni!$E$51:$E$58</c:f>
              <c:numCache>
                <c:formatCode>General</c:formatCode>
                <c:ptCount val="8"/>
                <c:pt idx="0">
                  <c:v>0.03</c:v>
                </c:pt>
                <c:pt idx="1">
                  <c:v>6.7500000000000004E-2</c:v>
                </c:pt>
                <c:pt idx="2">
                  <c:v>5.2499999999999998E-2</c:v>
                </c:pt>
                <c:pt idx="3">
                  <c:v>0.03</c:v>
                </c:pt>
                <c:pt idx="4">
                  <c:v>8.7499999999999994E-2</c:v>
                </c:pt>
                <c:pt idx="5">
                  <c:v>0.02</c:v>
                </c:pt>
                <c:pt idx="6">
                  <c:v>0.03</c:v>
                </c:pt>
                <c:pt idx="7">
                  <c:v>7.7499999999999999E-2</c:v>
                </c:pt>
              </c:numCache>
            </c:numRef>
          </c:val>
          <c:extLst>
            <c:ext xmlns:c16="http://schemas.microsoft.com/office/drawing/2014/chart" uri="{C3380CC4-5D6E-409C-BE32-E72D297353CC}">
              <c16:uniqueId val="{00000001-286E-45E4-A182-BE7922ACBDFC}"/>
            </c:ext>
          </c:extLst>
        </c:ser>
        <c:ser>
          <c:idx val="2"/>
          <c:order val="2"/>
          <c:tx>
            <c:strRef>
              <c:f>Amoni!$F$50</c:f>
              <c:strCache>
                <c:ptCount val="1"/>
                <c:pt idx="0">
                  <c:v>2023</c:v>
                </c:pt>
              </c:strCache>
            </c:strRef>
          </c:tx>
          <c:spPr>
            <a:solidFill>
              <a:schemeClr val="accent3"/>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Amoni!$F$51:$F$58</c:f>
              <c:numCache>
                <c:formatCode>General</c:formatCode>
                <c:ptCount val="8"/>
                <c:pt idx="0">
                  <c:v>0.03</c:v>
                </c:pt>
                <c:pt idx="1">
                  <c:v>0.03</c:v>
                </c:pt>
                <c:pt idx="2">
                  <c:v>0.03</c:v>
                </c:pt>
                <c:pt idx="3">
                  <c:v>1.7500000000000002E-2</c:v>
                </c:pt>
                <c:pt idx="4">
                  <c:v>0.02</c:v>
                </c:pt>
                <c:pt idx="5">
                  <c:v>0.03</c:v>
                </c:pt>
                <c:pt idx="6">
                  <c:v>0.03</c:v>
                </c:pt>
                <c:pt idx="7">
                  <c:v>0.03</c:v>
                </c:pt>
              </c:numCache>
            </c:numRef>
          </c:val>
          <c:extLst>
            <c:ext xmlns:c16="http://schemas.microsoft.com/office/drawing/2014/chart" uri="{C3380CC4-5D6E-409C-BE32-E72D297353CC}">
              <c16:uniqueId val="{00000002-286E-45E4-A182-BE7922ACBDFC}"/>
            </c:ext>
          </c:extLst>
        </c:ser>
        <c:ser>
          <c:idx val="3"/>
          <c:order val="3"/>
          <c:tx>
            <c:strRef>
              <c:f>Amoni!$G$50</c:f>
              <c:strCache>
                <c:ptCount val="1"/>
                <c:pt idx="0">
                  <c:v>2024</c:v>
                </c:pt>
              </c:strCache>
            </c:strRef>
          </c:tx>
          <c:spPr>
            <a:solidFill>
              <a:schemeClr val="accent4"/>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Amoni!$G$51:$G$58</c:f>
              <c:numCache>
                <c:formatCode>General</c:formatCode>
                <c:ptCount val="8"/>
                <c:pt idx="0">
                  <c:v>4.5000000000000005E-2</c:v>
                </c:pt>
                <c:pt idx="1">
                  <c:v>0.02</c:v>
                </c:pt>
                <c:pt idx="2">
                  <c:v>3.2500000000000001E-2</c:v>
                </c:pt>
                <c:pt idx="3">
                  <c:v>1.2500000000000001E-2</c:v>
                </c:pt>
                <c:pt idx="4">
                  <c:v>5.7500000000000002E-2</c:v>
                </c:pt>
                <c:pt idx="5">
                  <c:v>1.7500000000000002E-2</c:v>
                </c:pt>
                <c:pt idx="6">
                  <c:v>2.75E-2</c:v>
                </c:pt>
                <c:pt idx="7">
                  <c:v>0.21</c:v>
                </c:pt>
              </c:numCache>
            </c:numRef>
          </c:val>
          <c:extLst>
            <c:ext xmlns:c16="http://schemas.microsoft.com/office/drawing/2014/chart" uri="{C3380CC4-5D6E-409C-BE32-E72D297353CC}">
              <c16:uniqueId val="{00000003-286E-45E4-A182-BE7922ACBDFC}"/>
            </c:ext>
          </c:extLst>
        </c:ser>
        <c:ser>
          <c:idx val="4"/>
          <c:order val="4"/>
          <c:tx>
            <c:strRef>
              <c:f>Amoni!$H$50</c:f>
              <c:strCache>
                <c:ptCount val="1"/>
                <c:pt idx="0">
                  <c:v>2025</c:v>
                </c:pt>
              </c:strCache>
            </c:strRef>
          </c:tx>
          <c:spPr>
            <a:solidFill>
              <a:schemeClr val="accent5"/>
            </a:solidFill>
            <a:ln>
              <a:noFill/>
            </a:ln>
            <a:effectLst/>
          </c:spPr>
          <c:invertIfNegative val="0"/>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Amoni!$H$51:$H$58</c:f>
              <c:numCache>
                <c:formatCode>General</c:formatCode>
                <c:ptCount val="8"/>
                <c:pt idx="0">
                  <c:v>0.03</c:v>
                </c:pt>
                <c:pt idx="1">
                  <c:v>0.03</c:v>
                </c:pt>
                <c:pt idx="2">
                  <c:v>1.41</c:v>
                </c:pt>
                <c:pt idx="3">
                  <c:v>0.03</c:v>
                </c:pt>
                <c:pt idx="4">
                  <c:v>0.03</c:v>
                </c:pt>
                <c:pt idx="5">
                  <c:v>0.04</c:v>
                </c:pt>
                <c:pt idx="6">
                  <c:v>0.05</c:v>
                </c:pt>
                <c:pt idx="7">
                  <c:v>0.06</c:v>
                </c:pt>
              </c:numCache>
            </c:numRef>
          </c:val>
          <c:extLst>
            <c:ext xmlns:c16="http://schemas.microsoft.com/office/drawing/2014/chart" uri="{C3380CC4-5D6E-409C-BE32-E72D297353CC}">
              <c16:uniqueId val="{00000004-286E-45E4-A182-BE7922ACBDFC}"/>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Amoni!$I$50</c:f>
              <c:strCache>
                <c:ptCount val="1"/>
                <c:pt idx="0">
                  <c:v>Quy chuẩn đánh giá </c:v>
                </c:pt>
              </c:strCache>
            </c:strRef>
          </c:tx>
          <c:spPr>
            <a:ln w="22225" cap="rnd">
              <a:solidFill>
                <a:schemeClr val="accent6"/>
              </a:solidFill>
              <a:round/>
            </a:ln>
            <a:effectLst/>
          </c:spPr>
          <c:marker>
            <c:symbol val="none"/>
          </c:marker>
          <c:cat>
            <c:strRef>
              <c:f>Amoni!$C$51:$C$58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Amoni!$I$51:$I$58</c:f>
              <c:numCache>
                <c:formatCode>General</c:formatCode>
                <c:ptCount val="8"/>
                <c:pt idx="0">
                  <c:v>1</c:v>
                </c:pt>
                <c:pt idx="1">
                  <c:v>1</c:v>
                </c:pt>
                <c:pt idx="2">
                  <c:v>1</c:v>
                </c:pt>
                <c:pt idx="3">
                  <c:v>1</c:v>
                </c:pt>
                <c:pt idx="4">
                  <c:v>1</c:v>
                </c:pt>
                <c:pt idx="5">
                  <c:v>1</c:v>
                </c:pt>
                <c:pt idx="6">
                  <c:v>1</c:v>
                </c:pt>
                <c:pt idx="7">
                  <c:v>1</c:v>
                </c:pt>
              </c:numCache>
            </c:numRef>
          </c:val>
          <c:smooth val="0"/>
          <c:extLst>
            <c:ext xmlns:c16="http://schemas.microsoft.com/office/drawing/2014/chart" uri="{C3380CC4-5D6E-409C-BE32-E72D297353CC}">
              <c16:uniqueId val="{00000005-286E-45E4-A182-BE7922ACBDFC}"/>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0.5"/>
      </c:valAx>
      <c:spPr>
        <a:noFill/>
        <a:ln>
          <a:noFill/>
        </a:ln>
        <a:effectLst/>
      </c:spPr>
    </c:plotArea>
    <c:legend>
      <c:legendPos val="b"/>
      <c:layout>
        <c:manualLayout>
          <c:xMode val="edge"/>
          <c:yMode val="edge"/>
          <c:x val="0.24019946400272146"/>
          <c:y val="0.88805891800838332"/>
          <c:w val="0.52241093677831896"/>
          <c:h val="0.111941081991616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1210508665296E-4"/>
          <c:y val="0.24563334474495033"/>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4228022183605085E-2"/>
          <c:y val="4.4098237720284962E-2"/>
          <c:w val="0.92137192460234962"/>
          <c:h val="0.59730001141161704"/>
        </c:manualLayout>
      </c:layout>
      <c:barChart>
        <c:barDir val="col"/>
        <c:grouping val="clustered"/>
        <c:varyColors val="0"/>
        <c:ser>
          <c:idx val="0"/>
          <c:order val="0"/>
          <c:tx>
            <c:strRef>
              <c:f>TDS!$E$50</c:f>
              <c:strCache>
                <c:ptCount val="1"/>
                <c:pt idx="0">
                  <c:v>2021</c:v>
                </c:pt>
              </c:strCache>
            </c:strRef>
          </c:tx>
          <c:spPr>
            <a:solidFill>
              <a:schemeClr val="accent1"/>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TDS!$E$51:$E$58</c:f>
              <c:numCache>
                <c:formatCode>General</c:formatCode>
                <c:ptCount val="8"/>
                <c:pt idx="0">
                  <c:v>48.75</c:v>
                </c:pt>
                <c:pt idx="1">
                  <c:v>52.5</c:v>
                </c:pt>
                <c:pt idx="2">
                  <c:v>91.25</c:v>
                </c:pt>
                <c:pt idx="3">
                  <c:v>39.75</c:v>
                </c:pt>
                <c:pt idx="4">
                  <c:v>267</c:v>
                </c:pt>
                <c:pt idx="5">
                  <c:v>68</c:v>
                </c:pt>
                <c:pt idx="6">
                  <c:v>131.75</c:v>
                </c:pt>
                <c:pt idx="7">
                  <c:v>63.25</c:v>
                </c:pt>
              </c:numCache>
            </c:numRef>
          </c:val>
          <c:extLst>
            <c:ext xmlns:c16="http://schemas.microsoft.com/office/drawing/2014/chart" uri="{C3380CC4-5D6E-409C-BE32-E72D297353CC}">
              <c16:uniqueId val="{00000000-8461-437B-9C04-341A70FFB12D}"/>
            </c:ext>
          </c:extLst>
        </c:ser>
        <c:ser>
          <c:idx val="1"/>
          <c:order val="1"/>
          <c:tx>
            <c:strRef>
              <c:f>TDS!$F$50</c:f>
              <c:strCache>
                <c:ptCount val="1"/>
                <c:pt idx="0">
                  <c:v>2022</c:v>
                </c:pt>
              </c:strCache>
            </c:strRef>
          </c:tx>
          <c:spPr>
            <a:solidFill>
              <a:schemeClr val="accent2"/>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TDS!$F$51:$F$58</c:f>
              <c:numCache>
                <c:formatCode>General</c:formatCode>
                <c:ptCount val="8"/>
                <c:pt idx="0">
                  <c:v>47.25</c:v>
                </c:pt>
                <c:pt idx="1">
                  <c:v>86.5</c:v>
                </c:pt>
                <c:pt idx="2">
                  <c:v>84.25</c:v>
                </c:pt>
                <c:pt idx="3">
                  <c:v>35</c:v>
                </c:pt>
                <c:pt idx="4">
                  <c:v>259.5</c:v>
                </c:pt>
                <c:pt idx="5">
                  <c:v>82</c:v>
                </c:pt>
                <c:pt idx="6">
                  <c:v>123.1</c:v>
                </c:pt>
                <c:pt idx="7">
                  <c:v>99.25</c:v>
                </c:pt>
              </c:numCache>
            </c:numRef>
          </c:val>
          <c:extLst>
            <c:ext xmlns:c16="http://schemas.microsoft.com/office/drawing/2014/chart" uri="{C3380CC4-5D6E-409C-BE32-E72D297353CC}">
              <c16:uniqueId val="{00000001-8461-437B-9C04-341A70FFB12D}"/>
            </c:ext>
          </c:extLst>
        </c:ser>
        <c:ser>
          <c:idx val="2"/>
          <c:order val="2"/>
          <c:tx>
            <c:strRef>
              <c:f>TDS!$G$50</c:f>
              <c:strCache>
                <c:ptCount val="1"/>
                <c:pt idx="0">
                  <c:v>2023</c:v>
                </c:pt>
              </c:strCache>
            </c:strRef>
          </c:tx>
          <c:spPr>
            <a:solidFill>
              <a:schemeClr val="accent3"/>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TDS!$G$51:$G$58</c:f>
              <c:numCache>
                <c:formatCode>General</c:formatCode>
                <c:ptCount val="8"/>
                <c:pt idx="0">
                  <c:v>37.825000000000003</c:v>
                </c:pt>
                <c:pt idx="1">
                  <c:v>70.150000000000006</c:v>
                </c:pt>
                <c:pt idx="2">
                  <c:v>90.074999999999989</c:v>
                </c:pt>
                <c:pt idx="3">
                  <c:v>35.4</c:v>
                </c:pt>
                <c:pt idx="4">
                  <c:v>240.25</c:v>
                </c:pt>
                <c:pt idx="5">
                  <c:v>95.25</c:v>
                </c:pt>
                <c:pt idx="6">
                  <c:v>98.724999999999994</c:v>
                </c:pt>
                <c:pt idx="7">
                  <c:v>116.5</c:v>
                </c:pt>
              </c:numCache>
            </c:numRef>
          </c:val>
          <c:extLst>
            <c:ext xmlns:c16="http://schemas.microsoft.com/office/drawing/2014/chart" uri="{C3380CC4-5D6E-409C-BE32-E72D297353CC}">
              <c16:uniqueId val="{00000002-8461-437B-9C04-341A70FFB12D}"/>
            </c:ext>
          </c:extLst>
        </c:ser>
        <c:ser>
          <c:idx val="3"/>
          <c:order val="3"/>
          <c:tx>
            <c:strRef>
              <c:f>TDS!$H$50</c:f>
              <c:strCache>
                <c:ptCount val="1"/>
                <c:pt idx="0">
                  <c:v>2024</c:v>
                </c:pt>
              </c:strCache>
            </c:strRef>
          </c:tx>
          <c:spPr>
            <a:solidFill>
              <a:schemeClr val="accent4"/>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TDS!$H$51:$H$58</c:f>
              <c:numCache>
                <c:formatCode>General</c:formatCode>
                <c:ptCount val="8"/>
                <c:pt idx="0">
                  <c:v>48.8</c:v>
                </c:pt>
                <c:pt idx="1">
                  <c:v>63.724999999999994</c:v>
                </c:pt>
                <c:pt idx="2">
                  <c:v>82.025000000000006</c:v>
                </c:pt>
                <c:pt idx="3">
                  <c:v>77.575000000000003</c:v>
                </c:pt>
                <c:pt idx="4">
                  <c:v>275</c:v>
                </c:pt>
                <c:pt idx="5">
                  <c:v>81.275000000000006</c:v>
                </c:pt>
                <c:pt idx="6">
                  <c:v>94.925000000000011</c:v>
                </c:pt>
                <c:pt idx="7">
                  <c:v>193.82500000000002</c:v>
                </c:pt>
              </c:numCache>
            </c:numRef>
          </c:val>
          <c:extLst>
            <c:ext xmlns:c16="http://schemas.microsoft.com/office/drawing/2014/chart" uri="{C3380CC4-5D6E-409C-BE32-E72D297353CC}">
              <c16:uniqueId val="{00000003-8461-437B-9C04-341A70FFB12D}"/>
            </c:ext>
          </c:extLst>
        </c:ser>
        <c:ser>
          <c:idx val="4"/>
          <c:order val="4"/>
          <c:tx>
            <c:strRef>
              <c:f>TDS!$I$50</c:f>
              <c:strCache>
                <c:ptCount val="1"/>
                <c:pt idx="0">
                  <c:v>2025</c:v>
                </c:pt>
              </c:strCache>
            </c:strRef>
          </c:tx>
          <c:spPr>
            <a:solidFill>
              <a:schemeClr val="accent5"/>
            </a:solidFill>
            <a:ln>
              <a:noFill/>
            </a:ln>
            <a:effectLst/>
          </c:spPr>
          <c:invertIfNegative val="0"/>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TDS!$I$51:$I$58</c:f>
              <c:numCache>
                <c:formatCode>General</c:formatCode>
                <c:ptCount val="8"/>
                <c:pt idx="0">
                  <c:v>49.7</c:v>
                </c:pt>
                <c:pt idx="1">
                  <c:v>46.1</c:v>
                </c:pt>
                <c:pt idx="2">
                  <c:v>75.400000000000006</c:v>
                </c:pt>
                <c:pt idx="3">
                  <c:v>31.1</c:v>
                </c:pt>
                <c:pt idx="4">
                  <c:v>255</c:v>
                </c:pt>
                <c:pt idx="5">
                  <c:v>85.9</c:v>
                </c:pt>
                <c:pt idx="6">
                  <c:v>120</c:v>
                </c:pt>
                <c:pt idx="7">
                  <c:v>45.5</c:v>
                </c:pt>
              </c:numCache>
            </c:numRef>
          </c:val>
          <c:extLst>
            <c:ext xmlns:c16="http://schemas.microsoft.com/office/drawing/2014/chart" uri="{C3380CC4-5D6E-409C-BE32-E72D297353CC}">
              <c16:uniqueId val="{00000004-8461-437B-9C04-341A70FFB12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TDS!$J$50</c:f>
              <c:strCache>
                <c:ptCount val="1"/>
                <c:pt idx="0">
                  <c:v>Quy chuẩn đánh giá </c:v>
                </c:pt>
              </c:strCache>
            </c:strRef>
          </c:tx>
          <c:spPr>
            <a:ln w="22225" cap="rnd">
              <a:solidFill>
                <a:schemeClr val="accent6"/>
              </a:solidFill>
              <a:round/>
            </a:ln>
            <a:effectLst/>
          </c:spPr>
          <c:marker>
            <c:symbol val="none"/>
          </c:marker>
          <c:cat>
            <c:strRef>
              <c:f>TDS!$D$51:$D$58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TDS!$J$51:$J$58</c:f>
              <c:numCache>
                <c:formatCode>General</c:formatCode>
                <c:ptCount val="8"/>
                <c:pt idx="0">
                  <c:v>1500</c:v>
                </c:pt>
                <c:pt idx="1">
                  <c:v>1500</c:v>
                </c:pt>
                <c:pt idx="2">
                  <c:v>1500</c:v>
                </c:pt>
                <c:pt idx="3">
                  <c:v>1500</c:v>
                </c:pt>
                <c:pt idx="4">
                  <c:v>1500</c:v>
                </c:pt>
                <c:pt idx="5">
                  <c:v>1500</c:v>
                </c:pt>
                <c:pt idx="6">
                  <c:v>1500</c:v>
                </c:pt>
                <c:pt idx="7">
                  <c:v>1500</c:v>
                </c:pt>
              </c:numCache>
            </c:numRef>
          </c:val>
          <c:smooth val="0"/>
          <c:extLst>
            <c:ext xmlns:c16="http://schemas.microsoft.com/office/drawing/2014/chart" uri="{C3380CC4-5D6E-409C-BE32-E72D297353CC}">
              <c16:uniqueId val="{00000005-8461-437B-9C04-341A70FFB12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0"/>
      </c:valAx>
      <c:spPr>
        <a:noFill/>
        <a:ln>
          <a:noFill/>
        </a:ln>
        <a:effectLst/>
      </c:spPr>
    </c:plotArea>
    <c:legend>
      <c:legendPos val="b"/>
      <c:layout>
        <c:manualLayout>
          <c:xMode val="edge"/>
          <c:yMode val="edge"/>
          <c:x val="0.23965078282849281"/>
          <c:y val="0.87771653543307082"/>
          <c:w val="0.52351423337130376"/>
          <c:h val="0.122283464566929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2381462672195565E-2"/>
          <c:y val="2.9031998132219832E-2"/>
          <c:w val="0.91724828775101352"/>
          <c:h val="0.97096800186778021"/>
        </c:manualLayout>
      </c:layout>
      <c:pieChart>
        <c:varyColors val="1"/>
        <c:ser>
          <c:idx val="0"/>
          <c:order val="0"/>
          <c:tx>
            <c:strRef>
              <c:f>Sheet2!$M$61</c:f>
              <c:strCache>
                <c:ptCount val="1"/>
                <c:pt idx="0">
                  <c:v>Tỷ lệ</c:v>
                </c:pt>
              </c:strCache>
            </c:strRef>
          </c:tx>
          <c:explosion val="13"/>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B162-4C9E-B9E1-2214E276409D}"/>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B162-4C9E-B9E1-2214E276409D}"/>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B162-4C9E-B9E1-2214E276409D}"/>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B162-4C9E-B9E1-2214E276409D}"/>
              </c:ext>
            </c:extLst>
          </c:dPt>
          <c:dPt>
            <c:idx val="4"/>
            <c:bubble3D val="0"/>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9-B162-4C9E-B9E1-2214E276409D}"/>
              </c:ext>
            </c:extLst>
          </c:dPt>
          <c:dLbls>
            <c:dLbl>
              <c:idx val="0"/>
              <c:layout>
                <c:manualLayout>
                  <c:x val="-0.16231227383559313"/>
                  <c:y val="0.153865829746878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162-4C9E-B9E1-2214E276409D}"/>
                </c:ext>
              </c:extLst>
            </c:dLbl>
            <c:dLbl>
              <c:idx val="1"/>
              <c:layout>
                <c:manualLayout>
                  <c:x val="-0.13704732839872533"/>
                  <c:y val="-0.1695604967107963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162-4C9E-B9E1-2214E276409D}"/>
                </c:ext>
              </c:extLst>
            </c:dLbl>
            <c:dLbl>
              <c:idx val="2"/>
              <c:layout>
                <c:manualLayout>
                  <c:x val="0.12463909356084237"/>
                  <c:y val="-0.12018904936998759"/>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fld id="{4C04B891-DAA0-4C08-AB52-950B802A8580}" type="CATEGORYNAME">
                      <a:rPr lang="vi-VN" sz="1000">
                        <a:solidFill>
                          <a:sysClr val="windowText" lastClr="000000"/>
                        </a:solidFill>
                        <a:latin typeface="Times New Roman" panose="02020603050405020304" pitchFamily="18" charset="0"/>
                        <a:cs typeface="Times New Roman" panose="02020603050405020304" pitchFamily="18" charset="0"/>
                      </a:rPr>
                      <a:pPr>
                        <a:defRPr sz="1000">
                          <a:solidFill>
                            <a:sysClr val="windowText" lastClr="000000"/>
                          </a:solidFill>
                          <a:latin typeface="Times New Roman" panose="02020603050405020304" pitchFamily="18" charset="0"/>
                          <a:cs typeface="Times New Roman" panose="02020603050405020304" pitchFamily="18" charset="0"/>
                        </a:defRPr>
                      </a:pPr>
                      <a:t>[CATEGORY NAME]</a:t>
                    </a:fld>
                    <a:r>
                      <a:rPr lang="vi-VN" sz="1000" baseline="0">
                        <a:solidFill>
                          <a:sysClr val="windowText" lastClr="000000"/>
                        </a:solidFill>
                        <a:latin typeface="Times New Roman" panose="02020603050405020304" pitchFamily="18" charset="0"/>
                        <a:cs typeface="Times New Roman" panose="02020603050405020304" pitchFamily="18" charset="0"/>
                      </a:rPr>
                      <a:t>
</a:t>
                    </a:r>
                    <a:fld id="{81438B14-82EB-4A8F-A059-F1B76DA7408D}" type="PERCENTAGE">
                      <a:rPr lang="vi-VN" sz="1000" baseline="0">
                        <a:solidFill>
                          <a:sysClr val="windowText" lastClr="000000"/>
                        </a:solidFill>
                        <a:latin typeface="Times New Roman" panose="02020603050405020304" pitchFamily="18" charset="0"/>
                        <a:cs typeface="Times New Roman" panose="02020603050405020304" pitchFamily="18" charset="0"/>
                      </a:rPr>
                      <a:pPr>
                        <a:defRPr sz="1000">
                          <a:solidFill>
                            <a:sysClr val="windowText" lastClr="000000"/>
                          </a:solidFill>
                          <a:latin typeface="Times New Roman" panose="02020603050405020304" pitchFamily="18" charset="0"/>
                          <a:cs typeface="Times New Roman" panose="02020603050405020304" pitchFamily="18" charset="0"/>
                        </a:defRPr>
                      </a:pPr>
                      <a:t>[PERCENTAGE]</a:t>
                    </a:fld>
                    <a:endParaRPr lang="vi-VN" sz="1000" baseline="0">
                      <a:solidFill>
                        <a:sysClr val="windowText" lastClr="000000"/>
                      </a:solidFill>
                      <a:latin typeface="Times New Roman" panose="02020603050405020304" pitchFamily="18" charset="0"/>
                      <a:cs typeface="Times New Roman" panose="02020603050405020304" pitchFamily="18" charset="0"/>
                    </a:endParaRP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vi-VN"/>
                </a:p>
              </c:txPr>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B162-4C9E-B9E1-2214E276409D}"/>
                </c:ext>
              </c:extLst>
            </c:dLbl>
            <c:dLbl>
              <c:idx val="3"/>
              <c:layout>
                <c:manualLayout>
                  <c:x val="0.13422401341844103"/>
                  <c:y val="3.741345504207670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162-4C9E-B9E1-2214E276409D}"/>
                </c:ext>
              </c:extLst>
            </c:dLbl>
            <c:dLbl>
              <c:idx val="4"/>
              <c:layout>
                <c:manualLayout>
                  <c:x val="0.1765087980866297"/>
                  <c:y val="0.12343754196823534"/>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9526627218934914"/>
                      <c:h val="0.1836788244555235"/>
                    </c:manualLayout>
                  </c15:layout>
                </c:ext>
                <c:ext xmlns:c16="http://schemas.microsoft.com/office/drawing/2014/chart" uri="{C3380CC4-5D6E-409C-BE32-E72D297353CC}">
                  <c16:uniqueId val="{00000009-B162-4C9E-B9E1-2214E276409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Sheet2!$L$62:$L$66</c:f>
              <c:strCache>
                <c:ptCount val="5"/>
                <c:pt idx="0">
                  <c:v>Lợn </c:v>
                </c:pt>
                <c:pt idx="1">
                  <c:v>Bò</c:v>
                </c:pt>
                <c:pt idx="2">
                  <c:v>Hươu </c:v>
                </c:pt>
                <c:pt idx="3">
                  <c:v>Trâu </c:v>
                </c:pt>
                <c:pt idx="4">
                  <c:v>Gia cầm </c:v>
                </c:pt>
              </c:strCache>
            </c:strRef>
          </c:cat>
          <c:val>
            <c:numRef>
              <c:f>Sheet2!$M$62:$M$66</c:f>
              <c:numCache>
                <c:formatCode>0.00</c:formatCode>
                <c:ptCount val="5"/>
                <c:pt idx="0">
                  <c:v>19.797195432747401</c:v>
                </c:pt>
                <c:pt idx="1">
                  <c:v>40.270466054410321</c:v>
                </c:pt>
                <c:pt idx="2">
                  <c:v>3.2767446080182614</c:v>
                </c:pt>
                <c:pt idx="3">
                  <c:v>24.182382811794092</c:v>
                </c:pt>
                <c:pt idx="4">
                  <c:v>12.473211093029926</c:v>
                </c:pt>
              </c:numCache>
            </c:numRef>
          </c:val>
          <c:extLst>
            <c:ext xmlns:c16="http://schemas.microsoft.com/office/drawing/2014/chart" uri="{C3380CC4-5D6E-409C-BE32-E72D297353CC}">
              <c16:uniqueId val="{0000000A-B162-4C9E-B9E1-2214E276409D}"/>
            </c:ext>
          </c:extLst>
        </c:ser>
        <c:dLbls>
          <c:dLblPos val="inEnd"/>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2110026025462E-4"/>
          <c:y val="0.1960659532942997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1435908498792761E-2"/>
          <c:y val="5.1301971868901002E-2"/>
          <c:w val="0.93179525899620819"/>
          <c:h val="0.63289481122551972"/>
        </c:manualLayout>
      </c:layout>
      <c:barChart>
        <c:barDir val="col"/>
        <c:grouping val="clustered"/>
        <c:varyColors val="0"/>
        <c:ser>
          <c:idx val="0"/>
          <c:order val="0"/>
          <c:tx>
            <c:strRef>
              <c:f>'Do cung'!$D$50</c:f>
              <c:strCache>
                <c:ptCount val="1"/>
                <c:pt idx="0">
                  <c:v>2021</c:v>
                </c:pt>
              </c:strCache>
            </c:strRef>
          </c:tx>
          <c:spPr>
            <a:solidFill>
              <a:schemeClr val="accent1"/>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cung'!$D$51:$D$58</c:f>
              <c:numCache>
                <c:formatCode>General</c:formatCode>
                <c:ptCount val="8"/>
                <c:pt idx="0">
                  <c:v>45</c:v>
                </c:pt>
                <c:pt idx="1">
                  <c:v>30</c:v>
                </c:pt>
                <c:pt idx="2">
                  <c:v>68</c:v>
                </c:pt>
                <c:pt idx="3">
                  <c:v>15</c:v>
                </c:pt>
                <c:pt idx="4">
                  <c:v>97.75</c:v>
                </c:pt>
                <c:pt idx="5">
                  <c:v>50.25</c:v>
                </c:pt>
                <c:pt idx="6">
                  <c:v>137.25</c:v>
                </c:pt>
                <c:pt idx="7">
                  <c:v>33</c:v>
                </c:pt>
              </c:numCache>
            </c:numRef>
          </c:val>
          <c:extLst>
            <c:ext xmlns:c16="http://schemas.microsoft.com/office/drawing/2014/chart" uri="{C3380CC4-5D6E-409C-BE32-E72D297353CC}">
              <c16:uniqueId val="{00000000-B9DF-490C-A544-F373B3C23E41}"/>
            </c:ext>
          </c:extLst>
        </c:ser>
        <c:ser>
          <c:idx val="1"/>
          <c:order val="1"/>
          <c:tx>
            <c:strRef>
              <c:f>'Do cung'!$E$50</c:f>
              <c:strCache>
                <c:ptCount val="1"/>
                <c:pt idx="0">
                  <c:v>2022</c:v>
                </c:pt>
              </c:strCache>
            </c:strRef>
          </c:tx>
          <c:spPr>
            <a:solidFill>
              <a:schemeClr val="accent2"/>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cung'!$E$51:$E$58</c:f>
              <c:numCache>
                <c:formatCode>General</c:formatCode>
                <c:ptCount val="8"/>
                <c:pt idx="0">
                  <c:v>29.25</c:v>
                </c:pt>
                <c:pt idx="1">
                  <c:v>62.5</c:v>
                </c:pt>
                <c:pt idx="2">
                  <c:v>35.25</c:v>
                </c:pt>
                <c:pt idx="3">
                  <c:v>17</c:v>
                </c:pt>
                <c:pt idx="4">
                  <c:v>95.75</c:v>
                </c:pt>
                <c:pt idx="5">
                  <c:v>43</c:v>
                </c:pt>
                <c:pt idx="6">
                  <c:v>83.75</c:v>
                </c:pt>
                <c:pt idx="7">
                  <c:v>78.25</c:v>
                </c:pt>
              </c:numCache>
            </c:numRef>
          </c:val>
          <c:extLst>
            <c:ext xmlns:c16="http://schemas.microsoft.com/office/drawing/2014/chart" uri="{C3380CC4-5D6E-409C-BE32-E72D297353CC}">
              <c16:uniqueId val="{00000001-B9DF-490C-A544-F373B3C23E41}"/>
            </c:ext>
          </c:extLst>
        </c:ser>
        <c:ser>
          <c:idx val="2"/>
          <c:order val="2"/>
          <c:tx>
            <c:strRef>
              <c:f>'Do cung'!$F$50</c:f>
              <c:strCache>
                <c:ptCount val="1"/>
                <c:pt idx="0">
                  <c:v>2023</c:v>
                </c:pt>
              </c:strCache>
            </c:strRef>
          </c:tx>
          <c:spPr>
            <a:solidFill>
              <a:schemeClr val="accent3"/>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cung'!$F$51:$F$58</c:f>
              <c:numCache>
                <c:formatCode>General</c:formatCode>
                <c:ptCount val="8"/>
                <c:pt idx="0">
                  <c:v>20.5</c:v>
                </c:pt>
                <c:pt idx="1">
                  <c:v>37.75</c:v>
                </c:pt>
                <c:pt idx="2">
                  <c:v>71.75</c:v>
                </c:pt>
                <c:pt idx="3">
                  <c:v>21.75</c:v>
                </c:pt>
                <c:pt idx="4">
                  <c:v>96.5</c:v>
                </c:pt>
                <c:pt idx="5">
                  <c:v>46.5</c:v>
                </c:pt>
                <c:pt idx="6">
                  <c:v>73.25</c:v>
                </c:pt>
                <c:pt idx="7">
                  <c:v>71.25</c:v>
                </c:pt>
              </c:numCache>
            </c:numRef>
          </c:val>
          <c:extLst>
            <c:ext xmlns:c16="http://schemas.microsoft.com/office/drawing/2014/chart" uri="{C3380CC4-5D6E-409C-BE32-E72D297353CC}">
              <c16:uniqueId val="{00000002-B9DF-490C-A544-F373B3C23E41}"/>
            </c:ext>
          </c:extLst>
        </c:ser>
        <c:ser>
          <c:idx val="3"/>
          <c:order val="3"/>
          <c:tx>
            <c:strRef>
              <c:f>'Do cung'!$G$50</c:f>
              <c:strCache>
                <c:ptCount val="1"/>
                <c:pt idx="0">
                  <c:v>2024</c:v>
                </c:pt>
              </c:strCache>
            </c:strRef>
          </c:tx>
          <c:spPr>
            <a:solidFill>
              <a:schemeClr val="accent4"/>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cung'!$G$51:$G$58</c:f>
              <c:numCache>
                <c:formatCode>General</c:formatCode>
                <c:ptCount val="8"/>
                <c:pt idx="0">
                  <c:v>40.5</c:v>
                </c:pt>
                <c:pt idx="1">
                  <c:v>43.75</c:v>
                </c:pt>
                <c:pt idx="2">
                  <c:v>55.75</c:v>
                </c:pt>
                <c:pt idx="3">
                  <c:v>55.5</c:v>
                </c:pt>
                <c:pt idx="4">
                  <c:v>153</c:v>
                </c:pt>
                <c:pt idx="5">
                  <c:v>54.5</c:v>
                </c:pt>
                <c:pt idx="6">
                  <c:v>66.25</c:v>
                </c:pt>
                <c:pt idx="7">
                  <c:v>143.5</c:v>
                </c:pt>
              </c:numCache>
            </c:numRef>
          </c:val>
          <c:extLst>
            <c:ext xmlns:c16="http://schemas.microsoft.com/office/drawing/2014/chart" uri="{C3380CC4-5D6E-409C-BE32-E72D297353CC}">
              <c16:uniqueId val="{00000003-B9DF-490C-A544-F373B3C23E41}"/>
            </c:ext>
          </c:extLst>
        </c:ser>
        <c:ser>
          <c:idx val="4"/>
          <c:order val="4"/>
          <c:tx>
            <c:strRef>
              <c:f>'Do cung'!$H$50</c:f>
              <c:strCache>
                <c:ptCount val="1"/>
                <c:pt idx="0">
                  <c:v>2025</c:v>
                </c:pt>
              </c:strCache>
            </c:strRef>
          </c:tx>
          <c:spPr>
            <a:solidFill>
              <a:schemeClr val="accent5"/>
            </a:solidFill>
            <a:ln>
              <a:noFill/>
            </a:ln>
            <a:effectLst/>
          </c:spPr>
          <c:invertIfNegative val="0"/>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cung'!$H$51:$H$58</c:f>
              <c:numCache>
                <c:formatCode>General</c:formatCode>
                <c:ptCount val="8"/>
                <c:pt idx="0">
                  <c:v>25</c:v>
                </c:pt>
                <c:pt idx="1">
                  <c:v>24</c:v>
                </c:pt>
                <c:pt idx="2">
                  <c:v>63</c:v>
                </c:pt>
                <c:pt idx="3">
                  <c:v>18</c:v>
                </c:pt>
                <c:pt idx="4">
                  <c:v>144</c:v>
                </c:pt>
                <c:pt idx="5">
                  <c:v>58</c:v>
                </c:pt>
                <c:pt idx="6">
                  <c:v>65</c:v>
                </c:pt>
                <c:pt idx="7">
                  <c:v>25</c:v>
                </c:pt>
              </c:numCache>
            </c:numRef>
          </c:val>
          <c:extLst>
            <c:ext xmlns:c16="http://schemas.microsoft.com/office/drawing/2014/chart" uri="{C3380CC4-5D6E-409C-BE32-E72D297353CC}">
              <c16:uniqueId val="{00000004-B9DF-490C-A544-F373B3C23E41}"/>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 cung'!$I$50</c:f>
              <c:strCache>
                <c:ptCount val="1"/>
                <c:pt idx="0">
                  <c:v>Quy chuẩn đánh giá </c:v>
                </c:pt>
              </c:strCache>
            </c:strRef>
          </c:tx>
          <c:spPr>
            <a:ln w="22225" cap="rnd">
              <a:solidFill>
                <a:schemeClr val="accent6"/>
              </a:solidFill>
              <a:round/>
            </a:ln>
            <a:effectLst/>
          </c:spPr>
          <c:marker>
            <c:symbol val="none"/>
          </c:marker>
          <c:cat>
            <c:strRef>
              <c:f>'Do cung'!$C$51:$C$58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'Do cung'!$I$51:$I$58</c:f>
              <c:numCache>
                <c:formatCode>General</c:formatCode>
                <c:ptCount val="8"/>
                <c:pt idx="0">
                  <c:v>500</c:v>
                </c:pt>
                <c:pt idx="1">
                  <c:v>500</c:v>
                </c:pt>
                <c:pt idx="2">
                  <c:v>500</c:v>
                </c:pt>
                <c:pt idx="3">
                  <c:v>500</c:v>
                </c:pt>
                <c:pt idx="4">
                  <c:v>500</c:v>
                </c:pt>
                <c:pt idx="5">
                  <c:v>500</c:v>
                </c:pt>
                <c:pt idx="6">
                  <c:v>500</c:v>
                </c:pt>
                <c:pt idx="7">
                  <c:v>500</c:v>
                </c:pt>
              </c:numCache>
            </c:numRef>
          </c:val>
          <c:smooth val="0"/>
          <c:extLst>
            <c:ext xmlns:c16="http://schemas.microsoft.com/office/drawing/2014/chart" uri="{C3380CC4-5D6E-409C-BE32-E72D297353CC}">
              <c16:uniqueId val="{00000005-B9DF-490C-A544-F373B3C23E41}"/>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5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
      </c:valAx>
      <c:spPr>
        <a:noFill/>
        <a:ln>
          <a:noFill/>
        </a:ln>
        <a:effectLst/>
      </c:spPr>
    </c:plotArea>
    <c:legend>
      <c:legendPos val="b"/>
      <c:layout>
        <c:manualLayout>
          <c:xMode val="edge"/>
          <c:yMode val="edge"/>
          <c:x val="0.14606528767676433"/>
          <c:y val="0.88461457702402579"/>
          <c:w val="0.69943938777937265"/>
          <c:h val="0.1153854229759741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27198024297595E-4"/>
          <c:y val="0.1955772836087796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2830548080224147E-2"/>
          <c:y val="4.7395229442473534E-2"/>
          <c:w val="0.92901347774566156"/>
          <c:h val="0.60212569582648323"/>
        </c:manualLayout>
      </c:layout>
      <c:barChart>
        <c:barDir val="col"/>
        <c:grouping val="clustered"/>
        <c:varyColors val="0"/>
        <c:ser>
          <c:idx val="0"/>
          <c:order val="0"/>
          <c:tx>
            <c:strRef>
              <c:f>Asen!$D$50</c:f>
              <c:strCache>
                <c:ptCount val="1"/>
                <c:pt idx="0">
                  <c:v>2021</c:v>
                </c:pt>
              </c:strCache>
            </c:strRef>
          </c:tx>
          <c:spPr>
            <a:solidFill>
              <a:schemeClr val="accent1"/>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Asen!$D$51:$D$58</c:f>
              <c:numCache>
                <c:formatCode>General</c:formatCode>
                <c:ptCount val="8"/>
                <c:pt idx="0">
                  <c:v>3.0000000000000001E-3</c:v>
                </c:pt>
                <c:pt idx="1">
                  <c:v>3.0000000000000001E-3</c:v>
                </c:pt>
                <c:pt idx="2">
                  <c:v>4.5000000000000005E-3</c:v>
                </c:pt>
                <c:pt idx="3">
                  <c:v>3.0000000000000001E-3</c:v>
                </c:pt>
                <c:pt idx="4">
                  <c:v>3.0000000000000001E-3</c:v>
                </c:pt>
                <c:pt idx="5">
                  <c:v>3.0000000000000001E-3</c:v>
                </c:pt>
                <c:pt idx="6">
                  <c:v>4.2500000000000003E-3</c:v>
                </c:pt>
                <c:pt idx="7">
                  <c:v>3.0000000000000001E-3</c:v>
                </c:pt>
              </c:numCache>
            </c:numRef>
          </c:val>
          <c:extLst>
            <c:ext xmlns:c16="http://schemas.microsoft.com/office/drawing/2014/chart" uri="{C3380CC4-5D6E-409C-BE32-E72D297353CC}">
              <c16:uniqueId val="{00000000-1DBD-44F4-97B9-6FAEDD5330A7}"/>
            </c:ext>
          </c:extLst>
        </c:ser>
        <c:ser>
          <c:idx val="1"/>
          <c:order val="1"/>
          <c:tx>
            <c:strRef>
              <c:f>Asen!$E$50</c:f>
              <c:strCache>
                <c:ptCount val="1"/>
                <c:pt idx="0">
                  <c:v>2022</c:v>
                </c:pt>
              </c:strCache>
            </c:strRef>
          </c:tx>
          <c:spPr>
            <a:solidFill>
              <a:schemeClr val="accent2"/>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Asen!$E$51:$E$58</c:f>
              <c:numCache>
                <c:formatCode>General</c:formatCode>
                <c:ptCount val="8"/>
                <c:pt idx="0">
                  <c:v>1.9750000000000002E-3</c:v>
                </c:pt>
                <c:pt idx="1">
                  <c:v>2.5999999999999999E-3</c:v>
                </c:pt>
                <c:pt idx="2">
                  <c:v>2.725E-3</c:v>
                </c:pt>
                <c:pt idx="3">
                  <c:v>3.6750000000000003E-3</c:v>
                </c:pt>
                <c:pt idx="4">
                  <c:v>2.15E-3</c:v>
                </c:pt>
                <c:pt idx="5">
                  <c:v>1.5499999999999997E-3</c:v>
                </c:pt>
                <c:pt idx="6">
                  <c:v>3.5000000000000001E-3</c:v>
                </c:pt>
                <c:pt idx="7">
                  <c:v>2.9500000000000004E-3</c:v>
                </c:pt>
              </c:numCache>
            </c:numRef>
          </c:val>
          <c:extLst>
            <c:ext xmlns:c16="http://schemas.microsoft.com/office/drawing/2014/chart" uri="{C3380CC4-5D6E-409C-BE32-E72D297353CC}">
              <c16:uniqueId val="{00000001-1DBD-44F4-97B9-6FAEDD5330A7}"/>
            </c:ext>
          </c:extLst>
        </c:ser>
        <c:ser>
          <c:idx val="2"/>
          <c:order val="2"/>
          <c:tx>
            <c:strRef>
              <c:f>Asen!$F$50</c:f>
              <c:strCache>
                <c:ptCount val="1"/>
                <c:pt idx="0">
                  <c:v>2023</c:v>
                </c:pt>
              </c:strCache>
            </c:strRef>
          </c:tx>
          <c:spPr>
            <a:solidFill>
              <a:schemeClr val="accent3"/>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Asen!$F$51:$F$58</c:f>
              <c:numCache>
                <c:formatCode>General</c:formatCode>
                <c:ptCount val="8"/>
                <c:pt idx="0">
                  <c:v>9.7499999999999996E-4</c:v>
                </c:pt>
                <c:pt idx="1">
                  <c:v>5.7499999999999999E-4</c:v>
                </c:pt>
                <c:pt idx="2">
                  <c:v>5.2499999999999997E-4</c:v>
                </c:pt>
                <c:pt idx="3">
                  <c:v>8.0000000000000004E-4</c:v>
                </c:pt>
                <c:pt idx="4">
                  <c:v>4.0000000000000002E-4</c:v>
                </c:pt>
                <c:pt idx="5">
                  <c:v>7.5000000000000002E-4</c:v>
                </c:pt>
                <c:pt idx="6">
                  <c:v>1.5E-3</c:v>
                </c:pt>
                <c:pt idx="7">
                  <c:v>1.225E-3</c:v>
                </c:pt>
              </c:numCache>
            </c:numRef>
          </c:val>
          <c:extLst>
            <c:ext xmlns:c16="http://schemas.microsoft.com/office/drawing/2014/chart" uri="{C3380CC4-5D6E-409C-BE32-E72D297353CC}">
              <c16:uniqueId val="{00000002-1DBD-44F4-97B9-6FAEDD5330A7}"/>
            </c:ext>
          </c:extLst>
        </c:ser>
        <c:ser>
          <c:idx val="3"/>
          <c:order val="3"/>
          <c:tx>
            <c:strRef>
              <c:f>Asen!$G$50</c:f>
              <c:strCache>
                <c:ptCount val="1"/>
                <c:pt idx="0">
                  <c:v>2024</c:v>
                </c:pt>
              </c:strCache>
            </c:strRef>
          </c:tx>
          <c:spPr>
            <a:solidFill>
              <a:schemeClr val="accent4"/>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Asen!$G$51:$G$58</c:f>
              <c:numCache>
                <c:formatCode>General</c:formatCode>
                <c:ptCount val="8"/>
                <c:pt idx="0">
                  <c:v>3.0000000000000001E-3</c:v>
                </c:pt>
                <c:pt idx="1">
                  <c:v>3.0000000000000001E-3</c:v>
                </c:pt>
                <c:pt idx="2">
                  <c:v>3.0000000000000001E-3</c:v>
                </c:pt>
                <c:pt idx="3">
                  <c:v>3.0000000000000001E-3</c:v>
                </c:pt>
                <c:pt idx="4">
                  <c:v>4.4999999999999999E-4</c:v>
                </c:pt>
                <c:pt idx="5">
                  <c:v>3.0000000000000001E-3</c:v>
                </c:pt>
                <c:pt idx="6">
                  <c:v>1.75E-4</c:v>
                </c:pt>
                <c:pt idx="7">
                  <c:v>3.0000000000000001E-3</c:v>
                </c:pt>
              </c:numCache>
            </c:numRef>
          </c:val>
          <c:extLst>
            <c:ext xmlns:c16="http://schemas.microsoft.com/office/drawing/2014/chart" uri="{C3380CC4-5D6E-409C-BE32-E72D297353CC}">
              <c16:uniqueId val="{00000003-1DBD-44F4-97B9-6FAEDD5330A7}"/>
            </c:ext>
          </c:extLst>
        </c:ser>
        <c:ser>
          <c:idx val="4"/>
          <c:order val="4"/>
          <c:tx>
            <c:strRef>
              <c:f>Asen!$H$50</c:f>
              <c:strCache>
                <c:ptCount val="1"/>
                <c:pt idx="0">
                  <c:v>2025</c:v>
                </c:pt>
              </c:strCache>
            </c:strRef>
          </c:tx>
          <c:spPr>
            <a:solidFill>
              <a:schemeClr val="accent5"/>
            </a:solidFill>
            <a:ln>
              <a:noFill/>
            </a:ln>
            <a:effectLst/>
          </c:spPr>
          <c:invertIfNegative val="0"/>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Asen!$H$51:$H$58</c:f>
              <c:numCache>
                <c:formatCode>General</c:formatCode>
                <c:ptCount val="8"/>
                <c:pt idx="0">
                  <c:v>6.9999999999999999E-4</c:v>
                </c:pt>
                <c:pt idx="1">
                  <c:v>6.9999999999999999E-4</c:v>
                </c:pt>
                <c:pt idx="2">
                  <c:v>6.9999999999999999E-4</c:v>
                </c:pt>
                <c:pt idx="3">
                  <c:v>6.9999999999999999E-4</c:v>
                </c:pt>
                <c:pt idx="4">
                  <c:v>6.9999999999999999E-4</c:v>
                </c:pt>
                <c:pt idx="5">
                  <c:v>6.9999999999999999E-4</c:v>
                </c:pt>
                <c:pt idx="6">
                  <c:v>6.9999999999999999E-4</c:v>
                </c:pt>
                <c:pt idx="7">
                  <c:v>6.9999999999999999E-4</c:v>
                </c:pt>
              </c:numCache>
            </c:numRef>
          </c:val>
          <c:extLst>
            <c:ext xmlns:c16="http://schemas.microsoft.com/office/drawing/2014/chart" uri="{C3380CC4-5D6E-409C-BE32-E72D297353CC}">
              <c16:uniqueId val="{00000004-1DBD-44F4-97B9-6FAEDD5330A7}"/>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Asen!$I$50</c:f>
              <c:strCache>
                <c:ptCount val="1"/>
                <c:pt idx="0">
                  <c:v>Quy chuẩn đánh giá </c:v>
                </c:pt>
              </c:strCache>
            </c:strRef>
          </c:tx>
          <c:spPr>
            <a:ln w="22225" cap="rnd">
              <a:solidFill>
                <a:schemeClr val="accent6"/>
              </a:solidFill>
              <a:round/>
            </a:ln>
            <a:effectLst/>
          </c:spPr>
          <c:marker>
            <c:symbol val="none"/>
          </c:marker>
          <c:cat>
            <c:strRef>
              <c:f>Asen!$C$51:$C$58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Asen!$I$51:$I$58</c:f>
              <c:numCache>
                <c:formatCode>General</c:formatCode>
                <c:ptCount val="8"/>
                <c:pt idx="0">
                  <c:v>0.05</c:v>
                </c:pt>
                <c:pt idx="1">
                  <c:v>0.05</c:v>
                </c:pt>
                <c:pt idx="2">
                  <c:v>0.05</c:v>
                </c:pt>
                <c:pt idx="3">
                  <c:v>0.05</c:v>
                </c:pt>
                <c:pt idx="4">
                  <c:v>0.05</c:v>
                </c:pt>
                <c:pt idx="5">
                  <c:v>0.05</c:v>
                </c:pt>
                <c:pt idx="6">
                  <c:v>0.05</c:v>
                </c:pt>
                <c:pt idx="7">
                  <c:v>0.05</c:v>
                </c:pt>
              </c:numCache>
            </c:numRef>
          </c:val>
          <c:smooth val="0"/>
          <c:extLst>
            <c:ext xmlns:c16="http://schemas.microsoft.com/office/drawing/2014/chart" uri="{C3380CC4-5D6E-409C-BE32-E72D297353CC}">
              <c16:uniqueId val="{00000005-1DBD-44F4-97B9-6FAEDD5330A7}"/>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5.000000000000001E-2"/>
        </c:scaling>
        <c:delete val="0"/>
        <c:axPos val="l"/>
        <c:majorGridlines>
          <c:spPr>
            <a:ln w="9525" cap="flat" cmpd="sng" algn="ctr">
              <a:solidFill>
                <a:schemeClr val="dk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1.0000000000000002E-2"/>
      </c:valAx>
      <c:spPr>
        <a:noFill/>
        <a:ln>
          <a:noFill/>
        </a:ln>
        <a:effectLst/>
      </c:spPr>
    </c:plotArea>
    <c:legend>
      <c:legendPos val="b"/>
      <c:layout>
        <c:manualLayout>
          <c:xMode val="edge"/>
          <c:yMode val="edge"/>
          <c:x val="0.16397610108862976"/>
          <c:y val="0.87637276109717055"/>
          <c:w val="0.69033190471444239"/>
          <c:h val="0.1236272389028294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(mg/l)</a:t>
            </a:r>
          </a:p>
        </c:rich>
      </c:tx>
      <c:layout>
        <c:manualLayout>
          <c:xMode val="edge"/>
          <c:yMode val="edge"/>
          <c:x val="1.5331416906220056E-4"/>
          <c:y val="0.2804675196850394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1388326459192601E-2"/>
          <c:y val="3.9336286089238837E-2"/>
          <c:w val="0.92627643766751377"/>
          <c:h val="0.65439251128091747"/>
        </c:manualLayout>
      </c:layout>
      <c:barChart>
        <c:barDir val="col"/>
        <c:grouping val="clustered"/>
        <c:varyColors val="0"/>
        <c:ser>
          <c:idx val="0"/>
          <c:order val="0"/>
          <c:tx>
            <c:strRef>
              <c:f>Clorua!$D$50</c:f>
              <c:strCache>
                <c:ptCount val="1"/>
                <c:pt idx="0">
                  <c:v>2021</c:v>
                </c:pt>
              </c:strCache>
            </c:strRef>
          </c:tx>
          <c:spPr>
            <a:solidFill>
              <a:schemeClr val="accent1"/>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Clorua!$D$51:$D$58</c:f>
              <c:numCache>
                <c:formatCode>General</c:formatCode>
                <c:ptCount val="8"/>
                <c:pt idx="0">
                  <c:v>4.5</c:v>
                </c:pt>
                <c:pt idx="1">
                  <c:v>6.25</c:v>
                </c:pt>
                <c:pt idx="2">
                  <c:v>10</c:v>
                </c:pt>
                <c:pt idx="3">
                  <c:v>10</c:v>
                </c:pt>
                <c:pt idx="4">
                  <c:v>100.5</c:v>
                </c:pt>
                <c:pt idx="5">
                  <c:v>10</c:v>
                </c:pt>
                <c:pt idx="6">
                  <c:v>10</c:v>
                </c:pt>
                <c:pt idx="7">
                  <c:v>15.75</c:v>
                </c:pt>
              </c:numCache>
            </c:numRef>
          </c:val>
          <c:extLst>
            <c:ext xmlns:c16="http://schemas.microsoft.com/office/drawing/2014/chart" uri="{C3380CC4-5D6E-409C-BE32-E72D297353CC}">
              <c16:uniqueId val="{00000000-E576-40C6-989F-63D6A24FB951}"/>
            </c:ext>
          </c:extLst>
        </c:ser>
        <c:ser>
          <c:idx val="1"/>
          <c:order val="1"/>
          <c:tx>
            <c:strRef>
              <c:f>Clorua!$E$50</c:f>
              <c:strCache>
                <c:ptCount val="1"/>
                <c:pt idx="0">
                  <c:v>2022</c:v>
                </c:pt>
              </c:strCache>
            </c:strRef>
          </c:tx>
          <c:spPr>
            <a:solidFill>
              <a:schemeClr val="accent2"/>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Clorua!$E$51:$E$58</c:f>
              <c:numCache>
                <c:formatCode>General</c:formatCode>
                <c:ptCount val="8"/>
                <c:pt idx="0">
                  <c:v>4.3250000000000002</c:v>
                </c:pt>
                <c:pt idx="1">
                  <c:v>11.425000000000001</c:v>
                </c:pt>
                <c:pt idx="2">
                  <c:v>5.9250000000000007</c:v>
                </c:pt>
                <c:pt idx="3">
                  <c:v>2.2749999999999999</c:v>
                </c:pt>
                <c:pt idx="4">
                  <c:v>87</c:v>
                </c:pt>
                <c:pt idx="5">
                  <c:v>8.1499999999999986</c:v>
                </c:pt>
                <c:pt idx="6">
                  <c:v>6.375</c:v>
                </c:pt>
                <c:pt idx="7">
                  <c:v>11.375</c:v>
                </c:pt>
              </c:numCache>
            </c:numRef>
          </c:val>
          <c:extLst>
            <c:ext xmlns:c16="http://schemas.microsoft.com/office/drawing/2014/chart" uri="{C3380CC4-5D6E-409C-BE32-E72D297353CC}">
              <c16:uniqueId val="{00000001-E576-40C6-989F-63D6A24FB951}"/>
            </c:ext>
          </c:extLst>
        </c:ser>
        <c:ser>
          <c:idx val="2"/>
          <c:order val="2"/>
          <c:tx>
            <c:strRef>
              <c:f>Clorua!$F$50</c:f>
              <c:strCache>
                <c:ptCount val="1"/>
                <c:pt idx="0">
                  <c:v>2023</c:v>
                </c:pt>
              </c:strCache>
            </c:strRef>
          </c:tx>
          <c:spPr>
            <a:solidFill>
              <a:schemeClr val="accent3"/>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Clorua!$F$51:$F$58</c:f>
              <c:numCache>
                <c:formatCode>General</c:formatCode>
                <c:ptCount val="8"/>
                <c:pt idx="0">
                  <c:v>1.4175</c:v>
                </c:pt>
                <c:pt idx="1">
                  <c:v>11.399999999999999</c:v>
                </c:pt>
                <c:pt idx="2">
                  <c:v>7.2450000000000001</c:v>
                </c:pt>
                <c:pt idx="3">
                  <c:v>1.9275</c:v>
                </c:pt>
                <c:pt idx="4">
                  <c:v>95.474999999999994</c:v>
                </c:pt>
                <c:pt idx="5">
                  <c:v>8.5474999999999994</c:v>
                </c:pt>
                <c:pt idx="6">
                  <c:v>8.7650000000000006</c:v>
                </c:pt>
                <c:pt idx="7">
                  <c:v>10.89</c:v>
                </c:pt>
              </c:numCache>
            </c:numRef>
          </c:val>
          <c:extLst>
            <c:ext xmlns:c16="http://schemas.microsoft.com/office/drawing/2014/chart" uri="{C3380CC4-5D6E-409C-BE32-E72D297353CC}">
              <c16:uniqueId val="{00000002-E576-40C6-989F-63D6A24FB951}"/>
            </c:ext>
          </c:extLst>
        </c:ser>
        <c:ser>
          <c:idx val="3"/>
          <c:order val="3"/>
          <c:tx>
            <c:strRef>
              <c:f>Clorua!$G$50</c:f>
              <c:strCache>
                <c:ptCount val="1"/>
                <c:pt idx="0">
                  <c:v>2024</c:v>
                </c:pt>
              </c:strCache>
            </c:strRef>
          </c:tx>
          <c:spPr>
            <a:solidFill>
              <a:schemeClr val="accent4"/>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Clorua!$G$51:$G$58</c:f>
              <c:numCache>
                <c:formatCode>General</c:formatCode>
                <c:ptCount val="8"/>
                <c:pt idx="0">
                  <c:v>4.95</c:v>
                </c:pt>
                <c:pt idx="1">
                  <c:v>9.7750000000000004</c:v>
                </c:pt>
                <c:pt idx="2">
                  <c:v>8.14</c:v>
                </c:pt>
                <c:pt idx="3">
                  <c:v>17.004999999999999</c:v>
                </c:pt>
                <c:pt idx="4">
                  <c:v>90.825000000000003</c:v>
                </c:pt>
                <c:pt idx="5">
                  <c:v>10.0975</c:v>
                </c:pt>
                <c:pt idx="6">
                  <c:v>12.774999999999999</c:v>
                </c:pt>
                <c:pt idx="7">
                  <c:v>15.425000000000001</c:v>
                </c:pt>
              </c:numCache>
            </c:numRef>
          </c:val>
          <c:extLst>
            <c:ext xmlns:c16="http://schemas.microsoft.com/office/drawing/2014/chart" uri="{C3380CC4-5D6E-409C-BE32-E72D297353CC}">
              <c16:uniqueId val="{00000003-E576-40C6-989F-63D6A24FB951}"/>
            </c:ext>
          </c:extLst>
        </c:ser>
        <c:ser>
          <c:idx val="4"/>
          <c:order val="4"/>
          <c:tx>
            <c:strRef>
              <c:f>Clorua!$H$50</c:f>
              <c:strCache>
                <c:ptCount val="1"/>
                <c:pt idx="0">
                  <c:v>2025</c:v>
                </c:pt>
              </c:strCache>
            </c:strRef>
          </c:tx>
          <c:spPr>
            <a:solidFill>
              <a:schemeClr val="accent5"/>
            </a:solidFill>
            <a:ln>
              <a:noFill/>
            </a:ln>
            <a:effectLst/>
          </c:spPr>
          <c:invertIfNegative val="0"/>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Clorua!$H$51:$H$58</c:f>
              <c:numCache>
                <c:formatCode>General</c:formatCode>
                <c:ptCount val="8"/>
                <c:pt idx="0">
                  <c:v>3.54</c:v>
                </c:pt>
                <c:pt idx="1">
                  <c:v>12.1</c:v>
                </c:pt>
                <c:pt idx="2">
                  <c:v>26.2</c:v>
                </c:pt>
                <c:pt idx="3">
                  <c:v>8.5</c:v>
                </c:pt>
                <c:pt idx="4">
                  <c:v>123</c:v>
                </c:pt>
                <c:pt idx="5">
                  <c:v>12</c:v>
                </c:pt>
                <c:pt idx="6">
                  <c:v>7.09</c:v>
                </c:pt>
                <c:pt idx="7">
                  <c:v>13.5</c:v>
                </c:pt>
              </c:numCache>
            </c:numRef>
          </c:val>
          <c:extLst>
            <c:ext xmlns:c16="http://schemas.microsoft.com/office/drawing/2014/chart" uri="{C3380CC4-5D6E-409C-BE32-E72D297353CC}">
              <c16:uniqueId val="{00000004-E576-40C6-989F-63D6A24FB951}"/>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Clorua!$I$50</c:f>
              <c:strCache>
                <c:ptCount val="1"/>
                <c:pt idx="0">
                  <c:v>Quy chuẩn đánh giá </c:v>
                </c:pt>
              </c:strCache>
            </c:strRef>
          </c:tx>
          <c:spPr>
            <a:ln w="22225" cap="rnd">
              <a:solidFill>
                <a:schemeClr val="accent6"/>
              </a:solidFill>
              <a:round/>
            </a:ln>
            <a:effectLst/>
          </c:spPr>
          <c:marker>
            <c:symbol val="none"/>
          </c:marker>
          <c:cat>
            <c:strRef>
              <c:f>Clorua!$C$51:$C$58</c:f>
              <c:strCache>
                <c:ptCount val="8"/>
                <c:pt idx="0">
                  <c:v>Thôn 1, xã Quang Thọ</c:v>
                </c:pt>
                <c:pt idx="1">
                  <c:v>Thôn Khe Sú, xã Sơn Kim 1</c:v>
                </c:pt>
                <c:pt idx="2">
                  <c:v>Thôn Kim Cương I, xã Sơn Kim 1</c:v>
                </c:pt>
                <c:pt idx="3">
                  <c:v>Thôn Tân Thủy, xã Sơn Tây</c:v>
                </c:pt>
                <c:pt idx="4">
                  <c:v>Xã An Hòa Thịnh</c:v>
                </c:pt>
                <c:pt idx="5">
                  <c:v>Thôn 9, xã Hương Thủy</c:v>
                </c:pt>
                <c:pt idx="6">
                  <c:v>Thôn 4, xã Cẩm Quan</c:v>
                </c:pt>
                <c:pt idx="7">
                  <c:v>Thôn Nam Phong, xã Kỳ Phong</c:v>
                </c:pt>
              </c:strCache>
            </c:strRef>
          </c:cat>
          <c:val>
            <c:numRef>
              <c:f>Clorua!$I$51:$I$58</c:f>
              <c:numCache>
                <c:formatCode>General</c:formatCode>
                <c:ptCount val="8"/>
                <c:pt idx="0">
                  <c:v>250</c:v>
                </c:pt>
                <c:pt idx="1">
                  <c:v>250</c:v>
                </c:pt>
                <c:pt idx="2">
                  <c:v>250</c:v>
                </c:pt>
                <c:pt idx="3">
                  <c:v>250</c:v>
                </c:pt>
                <c:pt idx="4">
                  <c:v>250</c:v>
                </c:pt>
                <c:pt idx="5">
                  <c:v>250</c:v>
                </c:pt>
                <c:pt idx="6">
                  <c:v>250</c:v>
                </c:pt>
                <c:pt idx="7">
                  <c:v>250</c:v>
                </c:pt>
              </c:numCache>
            </c:numRef>
          </c:val>
          <c:smooth val="0"/>
          <c:extLst>
            <c:ext xmlns:c16="http://schemas.microsoft.com/office/drawing/2014/chart" uri="{C3380CC4-5D6E-409C-BE32-E72D297353CC}">
              <c16:uniqueId val="{00000005-E576-40C6-989F-63D6A24FB951}"/>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11493752169867656"/>
          <c:y val="0.88916178581125627"/>
          <c:w val="0.73908428113152536"/>
          <c:h val="0.110838214188743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0296355946469885E-2"/>
          <c:y val="3.1625005934873815E-2"/>
          <c:w val="0.93291224038917109"/>
          <c:h val="0.46838124130072445"/>
        </c:manualLayout>
      </c:layout>
      <c:barChart>
        <c:barDir val="col"/>
        <c:grouping val="clustered"/>
        <c:varyColors val="0"/>
        <c:ser>
          <c:idx val="0"/>
          <c:order val="0"/>
          <c:tx>
            <c:strRef>
              <c:f>pH!$C$4</c:f>
              <c:strCache>
                <c:ptCount val="1"/>
                <c:pt idx="0">
                  <c:v>2021</c:v>
                </c:pt>
              </c:strCache>
            </c:strRef>
          </c:tx>
          <c:spPr>
            <a:solidFill>
              <a:schemeClr val="accent1"/>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pH!$C$5:$C$19</c:f>
              <c:numCache>
                <c:formatCode>General</c:formatCode>
                <c:ptCount val="15"/>
                <c:pt idx="0">
                  <c:v>8.0250000000000004</c:v>
                </c:pt>
                <c:pt idx="1">
                  <c:v>8.0250000000000004</c:v>
                </c:pt>
                <c:pt idx="2">
                  <c:v>8</c:v>
                </c:pt>
                <c:pt idx="3">
                  <c:v>7.875</c:v>
                </c:pt>
                <c:pt idx="4">
                  <c:v>7.95</c:v>
                </c:pt>
                <c:pt idx="5">
                  <c:v>8.1</c:v>
                </c:pt>
                <c:pt idx="6">
                  <c:v>8</c:v>
                </c:pt>
                <c:pt idx="7">
                  <c:v>7.75</c:v>
                </c:pt>
                <c:pt idx="8">
                  <c:v>7.9499999999999993</c:v>
                </c:pt>
                <c:pt idx="9">
                  <c:v>7.9749999999999996</c:v>
                </c:pt>
                <c:pt idx="10">
                  <c:v>7.8000000000000007</c:v>
                </c:pt>
                <c:pt idx="11">
                  <c:v>8</c:v>
                </c:pt>
                <c:pt idx="12">
                  <c:v>8.0500000000000007</c:v>
                </c:pt>
                <c:pt idx="13">
                  <c:v>8</c:v>
                </c:pt>
                <c:pt idx="14">
                  <c:v>8.0250000000000004</c:v>
                </c:pt>
              </c:numCache>
            </c:numRef>
          </c:val>
          <c:extLst>
            <c:ext xmlns:c16="http://schemas.microsoft.com/office/drawing/2014/chart" uri="{C3380CC4-5D6E-409C-BE32-E72D297353CC}">
              <c16:uniqueId val="{00000000-E490-493F-9D30-142D2A2080CF}"/>
            </c:ext>
          </c:extLst>
        </c:ser>
        <c:ser>
          <c:idx val="1"/>
          <c:order val="1"/>
          <c:tx>
            <c:strRef>
              <c:f>pH!$D$4</c:f>
              <c:strCache>
                <c:ptCount val="1"/>
                <c:pt idx="0">
                  <c:v>2022</c:v>
                </c:pt>
              </c:strCache>
            </c:strRef>
          </c:tx>
          <c:spPr>
            <a:solidFill>
              <a:schemeClr val="accent2"/>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pH!$D$5:$D$19</c:f>
              <c:numCache>
                <c:formatCode>General</c:formatCode>
                <c:ptCount val="15"/>
                <c:pt idx="0">
                  <c:v>8.0499999999999989</c:v>
                </c:pt>
                <c:pt idx="1">
                  <c:v>7.916666666666667</c:v>
                </c:pt>
                <c:pt idx="2">
                  <c:v>8.0166666666666657</c:v>
                </c:pt>
                <c:pt idx="3">
                  <c:v>8.0666666666666647</c:v>
                </c:pt>
                <c:pt idx="4">
                  <c:v>7.9833333333333334</c:v>
                </c:pt>
                <c:pt idx="5">
                  <c:v>7.8999999999999995</c:v>
                </c:pt>
                <c:pt idx="6">
                  <c:v>7.9833333333333334</c:v>
                </c:pt>
                <c:pt idx="7">
                  <c:v>7.9666666666666659</c:v>
                </c:pt>
                <c:pt idx="8">
                  <c:v>8.0666666666666664</c:v>
                </c:pt>
                <c:pt idx="9">
                  <c:v>7.8166666666666664</c:v>
                </c:pt>
                <c:pt idx="10">
                  <c:v>8.0333333333333314</c:v>
                </c:pt>
                <c:pt idx="11">
                  <c:v>8</c:v>
                </c:pt>
                <c:pt idx="12">
                  <c:v>7.7333333333333343</c:v>
                </c:pt>
                <c:pt idx="13">
                  <c:v>8</c:v>
                </c:pt>
                <c:pt idx="14">
                  <c:v>8.0333333333333332</c:v>
                </c:pt>
              </c:numCache>
            </c:numRef>
          </c:val>
          <c:extLst>
            <c:ext xmlns:c16="http://schemas.microsoft.com/office/drawing/2014/chart" uri="{C3380CC4-5D6E-409C-BE32-E72D297353CC}">
              <c16:uniqueId val="{00000001-E490-493F-9D30-142D2A2080CF}"/>
            </c:ext>
          </c:extLst>
        </c:ser>
        <c:ser>
          <c:idx val="2"/>
          <c:order val="2"/>
          <c:tx>
            <c:strRef>
              <c:f>pH!$E$4</c:f>
              <c:strCache>
                <c:ptCount val="1"/>
                <c:pt idx="0">
                  <c:v>2023</c:v>
                </c:pt>
              </c:strCache>
            </c:strRef>
          </c:tx>
          <c:spPr>
            <a:solidFill>
              <a:schemeClr val="accent3"/>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pH!$E$5:$E$19</c:f>
              <c:numCache>
                <c:formatCode>General</c:formatCode>
                <c:ptCount val="15"/>
                <c:pt idx="0">
                  <c:v>8.0833333333333321</c:v>
                </c:pt>
                <c:pt idx="1">
                  <c:v>7.9166666666666652</c:v>
                </c:pt>
                <c:pt idx="2">
                  <c:v>8</c:v>
                </c:pt>
                <c:pt idx="3">
                  <c:v>8.0666666666666682</c:v>
                </c:pt>
                <c:pt idx="4">
                  <c:v>7.9833333333333334</c:v>
                </c:pt>
                <c:pt idx="5">
                  <c:v>8</c:v>
                </c:pt>
                <c:pt idx="6">
                  <c:v>8.0749999999999993</c:v>
                </c:pt>
                <c:pt idx="7">
                  <c:v>7.7166666666666659</c:v>
                </c:pt>
                <c:pt idx="8">
                  <c:v>8.0500000000000007</c:v>
                </c:pt>
                <c:pt idx="9">
                  <c:v>7.8500000000000005</c:v>
                </c:pt>
                <c:pt idx="10">
                  <c:v>8.0166666666666675</c:v>
                </c:pt>
                <c:pt idx="11">
                  <c:v>8.0333333333333332</c:v>
                </c:pt>
                <c:pt idx="12">
                  <c:v>7.9666666666666659</c:v>
                </c:pt>
                <c:pt idx="13">
                  <c:v>8</c:v>
                </c:pt>
                <c:pt idx="14">
                  <c:v>8.0166666666666657</c:v>
                </c:pt>
              </c:numCache>
            </c:numRef>
          </c:val>
          <c:extLst>
            <c:ext xmlns:c16="http://schemas.microsoft.com/office/drawing/2014/chart" uri="{C3380CC4-5D6E-409C-BE32-E72D297353CC}">
              <c16:uniqueId val="{00000002-E490-493F-9D30-142D2A2080CF}"/>
            </c:ext>
          </c:extLst>
        </c:ser>
        <c:ser>
          <c:idx val="3"/>
          <c:order val="3"/>
          <c:tx>
            <c:strRef>
              <c:f>pH!$F$4</c:f>
              <c:strCache>
                <c:ptCount val="1"/>
                <c:pt idx="0">
                  <c:v>2024</c:v>
                </c:pt>
              </c:strCache>
            </c:strRef>
          </c:tx>
          <c:spPr>
            <a:solidFill>
              <a:schemeClr val="accent4"/>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pH!$F$5:$F$19</c:f>
              <c:numCache>
                <c:formatCode>General</c:formatCode>
                <c:ptCount val="15"/>
                <c:pt idx="0">
                  <c:v>7.8499999999999988</c:v>
                </c:pt>
                <c:pt idx="1">
                  <c:v>7.9333333333333336</c:v>
                </c:pt>
                <c:pt idx="2">
                  <c:v>7.833333333333333</c:v>
                </c:pt>
                <c:pt idx="3">
                  <c:v>7.9833333333333334</c:v>
                </c:pt>
                <c:pt idx="4">
                  <c:v>7.7816666666666663</c:v>
                </c:pt>
                <c:pt idx="5">
                  <c:v>7.9750000000000005</c:v>
                </c:pt>
                <c:pt idx="6">
                  <c:v>7.9833333333333334</c:v>
                </c:pt>
                <c:pt idx="7">
                  <c:v>7.3666666666666671</c:v>
                </c:pt>
                <c:pt idx="8">
                  <c:v>7.8833333333333329</c:v>
                </c:pt>
                <c:pt idx="9">
                  <c:v>7.7666666666666666</c:v>
                </c:pt>
                <c:pt idx="10">
                  <c:v>7.8500000000000005</c:v>
                </c:pt>
                <c:pt idx="11">
                  <c:v>7.8166666666666673</c:v>
                </c:pt>
                <c:pt idx="12">
                  <c:v>7.8016666666666667</c:v>
                </c:pt>
                <c:pt idx="13">
                  <c:v>7.8499999999999988</c:v>
                </c:pt>
                <c:pt idx="14">
                  <c:v>7.8850000000000007</c:v>
                </c:pt>
              </c:numCache>
            </c:numRef>
          </c:val>
          <c:extLst>
            <c:ext xmlns:c16="http://schemas.microsoft.com/office/drawing/2014/chart" uri="{C3380CC4-5D6E-409C-BE32-E72D297353CC}">
              <c16:uniqueId val="{00000003-E490-493F-9D30-142D2A2080CF}"/>
            </c:ext>
          </c:extLst>
        </c:ser>
        <c:ser>
          <c:idx val="4"/>
          <c:order val="4"/>
          <c:tx>
            <c:strRef>
              <c:f>pH!$G$4</c:f>
              <c:strCache>
                <c:ptCount val="1"/>
                <c:pt idx="0">
                  <c:v>2025</c:v>
                </c:pt>
              </c:strCache>
            </c:strRef>
          </c:tx>
          <c:spPr>
            <a:solidFill>
              <a:schemeClr val="accent5"/>
            </a:solidFill>
            <a:ln>
              <a:noFill/>
            </a:ln>
            <a:effectLst/>
          </c:spPr>
          <c:invertIfNegative val="0"/>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pH!$G$5:$G$19</c:f>
              <c:numCache>
                <c:formatCode>General</c:formatCode>
                <c:ptCount val="15"/>
                <c:pt idx="0">
                  <c:v>7.75</c:v>
                </c:pt>
                <c:pt idx="1">
                  <c:v>7.85</c:v>
                </c:pt>
                <c:pt idx="2">
                  <c:v>7.9499999999999993</c:v>
                </c:pt>
                <c:pt idx="3">
                  <c:v>8</c:v>
                </c:pt>
                <c:pt idx="4">
                  <c:v>7.8</c:v>
                </c:pt>
                <c:pt idx="5">
                  <c:v>7.9</c:v>
                </c:pt>
                <c:pt idx="6">
                  <c:v>7.6</c:v>
                </c:pt>
                <c:pt idx="7">
                  <c:v>7.5</c:v>
                </c:pt>
                <c:pt idx="8">
                  <c:v>7.65</c:v>
                </c:pt>
                <c:pt idx="9">
                  <c:v>7.65</c:v>
                </c:pt>
                <c:pt idx="10">
                  <c:v>8</c:v>
                </c:pt>
                <c:pt idx="11">
                  <c:v>8.0500000000000007</c:v>
                </c:pt>
                <c:pt idx="12">
                  <c:v>7.85</c:v>
                </c:pt>
                <c:pt idx="13">
                  <c:v>8</c:v>
                </c:pt>
                <c:pt idx="14">
                  <c:v>8.0500000000000007</c:v>
                </c:pt>
              </c:numCache>
            </c:numRef>
          </c:val>
          <c:extLst>
            <c:ext xmlns:c16="http://schemas.microsoft.com/office/drawing/2014/chart" uri="{C3380CC4-5D6E-409C-BE32-E72D297353CC}">
              <c16:uniqueId val="{00000004-E490-493F-9D30-142D2A2080C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pH!$H$4</c:f>
              <c:strCache>
                <c:ptCount val="1"/>
                <c:pt idx="0">
                  <c:v>Quy chuẩn đánh giá (ngưỡng dưới)</c:v>
                </c:pt>
              </c:strCache>
            </c:strRef>
          </c:tx>
          <c:spPr>
            <a:ln w="22225" cap="rnd">
              <a:solidFill>
                <a:schemeClr val="accent6"/>
              </a:solidFill>
              <a:round/>
            </a:ln>
            <a:effectLst/>
          </c:spPr>
          <c:marker>
            <c:symbol val="none"/>
          </c:marker>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pH!$H$5:$H$19</c:f>
              <c:numCache>
                <c:formatCode>General</c:formatCode>
                <c:ptCount val="15"/>
                <c:pt idx="0">
                  <c:v>6.5</c:v>
                </c:pt>
                <c:pt idx="1">
                  <c:v>6.5</c:v>
                </c:pt>
                <c:pt idx="2">
                  <c:v>6.5</c:v>
                </c:pt>
                <c:pt idx="3">
                  <c:v>6.5</c:v>
                </c:pt>
                <c:pt idx="4">
                  <c:v>6.5</c:v>
                </c:pt>
                <c:pt idx="5">
                  <c:v>6.5</c:v>
                </c:pt>
                <c:pt idx="6">
                  <c:v>6.5</c:v>
                </c:pt>
                <c:pt idx="7">
                  <c:v>6.5</c:v>
                </c:pt>
                <c:pt idx="8">
                  <c:v>6.5</c:v>
                </c:pt>
                <c:pt idx="9">
                  <c:v>6.5</c:v>
                </c:pt>
                <c:pt idx="10">
                  <c:v>6.5</c:v>
                </c:pt>
                <c:pt idx="11">
                  <c:v>6.5</c:v>
                </c:pt>
                <c:pt idx="12">
                  <c:v>6.5</c:v>
                </c:pt>
                <c:pt idx="13">
                  <c:v>6.5</c:v>
                </c:pt>
                <c:pt idx="14">
                  <c:v>6.5</c:v>
                </c:pt>
              </c:numCache>
            </c:numRef>
          </c:val>
          <c:smooth val="0"/>
          <c:extLst>
            <c:ext xmlns:c16="http://schemas.microsoft.com/office/drawing/2014/chart" uri="{C3380CC4-5D6E-409C-BE32-E72D297353CC}">
              <c16:uniqueId val="{00000005-E490-493F-9D30-142D2A2080CF}"/>
            </c:ext>
          </c:extLst>
        </c:ser>
        <c:ser>
          <c:idx val="6"/>
          <c:order val="6"/>
          <c:tx>
            <c:strRef>
              <c:f>pH!$I$4</c:f>
              <c:strCache>
                <c:ptCount val="1"/>
                <c:pt idx="0">
                  <c:v>Quy chuẩn đánh giá (ngưỡng trên)</c:v>
                </c:pt>
              </c:strCache>
            </c:strRef>
          </c:tx>
          <c:spPr>
            <a:ln w="22225" cap="rnd">
              <a:solidFill>
                <a:schemeClr val="accent1">
                  <a:lumMod val="60000"/>
                </a:schemeClr>
              </a:solidFill>
              <a:round/>
            </a:ln>
            <a:effectLst/>
          </c:spPr>
          <c:marker>
            <c:symbol val="none"/>
          </c:marker>
          <c:cat>
            <c:strRef>
              <c:f>pH!$B$5:$B$19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pH!$I$5:$I$19</c:f>
              <c:numCache>
                <c:formatCode>General</c:formatCode>
                <c:ptCount val="15"/>
                <c:pt idx="0">
                  <c:v>8.5</c:v>
                </c:pt>
                <c:pt idx="1">
                  <c:v>8.5</c:v>
                </c:pt>
                <c:pt idx="2">
                  <c:v>8.5</c:v>
                </c:pt>
                <c:pt idx="3">
                  <c:v>8.5</c:v>
                </c:pt>
                <c:pt idx="4">
                  <c:v>8.5</c:v>
                </c:pt>
                <c:pt idx="5">
                  <c:v>8.5</c:v>
                </c:pt>
                <c:pt idx="6">
                  <c:v>8.5</c:v>
                </c:pt>
                <c:pt idx="7">
                  <c:v>8.5</c:v>
                </c:pt>
                <c:pt idx="8">
                  <c:v>8.5</c:v>
                </c:pt>
                <c:pt idx="9">
                  <c:v>8.5</c:v>
                </c:pt>
                <c:pt idx="10">
                  <c:v>8.5</c:v>
                </c:pt>
                <c:pt idx="11">
                  <c:v>8.5</c:v>
                </c:pt>
                <c:pt idx="12">
                  <c:v>8.5</c:v>
                </c:pt>
                <c:pt idx="13">
                  <c:v>8.5</c:v>
                </c:pt>
                <c:pt idx="14">
                  <c:v>8.5</c:v>
                </c:pt>
              </c:numCache>
            </c:numRef>
          </c:val>
          <c:smooth val="0"/>
          <c:extLst>
            <c:ext xmlns:c16="http://schemas.microsoft.com/office/drawing/2014/chart" uri="{C3380CC4-5D6E-409C-BE32-E72D297353CC}">
              <c16:uniqueId val="{00000006-E490-493F-9D30-142D2A2080C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2.5"/>
      </c:valAx>
      <c:spPr>
        <a:noFill/>
        <a:ln>
          <a:noFill/>
        </a:ln>
        <a:effectLst/>
      </c:spPr>
    </c:plotArea>
    <c:legend>
      <c:legendPos val="b"/>
      <c:layout>
        <c:manualLayout>
          <c:xMode val="edge"/>
          <c:yMode val="edge"/>
          <c:x val="8.0525998830265257E-3"/>
          <c:y val="0.80610258264189549"/>
          <c:w val="0.97507840173273475"/>
          <c:h val="0.151879006445582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6563036982340398"/>
        </c:manualLayout>
      </c:layout>
      <c:overlay val="0"/>
      <c:spPr>
        <a:noFill/>
        <a:ln>
          <a:noFill/>
        </a:ln>
        <a:effectLst/>
      </c:spPr>
      <c:txPr>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6.4956725020348868E-2"/>
          <c:y val="3.2346723530724306E-2"/>
          <c:w val="0.92850404113856499"/>
          <c:h val="0.4623116895664115"/>
        </c:manualLayout>
      </c:layout>
      <c:barChart>
        <c:barDir val="col"/>
        <c:grouping val="clustered"/>
        <c:varyColors val="0"/>
        <c:ser>
          <c:idx val="0"/>
          <c:order val="0"/>
          <c:tx>
            <c:strRef>
              <c:f>DO!$B$4</c:f>
              <c:strCache>
                <c:ptCount val="1"/>
                <c:pt idx="0">
                  <c:v>2021</c:v>
                </c:pt>
              </c:strCache>
            </c:strRef>
          </c:tx>
          <c:spPr>
            <a:solidFill>
              <a:schemeClr val="accent1"/>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DO!$B$5:$B$19</c:f>
              <c:numCache>
                <c:formatCode>0.0</c:formatCode>
                <c:ptCount val="15"/>
                <c:pt idx="0">
                  <c:v>7.0749999999999993</c:v>
                </c:pt>
                <c:pt idx="1">
                  <c:v>6.9750000000000005</c:v>
                </c:pt>
                <c:pt idx="2">
                  <c:v>7.0500000000000007</c:v>
                </c:pt>
                <c:pt idx="3">
                  <c:v>6.8249999999999993</c:v>
                </c:pt>
                <c:pt idx="4">
                  <c:v>7.5</c:v>
                </c:pt>
                <c:pt idx="5">
                  <c:v>7.0750000000000002</c:v>
                </c:pt>
                <c:pt idx="6">
                  <c:v>7</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0BC1-49B3-A7EE-79F1BB21624F}"/>
            </c:ext>
          </c:extLst>
        </c:ser>
        <c:ser>
          <c:idx val="1"/>
          <c:order val="1"/>
          <c:tx>
            <c:strRef>
              <c:f>DO!$C$4</c:f>
              <c:strCache>
                <c:ptCount val="1"/>
                <c:pt idx="0">
                  <c:v>2022</c:v>
                </c:pt>
              </c:strCache>
            </c:strRef>
          </c:tx>
          <c:spPr>
            <a:solidFill>
              <a:schemeClr val="accent2"/>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DO!$C$5:$C$19</c:f>
              <c:numCache>
                <c:formatCode>0.0</c:formatCode>
                <c:ptCount val="15"/>
                <c:pt idx="0">
                  <c:v>7.1499999999999995</c:v>
                </c:pt>
                <c:pt idx="1">
                  <c:v>6.7166666666666677</c:v>
                </c:pt>
                <c:pt idx="2">
                  <c:v>6.4166666666666679</c:v>
                </c:pt>
                <c:pt idx="3">
                  <c:v>6.4833333333333343</c:v>
                </c:pt>
                <c:pt idx="4">
                  <c:v>7.1833333333333327</c:v>
                </c:pt>
                <c:pt idx="5">
                  <c:v>6.8999999999999995</c:v>
                </c:pt>
                <c:pt idx="6">
                  <c:v>7.3</c:v>
                </c:pt>
                <c:pt idx="7">
                  <c:v>7.3666666666666671</c:v>
                </c:pt>
                <c:pt idx="8">
                  <c:v>6.8666666666666663</c:v>
                </c:pt>
                <c:pt idx="9">
                  <c:v>6.5333333333333341</c:v>
                </c:pt>
                <c:pt idx="10">
                  <c:v>6.5333333333333341</c:v>
                </c:pt>
                <c:pt idx="11">
                  <c:v>6.5333333333333323</c:v>
                </c:pt>
                <c:pt idx="12">
                  <c:v>6.7666666666666666</c:v>
                </c:pt>
                <c:pt idx="13">
                  <c:v>7.166666666666667</c:v>
                </c:pt>
                <c:pt idx="14">
                  <c:v>7.2166666666666659</c:v>
                </c:pt>
              </c:numCache>
            </c:numRef>
          </c:val>
          <c:extLst>
            <c:ext xmlns:c16="http://schemas.microsoft.com/office/drawing/2014/chart" uri="{C3380CC4-5D6E-409C-BE32-E72D297353CC}">
              <c16:uniqueId val="{00000001-0BC1-49B3-A7EE-79F1BB21624F}"/>
            </c:ext>
          </c:extLst>
        </c:ser>
        <c:ser>
          <c:idx val="2"/>
          <c:order val="2"/>
          <c:tx>
            <c:strRef>
              <c:f>DO!$D$4</c:f>
              <c:strCache>
                <c:ptCount val="1"/>
                <c:pt idx="0">
                  <c:v>2023</c:v>
                </c:pt>
              </c:strCache>
            </c:strRef>
          </c:tx>
          <c:spPr>
            <a:solidFill>
              <a:schemeClr val="accent3"/>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DO!$D$5:$D$19</c:f>
              <c:numCache>
                <c:formatCode>0.0</c:formatCode>
                <c:ptCount val="15"/>
                <c:pt idx="0">
                  <c:v>7.4666666666666659</c:v>
                </c:pt>
                <c:pt idx="1">
                  <c:v>6.9999999999999991</c:v>
                </c:pt>
                <c:pt idx="2">
                  <c:v>6.8333333333333321</c:v>
                </c:pt>
                <c:pt idx="3">
                  <c:v>6.7833333333333323</c:v>
                </c:pt>
                <c:pt idx="4">
                  <c:v>7.3000000000000007</c:v>
                </c:pt>
                <c:pt idx="5">
                  <c:v>6.9833333333333334</c:v>
                </c:pt>
                <c:pt idx="6">
                  <c:v>6.6250000000000009</c:v>
                </c:pt>
                <c:pt idx="7">
                  <c:v>7.0333333333333323</c:v>
                </c:pt>
                <c:pt idx="8">
                  <c:v>7.3666666666666663</c:v>
                </c:pt>
                <c:pt idx="9">
                  <c:v>6.6499999999999995</c:v>
                </c:pt>
                <c:pt idx="10">
                  <c:v>6.5166666666666666</c:v>
                </c:pt>
                <c:pt idx="11">
                  <c:v>6.8999999999999995</c:v>
                </c:pt>
                <c:pt idx="12">
                  <c:v>7.05</c:v>
                </c:pt>
                <c:pt idx="13">
                  <c:v>6.9083333333333341</c:v>
                </c:pt>
                <c:pt idx="14">
                  <c:v>7.4483333333333333</c:v>
                </c:pt>
              </c:numCache>
            </c:numRef>
          </c:val>
          <c:extLst>
            <c:ext xmlns:c16="http://schemas.microsoft.com/office/drawing/2014/chart" uri="{C3380CC4-5D6E-409C-BE32-E72D297353CC}">
              <c16:uniqueId val="{00000002-0BC1-49B3-A7EE-79F1BB21624F}"/>
            </c:ext>
          </c:extLst>
        </c:ser>
        <c:ser>
          <c:idx val="3"/>
          <c:order val="3"/>
          <c:tx>
            <c:strRef>
              <c:f>DO!$E$4</c:f>
              <c:strCache>
                <c:ptCount val="1"/>
                <c:pt idx="0">
                  <c:v>2024</c:v>
                </c:pt>
              </c:strCache>
            </c:strRef>
          </c:tx>
          <c:spPr>
            <a:solidFill>
              <a:schemeClr val="accent4"/>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DO!$E$5:$E$19</c:f>
              <c:numCache>
                <c:formatCode>0.0</c:formatCode>
                <c:ptCount val="15"/>
                <c:pt idx="0">
                  <c:v>7.4166666666666652</c:v>
                </c:pt>
                <c:pt idx="1">
                  <c:v>7.1000000000000005</c:v>
                </c:pt>
                <c:pt idx="2">
                  <c:v>7.083333333333333</c:v>
                </c:pt>
                <c:pt idx="3">
                  <c:v>7.2166666666666677</c:v>
                </c:pt>
                <c:pt idx="4">
                  <c:v>7.0666666666666664</c:v>
                </c:pt>
                <c:pt idx="5">
                  <c:v>6.9683333333333328</c:v>
                </c:pt>
                <c:pt idx="6">
                  <c:v>7.25</c:v>
                </c:pt>
                <c:pt idx="7">
                  <c:v>7.3</c:v>
                </c:pt>
                <c:pt idx="8">
                  <c:v>7.3499999999999988</c:v>
                </c:pt>
                <c:pt idx="9">
                  <c:v>6.8999999999999986</c:v>
                </c:pt>
                <c:pt idx="10">
                  <c:v>7.1833333333333336</c:v>
                </c:pt>
                <c:pt idx="11">
                  <c:v>7.1000000000000005</c:v>
                </c:pt>
                <c:pt idx="12">
                  <c:v>6.95</c:v>
                </c:pt>
                <c:pt idx="13">
                  <c:v>6.8500000000000014</c:v>
                </c:pt>
                <c:pt idx="14">
                  <c:v>6.9466666666666663</c:v>
                </c:pt>
              </c:numCache>
            </c:numRef>
          </c:val>
          <c:extLst>
            <c:ext xmlns:c16="http://schemas.microsoft.com/office/drawing/2014/chart" uri="{C3380CC4-5D6E-409C-BE32-E72D297353CC}">
              <c16:uniqueId val="{00000003-0BC1-49B3-A7EE-79F1BB21624F}"/>
            </c:ext>
          </c:extLst>
        </c:ser>
        <c:ser>
          <c:idx val="4"/>
          <c:order val="4"/>
          <c:tx>
            <c:strRef>
              <c:f>DO!$F$4</c:f>
              <c:strCache>
                <c:ptCount val="1"/>
                <c:pt idx="0">
                  <c:v>2025</c:v>
                </c:pt>
              </c:strCache>
            </c:strRef>
          </c:tx>
          <c:spPr>
            <a:solidFill>
              <a:schemeClr val="accent5"/>
            </a:solidFill>
            <a:ln>
              <a:noFill/>
            </a:ln>
            <a:effectLst/>
          </c:spPr>
          <c:invertIfNegative val="0"/>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DO!$F$5:$F$19</c:f>
              <c:numCache>
                <c:formatCode>0.0</c:formatCode>
                <c:ptCount val="15"/>
                <c:pt idx="0">
                  <c:v>7.9</c:v>
                </c:pt>
                <c:pt idx="1">
                  <c:v>7.8</c:v>
                </c:pt>
                <c:pt idx="2">
                  <c:v>7.9499999999999993</c:v>
                </c:pt>
                <c:pt idx="3">
                  <c:v>7.9</c:v>
                </c:pt>
                <c:pt idx="4">
                  <c:v>8</c:v>
                </c:pt>
                <c:pt idx="5">
                  <c:v>7.9</c:v>
                </c:pt>
                <c:pt idx="6">
                  <c:v>7.7</c:v>
                </c:pt>
                <c:pt idx="7">
                  <c:v>7.9</c:v>
                </c:pt>
                <c:pt idx="8">
                  <c:v>7.5500000000000007</c:v>
                </c:pt>
                <c:pt idx="9">
                  <c:v>7.55</c:v>
                </c:pt>
                <c:pt idx="10">
                  <c:v>7.75</c:v>
                </c:pt>
                <c:pt idx="11">
                  <c:v>8</c:v>
                </c:pt>
                <c:pt idx="12">
                  <c:v>7.6</c:v>
                </c:pt>
                <c:pt idx="13">
                  <c:v>8.0500000000000007</c:v>
                </c:pt>
                <c:pt idx="14">
                  <c:v>7.65</c:v>
                </c:pt>
              </c:numCache>
            </c:numRef>
          </c:val>
          <c:extLst>
            <c:ext xmlns:c16="http://schemas.microsoft.com/office/drawing/2014/chart" uri="{C3380CC4-5D6E-409C-BE32-E72D297353CC}">
              <c16:uniqueId val="{00000004-0BC1-49B3-A7EE-79F1BB21624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DO!$G$4</c:f>
              <c:strCache>
                <c:ptCount val="1"/>
                <c:pt idx="0">
                  <c:v>QCVN 10-MT:2015/BTNMT (vùng bãi tắm)</c:v>
                </c:pt>
              </c:strCache>
            </c:strRef>
          </c:tx>
          <c:spPr>
            <a:ln w="22225" cap="rnd">
              <a:solidFill>
                <a:schemeClr val="accent6"/>
              </a:solidFill>
              <a:round/>
            </a:ln>
            <a:effectLst/>
          </c:spPr>
          <c:marker>
            <c:symbol val="none"/>
          </c:marker>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DO!$G$5:$G$19</c:f>
              <c:numCache>
                <c:formatCode>General</c:formatCode>
                <c:ptCount val="15"/>
                <c:pt idx="0">
                  <c:v>4</c:v>
                </c:pt>
                <c:pt idx="1">
                  <c:v>4</c:v>
                </c:pt>
                <c:pt idx="2">
                  <c:v>4</c:v>
                </c:pt>
                <c:pt idx="3">
                  <c:v>4</c:v>
                </c:pt>
                <c:pt idx="4">
                  <c:v>4</c:v>
                </c:pt>
                <c:pt idx="5">
                  <c:v>4</c:v>
                </c:pt>
                <c:pt idx="6">
                  <c:v>4</c:v>
                </c:pt>
              </c:numCache>
            </c:numRef>
          </c:val>
          <c:smooth val="0"/>
          <c:extLst>
            <c:ext xmlns:c16="http://schemas.microsoft.com/office/drawing/2014/chart" uri="{C3380CC4-5D6E-409C-BE32-E72D297353CC}">
              <c16:uniqueId val="{00000005-0BC1-49B3-A7EE-79F1BB21624F}"/>
            </c:ext>
          </c:extLst>
        </c:ser>
        <c:ser>
          <c:idx val="6"/>
          <c:order val="6"/>
          <c:tx>
            <c:strRef>
              <c:f>DO!$H$4</c:f>
              <c:strCache>
                <c:ptCount val="1"/>
                <c:pt idx="0">
                  <c:v>QCVN 10-MT:2015/BTNMT (vùng khác)</c:v>
                </c:pt>
              </c:strCache>
            </c:strRef>
          </c:tx>
          <c:spPr>
            <a:ln w="22225" cap="rnd">
              <a:solidFill>
                <a:schemeClr val="accent1">
                  <a:lumMod val="60000"/>
                </a:schemeClr>
              </a:solidFill>
              <a:round/>
            </a:ln>
            <a:effectLst/>
          </c:spPr>
          <c:marker>
            <c:symbol val="none"/>
          </c:marker>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DO!$H$5:$H$19</c:f>
              <c:numCache>
                <c:formatCode>General</c:formatCode>
                <c:ptCount val="15"/>
                <c:pt idx="7">
                  <c:v>4</c:v>
                </c:pt>
                <c:pt idx="8">
                  <c:v>4</c:v>
                </c:pt>
                <c:pt idx="9">
                  <c:v>4</c:v>
                </c:pt>
                <c:pt idx="10">
                  <c:v>4</c:v>
                </c:pt>
                <c:pt idx="11">
                  <c:v>4</c:v>
                </c:pt>
                <c:pt idx="12">
                  <c:v>4</c:v>
                </c:pt>
                <c:pt idx="13">
                  <c:v>4</c:v>
                </c:pt>
                <c:pt idx="14">
                  <c:v>4</c:v>
                </c:pt>
              </c:numCache>
            </c:numRef>
          </c:val>
          <c:smooth val="0"/>
          <c:extLst>
            <c:ext xmlns:c16="http://schemas.microsoft.com/office/drawing/2014/chart" uri="{C3380CC4-5D6E-409C-BE32-E72D297353CC}">
              <c16:uniqueId val="{00000006-0BC1-49B3-A7EE-79F1BB21624F}"/>
            </c:ext>
          </c:extLst>
        </c:ser>
        <c:ser>
          <c:idx val="7"/>
          <c:order val="7"/>
          <c:tx>
            <c:strRef>
              <c:f>DO!$I$4</c:f>
              <c:strCache>
                <c:ptCount val="1"/>
                <c:pt idx="0">
                  <c:v>QCVN 10:2023/BTNMT</c:v>
                </c:pt>
              </c:strCache>
            </c:strRef>
          </c:tx>
          <c:spPr>
            <a:ln w="22225" cap="rnd">
              <a:solidFill>
                <a:schemeClr val="accent2">
                  <a:lumMod val="60000"/>
                </a:schemeClr>
              </a:solidFill>
              <a:round/>
            </a:ln>
            <a:effectLst/>
          </c:spPr>
          <c:marker>
            <c:symbol val="none"/>
          </c:marker>
          <c:cat>
            <c:strRef>
              <c:f>DO!$A$5:$A$19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DO!$I$5:$I$19</c:f>
              <c:numCache>
                <c:formatCode>General</c:formatCode>
                <c:ptCount val="15"/>
                <c:pt idx="0">
                  <c:v>5</c:v>
                </c:pt>
                <c:pt idx="1">
                  <c:v>5</c:v>
                </c:pt>
                <c:pt idx="2">
                  <c:v>5</c:v>
                </c:pt>
                <c:pt idx="3">
                  <c:v>5</c:v>
                </c:pt>
                <c:pt idx="4">
                  <c:v>5</c:v>
                </c:pt>
                <c:pt idx="5">
                  <c:v>5</c:v>
                </c:pt>
                <c:pt idx="6">
                  <c:v>5</c:v>
                </c:pt>
                <c:pt idx="7">
                  <c:v>5</c:v>
                </c:pt>
                <c:pt idx="8">
                  <c:v>5</c:v>
                </c:pt>
                <c:pt idx="9">
                  <c:v>5</c:v>
                </c:pt>
                <c:pt idx="10">
                  <c:v>5</c:v>
                </c:pt>
                <c:pt idx="11">
                  <c:v>5</c:v>
                </c:pt>
                <c:pt idx="12">
                  <c:v>5</c:v>
                </c:pt>
                <c:pt idx="13">
                  <c:v>5</c:v>
                </c:pt>
                <c:pt idx="14">
                  <c:v>5</c:v>
                </c:pt>
              </c:numCache>
            </c:numRef>
          </c:val>
          <c:smooth val="0"/>
          <c:extLst>
            <c:ext xmlns:c16="http://schemas.microsoft.com/office/drawing/2014/chart" uri="{C3380CC4-5D6E-409C-BE32-E72D297353CC}">
              <c16:uniqueId val="{00000007-0BC1-49B3-A7EE-79F1BB21624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2"/>
      </c:valAx>
      <c:spPr>
        <a:noFill/>
        <a:ln>
          <a:noFill/>
        </a:ln>
        <a:effectLst/>
      </c:spPr>
    </c:plotArea>
    <c:legend>
      <c:legendPos val="b"/>
      <c:layout>
        <c:manualLayout>
          <c:xMode val="edge"/>
          <c:yMode val="edge"/>
          <c:x val="0"/>
          <c:y val="0.79831884650782303"/>
          <c:w val="0.99271119873515923"/>
          <c:h val="0.1771914306166274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9077263779527559"/>
        </c:manualLayout>
      </c:layout>
      <c:overlay val="0"/>
      <c:spPr>
        <a:noFill/>
        <a:ln>
          <a:noFill/>
        </a:ln>
        <a:effectLst/>
      </c:spPr>
      <c:txPr>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7.3773123521561138E-2"/>
          <c:y val="3.8524168853893266E-2"/>
          <c:w val="0.91182681677684274"/>
          <c:h val="0.54013670166229222"/>
        </c:manualLayout>
      </c:layout>
      <c:barChart>
        <c:barDir val="col"/>
        <c:grouping val="clustered"/>
        <c:varyColors val="0"/>
        <c:ser>
          <c:idx val="0"/>
          <c:order val="0"/>
          <c:tx>
            <c:strRef>
              <c:f>TSS!$C$4</c:f>
              <c:strCache>
                <c:ptCount val="1"/>
                <c:pt idx="0">
                  <c:v>2021</c:v>
                </c:pt>
              </c:strCache>
            </c:strRef>
          </c:tx>
          <c:spPr>
            <a:solidFill>
              <a:schemeClr val="accent1"/>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TSS!$C$5:$C$19</c:f>
              <c:numCache>
                <c:formatCode>General</c:formatCode>
                <c:ptCount val="15"/>
                <c:pt idx="0">
                  <c:v>37.25</c:v>
                </c:pt>
                <c:pt idx="1">
                  <c:v>41.5</c:v>
                </c:pt>
                <c:pt idx="2">
                  <c:v>41.75</c:v>
                </c:pt>
                <c:pt idx="3">
                  <c:v>44.25</c:v>
                </c:pt>
                <c:pt idx="4">
                  <c:v>41.5</c:v>
                </c:pt>
                <c:pt idx="5">
                  <c:v>40.75</c:v>
                </c:pt>
                <c:pt idx="6">
                  <c:v>38.25</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1DF6-4078-8718-C0F3EFFA02AD}"/>
            </c:ext>
          </c:extLst>
        </c:ser>
        <c:ser>
          <c:idx val="1"/>
          <c:order val="1"/>
          <c:tx>
            <c:strRef>
              <c:f>TSS!$D$4</c:f>
              <c:strCache>
                <c:ptCount val="1"/>
                <c:pt idx="0">
                  <c:v>2022</c:v>
                </c:pt>
              </c:strCache>
            </c:strRef>
          </c:tx>
          <c:spPr>
            <a:solidFill>
              <a:schemeClr val="accent2"/>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TSS!$D$5:$D$19</c:f>
              <c:numCache>
                <c:formatCode>General</c:formatCode>
                <c:ptCount val="15"/>
                <c:pt idx="0">
                  <c:v>30.5</c:v>
                </c:pt>
                <c:pt idx="1">
                  <c:v>33.333333333333336</c:v>
                </c:pt>
                <c:pt idx="2">
                  <c:v>32.833333333333336</c:v>
                </c:pt>
                <c:pt idx="3">
                  <c:v>33.833333333333336</c:v>
                </c:pt>
                <c:pt idx="4">
                  <c:v>32.333333333333336</c:v>
                </c:pt>
                <c:pt idx="5">
                  <c:v>33.5</c:v>
                </c:pt>
                <c:pt idx="6">
                  <c:v>31.5</c:v>
                </c:pt>
                <c:pt idx="7">
                  <c:v>28</c:v>
                </c:pt>
                <c:pt idx="8">
                  <c:v>30.5</c:v>
                </c:pt>
                <c:pt idx="9">
                  <c:v>28.666666666666668</c:v>
                </c:pt>
                <c:pt idx="10">
                  <c:v>28.666666666666668</c:v>
                </c:pt>
                <c:pt idx="11">
                  <c:v>31.833333333333332</c:v>
                </c:pt>
                <c:pt idx="12">
                  <c:v>32.833333333333336</c:v>
                </c:pt>
                <c:pt idx="13">
                  <c:v>27.833333333333332</c:v>
                </c:pt>
                <c:pt idx="14">
                  <c:v>33.666666666666664</c:v>
                </c:pt>
              </c:numCache>
            </c:numRef>
          </c:val>
          <c:extLst>
            <c:ext xmlns:c16="http://schemas.microsoft.com/office/drawing/2014/chart" uri="{C3380CC4-5D6E-409C-BE32-E72D297353CC}">
              <c16:uniqueId val="{00000001-1DF6-4078-8718-C0F3EFFA02AD}"/>
            </c:ext>
          </c:extLst>
        </c:ser>
        <c:ser>
          <c:idx val="2"/>
          <c:order val="2"/>
          <c:tx>
            <c:strRef>
              <c:f>TSS!$E$4</c:f>
              <c:strCache>
                <c:ptCount val="1"/>
                <c:pt idx="0">
                  <c:v>2023</c:v>
                </c:pt>
              </c:strCache>
            </c:strRef>
          </c:tx>
          <c:spPr>
            <a:solidFill>
              <a:schemeClr val="accent3"/>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TSS!$E$5:$E$19</c:f>
              <c:numCache>
                <c:formatCode>General</c:formatCode>
                <c:ptCount val="15"/>
                <c:pt idx="0">
                  <c:v>27.666666666666668</c:v>
                </c:pt>
                <c:pt idx="1">
                  <c:v>27.833333333333332</c:v>
                </c:pt>
                <c:pt idx="2">
                  <c:v>28.333333333333332</c:v>
                </c:pt>
                <c:pt idx="3">
                  <c:v>31</c:v>
                </c:pt>
                <c:pt idx="4">
                  <c:v>29.333333333333332</c:v>
                </c:pt>
                <c:pt idx="5">
                  <c:v>28.666666666666668</c:v>
                </c:pt>
                <c:pt idx="6">
                  <c:v>26.75</c:v>
                </c:pt>
                <c:pt idx="7">
                  <c:v>26.166666666666668</c:v>
                </c:pt>
                <c:pt idx="8">
                  <c:v>29</c:v>
                </c:pt>
                <c:pt idx="9">
                  <c:v>31.666666666666668</c:v>
                </c:pt>
                <c:pt idx="10">
                  <c:v>30.5</c:v>
                </c:pt>
                <c:pt idx="11">
                  <c:v>28.833333333333332</c:v>
                </c:pt>
                <c:pt idx="12">
                  <c:v>29.333333333333332</c:v>
                </c:pt>
                <c:pt idx="13">
                  <c:v>28.166666666666668</c:v>
                </c:pt>
                <c:pt idx="14">
                  <c:v>30.666666666666668</c:v>
                </c:pt>
              </c:numCache>
            </c:numRef>
          </c:val>
          <c:extLst>
            <c:ext xmlns:c16="http://schemas.microsoft.com/office/drawing/2014/chart" uri="{C3380CC4-5D6E-409C-BE32-E72D297353CC}">
              <c16:uniqueId val="{00000002-1DF6-4078-8718-C0F3EFFA02AD}"/>
            </c:ext>
          </c:extLst>
        </c:ser>
        <c:ser>
          <c:idx val="3"/>
          <c:order val="3"/>
          <c:tx>
            <c:strRef>
              <c:f>TSS!$F$4</c:f>
              <c:strCache>
                <c:ptCount val="1"/>
                <c:pt idx="0">
                  <c:v>2024</c:v>
                </c:pt>
              </c:strCache>
            </c:strRef>
          </c:tx>
          <c:spPr>
            <a:solidFill>
              <a:schemeClr val="accent4"/>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TSS!$F$5:$F$19</c:f>
              <c:numCache>
                <c:formatCode>General</c:formatCode>
                <c:ptCount val="15"/>
                <c:pt idx="0">
                  <c:v>32.833333333333336</c:v>
                </c:pt>
                <c:pt idx="1">
                  <c:v>31.5</c:v>
                </c:pt>
                <c:pt idx="2">
                  <c:v>33.166666666666664</c:v>
                </c:pt>
                <c:pt idx="3">
                  <c:v>30</c:v>
                </c:pt>
                <c:pt idx="4">
                  <c:v>29</c:v>
                </c:pt>
                <c:pt idx="5">
                  <c:v>30.333333333333332</c:v>
                </c:pt>
                <c:pt idx="6">
                  <c:v>29.833333333333332</c:v>
                </c:pt>
                <c:pt idx="7">
                  <c:v>35.5</c:v>
                </c:pt>
                <c:pt idx="8">
                  <c:v>32.833333333333336</c:v>
                </c:pt>
                <c:pt idx="9">
                  <c:v>31.666666666666668</c:v>
                </c:pt>
                <c:pt idx="10">
                  <c:v>33.666666666666664</c:v>
                </c:pt>
                <c:pt idx="11">
                  <c:v>34</c:v>
                </c:pt>
                <c:pt idx="12">
                  <c:v>30.166666666666668</c:v>
                </c:pt>
                <c:pt idx="13">
                  <c:v>28.833333333333332</c:v>
                </c:pt>
                <c:pt idx="14">
                  <c:v>27.833333333333332</c:v>
                </c:pt>
              </c:numCache>
            </c:numRef>
          </c:val>
          <c:extLst>
            <c:ext xmlns:c16="http://schemas.microsoft.com/office/drawing/2014/chart" uri="{C3380CC4-5D6E-409C-BE32-E72D297353CC}">
              <c16:uniqueId val="{00000003-1DF6-4078-8718-C0F3EFFA02AD}"/>
            </c:ext>
          </c:extLst>
        </c:ser>
        <c:ser>
          <c:idx val="4"/>
          <c:order val="4"/>
          <c:tx>
            <c:strRef>
              <c:f>TSS!$G$4</c:f>
              <c:strCache>
                <c:ptCount val="1"/>
                <c:pt idx="0">
                  <c:v>2025</c:v>
                </c:pt>
              </c:strCache>
            </c:strRef>
          </c:tx>
          <c:spPr>
            <a:solidFill>
              <a:schemeClr val="accent5"/>
            </a:solidFill>
            <a:ln>
              <a:noFill/>
            </a:ln>
            <a:effectLst/>
          </c:spPr>
          <c:invertIfNegative val="0"/>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TSS!$G$5:$G$19</c:f>
              <c:numCache>
                <c:formatCode>General</c:formatCode>
                <c:ptCount val="15"/>
                <c:pt idx="0">
                  <c:v>32.5</c:v>
                </c:pt>
                <c:pt idx="1">
                  <c:v>32.5</c:v>
                </c:pt>
                <c:pt idx="2">
                  <c:v>32.5</c:v>
                </c:pt>
                <c:pt idx="3">
                  <c:v>29</c:v>
                </c:pt>
                <c:pt idx="4">
                  <c:v>27.5</c:v>
                </c:pt>
                <c:pt idx="5">
                  <c:v>28.5</c:v>
                </c:pt>
                <c:pt idx="6">
                  <c:v>32</c:v>
                </c:pt>
                <c:pt idx="7">
                  <c:v>34</c:v>
                </c:pt>
                <c:pt idx="8">
                  <c:v>34.5</c:v>
                </c:pt>
                <c:pt idx="9">
                  <c:v>30</c:v>
                </c:pt>
                <c:pt idx="10">
                  <c:v>29.5</c:v>
                </c:pt>
                <c:pt idx="11">
                  <c:v>33</c:v>
                </c:pt>
                <c:pt idx="12">
                  <c:v>32</c:v>
                </c:pt>
                <c:pt idx="13">
                  <c:v>29.5</c:v>
                </c:pt>
                <c:pt idx="14">
                  <c:v>27</c:v>
                </c:pt>
              </c:numCache>
            </c:numRef>
          </c:val>
          <c:extLst>
            <c:ext xmlns:c16="http://schemas.microsoft.com/office/drawing/2014/chart" uri="{C3380CC4-5D6E-409C-BE32-E72D297353CC}">
              <c16:uniqueId val="{00000004-1DF6-4078-8718-C0F3EFFA02A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TSS!$H$4</c:f>
              <c:strCache>
                <c:ptCount val="1"/>
                <c:pt idx="0">
                  <c:v>Quy chuẩn đánh giá</c:v>
                </c:pt>
              </c:strCache>
            </c:strRef>
          </c:tx>
          <c:spPr>
            <a:ln w="22225" cap="rnd">
              <a:solidFill>
                <a:schemeClr val="accent6"/>
              </a:solidFill>
              <a:round/>
            </a:ln>
            <a:effectLst/>
          </c:spPr>
          <c:marker>
            <c:symbol val="none"/>
          </c:marker>
          <c:cat>
            <c:strRef>
              <c:f>TSS!$B$5:$B$19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TSS!$H$5:$H$19</c:f>
              <c:numCache>
                <c:formatCode>General</c:formatCode>
                <c:ptCount val="15"/>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numCache>
            </c:numRef>
          </c:val>
          <c:smooth val="0"/>
          <c:extLst>
            <c:ext xmlns:c16="http://schemas.microsoft.com/office/drawing/2014/chart" uri="{C3380CC4-5D6E-409C-BE32-E72D297353CC}">
              <c16:uniqueId val="{00000005-1DF6-4078-8718-C0F3EFFA02A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10"/>
      </c:valAx>
      <c:spPr>
        <a:noFill/>
        <a:ln>
          <a:noFill/>
        </a:ln>
        <a:effectLst/>
      </c:spPr>
    </c:plotArea>
    <c:legend>
      <c:legendPos val="b"/>
      <c:layout>
        <c:manualLayout>
          <c:xMode val="edge"/>
          <c:yMode val="edge"/>
          <c:x val="6.5359190140906173E-2"/>
          <c:y val="0.86620734908136487"/>
          <c:w val="0.86928155260160878"/>
          <c:h val="0.1334405440862731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000" b="0"/>
              <a:t>(MPN/100ml)</a:t>
            </a:r>
          </a:p>
        </c:rich>
      </c:tx>
      <c:layout>
        <c:manualLayout>
          <c:xMode val="edge"/>
          <c:yMode val="edge"/>
          <c:x val="4.5614449174677498E-3"/>
          <c:y val="4.5358766773871566E-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0.10047587725768355"/>
          <c:y val="3.3417301710525621E-2"/>
          <c:w val="0.89203122532319568"/>
          <c:h val="0.47811171490887583"/>
        </c:manualLayout>
      </c:layout>
      <c:barChart>
        <c:barDir val="col"/>
        <c:grouping val="clustered"/>
        <c:varyColors val="0"/>
        <c:ser>
          <c:idx val="0"/>
          <c:order val="0"/>
          <c:tx>
            <c:strRef>
              <c:f>'Tổng Coliform'!$B$4</c:f>
              <c:strCache>
                <c:ptCount val="1"/>
                <c:pt idx="0">
                  <c:v>2021</c:v>
                </c:pt>
              </c:strCache>
            </c:strRef>
          </c:tx>
          <c:spPr>
            <a:solidFill>
              <a:schemeClr val="accent1"/>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Coliform'!$B$5:$B$19</c:f>
              <c:numCache>
                <c:formatCode>0.0</c:formatCode>
                <c:ptCount val="15"/>
                <c:pt idx="0">
                  <c:v>432.5</c:v>
                </c:pt>
                <c:pt idx="1">
                  <c:v>245</c:v>
                </c:pt>
                <c:pt idx="2">
                  <c:v>382.5</c:v>
                </c:pt>
                <c:pt idx="3">
                  <c:v>347.5</c:v>
                </c:pt>
                <c:pt idx="4">
                  <c:v>885</c:v>
                </c:pt>
                <c:pt idx="5">
                  <c:v>677.5</c:v>
                </c:pt>
                <c:pt idx="6">
                  <c:v>637.5</c:v>
                </c:pt>
                <c:pt idx="7">
                  <c:v>645</c:v>
                </c:pt>
                <c:pt idx="8">
                  <c:v>372.5</c:v>
                </c:pt>
                <c:pt idx="9">
                  <c:v>365</c:v>
                </c:pt>
                <c:pt idx="10">
                  <c:v>737.5</c:v>
                </c:pt>
                <c:pt idx="11">
                  <c:v>365</c:v>
                </c:pt>
                <c:pt idx="12">
                  <c:v>420</c:v>
                </c:pt>
                <c:pt idx="13">
                  <c:v>625</c:v>
                </c:pt>
                <c:pt idx="14">
                  <c:v>487.5</c:v>
                </c:pt>
              </c:numCache>
            </c:numRef>
          </c:val>
          <c:extLst>
            <c:ext xmlns:c16="http://schemas.microsoft.com/office/drawing/2014/chart" uri="{C3380CC4-5D6E-409C-BE32-E72D297353CC}">
              <c16:uniqueId val="{00000000-6FCC-4CAE-BF8D-B1517A02257C}"/>
            </c:ext>
          </c:extLst>
        </c:ser>
        <c:ser>
          <c:idx val="1"/>
          <c:order val="1"/>
          <c:tx>
            <c:strRef>
              <c:f>'Tổng Coliform'!$C$4</c:f>
              <c:strCache>
                <c:ptCount val="1"/>
                <c:pt idx="0">
                  <c:v>2022</c:v>
                </c:pt>
              </c:strCache>
            </c:strRef>
          </c:tx>
          <c:spPr>
            <a:solidFill>
              <a:schemeClr val="accent2"/>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Coliform'!$C$5:$C$19</c:f>
              <c:numCache>
                <c:formatCode>0.0</c:formatCode>
                <c:ptCount val="15"/>
                <c:pt idx="0">
                  <c:v>97.5</c:v>
                </c:pt>
                <c:pt idx="1">
                  <c:v>1695</c:v>
                </c:pt>
                <c:pt idx="2">
                  <c:v>2740</c:v>
                </c:pt>
                <c:pt idx="3">
                  <c:v>650</c:v>
                </c:pt>
                <c:pt idx="4">
                  <c:v>892.5</c:v>
                </c:pt>
                <c:pt idx="5">
                  <c:v>855</c:v>
                </c:pt>
                <c:pt idx="6">
                  <c:v>462.5</c:v>
                </c:pt>
                <c:pt idx="7">
                  <c:v>552.5</c:v>
                </c:pt>
                <c:pt idx="8">
                  <c:v>137.5</c:v>
                </c:pt>
                <c:pt idx="9">
                  <c:v>1560</c:v>
                </c:pt>
                <c:pt idx="10">
                  <c:v>900</c:v>
                </c:pt>
                <c:pt idx="11">
                  <c:v>1042.5</c:v>
                </c:pt>
                <c:pt idx="12">
                  <c:v>1875</c:v>
                </c:pt>
                <c:pt idx="13">
                  <c:v>822.5</c:v>
                </c:pt>
                <c:pt idx="14">
                  <c:v>622.5</c:v>
                </c:pt>
              </c:numCache>
            </c:numRef>
          </c:val>
          <c:extLst>
            <c:ext xmlns:c16="http://schemas.microsoft.com/office/drawing/2014/chart" uri="{C3380CC4-5D6E-409C-BE32-E72D297353CC}">
              <c16:uniqueId val="{00000001-6FCC-4CAE-BF8D-B1517A02257C}"/>
            </c:ext>
          </c:extLst>
        </c:ser>
        <c:ser>
          <c:idx val="2"/>
          <c:order val="2"/>
          <c:tx>
            <c:strRef>
              <c:f>'Tổng Coliform'!$D$4</c:f>
              <c:strCache>
                <c:ptCount val="1"/>
                <c:pt idx="0">
                  <c:v>2023</c:v>
                </c:pt>
              </c:strCache>
            </c:strRef>
          </c:tx>
          <c:spPr>
            <a:solidFill>
              <a:schemeClr val="accent3"/>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Coliform'!$D$5:$D$19</c:f>
              <c:numCache>
                <c:formatCode>0.0</c:formatCode>
                <c:ptCount val="15"/>
                <c:pt idx="0">
                  <c:v>194.75</c:v>
                </c:pt>
                <c:pt idx="1">
                  <c:v>1159.5</c:v>
                </c:pt>
                <c:pt idx="2">
                  <c:v>1532.5</c:v>
                </c:pt>
                <c:pt idx="3">
                  <c:v>1162.25</c:v>
                </c:pt>
                <c:pt idx="4">
                  <c:v>247.5</c:v>
                </c:pt>
                <c:pt idx="5">
                  <c:v>1002.5</c:v>
                </c:pt>
                <c:pt idx="6">
                  <c:v>740</c:v>
                </c:pt>
                <c:pt idx="7">
                  <c:v>677.5</c:v>
                </c:pt>
                <c:pt idx="8">
                  <c:v>1060</c:v>
                </c:pt>
                <c:pt idx="9">
                  <c:v>1019.75</c:v>
                </c:pt>
                <c:pt idx="10">
                  <c:v>2172.5</c:v>
                </c:pt>
                <c:pt idx="11">
                  <c:v>1897.5</c:v>
                </c:pt>
                <c:pt idx="12">
                  <c:v>2083.5</c:v>
                </c:pt>
                <c:pt idx="13">
                  <c:v>409.75</c:v>
                </c:pt>
                <c:pt idx="14">
                  <c:v>470</c:v>
                </c:pt>
              </c:numCache>
            </c:numRef>
          </c:val>
          <c:extLst>
            <c:ext xmlns:c16="http://schemas.microsoft.com/office/drawing/2014/chart" uri="{C3380CC4-5D6E-409C-BE32-E72D297353CC}">
              <c16:uniqueId val="{00000002-6FCC-4CAE-BF8D-B1517A02257C}"/>
            </c:ext>
          </c:extLst>
        </c:ser>
        <c:ser>
          <c:idx val="3"/>
          <c:order val="3"/>
          <c:tx>
            <c:strRef>
              <c:f>'Tổng Coliform'!$E$4</c:f>
              <c:strCache>
                <c:ptCount val="1"/>
                <c:pt idx="0">
                  <c:v>2024</c:v>
                </c:pt>
              </c:strCache>
            </c:strRef>
          </c:tx>
          <c:spPr>
            <a:solidFill>
              <a:schemeClr val="accent4"/>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Coliform'!$E$5:$E$19</c:f>
              <c:numCache>
                <c:formatCode>0.0</c:formatCode>
                <c:ptCount val="15"/>
                <c:pt idx="0">
                  <c:v>775</c:v>
                </c:pt>
                <c:pt idx="1">
                  <c:v>147.5</c:v>
                </c:pt>
                <c:pt idx="2">
                  <c:v>1575</c:v>
                </c:pt>
                <c:pt idx="3">
                  <c:v>261</c:v>
                </c:pt>
                <c:pt idx="4">
                  <c:v>712.5</c:v>
                </c:pt>
                <c:pt idx="5">
                  <c:v>299</c:v>
                </c:pt>
                <c:pt idx="6">
                  <c:v>242.25</c:v>
                </c:pt>
                <c:pt idx="7">
                  <c:v>2312.5</c:v>
                </c:pt>
                <c:pt idx="8">
                  <c:v>729.75</c:v>
                </c:pt>
                <c:pt idx="9">
                  <c:v>480</c:v>
                </c:pt>
                <c:pt idx="10">
                  <c:v>2240</c:v>
                </c:pt>
                <c:pt idx="11">
                  <c:v>1640</c:v>
                </c:pt>
                <c:pt idx="12">
                  <c:v>135</c:v>
                </c:pt>
                <c:pt idx="13">
                  <c:v>174.5</c:v>
                </c:pt>
                <c:pt idx="14">
                  <c:v>582.5</c:v>
                </c:pt>
              </c:numCache>
            </c:numRef>
          </c:val>
          <c:extLst>
            <c:ext xmlns:c16="http://schemas.microsoft.com/office/drawing/2014/chart" uri="{C3380CC4-5D6E-409C-BE32-E72D297353CC}">
              <c16:uniqueId val="{00000003-6FCC-4CAE-BF8D-B1517A02257C}"/>
            </c:ext>
          </c:extLst>
        </c:ser>
        <c:ser>
          <c:idx val="4"/>
          <c:order val="4"/>
          <c:tx>
            <c:strRef>
              <c:f>'Tổng Coliform'!$F$4</c:f>
              <c:strCache>
                <c:ptCount val="1"/>
                <c:pt idx="0">
                  <c:v>2025</c:v>
                </c:pt>
              </c:strCache>
            </c:strRef>
          </c:tx>
          <c:spPr>
            <a:solidFill>
              <a:schemeClr val="accent5"/>
            </a:solidFill>
            <a:ln>
              <a:noFill/>
            </a:ln>
            <a:effectLst/>
          </c:spPr>
          <c:invertIfNegative val="0"/>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Coliform'!$F$5:$F$19</c:f>
              <c:numCache>
                <c:formatCode>0.0</c:formatCode>
                <c:ptCount val="15"/>
                <c:pt idx="0">
                  <c:v>310</c:v>
                </c:pt>
                <c:pt idx="1">
                  <c:v>200</c:v>
                </c:pt>
                <c:pt idx="2">
                  <c:v>840</c:v>
                </c:pt>
                <c:pt idx="3">
                  <c:v>630</c:v>
                </c:pt>
                <c:pt idx="4">
                  <c:v>540</c:v>
                </c:pt>
                <c:pt idx="5">
                  <c:v>400</c:v>
                </c:pt>
                <c:pt idx="6">
                  <c:v>1.8</c:v>
                </c:pt>
                <c:pt idx="7">
                  <c:v>60</c:v>
                </c:pt>
                <c:pt idx="8">
                  <c:v>400</c:v>
                </c:pt>
                <c:pt idx="9">
                  <c:v>400</c:v>
                </c:pt>
                <c:pt idx="10">
                  <c:v>1200</c:v>
                </c:pt>
                <c:pt idx="11">
                  <c:v>1500</c:v>
                </c:pt>
                <c:pt idx="12">
                  <c:v>210</c:v>
                </c:pt>
                <c:pt idx="13">
                  <c:v>200</c:v>
                </c:pt>
                <c:pt idx="14">
                  <c:v>540</c:v>
                </c:pt>
              </c:numCache>
            </c:numRef>
          </c:val>
          <c:extLst>
            <c:ext xmlns:c16="http://schemas.microsoft.com/office/drawing/2014/chart" uri="{C3380CC4-5D6E-409C-BE32-E72D297353CC}">
              <c16:uniqueId val="{00000004-6FCC-4CAE-BF8D-B1517A02257C}"/>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'Tổng Coliform'!$G$4</c:f>
              <c:strCache>
                <c:ptCount val="1"/>
                <c:pt idx="0">
                  <c:v>Quy chuẩn đánh giá</c:v>
                </c:pt>
              </c:strCache>
            </c:strRef>
          </c:tx>
          <c:spPr>
            <a:ln w="22225" cap="rnd">
              <a:solidFill>
                <a:schemeClr val="accent6"/>
              </a:solidFill>
              <a:round/>
            </a:ln>
            <a:effectLst/>
          </c:spPr>
          <c:marker>
            <c:symbol val="none"/>
          </c:marker>
          <c:cat>
            <c:strRef>
              <c:f>'Tổng Coliform'!$A$5:$A$19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'Tổng Coliform'!$G$5:$G$19</c:f>
              <c:numCache>
                <c:formatCode>General</c:formatCode>
                <c:ptCount val="15"/>
                <c:pt idx="0">
                  <c:v>1000</c:v>
                </c:pt>
                <c:pt idx="1">
                  <c:v>1000</c:v>
                </c:pt>
                <c:pt idx="2">
                  <c:v>1000</c:v>
                </c:pt>
                <c:pt idx="3">
                  <c:v>1000</c:v>
                </c:pt>
                <c:pt idx="4">
                  <c:v>1000</c:v>
                </c:pt>
                <c:pt idx="5">
                  <c:v>1000</c:v>
                </c:pt>
                <c:pt idx="6">
                  <c:v>1000</c:v>
                </c:pt>
                <c:pt idx="7">
                  <c:v>1000</c:v>
                </c:pt>
                <c:pt idx="8">
                  <c:v>1000</c:v>
                </c:pt>
                <c:pt idx="9">
                  <c:v>1000</c:v>
                </c:pt>
                <c:pt idx="10">
                  <c:v>1000</c:v>
                </c:pt>
                <c:pt idx="11">
                  <c:v>1000</c:v>
                </c:pt>
                <c:pt idx="12">
                  <c:v>1000</c:v>
                </c:pt>
                <c:pt idx="13">
                  <c:v>1000</c:v>
                </c:pt>
                <c:pt idx="14">
                  <c:v>1000</c:v>
                </c:pt>
              </c:numCache>
            </c:numRef>
          </c:val>
          <c:smooth val="0"/>
          <c:extLst>
            <c:ext xmlns:c16="http://schemas.microsoft.com/office/drawing/2014/chart" uri="{C3380CC4-5D6E-409C-BE32-E72D297353CC}">
              <c16:uniqueId val="{00000005-6FCC-4CAE-BF8D-B1517A02257C}"/>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0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500"/>
      </c:valAx>
      <c:spPr>
        <a:noFill/>
        <a:ln>
          <a:noFill/>
        </a:ln>
        <a:effectLst/>
      </c:spPr>
    </c:plotArea>
    <c:legend>
      <c:legendPos val="b"/>
      <c:layout>
        <c:manualLayout>
          <c:xMode val="edge"/>
          <c:yMode val="edge"/>
          <c:x val="6.5359159609901282E-2"/>
          <c:y val="0.81496485474526947"/>
          <c:w val="0.86928155260160878"/>
          <c:h val="0.1577765807443083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3860786261101793"/>
        </c:manualLayout>
      </c:layout>
      <c:overlay val="0"/>
      <c:spPr>
        <a:noFill/>
        <a:ln>
          <a:noFill/>
        </a:ln>
        <a:effectLst/>
      </c:spPr>
      <c:txPr>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8.4793621648076467E-2"/>
          <c:y val="3.7036385841027558E-2"/>
          <c:w val="0.90800591462324654"/>
          <c:h val="0.3771955560349477"/>
        </c:manualLayout>
      </c:layout>
      <c:barChart>
        <c:barDir val="col"/>
        <c:grouping val="clustered"/>
        <c:varyColors val="0"/>
        <c:ser>
          <c:idx val="0"/>
          <c:order val="0"/>
          <c:tx>
            <c:strRef>
              <c:f>Amoni!$B$4</c:f>
              <c:strCache>
                <c:ptCount val="1"/>
                <c:pt idx="0">
                  <c:v>2021</c:v>
                </c:pt>
              </c:strCache>
            </c:strRef>
          </c:tx>
          <c:spPr>
            <a:solidFill>
              <a:schemeClr val="accent1"/>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Amoni!$B$5:$B$19</c:f>
              <c:numCache>
                <c:formatCode>0.000</c:formatCode>
                <c:ptCount val="15"/>
                <c:pt idx="0">
                  <c:v>0.11249999999999999</c:v>
                </c:pt>
                <c:pt idx="1">
                  <c:v>7.5000000000000011E-2</c:v>
                </c:pt>
                <c:pt idx="2">
                  <c:v>0.1</c:v>
                </c:pt>
                <c:pt idx="3">
                  <c:v>0.14499999999999999</c:v>
                </c:pt>
                <c:pt idx="4">
                  <c:v>8.2500000000000004E-2</c:v>
                </c:pt>
                <c:pt idx="5">
                  <c:v>0.08</c:v>
                </c:pt>
                <c:pt idx="6">
                  <c:v>0.08</c:v>
                </c:pt>
                <c:pt idx="7">
                  <c:v>0.11499999999999999</c:v>
                </c:pt>
                <c:pt idx="8">
                  <c:v>0.13999999999999999</c:v>
                </c:pt>
                <c:pt idx="9">
                  <c:v>0.05</c:v>
                </c:pt>
                <c:pt idx="10">
                  <c:v>0.10750000000000001</c:v>
                </c:pt>
                <c:pt idx="11">
                  <c:v>0.1</c:v>
                </c:pt>
                <c:pt idx="12">
                  <c:v>7.5000000000000011E-2</c:v>
                </c:pt>
                <c:pt idx="13">
                  <c:v>0.1</c:v>
                </c:pt>
                <c:pt idx="14">
                  <c:v>0.1</c:v>
                </c:pt>
              </c:numCache>
            </c:numRef>
          </c:val>
          <c:extLst>
            <c:ext xmlns:c16="http://schemas.microsoft.com/office/drawing/2014/chart" uri="{C3380CC4-5D6E-409C-BE32-E72D297353CC}">
              <c16:uniqueId val="{00000000-6B15-423B-986A-F167BCA31D13}"/>
            </c:ext>
          </c:extLst>
        </c:ser>
        <c:ser>
          <c:idx val="1"/>
          <c:order val="1"/>
          <c:tx>
            <c:strRef>
              <c:f>Amoni!$C$4</c:f>
              <c:strCache>
                <c:ptCount val="1"/>
                <c:pt idx="0">
                  <c:v>2022</c:v>
                </c:pt>
              </c:strCache>
            </c:strRef>
          </c:tx>
          <c:spPr>
            <a:solidFill>
              <a:schemeClr val="accent2"/>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Amoni!$C$5:$C$19</c:f>
              <c:numCache>
                <c:formatCode>0.000</c:formatCode>
                <c:ptCount val="15"/>
                <c:pt idx="0">
                  <c:v>5.6666666666666671E-2</c:v>
                </c:pt>
                <c:pt idx="1">
                  <c:v>4.6666666666666669E-2</c:v>
                </c:pt>
                <c:pt idx="2">
                  <c:v>0.1466666666666667</c:v>
                </c:pt>
                <c:pt idx="3">
                  <c:v>0.23333333333333336</c:v>
                </c:pt>
                <c:pt idx="4">
                  <c:v>9.3333333333333338E-2</c:v>
                </c:pt>
                <c:pt idx="5">
                  <c:v>0.15333333333333332</c:v>
                </c:pt>
                <c:pt idx="6">
                  <c:v>8.666666666666667E-2</c:v>
                </c:pt>
                <c:pt idx="7">
                  <c:v>5.6666666666666671E-2</c:v>
                </c:pt>
                <c:pt idx="8">
                  <c:v>5.8333333333333327E-2</c:v>
                </c:pt>
                <c:pt idx="9">
                  <c:v>4.8333333333333339E-2</c:v>
                </c:pt>
                <c:pt idx="10">
                  <c:v>0.23333333333333336</c:v>
                </c:pt>
                <c:pt idx="11">
                  <c:v>0.28333333333333333</c:v>
                </c:pt>
                <c:pt idx="12">
                  <c:v>0.04</c:v>
                </c:pt>
                <c:pt idx="13">
                  <c:v>0.13333333333333333</c:v>
                </c:pt>
                <c:pt idx="14">
                  <c:v>8.666666666666667E-2</c:v>
                </c:pt>
              </c:numCache>
            </c:numRef>
          </c:val>
          <c:extLst>
            <c:ext xmlns:c16="http://schemas.microsoft.com/office/drawing/2014/chart" uri="{C3380CC4-5D6E-409C-BE32-E72D297353CC}">
              <c16:uniqueId val="{00000001-6B15-423B-986A-F167BCA31D13}"/>
            </c:ext>
          </c:extLst>
        </c:ser>
        <c:ser>
          <c:idx val="2"/>
          <c:order val="2"/>
          <c:tx>
            <c:strRef>
              <c:f>Amoni!$D$4</c:f>
              <c:strCache>
                <c:ptCount val="1"/>
                <c:pt idx="0">
                  <c:v>2023</c:v>
                </c:pt>
              </c:strCache>
            </c:strRef>
          </c:tx>
          <c:spPr>
            <a:solidFill>
              <a:schemeClr val="accent3"/>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Amoni!$D$5:$D$19</c:f>
              <c:numCache>
                <c:formatCode>0.000</c:formatCode>
                <c:ptCount val="15"/>
                <c:pt idx="0">
                  <c:v>8.3333333333333332E-3</c:v>
                </c:pt>
                <c:pt idx="1">
                  <c:v>1.6666666666666666E-2</c:v>
                </c:pt>
                <c:pt idx="2">
                  <c:v>6.6666666666666671E-3</c:v>
                </c:pt>
                <c:pt idx="3">
                  <c:v>0.04</c:v>
                </c:pt>
                <c:pt idx="4">
                  <c:v>1.4999999999999999E-2</c:v>
                </c:pt>
                <c:pt idx="5">
                  <c:v>2.6666666666666668E-2</c:v>
                </c:pt>
                <c:pt idx="6">
                  <c:v>0.04</c:v>
                </c:pt>
                <c:pt idx="7">
                  <c:v>2.1666666666666667E-2</c:v>
                </c:pt>
                <c:pt idx="8">
                  <c:v>0.04</c:v>
                </c:pt>
                <c:pt idx="9">
                  <c:v>2.1000000000000001E-2</c:v>
                </c:pt>
                <c:pt idx="10">
                  <c:v>0.04</c:v>
                </c:pt>
                <c:pt idx="11">
                  <c:v>0.04</c:v>
                </c:pt>
                <c:pt idx="12">
                  <c:v>3.3333333333333333E-2</c:v>
                </c:pt>
                <c:pt idx="13">
                  <c:v>2.9333333333333333E-2</c:v>
                </c:pt>
                <c:pt idx="14">
                  <c:v>2.3333333333333334E-2</c:v>
                </c:pt>
              </c:numCache>
            </c:numRef>
          </c:val>
          <c:extLst>
            <c:ext xmlns:c16="http://schemas.microsoft.com/office/drawing/2014/chart" uri="{C3380CC4-5D6E-409C-BE32-E72D297353CC}">
              <c16:uniqueId val="{00000002-6B15-423B-986A-F167BCA31D13}"/>
            </c:ext>
          </c:extLst>
        </c:ser>
        <c:ser>
          <c:idx val="3"/>
          <c:order val="3"/>
          <c:tx>
            <c:strRef>
              <c:f>Amoni!$E$4</c:f>
              <c:strCache>
                <c:ptCount val="1"/>
                <c:pt idx="0">
                  <c:v>2024</c:v>
                </c:pt>
              </c:strCache>
            </c:strRef>
          </c:tx>
          <c:spPr>
            <a:solidFill>
              <a:schemeClr val="accent4"/>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Amoni!$E$5:$E$19</c:f>
              <c:numCache>
                <c:formatCode>0.000</c:formatCode>
                <c:ptCount val="15"/>
                <c:pt idx="0">
                  <c:v>0.04</c:v>
                </c:pt>
                <c:pt idx="1">
                  <c:v>1.6666666666666666E-2</c:v>
                </c:pt>
                <c:pt idx="2">
                  <c:v>2.5000000000000005E-2</c:v>
                </c:pt>
                <c:pt idx="3">
                  <c:v>0.04</c:v>
                </c:pt>
                <c:pt idx="4">
                  <c:v>0.04</c:v>
                </c:pt>
                <c:pt idx="5">
                  <c:v>0.04</c:v>
                </c:pt>
                <c:pt idx="6">
                  <c:v>2.8333333333333335E-2</c:v>
                </c:pt>
                <c:pt idx="7">
                  <c:v>4.8333333333333332E-2</c:v>
                </c:pt>
                <c:pt idx="8">
                  <c:v>0.04</c:v>
                </c:pt>
                <c:pt idx="9">
                  <c:v>0.04</c:v>
                </c:pt>
                <c:pt idx="10">
                  <c:v>3.5000000000000003E-2</c:v>
                </c:pt>
                <c:pt idx="11">
                  <c:v>8.3333333333333332E-3</c:v>
                </c:pt>
                <c:pt idx="12">
                  <c:v>0.04</c:v>
                </c:pt>
                <c:pt idx="13">
                  <c:v>8.3333333333333332E-3</c:v>
                </c:pt>
                <c:pt idx="14">
                  <c:v>0.04</c:v>
                </c:pt>
              </c:numCache>
            </c:numRef>
          </c:val>
          <c:extLst>
            <c:ext xmlns:c16="http://schemas.microsoft.com/office/drawing/2014/chart" uri="{C3380CC4-5D6E-409C-BE32-E72D297353CC}">
              <c16:uniqueId val="{00000003-6B15-423B-986A-F167BCA31D13}"/>
            </c:ext>
          </c:extLst>
        </c:ser>
        <c:ser>
          <c:idx val="4"/>
          <c:order val="4"/>
          <c:tx>
            <c:strRef>
              <c:f>Amoni!$F$4</c:f>
              <c:strCache>
                <c:ptCount val="1"/>
                <c:pt idx="0">
                  <c:v>2025</c:v>
                </c:pt>
              </c:strCache>
            </c:strRef>
          </c:tx>
          <c:spPr>
            <a:solidFill>
              <a:schemeClr val="accent5"/>
            </a:solidFill>
            <a:ln>
              <a:noFill/>
            </a:ln>
            <a:effectLst/>
          </c:spPr>
          <c:invertIfNegative val="0"/>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Amoni!$F$5:$F$19</c:f>
              <c:numCache>
                <c:formatCode>0.000</c:formatCode>
                <c:ptCount val="15"/>
                <c:pt idx="0">
                  <c:v>0.05</c:v>
                </c:pt>
                <c:pt idx="1">
                  <c:v>4.4999999999999998E-2</c:v>
                </c:pt>
                <c:pt idx="2">
                  <c:v>0.04</c:v>
                </c:pt>
                <c:pt idx="3">
                  <c:v>5.5E-2</c:v>
                </c:pt>
                <c:pt idx="4">
                  <c:v>4.4999999999999998E-2</c:v>
                </c:pt>
                <c:pt idx="5">
                  <c:v>0.04</c:v>
                </c:pt>
                <c:pt idx="6">
                  <c:v>0.04</c:v>
                </c:pt>
                <c:pt idx="7">
                  <c:v>5.5E-2</c:v>
                </c:pt>
                <c:pt idx="8">
                  <c:v>0.05</c:v>
                </c:pt>
                <c:pt idx="9">
                  <c:v>0.04</c:v>
                </c:pt>
                <c:pt idx="10">
                  <c:v>7.0000000000000007E-2</c:v>
                </c:pt>
                <c:pt idx="11">
                  <c:v>0.04</c:v>
                </c:pt>
                <c:pt idx="12">
                  <c:v>0.04</c:v>
                </c:pt>
                <c:pt idx="13">
                  <c:v>0.05</c:v>
                </c:pt>
                <c:pt idx="14">
                  <c:v>0.05</c:v>
                </c:pt>
              </c:numCache>
            </c:numRef>
          </c:val>
          <c:extLst>
            <c:ext xmlns:c16="http://schemas.microsoft.com/office/drawing/2014/chart" uri="{C3380CC4-5D6E-409C-BE32-E72D297353CC}">
              <c16:uniqueId val="{00000004-6B15-423B-986A-F167BCA31D1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Amoni!$G$4</c:f>
              <c:strCache>
                <c:ptCount val="1"/>
                <c:pt idx="0">
                  <c:v>QCVN 10-MT:2015/BTNMT (vùng bãi tắm)</c:v>
                </c:pt>
              </c:strCache>
            </c:strRef>
          </c:tx>
          <c:spPr>
            <a:ln w="22225" cap="rnd">
              <a:solidFill>
                <a:schemeClr val="accent6"/>
              </a:solidFill>
              <a:round/>
            </a:ln>
            <a:effectLst/>
          </c:spPr>
          <c:marker>
            <c:symbol val="none"/>
          </c:marker>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Amoni!$G$5:$G$19</c:f>
              <c:numCache>
                <c:formatCode>General</c:formatCode>
                <c:ptCount val="15"/>
                <c:pt idx="0">
                  <c:v>0.5</c:v>
                </c:pt>
                <c:pt idx="1">
                  <c:v>0.5</c:v>
                </c:pt>
                <c:pt idx="2">
                  <c:v>0.5</c:v>
                </c:pt>
                <c:pt idx="3">
                  <c:v>0.5</c:v>
                </c:pt>
                <c:pt idx="4">
                  <c:v>0.5</c:v>
                </c:pt>
                <c:pt idx="5">
                  <c:v>0.5</c:v>
                </c:pt>
                <c:pt idx="6">
                  <c:v>0.5</c:v>
                </c:pt>
              </c:numCache>
            </c:numRef>
          </c:val>
          <c:smooth val="0"/>
          <c:extLst>
            <c:ext xmlns:c16="http://schemas.microsoft.com/office/drawing/2014/chart" uri="{C3380CC4-5D6E-409C-BE32-E72D297353CC}">
              <c16:uniqueId val="{00000005-6B15-423B-986A-F167BCA31D13}"/>
            </c:ext>
          </c:extLst>
        </c:ser>
        <c:ser>
          <c:idx val="6"/>
          <c:order val="6"/>
          <c:tx>
            <c:strRef>
              <c:f>Amoni!$H$4</c:f>
              <c:strCache>
                <c:ptCount val="1"/>
                <c:pt idx="0">
                  <c:v>QCVN 10-MT:2015/BTNMT (vùng khác)</c:v>
                </c:pt>
              </c:strCache>
            </c:strRef>
          </c:tx>
          <c:spPr>
            <a:ln w="22225" cap="rnd">
              <a:solidFill>
                <a:schemeClr val="accent1">
                  <a:lumMod val="60000"/>
                </a:schemeClr>
              </a:solidFill>
              <a:round/>
            </a:ln>
            <a:effectLst/>
          </c:spPr>
          <c:marker>
            <c:symbol val="none"/>
          </c:marker>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Amoni!$H$5:$H$19</c:f>
              <c:numCache>
                <c:formatCode>General</c:formatCode>
                <c:ptCount val="15"/>
                <c:pt idx="7">
                  <c:v>0.5</c:v>
                </c:pt>
                <c:pt idx="8">
                  <c:v>0.5</c:v>
                </c:pt>
                <c:pt idx="9">
                  <c:v>0.5</c:v>
                </c:pt>
                <c:pt idx="10">
                  <c:v>0.5</c:v>
                </c:pt>
                <c:pt idx="11">
                  <c:v>0.5</c:v>
                </c:pt>
                <c:pt idx="12">
                  <c:v>0.5</c:v>
                </c:pt>
                <c:pt idx="13">
                  <c:v>0.5</c:v>
                </c:pt>
                <c:pt idx="14">
                  <c:v>0.5</c:v>
                </c:pt>
              </c:numCache>
            </c:numRef>
          </c:val>
          <c:smooth val="0"/>
          <c:extLst>
            <c:ext xmlns:c16="http://schemas.microsoft.com/office/drawing/2014/chart" uri="{C3380CC4-5D6E-409C-BE32-E72D297353CC}">
              <c16:uniqueId val="{00000006-6B15-423B-986A-F167BCA31D13}"/>
            </c:ext>
          </c:extLst>
        </c:ser>
        <c:ser>
          <c:idx val="7"/>
          <c:order val="7"/>
          <c:tx>
            <c:strRef>
              <c:f>Amoni!$I$4</c:f>
              <c:strCache>
                <c:ptCount val="1"/>
                <c:pt idx="0">
                  <c:v>QCVN 10:2023/BTNMT</c:v>
                </c:pt>
              </c:strCache>
            </c:strRef>
          </c:tx>
          <c:spPr>
            <a:ln w="22225" cap="rnd">
              <a:solidFill>
                <a:schemeClr val="accent2">
                  <a:lumMod val="60000"/>
                </a:schemeClr>
              </a:solidFill>
              <a:round/>
            </a:ln>
            <a:effectLst/>
          </c:spPr>
          <c:marker>
            <c:symbol val="none"/>
          </c:marker>
          <c:cat>
            <c:strRef>
              <c:f>Amoni!$A$5:$A$19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Amoni!$I$5:$I$19</c:f>
              <c:numCache>
                <c:formatCode>General</c:formatCode>
                <c:ptCount val="15"/>
                <c:pt idx="0">
                  <c:v>0.1</c:v>
                </c:pt>
                <c:pt idx="1">
                  <c:v>0.1</c:v>
                </c:pt>
                <c:pt idx="2">
                  <c:v>0.1</c:v>
                </c:pt>
                <c:pt idx="3">
                  <c:v>0.1</c:v>
                </c:pt>
                <c:pt idx="4">
                  <c:v>0.1</c:v>
                </c:pt>
                <c:pt idx="5">
                  <c:v>0.1</c:v>
                </c:pt>
                <c:pt idx="6">
                  <c:v>0.1</c:v>
                </c:pt>
                <c:pt idx="7">
                  <c:v>0.1</c:v>
                </c:pt>
                <c:pt idx="8">
                  <c:v>0.1</c:v>
                </c:pt>
                <c:pt idx="9">
                  <c:v>0.1</c:v>
                </c:pt>
                <c:pt idx="10">
                  <c:v>0.1</c:v>
                </c:pt>
                <c:pt idx="11">
                  <c:v>0.1</c:v>
                </c:pt>
                <c:pt idx="12">
                  <c:v>0.1</c:v>
                </c:pt>
                <c:pt idx="13">
                  <c:v>0.1</c:v>
                </c:pt>
                <c:pt idx="14">
                  <c:v>0.1</c:v>
                </c:pt>
              </c:numCache>
            </c:numRef>
          </c:val>
          <c:smooth val="0"/>
          <c:extLst>
            <c:ext xmlns:c16="http://schemas.microsoft.com/office/drawing/2014/chart" uri="{C3380CC4-5D6E-409C-BE32-E72D297353CC}">
              <c16:uniqueId val="{00000007-6B15-423B-986A-F167BCA31D1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60000000000000009"/>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0.2"/>
      </c:valAx>
      <c:spPr>
        <a:noFill/>
        <a:ln>
          <a:noFill/>
        </a:ln>
        <a:effectLst/>
      </c:spPr>
    </c:plotArea>
    <c:legend>
      <c:legendPos val="b"/>
      <c:layout>
        <c:manualLayout>
          <c:xMode val="edge"/>
          <c:yMode val="edge"/>
          <c:x val="3.8909994637269414E-2"/>
          <c:y val="0.76130971374458323"/>
          <c:w val="0.92879230960137038"/>
          <c:h val="0.2114319473903400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16799720671641458"/>
        </c:manualLayout>
      </c:layout>
      <c:overlay val="0"/>
      <c:spPr>
        <a:noFill/>
        <a:ln>
          <a:noFill/>
        </a:ln>
        <a:effectLst/>
      </c:spPr>
      <c:txPr>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7.8002565086020631E-2"/>
          <c:y val="4.4821010506148361E-2"/>
          <c:w val="0.91527944338674638"/>
          <c:h val="0.39915075518616366"/>
        </c:manualLayout>
      </c:layout>
      <c:barChart>
        <c:barDir val="col"/>
        <c:grouping val="clustered"/>
        <c:varyColors val="0"/>
        <c:ser>
          <c:idx val="0"/>
          <c:order val="0"/>
          <c:tx>
            <c:strRef>
              <c:f>'Phốt phát'!$B$4</c:f>
              <c:strCache>
                <c:ptCount val="1"/>
                <c:pt idx="0">
                  <c:v>2021</c:v>
                </c:pt>
              </c:strCache>
            </c:strRef>
          </c:tx>
          <c:spPr>
            <a:solidFill>
              <a:schemeClr val="accent1"/>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phát'!$B$5:$B$19</c:f>
              <c:numCache>
                <c:formatCode>0.000</c:formatCode>
                <c:ptCount val="15"/>
                <c:pt idx="0">
                  <c:v>2.2499999999999999E-2</c:v>
                </c:pt>
                <c:pt idx="1">
                  <c:v>3.2500000000000001E-2</c:v>
                </c:pt>
                <c:pt idx="2">
                  <c:v>3.2500000000000001E-2</c:v>
                </c:pt>
                <c:pt idx="3">
                  <c:v>0.02</c:v>
                </c:pt>
                <c:pt idx="4">
                  <c:v>1.4999999999999999E-2</c:v>
                </c:pt>
                <c:pt idx="5">
                  <c:v>1.7499999999999998E-2</c:v>
                </c:pt>
                <c:pt idx="6">
                  <c:v>1.7500000000000002E-2</c:v>
                </c:pt>
                <c:pt idx="7">
                  <c:v>3.5000000000000003E-2</c:v>
                </c:pt>
                <c:pt idx="8">
                  <c:v>1.5000000000000001E-2</c:v>
                </c:pt>
                <c:pt idx="9">
                  <c:v>1.7500000000000002E-2</c:v>
                </c:pt>
                <c:pt idx="10">
                  <c:v>0.02</c:v>
                </c:pt>
                <c:pt idx="11">
                  <c:v>4.2500000000000003E-2</c:v>
                </c:pt>
                <c:pt idx="12">
                  <c:v>7.4999999999999997E-3</c:v>
                </c:pt>
                <c:pt idx="13">
                  <c:v>2.2499999999999999E-2</c:v>
                </c:pt>
                <c:pt idx="14">
                  <c:v>2.2499999999999999E-2</c:v>
                </c:pt>
              </c:numCache>
            </c:numRef>
          </c:val>
          <c:extLst>
            <c:ext xmlns:c16="http://schemas.microsoft.com/office/drawing/2014/chart" uri="{C3380CC4-5D6E-409C-BE32-E72D297353CC}">
              <c16:uniqueId val="{00000000-C942-4D5B-88E5-411A6A9CFDFB}"/>
            </c:ext>
          </c:extLst>
        </c:ser>
        <c:ser>
          <c:idx val="1"/>
          <c:order val="1"/>
          <c:tx>
            <c:strRef>
              <c:f>'Phốt phát'!$C$4</c:f>
              <c:strCache>
                <c:ptCount val="1"/>
                <c:pt idx="0">
                  <c:v>2022</c:v>
                </c:pt>
              </c:strCache>
            </c:strRef>
          </c:tx>
          <c:spPr>
            <a:solidFill>
              <a:schemeClr val="accent2"/>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phát'!$C$5:$C$19</c:f>
              <c:numCache>
                <c:formatCode>0.000</c:formatCode>
                <c:ptCount val="15"/>
                <c:pt idx="0">
                  <c:v>7.8333333333333328E-3</c:v>
                </c:pt>
                <c:pt idx="1">
                  <c:v>1.7500000000000002E-2</c:v>
                </c:pt>
                <c:pt idx="2">
                  <c:v>1.7833333333333333E-2</c:v>
                </c:pt>
                <c:pt idx="3">
                  <c:v>1.2333333333333333E-2</c:v>
                </c:pt>
                <c:pt idx="4">
                  <c:v>1.2166666666666666E-2</c:v>
                </c:pt>
                <c:pt idx="5">
                  <c:v>0.13733333333333334</c:v>
                </c:pt>
                <c:pt idx="6">
                  <c:v>2.8666666666666663E-2</c:v>
                </c:pt>
                <c:pt idx="7">
                  <c:v>1.7333333333333336E-2</c:v>
                </c:pt>
                <c:pt idx="8">
                  <c:v>3.6333333333333336E-2</c:v>
                </c:pt>
                <c:pt idx="9">
                  <c:v>1.5833333333333335E-2</c:v>
                </c:pt>
                <c:pt idx="10">
                  <c:v>1.8666666666666665E-2</c:v>
                </c:pt>
                <c:pt idx="11">
                  <c:v>2.4999999999999998E-2</c:v>
                </c:pt>
                <c:pt idx="12">
                  <c:v>7.8333333333333328E-3</c:v>
                </c:pt>
                <c:pt idx="13">
                  <c:v>8.9999999999999993E-3</c:v>
                </c:pt>
                <c:pt idx="14">
                  <c:v>4.333333333333334E-3</c:v>
                </c:pt>
              </c:numCache>
            </c:numRef>
          </c:val>
          <c:extLst>
            <c:ext xmlns:c16="http://schemas.microsoft.com/office/drawing/2014/chart" uri="{C3380CC4-5D6E-409C-BE32-E72D297353CC}">
              <c16:uniqueId val="{00000001-C942-4D5B-88E5-411A6A9CFDFB}"/>
            </c:ext>
          </c:extLst>
        </c:ser>
        <c:ser>
          <c:idx val="2"/>
          <c:order val="2"/>
          <c:tx>
            <c:strRef>
              <c:f>'Phốt phát'!$D$4</c:f>
              <c:strCache>
                <c:ptCount val="1"/>
                <c:pt idx="0">
                  <c:v>2023</c:v>
                </c:pt>
              </c:strCache>
            </c:strRef>
          </c:tx>
          <c:spPr>
            <a:solidFill>
              <a:schemeClr val="accent3"/>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phát'!$D$5:$D$19</c:f>
              <c:numCache>
                <c:formatCode>0.000</c:formatCode>
                <c:ptCount val="15"/>
                <c:pt idx="0">
                  <c:v>6.3333333333333332E-3</c:v>
                </c:pt>
                <c:pt idx="1">
                  <c:v>1.2833333333333335E-2</c:v>
                </c:pt>
                <c:pt idx="2">
                  <c:v>2.8166666666666663E-2</c:v>
                </c:pt>
                <c:pt idx="3">
                  <c:v>1.1500000000000002E-2</c:v>
                </c:pt>
                <c:pt idx="4">
                  <c:v>4.2166666666666665E-2</c:v>
                </c:pt>
                <c:pt idx="5">
                  <c:v>2.6666666666666668E-2</c:v>
                </c:pt>
                <c:pt idx="6">
                  <c:v>0.03</c:v>
                </c:pt>
                <c:pt idx="7">
                  <c:v>5.0000000000000001E-4</c:v>
                </c:pt>
                <c:pt idx="8">
                  <c:v>4.8333333333333336E-3</c:v>
                </c:pt>
                <c:pt idx="9">
                  <c:v>2.9333333333333336E-2</c:v>
                </c:pt>
                <c:pt idx="10">
                  <c:v>1.1333333333333334E-2</c:v>
                </c:pt>
                <c:pt idx="11">
                  <c:v>1.4833333333333332E-2</c:v>
                </c:pt>
                <c:pt idx="12">
                  <c:v>1.9333333333333331E-2</c:v>
                </c:pt>
                <c:pt idx="13">
                  <c:v>6.1666666666666667E-3</c:v>
                </c:pt>
                <c:pt idx="14">
                  <c:v>1.0666666666666666E-2</c:v>
                </c:pt>
              </c:numCache>
            </c:numRef>
          </c:val>
          <c:extLst>
            <c:ext xmlns:c16="http://schemas.microsoft.com/office/drawing/2014/chart" uri="{C3380CC4-5D6E-409C-BE32-E72D297353CC}">
              <c16:uniqueId val="{00000002-C942-4D5B-88E5-411A6A9CFDFB}"/>
            </c:ext>
          </c:extLst>
        </c:ser>
        <c:ser>
          <c:idx val="3"/>
          <c:order val="3"/>
          <c:tx>
            <c:strRef>
              <c:f>'Phốt phát'!$E$4</c:f>
              <c:strCache>
                <c:ptCount val="1"/>
                <c:pt idx="0">
                  <c:v>2024</c:v>
                </c:pt>
              </c:strCache>
            </c:strRef>
          </c:tx>
          <c:spPr>
            <a:solidFill>
              <a:schemeClr val="accent4"/>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phát'!$E$5:$E$19</c:f>
              <c:numCache>
                <c:formatCode>0.000</c:formatCode>
                <c:ptCount val="15"/>
                <c:pt idx="0">
                  <c:v>1.4333333333333332E-2</c:v>
                </c:pt>
                <c:pt idx="1">
                  <c:v>4.2166666666666665E-2</c:v>
                </c:pt>
                <c:pt idx="2">
                  <c:v>2.8833333333333332E-2</c:v>
                </c:pt>
                <c:pt idx="3">
                  <c:v>3.0333333333333337E-2</c:v>
                </c:pt>
                <c:pt idx="4">
                  <c:v>4.3833333333333335E-2</c:v>
                </c:pt>
                <c:pt idx="5">
                  <c:v>1.0333333333333333E-2</c:v>
                </c:pt>
                <c:pt idx="6">
                  <c:v>0.03</c:v>
                </c:pt>
                <c:pt idx="7">
                  <c:v>8.9333333333333334E-2</c:v>
                </c:pt>
                <c:pt idx="8">
                  <c:v>1.8666666666666668E-2</c:v>
                </c:pt>
                <c:pt idx="9">
                  <c:v>4.2500000000000003E-2</c:v>
                </c:pt>
                <c:pt idx="10">
                  <c:v>2.3166666666666669E-2</c:v>
                </c:pt>
                <c:pt idx="11">
                  <c:v>3.0166666666666665E-2</c:v>
                </c:pt>
                <c:pt idx="12">
                  <c:v>3.266666666666667E-2</c:v>
                </c:pt>
                <c:pt idx="13">
                  <c:v>0.10233333333333335</c:v>
                </c:pt>
                <c:pt idx="14">
                  <c:v>0.03</c:v>
                </c:pt>
              </c:numCache>
            </c:numRef>
          </c:val>
          <c:extLst>
            <c:ext xmlns:c16="http://schemas.microsoft.com/office/drawing/2014/chart" uri="{C3380CC4-5D6E-409C-BE32-E72D297353CC}">
              <c16:uniqueId val="{00000003-C942-4D5B-88E5-411A6A9CFDFB}"/>
            </c:ext>
          </c:extLst>
        </c:ser>
        <c:ser>
          <c:idx val="4"/>
          <c:order val="4"/>
          <c:tx>
            <c:strRef>
              <c:f>'Phốt phát'!$F$4</c:f>
              <c:strCache>
                <c:ptCount val="1"/>
                <c:pt idx="0">
                  <c:v>2025</c:v>
                </c:pt>
              </c:strCache>
            </c:strRef>
          </c:tx>
          <c:spPr>
            <a:solidFill>
              <a:schemeClr val="accent5"/>
            </a:solidFill>
            <a:ln>
              <a:noFill/>
            </a:ln>
            <a:effectLst/>
          </c:spPr>
          <c:invertIfNegative val="0"/>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phát'!$F$5:$F$19</c:f>
              <c:numCache>
                <c:formatCode>0.000</c:formatCode>
                <c:ptCount val="15"/>
                <c:pt idx="0">
                  <c:v>3.4000000000000002E-2</c:v>
                </c:pt>
                <c:pt idx="1">
                  <c:v>5.3999999999999999E-2</c:v>
                </c:pt>
                <c:pt idx="2">
                  <c:v>0.109</c:v>
                </c:pt>
                <c:pt idx="3">
                  <c:v>3.3000000000000002E-2</c:v>
                </c:pt>
                <c:pt idx="4">
                  <c:v>8.5000000000000006E-2</c:v>
                </c:pt>
                <c:pt idx="5">
                  <c:v>0.123</c:v>
                </c:pt>
                <c:pt idx="6">
                  <c:v>5.8999999999999997E-2</c:v>
                </c:pt>
                <c:pt idx="7">
                  <c:v>7.0000000000000007E-2</c:v>
                </c:pt>
                <c:pt idx="8">
                  <c:v>1.7999999999999999E-2</c:v>
                </c:pt>
                <c:pt idx="9">
                  <c:v>0.03</c:v>
                </c:pt>
                <c:pt idx="10">
                  <c:v>0.03</c:v>
                </c:pt>
                <c:pt idx="11">
                  <c:v>3.6999999999999998E-2</c:v>
                </c:pt>
                <c:pt idx="12">
                  <c:v>0.06</c:v>
                </c:pt>
                <c:pt idx="13">
                  <c:v>0.05</c:v>
                </c:pt>
                <c:pt idx="14">
                  <c:v>6.8000000000000005E-2</c:v>
                </c:pt>
              </c:numCache>
            </c:numRef>
          </c:val>
          <c:extLst>
            <c:ext xmlns:c16="http://schemas.microsoft.com/office/drawing/2014/chart" uri="{C3380CC4-5D6E-409C-BE32-E72D297353CC}">
              <c16:uniqueId val="{00000004-C942-4D5B-88E5-411A6A9CFDFB}"/>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'Phốt phát'!$G$4</c:f>
              <c:strCache>
                <c:ptCount val="1"/>
                <c:pt idx="0">
                  <c:v>QCVN 10-MT:2015/BTNMT (vùng bãi tắm)</c:v>
                </c:pt>
              </c:strCache>
            </c:strRef>
          </c:tx>
          <c:spPr>
            <a:ln w="22225" cap="rnd">
              <a:solidFill>
                <a:schemeClr val="accent6"/>
              </a:solidFill>
              <a:round/>
            </a:ln>
            <a:effectLst/>
          </c:spPr>
          <c:marker>
            <c:symbol val="none"/>
          </c:marker>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phát'!$G$5:$G$19</c:f>
              <c:numCache>
                <c:formatCode>General</c:formatCode>
                <c:ptCount val="15"/>
                <c:pt idx="0">
                  <c:v>0.3</c:v>
                </c:pt>
                <c:pt idx="1">
                  <c:v>0.3</c:v>
                </c:pt>
                <c:pt idx="2">
                  <c:v>0.3</c:v>
                </c:pt>
                <c:pt idx="3">
                  <c:v>0.3</c:v>
                </c:pt>
                <c:pt idx="4">
                  <c:v>0.3</c:v>
                </c:pt>
                <c:pt idx="5">
                  <c:v>0.3</c:v>
                </c:pt>
                <c:pt idx="6">
                  <c:v>0.3</c:v>
                </c:pt>
              </c:numCache>
            </c:numRef>
          </c:val>
          <c:smooth val="0"/>
          <c:extLst>
            <c:ext xmlns:c16="http://schemas.microsoft.com/office/drawing/2014/chart" uri="{C3380CC4-5D6E-409C-BE32-E72D297353CC}">
              <c16:uniqueId val="{00000005-C942-4D5B-88E5-411A6A9CFDFB}"/>
            </c:ext>
          </c:extLst>
        </c:ser>
        <c:ser>
          <c:idx val="6"/>
          <c:order val="6"/>
          <c:tx>
            <c:strRef>
              <c:f>'Phốt phát'!$H$4</c:f>
              <c:strCache>
                <c:ptCount val="1"/>
                <c:pt idx="0">
                  <c:v>QCVN 10-MT:2015/BTNMT (vùng khác)</c:v>
                </c:pt>
              </c:strCache>
            </c:strRef>
          </c:tx>
          <c:spPr>
            <a:ln w="22225" cap="rnd">
              <a:solidFill>
                <a:schemeClr val="accent1">
                  <a:lumMod val="60000"/>
                </a:schemeClr>
              </a:solidFill>
              <a:round/>
            </a:ln>
            <a:effectLst/>
          </c:spPr>
          <c:marker>
            <c:symbol val="none"/>
          </c:marker>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phát'!$H$5:$H$19</c:f>
              <c:numCache>
                <c:formatCode>General</c:formatCode>
                <c:ptCount val="15"/>
                <c:pt idx="7">
                  <c:v>0.5</c:v>
                </c:pt>
                <c:pt idx="8">
                  <c:v>0.5</c:v>
                </c:pt>
                <c:pt idx="9">
                  <c:v>0.5</c:v>
                </c:pt>
                <c:pt idx="10">
                  <c:v>0.5</c:v>
                </c:pt>
                <c:pt idx="11">
                  <c:v>0.5</c:v>
                </c:pt>
                <c:pt idx="12">
                  <c:v>0.5</c:v>
                </c:pt>
                <c:pt idx="13">
                  <c:v>0.5</c:v>
                </c:pt>
                <c:pt idx="14">
                  <c:v>0.5</c:v>
                </c:pt>
              </c:numCache>
            </c:numRef>
          </c:val>
          <c:smooth val="0"/>
          <c:extLst>
            <c:ext xmlns:c16="http://schemas.microsoft.com/office/drawing/2014/chart" uri="{C3380CC4-5D6E-409C-BE32-E72D297353CC}">
              <c16:uniqueId val="{00000006-C942-4D5B-88E5-411A6A9CFDFB}"/>
            </c:ext>
          </c:extLst>
        </c:ser>
        <c:ser>
          <c:idx val="7"/>
          <c:order val="7"/>
          <c:tx>
            <c:strRef>
              <c:f>'Phốt phát'!$I$4</c:f>
              <c:strCache>
                <c:ptCount val="1"/>
                <c:pt idx="0">
                  <c:v>QCVN 10:2023/BTNMT</c:v>
                </c:pt>
              </c:strCache>
            </c:strRef>
          </c:tx>
          <c:spPr>
            <a:ln w="22225" cap="rnd">
              <a:solidFill>
                <a:schemeClr val="accent2">
                  <a:lumMod val="60000"/>
                </a:schemeClr>
              </a:solidFill>
              <a:round/>
            </a:ln>
            <a:effectLst/>
          </c:spPr>
          <c:marker>
            <c:symbol val="none"/>
          </c:marker>
          <c:cat>
            <c:strRef>
              <c:f>'Phốt phát'!$A$5:$A$19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'Phốt phát'!$I$5:$I$19</c:f>
              <c:numCache>
                <c:formatCode>General</c:formatCode>
                <c:ptCount val="15"/>
                <c:pt idx="0">
                  <c:v>0.2</c:v>
                </c:pt>
                <c:pt idx="1">
                  <c:v>0.2</c:v>
                </c:pt>
                <c:pt idx="2">
                  <c:v>0.2</c:v>
                </c:pt>
                <c:pt idx="3">
                  <c:v>0.2</c:v>
                </c:pt>
                <c:pt idx="4">
                  <c:v>0.2</c:v>
                </c:pt>
                <c:pt idx="5">
                  <c:v>0.2</c:v>
                </c:pt>
                <c:pt idx="6">
                  <c:v>0.2</c:v>
                </c:pt>
                <c:pt idx="7">
                  <c:v>0.2</c:v>
                </c:pt>
                <c:pt idx="8">
                  <c:v>0.2</c:v>
                </c:pt>
                <c:pt idx="9">
                  <c:v>0.2</c:v>
                </c:pt>
                <c:pt idx="10">
                  <c:v>0.2</c:v>
                </c:pt>
                <c:pt idx="11">
                  <c:v>0.2</c:v>
                </c:pt>
                <c:pt idx="12">
                  <c:v>0.2</c:v>
                </c:pt>
                <c:pt idx="13">
                  <c:v>0.2</c:v>
                </c:pt>
                <c:pt idx="14">
                  <c:v>0.2</c:v>
                </c:pt>
              </c:numCache>
            </c:numRef>
          </c:val>
          <c:smooth val="0"/>
          <c:extLst>
            <c:ext xmlns:c16="http://schemas.microsoft.com/office/drawing/2014/chart" uri="{C3380CC4-5D6E-409C-BE32-E72D297353CC}">
              <c16:uniqueId val="{00000007-C942-4D5B-88E5-411A6A9CFDFB}"/>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0.5"/>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0.1"/>
      </c:valAx>
      <c:spPr>
        <a:noFill/>
        <a:ln>
          <a:noFill/>
        </a:ln>
        <a:effectLst/>
      </c:spPr>
    </c:plotArea>
    <c:legend>
      <c:legendPos val="b"/>
      <c:layout>
        <c:manualLayout>
          <c:xMode val="edge"/>
          <c:yMode val="edge"/>
          <c:x val="0"/>
          <c:y val="0.76130971374458323"/>
          <c:w val="0.99271119873515923"/>
          <c:h val="0.2114319473903400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r>
              <a:rPr lang="en-US" sz="1100" b="0"/>
              <a:t>(mg/l)</a:t>
            </a:r>
          </a:p>
        </c:rich>
      </c:tx>
      <c:layout>
        <c:manualLayout>
          <c:xMode val="edge"/>
          <c:yMode val="edge"/>
          <c:x val="1.5324566686162247E-4"/>
          <c:y val="0.20137507949359071"/>
        </c:manualLayout>
      </c:layout>
      <c:overlay val="0"/>
      <c:spPr>
        <a:noFill/>
        <a:ln>
          <a:noFill/>
        </a:ln>
        <a:effectLst/>
      </c:spPr>
      <c:txPr>
        <a:bodyPr rot="-5400000" spcFirstLastPara="1" vertOverflow="ellipsis" wrap="square" anchor="ctr" anchorCtr="1"/>
        <a:lstStyle/>
        <a:p>
          <a:pPr>
            <a:defRPr sz="1100" b="0" i="0" u="none" strike="noStrike" kern="1200" cap="none" spc="0" normalizeH="0" baseline="0">
              <a:solidFill>
                <a:schemeClr val="tx1"/>
              </a:solidFill>
              <a:latin typeface="Times New Roman" panose="02020603050405020304" pitchFamily="18" charset="0"/>
              <a:ea typeface="+mj-ea"/>
              <a:cs typeface="Times New Roman" panose="02020603050405020304" pitchFamily="18" charset="0"/>
            </a:defRPr>
          </a:pPr>
          <a:endParaRPr lang="en-US"/>
        </a:p>
      </c:txPr>
    </c:title>
    <c:autoTitleDeleted val="0"/>
    <c:plotArea>
      <c:layout>
        <c:manualLayout>
          <c:layoutTarget val="inner"/>
          <c:xMode val="edge"/>
          <c:yMode val="edge"/>
          <c:x val="8.0385422397470332E-2"/>
          <c:y val="4.0810540913978365E-2"/>
          <c:w val="0.90521451790093355"/>
          <c:h val="0.52396147529888315"/>
        </c:manualLayout>
      </c:layout>
      <c:barChart>
        <c:barDir val="col"/>
        <c:grouping val="clustered"/>
        <c:varyColors val="0"/>
        <c:ser>
          <c:idx val="0"/>
          <c:order val="0"/>
          <c:tx>
            <c:strRef>
              <c:f>Florua!$B$4</c:f>
              <c:strCache>
                <c:ptCount val="1"/>
                <c:pt idx="0">
                  <c:v>2021</c:v>
                </c:pt>
              </c:strCache>
            </c:strRef>
          </c:tx>
          <c:spPr>
            <a:solidFill>
              <a:schemeClr val="accent1"/>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Florua!$B$5:$B$19</c:f>
              <c:numCache>
                <c:formatCode>0.000</c:formatCode>
                <c:ptCount val="15"/>
                <c:pt idx="0">
                  <c:v>1.6750000000000003</c:v>
                </c:pt>
                <c:pt idx="1">
                  <c:v>1.6750000000000003</c:v>
                </c:pt>
                <c:pt idx="2">
                  <c:v>1.7750000000000001</c:v>
                </c:pt>
                <c:pt idx="3">
                  <c:v>1.7749999999999999</c:v>
                </c:pt>
                <c:pt idx="4">
                  <c:v>1.8250000000000002</c:v>
                </c:pt>
                <c:pt idx="5">
                  <c:v>1.9500000000000002</c:v>
                </c:pt>
                <c:pt idx="6">
                  <c:v>1.7</c:v>
                </c:pt>
                <c:pt idx="7">
                  <c:v>0.77499999999999991</c:v>
                </c:pt>
                <c:pt idx="8">
                  <c:v>1.7000000000000002</c:v>
                </c:pt>
                <c:pt idx="9">
                  <c:v>1.6</c:v>
                </c:pt>
                <c:pt idx="10">
                  <c:v>1.625</c:v>
                </c:pt>
                <c:pt idx="11">
                  <c:v>1.7</c:v>
                </c:pt>
                <c:pt idx="12">
                  <c:v>1.9749999999999999</c:v>
                </c:pt>
                <c:pt idx="13">
                  <c:v>1.825</c:v>
                </c:pt>
                <c:pt idx="14">
                  <c:v>1.7250000000000001</c:v>
                </c:pt>
              </c:numCache>
            </c:numRef>
          </c:val>
          <c:extLst>
            <c:ext xmlns:c16="http://schemas.microsoft.com/office/drawing/2014/chart" uri="{C3380CC4-5D6E-409C-BE32-E72D297353CC}">
              <c16:uniqueId val="{00000000-896A-4C3C-ABD5-E6AEBC1F0B06}"/>
            </c:ext>
          </c:extLst>
        </c:ser>
        <c:ser>
          <c:idx val="1"/>
          <c:order val="1"/>
          <c:tx>
            <c:strRef>
              <c:f>Florua!$C$4</c:f>
              <c:strCache>
                <c:ptCount val="1"/>
                <c:pt idx="0">
                  <c:v>2022</c:v>
                </c:pt>
              </c:strCache>
            </c:strRef>
          </c:tx>
          <c:spPr>
            <a:solidFill>
              <a:schemeClr val="accent2"/>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Florua!$C$5:$C$19</c:f>
              <c:numCache>
                <c:formatCode>0.000</c:formatCode>
                <c:ptCount val="15"/>
                <c:pt idx="0">
                  <c:v>1.6074999999999999</c:v>
                </c:pt>
                <c:pt idx="1">
                  <c:v>1.4125000000000001</c:v>
                </c:pt>
                <c:pt idx="2">
                  <c:v>1.5124999999999997</c:v>
                </c:pt>
                <c:pt idx="3">
                  <c:v>1.4450000000000003</c:v>
                </c:pt>
                <c:pt idx="4">
                  <c:v>1.6</c:v>
                </c:pt>
                <c:pt idx="5">
                  <c:v>1.3374999999999999</c:v>
                </c:pt>
                <c:pt idx="6">
                  <c:v>1.3775000000000002</c:v>
                </c:pt>
                <c:pt idx="7">
                  <c:v>1.04</c:v>
                </c:pt>
                <c:pt idx="8">
                  <c:v>1.6324999999999998</c:v>
                </c:pt>
                <c:pt idx="9">
                  <c:v>1.3125</c:v>
                </c:pt>
                <c:pt idx="10">
                  <c:v>1.4700000000000002</c:v>
                </c:pt>
                <c:pt idx="11">
                  <c:v>1.575</c:v>
                </c:pt>
                <c:pt idx="12">
                  <c:v>1.325</c:v>
                </c:pt>
                <c:pt idx="13">
                  <c:v>1.6</c:v>
                </c:pt>
                <c:pt idx="14">
                  <c:v>1.56</c:v>
                </c:pt>
              </c:numCache>
            </c:numRef>
          </c:val>
          <c:extLst>
            <c:ext xmlns:c16="http://schemas.microsoft.com/office/drawing/2014/chart" uri="{C3380CC4-5D6E-409C-BE32-E72D297353CC}">
              <c16:uniqueId val="{00000001-896A-4C3C-ABD5-E6AEBC1F0B06}"/>
            </c:ext>
          </c:extLst>
        </c:ser>
        <c:ser>
          <c:idx val="2"/>
          <c:order val="2"/>
          <c:tx>
            <c:strRef>
              <c:f>Florua!$D$4</c:f>
              <c:strCache>
                <c:ptCount val="1"/>
                <c:pt idx="0">
                  <c:v>2023</c:v>
                </c:pt>
              </c:strCache>
            </c:strRef>
          </c:tx>
          <c:spPr>
            <a:solidFill>
              <a:schemeClr val="accent3"/>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Florua!$D$5:$D$19</c:f>
              <c:numCache>
                <c:formatCode>0.000</c:formatCode>
                <c:ptCount val="15"/>
                <c:pt idx="0">
                  <c:v>1.1924999999999999</c:v>
                </c:pt>
                <c:pt idx="1">
                  <c:v>1.345</c:v>
                </c:pt>
                <c:pt idx="2">
                  <c:v>1.29</c:v>
                </c:pt>
                <c:pt idx="3">
                  <c:v>1.3199999999999998</c:v>
                </c:pt>
                <c:pt idx="4">
                  <c:v>1.4349999999999998</c:v>
                </c:pt>
                <c:pt idx="5">
                  <c:v>1.145</c:v>
                </c:pt>
                <c:pt idx="6">
                  <c:v>1.2433333333333332</c:v>
                </c:pt>
                <c:pt idx="7">
                  <c:v>0.91749999999999998</c:v>
                </c:pt>
                <c:pt idx="8">
                  <c:v>1.1975</c:v>
                </c:pt>
                <c:pt idx="9">
                  <c:v>1.3925000000000001</c:v>
                </c:pt>
                <c:pt idx="10">
                  <c:v>1.2450000000000001</c:v>
                </c:pt>
                <c:pt idx="11">
                  <c:v>1.2649999999999999</c:v>
                </c:pt>
                <c:pt idx="12">
                  <c:v>1.2324999999999999</c:v>
                </c:pt>
                <c:pt idx="13">
                  <c:v>1.155</c:v>
                </c:pt>
                <c:pt idx="14">
                  <c:v>1.0874999999999999</c:v>
                </c:pt>
              </c:numCache>
            </c:numRef>
          </c:val>
          <c:extLst>
            <c:ext xmlns:c16="http://schemas.microsoft.com/office/drawing/2014/chart" uri="{C3380CC4-5D6E-409C-BE32-E72D297353CC}">
              <c16:uniqueId val="{00000002-896A-4C3C-ABD5-E6AEBC1F0B06}"/>
            </c:ext>
          </c:extLst>
        </c:ser>
        <c:ser>
          <c:idx val="3"/>
          <c:order val="3"/>
          <c:tx>
            <c:strRef>
              <c:f>Florua!$E$4</c:f>
              <c:strCache>
                <c:ptCount val="1"/>
                <c:pt idx="0">
                  <c:v>2024</c:v>
                </c:pt>
              </c:strCache>
            </c:strRef>
          </c:tx>
          <c:spPr>
            <a:solidFill>
              <a:schemeClr val="accent4"/>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Florua!$E$5:$E$19</c:f>
              <c:numCache>
                <c:formatCode>0.000</c:formatCode>
                <c:ptCount val="15"/>
                <c:pt idx="0">
                  <c:v>1.1225000000000001</c:v>
                </c:pt>
                <c:pt idx="1">
                  <c:v>1.0625</c:v>
                </c:pt>
                <c:pt idx="2">
                  <c:v>1.0975000000000001</c:v>
                </c:pt>
                <c:pt idx="3">
                  <c:v>0.94000000000000006</c:v>
                </c:pt>
                <c:pt idx="4">
                  <c:v>0.94750000000000001</c:v>
                </c:pt>
                <c:pt idx="5">
                  <c:v>1.0225</c:v>
                </c:pt>
                <c:pt idx="6">
                  <c:v>1.0925</c:v>
                </c:pt>
                <c:pt idx="7">
                  <c:v>1.0775000000000001</c:v>
                </c:pt>
                <c:pt idx="8">
                  <c:v>1.175</c:v>
                </c:pt>
                <c:pt idx="9">
                  <c:v>1.0250000000000001</c:v>
                </c:pt>
                <c:pt idx="10">
                  <c:v>0.97249999999999992</c:v>
                </c:pt>
                <c:pt idx="11">
                  <c:v>1.0825</c:v>
                </c:pt>
                <c:pt idx="12">
                  <c:v>1.1475</c:v>
                </c:pt>
                <c:pt idx="13">
                  <c:v>1.1100000000000001</c:v>
                </c:pt>
                <c:pt idx="14">
                  <c:v>1.1924999999999999</c:v>
                </c:pt>
              </c:numCache>
            </c:numRef>
          </c:val>
          <c:extLst>
            <c:ext xmlns:c16="http://schemas.microsoft.com/office/drawing/2014/chart" uri="{C3380CC4-5D6E-409C-BE32-E72D297353CC}">
              <c16:uniqueId val="{00000003-896A-4C3C-ABD5-E6AEBC1F0B06}"/>
            </c:ext>
          </c:extLst>
        </c:ser>
        <c:ser>
          <c:idx val="4"/>
          <c:order val="4"/>
          <c:tx>
            <c:strRef>
              <c:f>Florua!$F$4</c:f>
              <c:strCache>
                <c:ptCount val="1"/>
                <c:pt idx="0">
                  <c:v>2025</c:v>
                </c:pt>
              </c:strCache>
            </c:strRef>
          </c:tx>
          <c:spPr>
            <a:solidFill>
              <a:schemeClr val="accent5"/>
            </a:solidFill>
            <a:ln>
              <a:noFill/>
            </a:ln>
            <a:effectLst/>
          </c:spPr>
          <c:invertIfNegative val="0"/>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Florua!$F$5:$F$19</c:f>
              <c:numCache>
                <c:formatCode>0.000</c:formatCode>
                <c:ptCount val="15"/>
                <c:pt idx="0">
                  <c:v>1.21</c:v>
                </c:pt>
                <c:pt idx="1">
                  <c:v>0.38</c:v>
                </c:pt>
                <c:pt idx="2">
                  <c:v>1.2</c:v>
                </c:pt>
                <c:pt idx="3">
                  <c:v>1.1200000000000001</c:v>
                </c:pt>
                <c:pt idx="4">
                  <c:v>1.28</c:v>
                </c:pt>
                <c:pt idx="5">
                  <c:v>1.3</c:v>
                </c:pt>
                <c:pt idx="6">
                  <c:v>1.22</c:v>
                </c:pt>
                <c:pt idx="7">
                  <c:v>1.3</c:v>
                </c:pt>
                <c:pt idx="8">
                  <c:v>1.02</c:v>
                </c:pt>
                <c:pt idx="9">
                  <c:v>0.28999999999999998</c:v>
                </c:pt>
                <c:pt idx="10">
                  <c:v>0.98</c:v>
                </c:pt>
                <c:pt idx="11">
                  <c:v>1.33</c:v>
                </c:pt>
                <c:pt idx="12">
                  <c:v>1.33</c:v>
                </c:pt>
                <c:pt idx="13">
                  <c:v>1.08</c:v>
                </c:pt>
                <c:pt idx="14">
                  <c:v>1.1200000000000001</c:v>
                </c:pt>
              </c:numCache>
            </c:numRef>
          </c:val>
          <c:extLst>
            <c:ext xmlns:c16="http://schemas.microsoft.com/office/drawing/2014/chart" uri="{C3380CC4-5D6E-409C-BE32-E72D297353CC}">
              <c16:uniqueId val="{00000004-896A-4C3C-ABD5-E6AEBC1F0B06}"/>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Florua!$G$4</c:f>
              <c:strCache>
                <c:ptCount val="1"/>
                <c:pt idx="0">
                  <c:v>Quy chuẩn đánh giá</c:v>
                </c:pt>
              </c:strCache>
            </c:strRef>
          </c:tx>
          <c:spPr>
            <a:ln w="22225" cap="rnd">
              <a:solidFill>
                <a:schemeClr val="accent6"/>
              </a:solidFill>
              <a:round/>
            </a:ln>
            <a:effectLst/>
          </c:spPr>
          <c:marker>
            <c:symbol val="none"/>
          </c:marker>
          <c:cat>
            <c:strRef>
              <c:f>Florua!$A$5:$A$19</c:f>
              <c:strCache>
                <c:ptCount val="15"/>
                <c:pt idx="0">
                  <c:v>Biển bãi tắm Xuân Thành</c:v>
                </c:pt>
                <c:pt idx="1">
                  <c:v>Biển bãi tắm Xuân Hải</c:v>
                </c:pt>
                <c:pt idx="2">
                  <c:v>Biển bãi tắm Thạch Hải</c:v>
                </c:pt>
                <c:pt idx="3">
                  <c:v>Biển bãi tắm Thiên Cầm</c:v>
                </c:pt>
                <c:pt idx="4">
                  <c:v>Biển bãi tắm Kỳ Xuân</c:v>
                </c:pt>
                <c:pt idx="5">
                  <c:v>Biển bãi tắm Kỳ Ninh</c:v>
                </c:pt>
                <c:pt idx="6">
                  <c:v>Biển bãi tắm Mũi Đao</c:v>
                </c:pt>
                <c:pt idx="7">
                  <c:v>Biển ven bờ Cửa Hội</c:v>
                </c:pt>
                <c:pt idx="8">
                  <c:v>Biển ven bờ Cương Gián</c:v>
                </c:pt>
                <c:pt idx="9">
                  <c:v>Biển ven bờ Cửa Sót</c:v>
                </c:pt>
                <c:pt idx="10">
                  <c:v>Biển ven bờ Cửa Nhượng</c:v>
                </c:pt>
                <c:pt idx="11">
                  <c:v>Biển ven bờ Cẩm Hòa</c:v>
                </c:pt>
                <c:pt idx="12">
                  <c:v>Biển ven bờ Cửa Khẩu</c:v>
                </c:pt>
                <c:pt idx="13">
                  <c:v>Biển ven bờ Vũng Môn</c:v>
                </c:pt>
                <c:pt idx="14">
                  <c:v>Biển ven bờ Vũng Áng</c:v>
                </c:pt>
              </c:strCache>
            </c:strRef>
          </c:cat>
          <c:val>
            <c:numRef>
              <c:f>Florua!$G$5:$G$19</c:f>
              <c:numCache>
                <c:formatCode>General</c:formatCode>
                <c:ptCount val="15"/>
                <c:pt idx="0">
                  <c:v>1.5</c:v>
                </c:pt>
                <c:pt idx="1">
                  <c:v>1.5</c:v>
                </c:pt>
                <c:pt idx="2">
                  <c:v>1.5</c:v>
                </c:pt>
                <c:pt idx="3">
                  <c:v>1.5</c:v>
                </c:pt>
                <c:pt idx="4">
                  <c:v>1.5</c:v>
                </c:pt>
                <c:pt idx="5">
                  <c:v>1.5</c:v>
                </c:pt>
                <c:pt idx="6">
                  <c:v>1.5</c:v>
                </c:pt>
                <c:pt idx="7">
                  <c:v>1.5</c:v>
                </c:pt>
                <c:pt idx="8">
                  <c:v>1.5</c:v>
                </c:pt>
                <c:pt idx="9">
                  <c:v>1.5</c:v>
                </c:pt>
                <c:pt idx="10">
                  <c:v>1.5</c:v>
                </c:pt>
                <c:pt idx="11">
                  <c:v>1.5</c:v>
                </c:pt>
                <c:pt idx="12">
                  <c:v>1.5</c:v>
                </c:pt>
                <c:pt idx="13">
                  <c:v>1.5</c:v>
                </c:pt>
                <c:pt idx="14">
                  <c:v>1.5</c:v>
                </c:pt>
              </c:numCache>
            </c:numRef>
          </c:val>
          <c:smooth val="0"/>
          <c:extLst>
            <c:ext xmlns:c16="http://schemas.microsoft.com/office/drawing/2014/chart" uri="{C3380CC4-5D6E-409C-BE32-E72D297353CC}">
              <c16:uniqueId val="{00000005-896A-4C3C-ABD5-E6AEBC1F0B06}"/>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
        </c:scaling>
        <c:delete val="0"/>
        <c:axPos val="l"/>
        <c:majorGridlines>
          <c:spPr>
            <a:ln w="9525" cap="flat" cmpd="sng" algn="ctr">
              <a:solidFill>
                <a:schemeClr val="dk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09936"/>
        <c:crosses val="autoZero"/>
        <c:crossBetween val="between"/>
        <c:majorUnit val="0.5"/>
      </c:valAx>
      <c:spPr>
        <a:noFill/>
        <a:ln>
          <a:noFill/>
        </a:ln>
        <a:effectLst/>
      </c:spPr>
    </c:plotArea>
    <c:legend>
      <c:legendPos val="b"/>
      <c:layout>
        <c:manualLayout>
          <c:xMode val="edge"/>
          <c:yMode val="edge"/>
          <c:x val="6.5359159609901282E-2"/>
          <c:y val="0.86510480383918931"/>
          <c:w val="0.86928155260160878"/>
          <c:h val="0.1076367481311024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0548798646765222E-2"/>
          <c:y val="5.6404428704053912E-2"/>
          <c:w val="0.94452849218356028"/>
          <c:h val="0.70903689440566653"/>
        </c:manualLayout>
      </c:layout>
      <c:lineChart>
        <c:grouping val="standard"/>
        <c:varyColors val="0"/>
        <c:ser>
          <c:idx val="0"/>
          <c:order val="0"/>
          <c:spPr>
            <a:ln w="25400" cap="rnd">
              <a:solidFill>
                <a:schemeClr val="lt1"/>
              </a:solidFill>
              <a:round/>
            </a:ln>
            <a:effectLst>
              <a:outerShdw dist="25400" dir="2700000" algn="tl" rotWithShape="0">
                <a:schemeClr val="accent1"/>
              </a:outerShdw>
            </a:effectLst>
          </c:spPr>
          <c:marker>
            <c:symbol val="none"/>
          </c:marker>
          <c:dLbls>
            <c:spPr>
              <a:solidFill>
                <a:schemeClr val="tx2">
                  <a:lumMod val="60000"/>
                  <a:lumOff val="4000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accent1">
                          <a:lumMod val="60000"/>
                          <a:lumOff val="40000"/>
                        </a:schemeClr>
                      </a:solidFill>
                    </a:ln>
                    <a:effectLst/>
                  </c:spPr>
                </c15:leaderLines>
              </c:ext>
            </c:extLst>
          </c:dLbls>
          <c:cat>
            <c:strRef>
              <c:f>Sheet2!$D$91:$D$96</c:f>
              <c:strCache>
                <c:ptCount val="6"/>
                <c:pt idx="0">
                  <c:v>Năm 2020</c:v>
                </c:pt>
                <c:pt idx="1">
                  <c:v>Năm 2021</c:v>
                </c:pt>
                <c:pt idx="2">
                  <c:v>Năm 2022</c:v>
                </c:pt>
                <c:pt idx="3">
                  <c:v>Năm 2023</c:v>
                </c:pt>
                <c:pt idx="4">
                  <c:v>Năm 2024</c:v>
                </c:pt>
                <c:pt idx="5">
                  <c:v>Năm 2025 (ước cả năm)</c:v>
                </c:pt>
              </c:strCache>
            </c:strRef>
          </c:cat>
          <c:val>
            <c:numRef>
              <c:f>Sheet2!$E$91:$E$96</c:f>
              <c:numCache>
                <c:formatCode>General</c:formatCode>
                <c:ptCount val="6"/>
                <c:pt idx="0">
                  <c:v>148.29</c:v>
                </c:pt>
                <c:pt idx="1">
                  <c:v>123.42</c:v>
                </c:pt>
                <c:pt idx="2">
                  <c:v>124.87</c:v>
                </c:pt>
                <c:pt idx="3">
                  <c:v>117.11</c:v>
                </c:pt>
                <c:pt idx="4">
                  <c:v>117.16</c:v>
                </c:pt>
                <c:pt idx="5">
                  <c:v>117.16</c:v>
                </c:pt>
              </c:numCache>
            </c:numRef>
          </c:val>
          <c:smooth val="0"/>
          <c:extLst>
            <c:ext xmlns:c16="http://schemas.microsoft.com/office/drawing/2014/chart" uri="{C3380CC4-5D6E-409C-BE32-E72D297353CC}">
              <c16:uniqueId val="{00000000-1046-4F03-9574-AB86E457FF0A}"/>
            </c:ext>
          </c:extLst>
        </c:ser>
        <c:dLbls>
          <c:dLblPos val="ctr"/>
          <c:showLegendKey val="0"/>
          <c:showVal val="1"/>
          <c:showCatName val="0"/>
          <c:showSerName val="0"/>
          <c:showPercent val="0"/>
          <c:showBubbleSize val="0"/>
        </c:dLbls>
        <c:dropLines>
          <c:spPr>
            <a:ln w="12700" cap="flat" cmpd="sng" algn="ctr">
              <a:solidFill>
                <a:schemeClr val="accent1">
                  <a:lumMod val="40000"/>
                  <a:lumOff val="60000"/>
                </a:schemeClr>
              </a:solidFill>
              <a:round/>
            </a:ln>
            <a:effectLst/>
          </c:spPr>
        </c:dropLines>
        <c:smooth val="0"/>
        <c:axId val="896001152"/>
        <c:axId val="895979552"/>
      </c:lineChart>
      <c:catAx>
        <c:axId val="8960011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spc="3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895979552"/>
        <c:crosses val="autoZero"/>
        <c:auto val="1"/>
        <c:lblAlgn val="ctr"/>
        <c:lblOffset val="100"/>
        <c:noMultiLvlLbl val="0"/>
      </c:catAx>
      <c:valAx>
        <c:axId val="895979552"/>
        <c:scaling>
          <c:orientation val="minMax"/>
        </c:scaling>
        <c:delete val="1"/>
        <c:axPos val="l"/>
        <c:numFmt formatCode="General" sourceLinked="1"/>
        <c:majorTickMark val="none"/>
        <c:minorTickMark val="none"/>
        <c:tickLblPos val="nextTo"/>
        <c:crossAx val="89600115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accent1">
        <a:lumMod val="20000"/>
        <a:lumOff val="80000"/>
      </a:schemeClr>
    </a:solidFill>
    <a:ln w="9525" cap="flat" cmpd="sng" algn="ctr">
      <a:solidFill>
        <a:schemeClr val="tx2">
          <a:lumMod val="40000"/>
          <a:lumOff val="60000"/>
        </a:schemeClr>
      </a:solidFill>
      <a:round/>
    </a:ln>
    <a:effectLst/>
  </c:spPr>
  <c:txPr>
    <a:bodyPr/>
    <a:lstStyle/>
    <a:p>
      <a:pPr>
        <a:defRPr/>
      </a:pPr>
      <a:endParaRPr lang="en-US"/>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6763217292247E-4"/>
          <c:y val="0.18276814324589796"/>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8851287399125568E-2"/>
          <c:y val="3.3278183018533726E-2"/>
          <c:w val="0.9313220585105717"/>
          <c:h val="0.55705481216688402"/>
        </c:manualLayout>
      </c:layout>
      <c:barChart>
        <c:barDir val="col"/>
        <c:grouping val="clustered"/>
        <c:varyColors val="0"/>
        <c:ser>
          <c:idx val="0"/>
          <c:order val="0"/>
          <c:tx>
            <c:strRef>
              <c:f>TSP!$B$6</c:f>
              <c:strCache>
                <c:ptCount val="1"/>
                <c:pt idx="0">
                  <c:v>2021</c:v>
                </c:pt>
              </c:strCache>
            </c:strRef>
          </c:tx>
          <c:spPr>
            <a:solidFill>
              <a:schemeClr val="accent1"/>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TSP!$B$7:$B$32</c:f>
              <c:numCache>
                <c:formatCode>0.00</c:formatCode>
                <c:ptCount val="26"/>
                <c:pt idx="0">
                  <c:v>295.66666666666669</c:v>
                </c:pt>
                <c:pt idx="1">
                  <c:v>176.66666666666666</c:v>
                </c:pt>
                <c:pt idx="2">
                  <c:v>282.16666666666669</c:v>
                </c:pt>
                <c:pt idx="3">
                  <c:v>216.66666666666666</c:v>
                </c:pt>
                <c:pt idx="4">
                  <c:v>279.33333333333331</c:v>
                </c:pt>
                <c:pt idx="5">
                  <c:v>265</c:v>
                </c:pt>
                <c:pt idx="6">
                  <c:v>261.66666666666669</c:v>
                </c:pt>
                <c:pt idx="7">
                  <c:v>301.66666666666669</c:v>
                </c:pt>
                <c:pt idx="8">
                  <c:v>186.5</c:v>
                </c:pt>
                <c:pt idx="9">
                  <c:v>217.5</c:v>
                </c:pt>
                <c:pt idx="10">
                  <c:v>197.83333333333334</c:v>
                </c:pt>
                <c:pt idx="11">
                  <c:v>242.5</c:v>
                </c:pt>
                <c:pt idx="12">
                  <c:v>251</c:v>
                </c:pt>
                <c:pt idx="13">
                  <c:v>236.66666666666666</c:v>
                </c:pt>
                <c:pt idx="14">
                  <c:v>228.5</c:v>
                </c:pt>
                <c:pt idx="15">
                  <c:v>185.5</c:v>
                </c:pt>
                <c:pt idx="16">
                  <c:v>286.83333333333331</c:v>
                </c:pt>
                <c:pt idx="17">
                  <c:v>268.16666666666669</c:v>
                </c:pt>
                <c:pt idx="18">
                  <c:v>168.33333333333334</c:v>
                </c:pt>
                <c:pt idx="19">
                  <c:v>221</c:v>
                </c:pt>
                <c:pt idx="20">
                  <c:v>198</c:v>
                </c:pt>
                <c:pt idx="21">
                  <c:v>175.66666666666666</c:v>
                </c:pt>
                <c:pt idx="22">
                  <c:v>217.83333333333334</c:v>
                </c:pt>
                <c:pt idx="23">
                  <c:v>209.83333333333334</c:v>
                </c:pt>
                <c:pt idx="24">
                  <c:v>255.16666666666666</c:v>
                </c:pt>
                <c:pt idx="25">
                  <c:v>207.83333333333334</c:v>
                </c:pt>
              </c:numCache>
            </c:numRef>
          </c:val>
          <c:extLst>
            <c:ext xmlns:c16="http://schemas.microsoft.com/office/drawing/2014/chart" uri="{C3380CC4-5D6E-409C-BE32-E72D297353CC}">
              <c16:uniqueId val="{00000000-F5DF-4DB2-B895-0B30255C82DD}"/>
            </c:ext>
          </c:extLst>
        </c:ser>
        <c:ser>
          <c:idx val="1"/>
          <c:order val="1"/>
          <c:tx>
            <c:strRef>
              <c:f>TSP!$C$6</c:f>
              <c:strCache>
                <c:ptCount val="1"/>
                <c:pt idx="0">
                  <c:v>2022</c:v>
                </c:pt>
              </c:strCache>
            </c:strRef>
          </c:tx>
          <c:spPr>
            <a:solidFill>
              <a:schemeClr val="accent2"/>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TSP!$C$7:$C$32</c:f>
              <c:numCache>
                <c:formatCode>0.00</c:formatCode>
                <c:ptCount val="26"/>
                <c:pt idx="0">
                  <c:v>259.16666666666669</c:v>
                </c:pt>
                <c:pt idx="1">
                  <c:v>188</c:v>
                </c:pt>
                <c:pt idx="2">
                  <c:v>286.83333333333331</c:v>
                </c:pt>
                <c:pt idx="3">
                  <c:v>200.66666666666666</c:v>
                </c:pt>
                <c:pt idx="4">
                  <c:v>250.5</c:v>
                </c:pt>
                <c:pt idx="5">
                  <c:v>227.33333333333334</c:v>
                </c:pt>
                <c:pt idx="6">
                  <c:v>224</c:v>
                </c:pt>
                <c:pt idx="7">
                  <c:v>227.83333333333334</c:v>
                </c:pt>
                <c:pt idx="8">
                  <c:v>161.33333333333334</c:v>
                </c:pt>
                <c:pt idx="9">
                  <c:v>178.5</c:v>
                </c:pt>
                <c:pt idx="10">
                  <c:v>179.33333333333334</c:v>
                </c:pt>
                <c:pt idx="11">
                  <c:v>208</c:v>
                </c:pt>
                <c:pt idx="12">
                  <c:v>200.83333333333334</c:v>
                </c:pt>
                <c:pt idx="13">
                  <c:v>207.66666666666666</c:v>
                </c:pt>
                <c:pt idx="14">
                  <c:v>161.83333333333334</c:v>
                </c:pt>
                <c:pt idx="15">
                  <c:v>169.5</c:v>
                </c:pt>
                <c:pt idx="16">
                  <c:v>262.5</c:v>
                </c:pt>
                <c:pt idx="17">
                  <c:v>276.83333333333331</c:v>
                </c:pt>
                <c:pt idx="18">
                  <c:v>159.5</c:v>
                </c:pt>
                <c:pt idx="19">
                  <c:v>182.83333333333334</c:v>
                </c:pt>
                <c:pt idx="20">
                  <c:v>171.5</c:v>
                </c:pt>
                <c:pt idx="21">
                  <c:v>158.66666666666666</c:v>
                </c:pt>
                <c:pt idx="22">
                  <c:v>188.33333333333334</c:v>
                </c:pt>
                <c:pt idx="23">
                  <c:v>166.33333333333334</c:v>
                </c:pt>
                <c:pt idx="24">
                  <c:v>246.33333333333334</c:v>
                </c:pt>
                <c:pt idx="25">
                  <c:v>230.33333333333334</c:v>
                </c:pt>
              </c:numCache>
            </c:numRef>
          </c:val>
          <c:extLst>
            <c:ext xmlns:c16="http://schemas.microsoft.com/office/drawing/2014/chart" uri="{C3380CC4-5D6E-409C-BE32-E72D297353CC}">
              <c16:uniqueId val="{00000001-F5DF-4DB2-B895-0B30255C82DD}"/>
            </c:ext>
          </c:extLst>
        </c:ser>
        <c:ser>
          <c:idx val="2"/>
          <c:order val="2"/>
          <c:tx>
            <c:strRef>
              <c:f>TSP!$D$6</c:f>
              <c:strCache>
                <c:ptCount val="1"/>
                <c:pt idx="0">
                  <c:v>2023</c:v>
                </c:pt>
              </c:strCache>
            </c:strRef>
          </c:tx>
          <c:spPr>
            <a:solidFill>
              <a:schemeClr val="accent3"/>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TSP!$D$7:$D$32</c:f>
              <c:numCache>
                <c:formatCode>0.00</c:formatCode>
                <c:ptCount val="26"/>
                <c:pt idx="0">
                  <c:v>269.16666666666669</c:v>
                </c:pt>
                <c:pt idx="1">
                  <c:v>191</c:v>
                </c:pt>
                <c:pt idx="2">
                  <c:v>275.33333333333331</c:v>
                </c:pt>
                <c:pt idx="3">
                  <c:v>204.83333333333334</c:v>
                </c:pt>
                <c:pt idx="4">
                  <c:v>256.83333333333331</c:v>
                </c:pt>
                <c:pt idx="5">
                  <c:v>262</c:v>
                </c:pt>
                <c:pt idx="6">
                  <c:v>212.33333333333334</c:v>
                </c:pt>
                <c:pt idx="7">
                  <c:v>280.33333333333331</c:v>
                </c:pt>
                <c:pt idx="8">
                  <c:v>155.83333333333334</c:v>
                </c:pt>
                <c:pt idx="9">
                  <c:v>186.33333333333334</c:v>
                </c:pt>
                <c:pt idx="10">
                  <c:v>158.5</c:v>
                </c:pt>
                <c:pt idx="11">
                  <c:v>217.66666666666666</c:v>
                </c:pt>
                <c:pt idx="12">
                  <c:v>191</c:v>
                </c:pt>
                <c:pt idx="13">
                  <c:v>206.5</c:v>
                </c:pt>
                <c:pt idx="14">
                  <c:v>169.5</c:v>
                </c:pt>
                <c:pt idx="15">
                  <c:v>151.16666666666666</c:v>
                </c:pt>
                <c:pt idx="16">
                  <c:v>272.5</c:v>
                </c:pt>
                <c:pt idx="17">
                  <c:v>272.66666666666669</c:v>
                </c:pt>
                <c:pt idx="18">
                  <c:v>142.83333333333334</c:v>
                </c:pt>
                <c:pt idx="19">
                  <c:v>183.16666666666666</c:v>
                </c:pt>
                <c:pt idx="20">
                  <c:v>167.83333333333334</c:v>
                </c:pt>
                <c:pt idx="21">
                  <c:v>154.66666666666666</c:v>
                </c:pt>
                <c:pt idx="22">
                  <c:v>237.83333333333334</c:v>
                </c:pt>
                <c:pt idx="23">
                  <c:v>143</c:v>
                </c:pt>
                <c:pt idx="24">
                  <c:v>247.5</c:v>
                </c:pt>
                <c:pt idx="25">
                  <c:v>230.16666666666666</c:v>
                </c:pt>
              </c:numCache>
            </c:numRef>
          </c:val>
          <c:extLst>
            <c:ext xmlns:c16="http://schemas.microsoft.com/office/drawing/2014/chart" uri="{C3380CC4-5D6E-409C-BE32-E72D297353CC}">
              <c16:uniqueId val="{00000002-F5DF-4DB2-B895-0B30255C82DD}"/>
            </c:ext>
          </c:extLst>
        </c:ser>
        <c:ser>
          <c:idx val="3"/>
          <c:order val="3"/>
          <c:tx>
            <c:strRef>
              <c:f>TSP!$E$6</c:f>
              <c:strCache>
                <c:ptCount val="1"/>
                <c:pt idx="0">
                  <c:v>2024</c:v>
                </c:pt>
              </c:strCache>
            </c:strRef>
          </c:tx>
          <c:spPr>
            <a:solidFill>
              <a:schemeClr val="accent4"/>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TSP!$E$7:$E$32</c:f>
              <c:numCache>
                <c:formatCode>0.00</c:formatCode>
                <c:ptCount val="26"/>
                <c:pt idx="0">
                  <c:v>290.16666666666669</c:v>
                </c:pt>
                <c:pt idx="1">
                  <c:v>172</c:v>
                </c:pt>
                <c:pt idx="2">
                  <c:v>272.16666666666669</c:v>
                </c:pt>
                <c:pt idx="3">
                  <c:v>203.16666666666666</c:v>
                </c:pt>
                <c:pt idx="4">
                  <c:v>261.33333333333331</c:v>
                </c:pt>
                <c:pt idx="5">
                  <c:v>252.83333333333334</c:v>
                </c:pt>
                <c:pt idx="6">
                  <c:v>202.33333333333334</c:v>
                </c:pt>
                <c:pt idx="7">
                  <c:v>262</c:v>
                </c:pt>
                <c:pt idx="8">
                  <c:v>150.83333333333334</c:v>
                </c:pt>
                <c:pt idx="9">
                  <c:v>209.5</c:v>
                </c:pt>
                <c:pt idx="10">
                  <c:v>178.16666666666666</c:v>
                </c:pt>
                <c:pt idx="11">
                  <c:v>206</c:v>
                </c:pt>
                <c:pt idx="12">
                  <c:v>225</c:v>
                </c:pt>
                <c:pt idx="13">
                  <c:v>188.83333333333334</c:v>
                </c:pt>
                <c:pt idx="14">
                  <c:v>168.5</c:v>
                </c:pt>
                <c:pt idx="15">
                  <c:v>177.5</c:v>
                </c:pt>
                <c:pt idx="16">
                  <c:v>230.66666666666666</c:v>
                </c:pt>
                <c:pt idx="17">
                  <c:v>284.5</c:v>
                </c:pt>
                <c:pt idx="18">
                  <c:v>144.16666666666666</c:v>
                </c:pt>
                <c:pt idx="19">
                  <c:v>187.66666666666666</c:v>
                </c:pt>
                <c:pt idx="20">
                  <c:v>174</c:v>
                </c:pt>
                <c:pt idx="21">
                  <c:v>188.66666666666666</c:v>
                </c:pt>
                <c:pt idx="22">
                  <c:v>188</c:v>
                </c:pt>
                <c:pt idx="23">
                  <c:v>152.5</c:v>
                </c:pt>
                <c:pt idx="24">
                  <c:v>234.66666666666666</c:v>
                </c:pt>
                <c:pt idx="25">
                  <c:v>192.5</c:v>
                </c:pt>
              </c:numCache>
            </c:numRef>
          </c:val>
          <c:extLst>
            <c:ext xmlns:c16="http://schemas.microsoft.com/office/drawing/2014/chart" uri="{C3380CC4-5D6E-409C-BE32-E72D297353CC}">
              <c16:uniqueId val="{00000003-F5DF-4DB2-B895-0B30255C82DD}"/>
            </c:ext>
          </c:extLst>
        </c:ser>
        <c:ser>
          <c:idx val="4"/>
          <c:order val="4"/>
          <c:tx>
            <c:strRef>
              <c:f>TSP!$F$6</c:f>
              <c:strCache>
                <c:ptCount val="1"/>
                <c:pt idx="0">
                  <c:v>2025</c:v>
                </c:pt>
              </c:strCache>
            </c:strRef>
          </c:tx>
          <c:spPr>
            <a:solidFill>
              <a:schemeClr val="accent5"/>
            </a:solidFill>
            <a:ln>
              <a:noFill/>
            </a:ln>
            <a:effectLst/>
          </c:spPr>
          <c:invertIfNegative val="0"/>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TSP!$F$7:$F$32</c:f>
              <c:numCache>
                <c:formatCode>0.00</c:formatCode>
                <c:ptCount val="26"/>
                <c:pt idx="0">
                  <c:v>285</c:v>
                </c:pt>
                <c:pt idx="1">
                  <c:v>145</c:v>
                </c:pt>
                <c:pt idx="2">
                  <c:v>256</c:v>
                </c:pt>
                <c:pt idx="3">
                  <c:v>200</c:v>
                </c:pt>
                <c:pt idx="4">
                  <c:v>248</c:v>
                </c:pt>
                <c:pt idx="5">
                  <c:v>262</c:v>
                </c:pt>
                <c:pt idx="6">
                  <c:v>224</c:v>
                </c:pt>
                <c:pt idx="7">
                  <c:v>194.5</c:v>
                </c:pt>
                <c:pt idx="8">
                  <c:v>157.5</c:v>
                </c:pt>
                <c:pt idx="9">
                  <c:v>169.5</c:v>
                </c:pt>
                <c:pt idx="10">
                  <c:v>159</c:v>
                </c:pt>
                <c:pt idx="11">
                  <c:v>193</c:v>
                </c:pt>
                <c:pt idx="12">
                  <c:v>214</c:v>
                </c:pt>
                <c:pt idx="13">
                  <c:v>189</c:v>
                </c:pt>
                <c:pt idx="14">
                  <c:v>184</c:v>
                </c:pt>
                <c:pt idx="15">
                  <c:v>152.5</c:v>
                </c:pt>
                <c:pt idx="16">
                  <c:v>246</c:v>
                </c:pt>
                <c:pt idx="17">
                  <c:v>259</c:v>
                </c:pt>
                <c:pt idx="18">
                  <c:v>116.5</c:v>
                </c:pt>
                <c:pt idx="19">
                  <c:v>135.5</c:v>
                </c:pt>
                <c:pt idx="20">
                  <c:v>138.5</c:v>
                </c:pt>
                <c:pt idx="21">
                  <c:v>169.5</c:v>
                </c:pt>
                <c:pt idx="22">
                  <c:v>181.5</c:v>
                </c:pt>
                <c:pt idx="23">
                  <c:v>132.5</c:v>
                </c:pt>
                <c:pt idx="24">
                  <c:v>263</c:v>
                </c:pt>
                <c:pt idx="25">
                  <c:v>250.5</c:v>
                </c:pt>
              </c:numCache>
            </c:numRef>
          </c:val>
          <c:extLst>
            <c:ext xmlns:c16="http://schemas.microsoft.com/office/drawing/2014/chart" uri="{C3380CC4-5D6E-409C-BE32-E72D297353CC}">
              <c16:uniqueId val="{00000004-F5DF-4DB2-B895-0B30255C82D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TSP!$G$6</c:f>
              <c:strCache>
                <c:ptCount val="1"/>
                <c:pt idx="0">
                  <c:v>Quy chuẩn đánh giá</c:v>
                </c:pt>
              </c:strCache>
            </c:strRef>
          </c:tx>
          <c:spPr>
            <a:ln w="22225" cap="rnd">
              <a:solidFill>
                <a:schemeClr val="accent6"/>
              </a:solidFill>
              <a:round/>
            </a:ln>
            <a:effectLst/>
          </c:spPr>
          <c:marker>
            <c:symbol val="none"/>
          </c:marker>
          <c:cat>
            <c:strRef>
              <c:f>TSP!$A$7:$A$32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TSP!$G$7:$G$32</c:f>
              <c:numCache>
                <c:formatCode>General</c:formatCode>
                <c:ptCount val="26"/>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pt idx="15">
                  <c:v>300</c:v>
                </c:pt>
                <c:pt idx="16">
                  <c:v>300</c:v>
                </c:pt>
                <c:pt idx="17">
                  <c:v>300</c:v>
                </c:pt>
                <c:pt idx="18">
                  <c:v>300</c:v>
                </c:pt>
                <c:pt idx="19">
                  <c:v>300</c:v>
                </c:pt>
                <c:pt idx="20">
                  <c:v>300</c:v>
                </c:pt>
                <c:pt idx="21">
                  <c:v>300</c:v>
                </c:pt>
                <c:pt idx="22">
                  <c:v>300</c:v>
                </c:pt>
                <c:pt idx="23">
                  <c:v>300</c:v>
                </c:pt>
                <c:pt idx="24">
                  <c:v>300</c:v>
                </c:pt>
                <c:pt idx="25">
                  <c:v>300</c:v>
                </c:pt>
              </c:numCache>
            </c:numRef>
          </c:val>
          <c:smooth val="0"/>
          <c:extLst>
            <c:ext xmlns:c16="http://schemas.microsoft.com/office/drawing/2014/chart" uri="{C3380CC4-5D6E-409C-BE32-E72D297353CC}">
              <c16:uniqueId val="{00000005-F5DF-4DB2-B895-0B30255C82D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8.6930940848817487E-2"/>
          <c:y val="0.89945131475130025"/>
          <c:w val="0.81922572632039592"/>
          <c:h val="8.0098787498188495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5919311632438E-4"/>
          <c:y val="0.1348142906610861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3431826176367117E-2"/>
          <c:y val="3.7263922914942606E-2"/>
          <c:w val="0.93848082907162378"/>
          <c:h val="0.48937484630864736"/>
        </c:manualLayout>
      </c:layout>
      <c:barChart>
        <c:barDir val="col"/>
        <c:grouping val="clustered"/>
        <c:varyColors val="0"/>
        <c:ser>
          <c:idx val="0"/>
          <c:order val="0"/>
          <c:tx>
            <c:strRef>
              <c:f>'SO2'!$B$6</c:f>
              <c:strCache>
                <c:ptCount val="1"/>
                <c:pt idx="0">
                  <c:v>2021</c:v>
                </c:pt>
              </c:strCache>
            </c:strRef>
          </c:tx>
          <c:spPr>
            <a:solidFill>
              <a:schemeClr val="accent1"/>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'SO2'!$B$7:$B$32</c:f>
              <c:numCache>
                <c:formatCode>0.00</c:formatCode>
                <c:ptCount val="26"/>
                <c:pt idx="0">
                  <c:v>79.833333333333329</c:v>
                </c:pt>
                <c:pt idx="1">
                  <c:v>56.666666666666664</c:v>
                </c:pt>
                <c:pt idx="2">
                  <c:v>73.5</c:v>
                </c:pt>
                <c:pt idx="3">
                  <c:v>59</c:v>
                </c:pt>
                <c:pt idx="4">
                  <c:v>66.833333333333329</c:v>
                </c:pt>
                <c:pt idx="5">
                  <c:v>70.333333333333329</c:v>
                </c:pt>
                <c:pt idx="6">
                  <c:v>64.166666666666671</c:v>
                </c:pt>
                <c:pt idx="7">
                  <c:v>81.666666666666671</c:v>
                </c:pt>
                <c:pt idx="8">
                  <c:v>55.666666666666664</c:v>
                </c:pt>
                <c:pt idx="9">
                  <c:v>63</c:v>
                </c:pt>
                <c:pt idx="10">
                  <c:v>52.833333333333336</c:v>
                </c:pt>
                <c:pt idx="11">
                  <c:v>61.666666666666664</c:v>
                </c:pt>
                <c:pt idx="12">
                  <c:v>70.833333333333329</c:v>
                </c:pt>
                <c:pt idx="13">
                  <c:v>55.5</c:v>
                </c:pt>
                <c:pt idx="14">
                  <c:v>55</c:v>
                </c:pt>
                <c:pt idx="15">
                  <c:v>61.833333333333336</c:v>
                </c:pt>
                <c:pt idx="16">
                  <c:v>71.166666666666671</c:v>
                </c:pt>
                <c:pt idx="17">
                  <c:v>72.833333333333329</c:v>
                </c:pt>
                <c:pt idx="18">
                  <c:v>57.5</c:v>
                </c:pt>
                <c:pt idx="19">
                  <c:v>63.166666666666664</c:v>
                </c:pt>
                <c:pt idx="20">
                  <c:v>62.833333333333336</c:v>
                </c:pt>
                <c:pt idx="21">
                  <c:v>62.166666666666664</c:v>
                </c:pt>
                <c:pt idx="22">
                  <c:v>57.833333333333336</c:v>
                </c:pt>
                <c:pt idx="23">
                  <c:v>67.666666666666671</c:v>
                </c:pt>
                <c:pt idx="24">
                  <c:v>71.333333333333329</c:v>
                </c:pt>
                <c:pt idx="25">
                  <c:v>66.833333333333329</c:v>
                </c:pt>
              </c:numCache>
            </c:numRef>
          </c:val>
          <c:extLst>
            <c:ext xmlns:c16="http://schemas.microsoft.com/office/drawing/2014/chart" uri="{C3380CC4-5D6E-409C-BE32-E72D297353CC}">
              <c16:uniqueId val="{00000000-6993-4E2B-AA58-CD56557A704B}"/>
            </c:ext>
          </c:extLst>
        </c:ser>
        <c:ser>
          <c:idx val="1"/>
          <c:order val="1"/>
          <c:tx>
            <c:strRef>
              <c:f>'SO2'!$C$6</c:f>
              <c:strCache>
                <c:ptCount val="1"/>
                <c:pt idx="0">
                  <c:v>2022</c:v>
                </c:pt>
              </c:strCache>
            </c:strRef>
          </c:tx>
          <c:spPr>
            <a:solidFill>
              <a:schemeClr val="accent2"/>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'SO2'!$C$7:$C$32</c:f>
              <c:numCache>
                <c:formatCode>0.00</c:formatCode>
                <c:ptCount val="26"/>
                <c:pt idx="0">
                  <c:v>66</c:v>
                </c:pt>
                <c:pt idx="1">
                  <c:v>55.333333333333336</c:v>
                </c:pt>
                <c:pt idx="2">
                  <c:v>69.166666666666671</c:v>
                </c:pt>
                <c:pt idx="3">
                  <c:v>63.666666666666664</c:v>
                </c:pt>
                <c:pt idx="4">
                  <c:v>64.333333333333329</c:v>
                </c:pt>
                <c:pt idx="5">
                  <c:v>64.666666666666671</c:v>
                </c:pt>
                <c:pt idx="6">
                  <c:v>68.833333333333329</c:v>
                </c:pt>
                <c:pt idx="7">
                  <c:v>66</c:v>
                </c:pt>
                <c:pt idx="8">
                  <c:v>48.833333333333336</c:v>
                </c:pt>
                <c:pt idx="9">
                  <c:v>61.666666666666664</c:v>
                </c:pt>
                <c:pt idx="10">
                  <c:v>63.833333333333336</c:v>
                </c:pt>
                <c:pt idx="11">
                  <c:v>62.833333333333336</c:v>
                </c:pt>
                <c:pt idx="12">
                  <c:v>60.5</c:v>
                </c:pt>
                <c:pt idx="13">
                  <c:v>56</c:v>
                </c:pt>
                <c:pt idx="14">
                  <c:v>56.333333333333336</c:v>
                </c:pt>
                <c:pt idx="15">
                  <c:v>60.166666666666664</c:v>
                </c:pt>
                <c:pt idx="16">
                  <c:v>64.833333333333329</c:v>
                </c:pt>
                <c:pt idx="17">
                  <c:v>74.166666666666671</c:v>
                </c:pt>
                <c:pt idx="18">
                  <c:v>55.166666666666664</c:v>
                </c:pt>
                <c:pt idx="19">
                  <c:v>59.166666666666664</c:v>
                </c:pt>
                <c:pt idx="20">
                  <c:v>61.833333333333336</c:v>
                </c:pt>
                <c:pt idx="21">
                  <c:v>61.166666666666664</c:v>
                </c:pt>
                <c:pt idx="22">
                  <c:v>58.5</c:v>
                </c:pt>
                <c:pt idx="23">
                  <c:v>64.666666666666671</c:v>
                </c:pt>
                <c:pt idx="24">
                  <c:v>70.5</c:v>
                </c:pt>
                <c:pt idx="25">
                  <c:v>65.5</c:v>
                </c:pt>
              </c:numCache>
            </c:numRef>
          </c:val>
          <c:extLst>
            <c:ext xmlns:c16="http://schemas.microsoft.com/office/drawing/2014/chart" uri="{C3380CC4-5D6E-409C-BE32-E72D297353CC}">
              <c16:uniqueId val="{00000001-6993-4E2B-AA58-CD56557A704B}"/>
            </c:ext>
          </c:extLst>
        </c:ser>
        <c:ser>
          <c:idx val="2"/>
          <c:order val="2"/>
          <c:tx>
            <c:strRef>
              <c:f>'SO2'!$D$6</c:f>
              <c:strCache>
                <c:ptCount val="1"/>
                <c:pt idx="0">
                  <c:v>2023</c:v>
                </c:pt>
              </c:strCache>
            </c:strRef>
          </c:tx>
          <c:spPr>
            <a:solidFill>
              <a:schemeClr val="accent3"/>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'SO2'!$D$7:$D$32</c:f>
              <c:numCache>
                <c:formatCode>0.00</c:formatCode>
                <c:ptCount val="26"/>
                <c:pt idx="0">
                  <c:v>70.333333333333329</c:v>
                </c:pt>
                <c:pt idx="1">
                  <c:v>57</c:v>
                </c:pt>
                <c:pt idx="2">
                  <c:v>75.333333333333329</c:v>
                </c:pt>
                <c:pt idx="3">
                  <c:v>62</c:v>
                </c:pt>
                <c:pt idx="4">
                  <c:v>69</c:v>
                </c:pt>
                <c:pt idx="5">
                  <c:v>70</c:v>
                </c:pt>
                <c:pt idx="6">
                  <c:v>65.833333333333329</c:v>
                </c:pt>
                <c:pt idx="7">
                  <c:v>72</c:v>
                </c:pt>
                <c:pt idx="8">
                  <c:v>47.666666666666664</c:v>
                </c:pt>
                <c:pt idx="9">
                  <c:v>62.666666666666664</c:v>
                </c:pt>
                <c:pt idx="10">
                  <c:v>53.833333333333336</c:v>
                </c:pt>
                <c:pt idx="11">
                  <c:v>62.166666666666664</c:v>
                </c:pt>
                <c:pt idx="12">
                  <c:v>66.666666666666671</c:v>
                </c:pt>
                <c:pt idx="13">
                  <c:v>55.833333333333336</c:v>
                </c:pt>
                <c:pt idx="14">
                  <c:v>57</c:v>
                </c:pt>
                <c:pt idx="15">
                  <c:v>55.666666666666664</c:v>
                </c:pt>
                <c:pt idx="16">
                  <c:v>68.166666666666671</c:v>
                </c:pt>
                <c:pt idx="17">
                  <c:v>70.666666666666671</c:v>
                </c:pt>
                <c:pt idx="18">
                  <c:v>38.666666666666664</c:v>
                </c:pt>
                <c:pt idx="19">
                  <c:v>50.5</c:v>
                </c:pt>
                <c:pt idx="20">
                  <c:v>45.166666666666664</c:v>
                </c:pt>
                <c:pt idx="21">
                  <c:v>41.666666666666664</c:v>
                </c:pt>
                <c:pt idx="22">
                  <c:v>65</c:v>
                </c:pt>
                <c:pt idx="23">
                  <c:v>45.666666666666664</c:v>
                </c:pt>
                <c:pt idx="24">
                  <c:v>67.166666666666671</c:v>
                </c:pt>
                <c:pt idx="25">
                  <c:v>60.666666666666664</c:v>
                </c:pt>
              </c:numCache>
            </c:numRef>
          </c:val>
          <c:extLst>
            <c:ext xmlns:c16="http://schemas.microsoft.com/office/drawing/2014/chart" uri="{C3380CC4-5D6E-409C-BE32-E72D297353CC}">
              <c16:uniqueId val="{00000002-6993-4E2B-AA58-CD56557A704B}"/>
            </c:ext>
          </c:extLst>
        </c:ser>
        <c:ser>
          <c:idx val="3"/>
          <c:order val="3"/>
          <c:tx>
            <c:strRef>
              <c:f>'SO2'!$E$6</c:f>
              <c:strCache>
                <c:ptCount val="1"/>
                <c:pt idx="0">
                  <c:v>2024</c:v>
                </c:pt>
              </c:strCache>
            </c:strRef>
          </c:tx>
          <c:spPr>
            <a:solidFill>
              <a:schemeClr val="accent4"/>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'SO2'!$E$7:$E$32</c:f>
              <c:numCache>
                <c:formatCode>0.00</c:formatCode>
                <c:ptCount val="26"/>
                <c:pt idx="0">
                  <c:v>76.5</c:v>
                </c:pt>
                <c:pt idx="1">
                  <c:v>52.666666666666664</c:v>
                </c:pt>
                <c:pt idx="2">
                  <c:v>75.5</c:v>
                </c:pt>
                <c:pt idx="3">
                  <c:v>58</c:v>
                </c:pt>
                <c:pt idx="4">
                  <c:v>71.666666666666671</c:v>
                </c:pt>
                <c:pt idx="5">
                  <c:v>72.166666666666671</c:v>
                </c:pt>
                <c:pt idx="6">
                  <c:v>63.5</c:v>
                </c:pt>
                <c:pt idx="7">
                  <c:v>73.666666666666671</c:v>
                </c:pt>
                <c:pt idx="8">
                  <c:v>46.5</c:v>
                </c:pt>
                <c:pt idx="9">
                  <c:v>55.833333333333336</c:v>
                </c:pt>
                <c:pt idx="10">
                  <c:v>55.666666666666664</c:v>
                </c:pt>
                <c:pt idx="11">
                  <c:v>62.666666666666664</c:v>
                </c:pt>
                <c:pt idx="12">
                  <c:v>67.5</c:v>
                </c:pt>
                <c:pt idx="13">
                  <c:v>59.833333333333336</c:v>
                </c:pt>
                <c:pt idx="14">
                  <c:v>54.333333333333336</c:v>
                </c:pt>
                <c:pt idx="15">
                  <c:v>57</c:v>
                </c:pt>
                <c:pt idx="16">
                  <c:v>70.333333333333329</c:v>
                </c:pt>
                <c:pt idx="17">
                  <c:v>77.666666666666671</c:v>
                </c:pt>
                <c:pt idx="18">
                  <c:v>40.666666666666664</c:v>
                </c:pt>
                <c:pt idx="19">
                  <c:v>61</c:v>
                </c:pt>
                <c:pt idx="20">
                  <c:v>52.166666666666664</c:v>
                </c:pt>
                <c:pt idx="21">
                  <c:v>50.666666666666664</c:v>
                </c:pt>
                <c:pt idx="22">
                  <c:v>60</c:v>
                </c:pt>
                <c:pt idx="23">
                  <c:v>44.333333333333336</c:v>
                </c:pt>
                <c:pt idx="24">
                  <c:v>68.166666666666671</c:v>
                </c:pt>
                <c:pt idx="25">
                  <c:v>59.833333333333336</c:v>
                </c:pt>
              </c:numCache>
            </c:numRef>
          </c:val>
          <c:extLst>
            <c:ext xmlns:c16="http://schemas.microsoft.com/office/drawing/2014/chart" uri="{C3380CC4-5D6E-409C-BE32-E72D297353CC}">
              <c16:uniqueId val="{00000003-6993-4E2B-AA58-CD56557A704B}"/>
            </c:ext>
          </c:extLst>
        </c:ser>
        <c:ser>
          <c:idx val="4"/>
          <c:order val="4"/>
          <c:tx>
            <c:strRef>
              <c:f>'SO2'!$F$6</c:f>
              <c:strCache>
                <c:ptCount val="1"/>
                <c:pt idx="0">
                  <c:v>2025</c:v>
                </c:pt>
              </c:strCache>
            </c:strRef>
          </c:tx>
          <c:spPr>
            <a:solidFill>
              <a:schemeClr val="accent5"/>
            </a:solidFill>
            <a:ln>
              <a:noFill/>
            </a:ln>
            <a:effectLst/>
          </c:spPr>
          <c:invertIfNegative val="0"/>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'SO2'!$F$7:$F$32</c:f>
              <c:numCache>
                <c:formatCode>0.00</c:formatCode>
                <c:ptCount val="26"/>
                <c:pt idx="0">
                  <c:v>80</c:v>
                </c:pt>
                <c:pt idx="1">
                  <c:v>48.5</c:v>
                </c:pt>
                <c:pt idx="2">
                  <c:v>75.5</c:v>
                </c:pt>
                <c:pt idx="3">
                  <c:v>57.5</c:v>
                </c:pt>
                <c:pt idx="4">
                  <c:v>71</c:v>
                </c:pt>
                <c:pt idx="5">
                  <c:v>73.5</c:v>
                </c:pt>
                <c:pt idx="6">
                  <c:v>67</c:v>
                </c:pt>
                <c:pt idx="7">
                  <c:v>71</c:v>
                </c:pt>
                <c:pt idx="8">
                  <c:v>50</c:v>
                </c:pt>
                <c:pt idx="9">
                  <c:v>52.5</c:v>
                </c:pt>
                <c:pt idx="10">
                  <c:v>55.5</c:v>
                </c:pt>
                <c:pt idx="11">
                  <c:v>65</c:v>
                </c:pt>
                <c:pt idx="12">
                  <c:v>68.5</c:v>
                </c:pt>
                <c:pt idx="13">
                  <c:v>59</c:v>
                </c:pt>
                <c:pt idx="14">
                  <c:v>59</c:v>
                </c:pt>
                <c:pt idx="15">
                  <c:v>53.5</c:v>
                </c:pt>
                <c:pt idx="16">
                  <c:v>74</c:v>
                </c:pt>
                <c:pt idx="17">
                  <c:v>77</c:v>
                </c:pt>
                <c:pt idx="18">
                  <c:v>41</c:v>
                </c:pt>
                <c:pt idx="19">
                  <c:v>63.5</c:v>
                </c:pt>
                <c:pt idx="20">
                  <c:v>49</c:v>
                </c:pt>
                <c:pt idx="21">
                  <c:v>42.5</c:v>
                </c:pt>
                <c:pt idx="22">
                  <c:v>58.5</c:v>
                </c:pt>
                <c:pt idx="23">
                  <c:v>42</c:v>
                </c:pt>
                <c:pt idx="24">
                  <c:v>69.5</c:v>
                </c:pt>
                <c:pt idx="25">
                  <c:v>70.5</c:v>
                </c:pt>
              </c:numCache>
            </c:numRef>
          </c:val>
          <c:extLst>
            <c:ext xmlns:c16="http://schemas.microsoft.com/office/drawing/2014/chart" uri="{C3380CC4-5D6E-409C-BE32-E72D297353CC}">
              <c16:uniqueId val="{00000004-6993-4E2B-AA58-CD56557A704B}"/>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'SO2'!$G$6</c:f>
              <c:strCache>
                <c:ptCount val="1"/>
                <c:pt idx="0">
                  <c:v>Quy chuẩn đánh giá</c:v>
                </c:pt>
              </c:strCache>
            </c:strRef>
          </c:tx>
          <c:spPr>
            <a:ln w="22225" cap="rnd">
              <a:solidFill>
                <a:schemeClr val="accent6"/>
              </a:solidFill>
              <a:round/>
            </a:ln>
            <a:effectLst/>
          </c:spPr>
          <c:marker>
            <c:symbol val="none"/>
          </c:marker>
          <c:cat>
            <c:strRef>
              <c:f>'SO2'!$A$7:$A$32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'SO2'!$G$7:$G$32</c:f>
              <c:numCache>
                <c:formatCode>General</c:formatCode>
                <c:ptCount val="26"/>
                <c:pt idx="0">
                  <c:v>350</c:v>
                </c:pt>
                <c:pt idx="1">
                  <c:v>350</c:v>
                </c:pt>
                <c:pt idx="2">
                  <c:v>350</c:v>
                </c:pt>
                <c:pt idx="3">
                  <c:v>350</c:v>
                </c:pt>
                <c:pt idx="4">
                  <c:v>350</c:v>
                </c:pt>
                <c:pt idx="5">
                  <c:v>350</c:v>
                </c:pt>
                <c:pt idx="6">
                  <c:v>350</c:v>
                </c:pt>
                <c:pt idx="7">
                  <c:v>350</c:v>
                </c:pt>
                <c:pt idx="8">
                  <c:v>350</c:v>
                </c:pt>
                <c:pt idx="9">
                  <c:v>350</c:v>
                </c:pt>
                <c:pt idx="10">
                  <c:v>350</c:v>
                </c:pt>
                <c:pt idx="11">
                  <c:v>350</c:v>
                </c:pt>
                <c:pt idx="12">
                  <c:v>350</c:v>
                </c:pt>
                <c:pt idx="13">
                  <c:v>350</c:v>
                </c:pt>
                <c:pt idx="14">
                  <c:v>350</c:v>
                </c:pt>
                <c:pt idx="15">
                  <c:v>350</c:v>
                </c:pt>
                <c:pt idx="16">
                  <c:v>350</c:v>
                </c:pt>
                <c:pt idx="17">
                  <c:v>350</c:v>
                </c:pt>
                <c:pt idx="18">
                  <c:v>350</c:v>
                </c:pt>
                <c:pt idx="19">
                  <c:v>350</c:v>
                </c:pt>
                <c:pt idx="20">
                  <c:v>350</c:v>
                </c:pt>
                <c:pt idx="21">
                  <c:v>350</c:v>
                </c:pt>
                <c:pt idx="22">
                  <c:v>350</c:v>
                </c:pt>
                <c:pt idx="23">
                  <c:v>350</c:v>
                </c:pt>
                <c:pt idx="24">
                  <c:v>350</c:v>
                </c:pt>
                <c:pt idx="25">
                  <c:v>350</c:v>
                </c:pt>
              </c:numCache>
            </c:numRef>
          </c:val>
          <c:smooth val="0"/>
          <c:extLst>
            <c:ext xmlns:c16="http://schemas.microsoft.com/office/drawing/2014/chart" uri="{C3380CC4-5D6E-409C-BE32-E72D297353CC}">
              <c16:uniqueId val="{00000005-6993-4E2B-AA58-CD56557A704B}"/>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10867483832562165"/>
          <c:y val="0.8861856497906544"/>
          <c:w val="0.79502134913548173"/>
          <c:h val="8.7799782051177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30993889210612E-4"/>
          <c:y val="0.14529646676261534"/>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6683945996871141E-2"/>
          <c:y val="2.2885498687664041E-2"/>
          <c:w val="0.93599780028868507"/>
          <c:h val="0.5105893968494114"/>
        </c:manualLayout>
      </c:layout>
      <c:barChart>
        <c:barDir val="col"/>
        <c:grouping val="clustered"/>
        <c:varyColors val="0"/>
        <c:ser>
          <c:idx val="0"/>
          <c:order val="0"/>
          <c:tx>
            <c:strRef>
              <c:f>'NO2'!$B$6</c:f>
              <c:strCache>
                <c:ptCount val="1"/>
                <c:pt idx="0">
                  <c:v>2021</c:v>
                </c:pt>
              </c:strCache>
            </c:strRef>
          </c:tx>
          <c:spPr>
            <a:solidFill>
              <a:schemeClr val="accent1"/>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'NO2'!$B$7:$B$32</c:f>
              <c:numCache>
                <c:formatCode>0.00</c:formatCode>
                <c:ptCount val="26"/>
                <c:pt idx="0">
                  <c:v>36.666666666666664</c:v>
                </c:pt>
                <c:pt idx="1">
                  <c:v>25.666666666666668</c:v>
                </c:pt>
                <c:pt idx="2">
                  <c:v>31.5</c:v>
                </c:pt>
                <c:pt idx="3">
                  <c:v>27.166666666666668</c:v>
                </c:pt>
                <c:pt idx="4">
                  <c:v>31.833333333333332</c:v>
                </c:pt>
                <c:pt idx="5">
                  <c:v>32.166666666666664</c:v>
                </c:pt>
                <c:pt idx="6">
                  <c:v>34</c:v>
                </c:pt>
                <c:pt idx="7">
                  <c:v>39.166666666666664</c:v>
                </c:pt>
                <c:pt idx="8">
                  <c:v>28.166666666666668</c:v>
                </c:pt>
                <c:pt idx="9">
                  <c:v>31.166666666666668</c:v>
                </c:pt>
                <c:pt idx="10">
                  <c:v>29.666666666666668</c:v>
                </c:pt>
                <c:pt idx="11">
                  <c:v>34.166666666666664</c:v>
                </c:pt>
                <c:pt idx="12">
                  <c:v>34.833333333333336</c:v>
                </c:pt>
                <c:pt idx="13">
                  <c:v>27</c:v>
                </c:pt>
                <c:pt idx="14">
                  <c:v>29</c:v>
                </c:pt>
                <c:pt idx="15">
                  <c:v>27.166666666666668</c:v>
                </c:pt>
                <c:pt idx="16">
                  <c:v>37</c:v>
                </c:pt>
                <c:pt idx="17">
                  <c:v>35.333333333333336</c:v>
                </c:pt>
                <c:pt idx="18">
                  <c:v>23.833333333333332</c:v>
                </c:pt>
                <c:pt idx="19">
                  <c:v>26.5</c:v>
                </c:pt>
                <c:pt idx="20">
                  <c:v>25.333333333333332</c:v>
                </c:pt>
                <c:pt idx="21">
                  <c:v>26.333333333333332</c:v>
                </c:pt>
                <c:pt idx="22">
                  <c:v>29.166666666666668</c:v>
                </c:pt>
                <c:pt idx="23">
                  <c:v>26.666666666666668</c:v>
                </c:pt>
                <c:pt idx="24">
                  <c:v>32.333333333333336</c:v>
                </c:pt>
                <c:pt idx="25">
                  <c:v>29.166666666666668</c:v>
                </c:pt>
              </c:numCache>
            </c:numRef>
          </c:val>
          <c:extLst>
            <c:ext xmlns:c16="http://schemas.microsoft.com/office/drawing/2014/chart" uri="{C3380CC4-5D6E-409C-BE32-E72D297353CC}">
              <c16:uniqueId val="{00000000-8A03-4606-9C94-28D441CD5A69}"/>
            </c:ext>
          </c:extLst>
        </c:ser>
        <c:ser>
          <c:idx val="1"/>
          <c:order val="1"/>
          <c:tx>
            <c:strRef>
              <c:f>'NO2'!$C$6</c:f>
              <c:strCache>
                <c:ptCount val="1"/>
                <c:pt idx="0">
                  <c:v>2022</c:v>
                </c:pt>
              </c:strCache>
            </c:strRef>
          </c:tx>
          <c:spPr>
            <a:solidFill>
              <a:schemeClr val="accent2"/>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'NO2'!$C$7:$C$32</c:f>
              <c:numCache>
                <c:formatCode>0.00</c:formatCode>
                <c:ptCount val="26"/>
                <c:pt idx="0">
                  <c:v>28.666666666666668</c:v>
                </c:pt>
                <c:pt idx="1">
                  <c:v>23.666666666666668</c:v>
                </c:pt>
                <c:pt idx="2">
                  <c:v>36</c:v>
                </c:pt>
                <c:pt idx="3">
                  <c:v>25</c:v>
                </c:pt>
                <c:pt idx="4">
                  <c:v>31.5</c:v>
                </c:pt>
                <c:pt idx="5">
                  <c:v>34.166666666666664</c:v>
                </c:pt>
                <c:pt idx="6">
                  <c:v>30.166666666666668</c:v>
                </c:pt>
                <c:pt idx="7">
                  <c:v>32.166666666666664</c:v>
                </c:pt>
                <c:pt idx="8">
                  <c:v>19.666666666666668</c:v>
                </c:pt>
                <c:pt idx="9">
                  <c:v>28</c:v>
                </c:pt>
                <c:pt idx="10">
                  <c:v>28.5</c:v>
                </c:pt>
                <c:pt idx="11">
                  <c:v>28.166666666666668</c:v>
                </c:pt>
                <c:pt idx="12">
                  <c:v>30.166666666666668</c:v>
                </c:pt>
                <c:pt idx="13">
                  <c:v>27.166666666666668</c:v>
                </c:pt>
                <c:pt idx="14">
                  <c:v>22.166666666666668</c:v>
                </c:pt>
                <c:pt idx="15">
                  <c:v>27</c:v>
                </c:pt>
                <c:pt idx="16">
                  <c:v>31.5</c:v>
                </c:pt>
                <c:pt idx="17">
                  <c:v>32.333333333333336</c:v>
                </c:pt>
                <c:pt idx="18">
                  <c:v>23</c:v>
                </c:pt>
                <c:pt idx="19">
                  <c:v>24.166666666666668</c:v>
                </c:pt>
                <c:pt idx="20">
                  <c:v>28.5</c:v>
                </c:pt>
                <c:pt idx="21">
                  <c:v>28.666666666666668</c:v>
                </c:pt>
                <c:pt idx="22">
                  <c:v>28.333333333333332</c:v>
                </c:pt>
                <c:pt idx="23">
                  <c:v>27.666666666666668</c:v>
                </c:pt>
                <c:pt idx="24">
                  <c:v>33.5</c:v>
                </c:pt>
                <c:pt idx="25">
                  <c:v>32.5</c:v>
                </c:pt>
              </c:numCache>
            </c:numRef>
          </c:val>
          <c:extLst>
            <c:ext xmlns:c16="http://schemas.microsoft.com/office/drawing/2014/chart" uri="{C3380CC4-5D6E-409C-BE32-E72D297353CC}">
              <c16:uniqueId val="{00000001-8A03-4606-9C94-28D441CD5A69}"/>
            </c:ext>
          </c:extLst>
        </c:ser>
        <c:ser>
          <c:idx val="2"/>
          <c:order val="2"/>
          <c:tx>
            <c:strRef>
              <c:f>'NO2'!$D$6</c:f>
              <c:strCache>
                <c:ptCount val="1"/>
                <c:pt idx="0">
                  <c:v>2023</c:v>
                </c:pt>
              </c:strCache>
            </c:strRef>
          </c:tx>
          <c:spPr>
            <a:solidFill>
              <a:schemeClr val="accent3"/>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'NO2'!$D$7:$D$32</c:f>
              <c:numCache>
                <c:formatCode>0.00</c:formatCode>
                <c:ptCount val="26"/>
                <c:pt idx="0">
                  <c:v>35.833333333333336</c:v>
                </c:pt>
                <c:pt idx="1">
                  <c:v>27.333333333333332</c:v>
                </c:pt>
                <c:pt idx="2">
                  <c:v>42</c:v>
                </c:pt>
                <c:pt idx="3">
                  <c:v>29.166666666666668</c:v>
                </c:pt>
                <c:pt idx="4">
                  <c:v>37.5</c:v>
                </c:pt>
                <c:pt idx="5">
                  <c:v>37.833333333333336</c:v>
                </c:pt>
                <c:pt idx="6">
                  <c:v>32.833333333333336</c:v>
                </c:pt>
                <c:pt idx="7">
                  <c:v>40.333333333333336</c:v>
                </c:pt>
                <c:pt idx="8">
                  <c:v>22.833333333333332</c:v>
                </c:pt>
                <c:pt idx="9">
                  <c:v>31.166666666666668</c:v>
                </c:pt>
                <c:pt idx="10">
                  <c:v>26.333333333333332</c:v>
                </c:pt>
                <c:pt idx="11">
                  <c:v>34.666666666666664</c:v>
                </c:pt>
                <c:pt idx="12">
                  <c:v>37</c:v>
                </c:pt>
                <c:pt idx="13">
                  <c:v>31.5</c:v>
                </c:pt>
                <c:pt idx="14">
                  <c:v>25.666666666666668</c:v>
                </c:pt>
                <c:pt idx="15">
                  <c:v>28.666666666666668</c:v>
                </c:pt>
                <c:pt idx="16">
                  <c:v>36.333333333333336</c:v>
                </c:pt>
                <c:pt idx="17">
                  <c:v>35.5</c:v>
                </c:pt>
                <c:pt idx="18">
                  <c:v>22.5</c:v>
                </c:pt>
                <c:pt idx="19">
                  <c:v>27</c:v>
                </c:pt>
                <c:pt idx="20">
                  <c:v>23.166666666666668</c:v>
                </c:pt>
                <c:pt idx="21">
                  <c:v>26.5</c:v>
                </c:pt>
                <c:pt idx="22">
                  <c:v>35.833333333333336</c:v>
                </c:pt>
                <c:pt idx="23">
                  <c:v>24.666666666666668</c:v>
                </c:pt>
                <c:pt idx="24">
                  <c:v>35.666666666666664</c:v>
                </c:pt>
                <c:pt idx="25">
                  <c:v>30.833333333333332</c:v>
                </c:pt>
              </c:numCache>
            </c:numRef>
          </c:val>
          <c:extLst>
            <c:ext xmlns:c16="http://schemas.microsoft.com/office/drawing/2014/chart" uri="{C3380CC4-5D6E-409C-BE32-E72D297353CC}">
              <c16:uniqueId val="{00000002-8A03-4606-9C94-28D441CD5A69}"/>
            </c:ext>
          </c:extLst>
        </c:ser>
        <c:ser>
          <c:idx val="3"/>
          <c:order val="3"/>
          <c:tx>
            <c:strRef>
              <c:f>'NO2'!$E$6</c:f>
              <c:strCache>
                <c:ptCount val="1"/>
                <c:pt idx="0">
                  <c:v>2024</c:v>
                </c:pt>
              </c:strCache>
            </c:strRef>
          </c:tx>
          <c:spPr>
            <a:solidFill>
              <a:schemeClr val="accent4"/>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'NO2'!$E$7:$E$32</c:f>
              <c:numCache>
                <c:formatCode>0.00</c:formatCode>
                <c:ptCount val="26"/>
                <c:pt idx="0">
                  <c:v>46.833333333333336</c:v>
                </c:pt>
                <c:pt idx="1">
                  <c:v>28.666666666666668</c:v>
                </c:pt>
                <c:pt idx="2">
                  <c:v>41.666666666666664</c:v>
                </c:pt>
                <c:pt idx="3">
                  <c:v>30</c:v>
                </c:pt>
                <c:pt idx="4">
                  <c:v>41.333333333333336</c:v>
                </c:pt>
                <c:pt idx="5">
                  <c:v>39.666666666666664</c:v>
                </c:pt>
                <c:pt idx="6">
                  <c:v>34.5</c:v>
                </c:pt>
                <c:pt idx="7">
                  <c:v>41.666666666666664</c:v>
                </c:pt>
                <c:pt idx="8">
                  <c:v>26</c:v>
                </c:pt>
                <c:pt idx="9">
                  <c:v>31.833333333333332</c:v>
                </c:pt>
                <c:pt idx="10">
                  <c:v>29.666666666666668</c:v>
                </c:pt>
                <c:pt idx="11">
                  <c:v>35</c:v>
                </c:pt>
                <c:pt idx="12">
                  <c:v>39.666666666666664</c:v>
                </c:pt>
                <c:pt idx="13">
                  <c:v>33.666666666666664</c:v>
                </c:pt>
                <c:pt idx="14">
                  <c:v>29.333333333333332</c:v>
                </c:pt>
                <c:pt idx="15">
                  <c:v>31.333333333333332</c:v>
                </c:pt>
                <c:pt idx="16">
                  <c:v>39.666666666666664</c:v>
                </c:pt>
                <c:pt idx="17">
                  <c:v>44.333333333333336</c:v>
                </c:pt>
                <c:pt idx="18">
                  <c:v>22.333333333333332</c:v>
                </c:pt>
                <c:pt idx="19">
                  <c:v>31</c:v>
                </c:pt>
                <c:pt idx="20">
                  <c:v>28</c:v>
                </c:pt>
                <c:pt idx="21">
                  <c:v>28.5</c:v>
                </c:pt>
                <c:pt idx="22">
                  <c:v>31.166666666666668</c:v>
                </c:pt>
                <c:pt idx="23">
                  <c:v>24.333333333333332</c:v>
                </c:pt>
                <c:pt idx="24">
                  <c:v>38.5</c:v>
                </c:pt>
                <c:pt idx="25">
                  <c:v>31.333333333333332</c:v>
                </c:pt>
              </c:numCache>
            </c:numRef>
          </c:val>
          <c:extLst>
            <c:ext xmlns:c16="http://schemas.microsoft.com/office/drawing/2014/chart" uri="{C3380CC4-5D6E-409C-BE32-E72D297353CC}">
              <c16:uniqueId val="{00000003-8A03-4606-9C94-28D441CD5A69}"/>
            </c:ext>
          </c:extLst>
        </c:ser>
        <c:ser>
          <c:idx val="4"/>
          <c:order val="4"/>
          <c:tx>
            <c:strRef>
              <c:f>'NO2'!$F$6</c:f>
              <c:strCache>
                <c:ptCount val="1"/>
                <c:pt idx="0">
                  <c:v>2025</c:v>
                </c:pt>
              </c:strCache>
            </c:strRef>
          </c:tx>
          <c:spPr>
            <a:solidFill>
              <a:schemeClr val="accent5"/>
            </a:solidFill>
            <a:ln>
              <a:noFill/>
            </a:ln>
            <a:effectLst/>
          </c:spPr>
          <c:invertIfNegative val="0"/>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'NO2'!$F$7:$F$32</c:f>
              <c:numCache>
                <c:formatCode>0.00</c:formatCode>
                <c:ptCount val="26"/>
                <c:pt idx="0">
                  <c:v>43</c:v>
                </c:pt>
                <c:pt idx="1">
                  <c:v>28.5</c:v>
                </c:pt>
                <c:pt idx="2">
                  <c:v>40.5</c:v>
                </c:pt>
                <c:pt idx="3">
                  <c:v>31</c:v>
                </c:pt>
                <c:pt idx="4">
                  <c:v>35</c:v>
                </c:pt>
                <c:pt idx="5">
                  <c:v>40</c:v>
                </c:pt>
                <c:pt idx="6">
                  <c:v>34.5</c:v>
                </c:pt>
                <c:pt idx="7">
                  <c:v>39</c:v>
                </c:pt>
                <c:pt idx="8">
                  <c:v>25</c:v>
                </c:pt>
                <c:pt idx="9">
                  <c:v>27</c:v>
                </c:pt>
                <c:pt idx="10">
                  <c:v>30</c:v>
                </c:pt>
                <c:pt idx="11">
                  <c:v>37.5</c:v>
                </c:pt>
                <c:pt idx="12">
                  <c:v>38.5</c:v>
                </c:pt>
                <c:pt idx="13">
                  <c:v>31</c:v>
                </c:pt>
                <c:pt idx="14">
                  <c:v>31.5</c:v>
                </c:pt>
                <c:pt idx="15">
                  <c:v>28.5</c:v>
                </c:pt>
                <c:pt idx="16">
                  <c:v>40.5</c:v>
                </c:pt>
                <c:pt idx="17">
                  <c:v>45</c:v>
                </c:pt>
                <c:pt idx="18">
                  <c:v>17</c:v>
                </c:pt>
                <c:pt idx="19">
                  <c:v>33</c:v>
                </c:pt>
                <c:pt idx="20">
                  <c:v>36</c:v>
                </c:pt>
                <c:pt idx="21">
                  <c:v>24.5</c:v>
                </c:pt>
                <c:pt idx="22">
                  <c:v>30</c:v>
                </c:pt>
                <c:pt idx="23">
                  <c:v>24</c:v>
                </c:pt>
                <c:pt idx="24">
                  <c:v>41</c:v>
                </c:pt>
                <c:pt idx="25">
                  <c:v>34</c:v>
                </c:pt>
              </c:numCache>
            </c:numRef>
          </c:val>
          <c:extLst>
            <c:ext xmlns:c16="http://schemas.microsoft.com/office/drawing/2014/chart" uri="{C3380CC4-5D6E-409C-BE32-E72D297353CC}">
              <c16:uniqueId val="{00000004-8A03-4606-9C94-28D441CD5A69}"/>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'NO2'!$G$6</c:f>
              <c:strCache>
                <c:ptCount val="1"/>
                <c:pt idx="0">
                  <c:v>Quy chuẩn đánh giá</c:v>
                </c:pt>
              </c:strCache>
            </c:strRef>
          </c:tx>
          <c:spPr>
            <a:ln w="22225" cap="rnd">
              <a:solidFill>
                <a:schemeClr val="accent6"/>
              </a:solidFill>
              <a:round/>
            </a:ln>
            <a:effectLst/>
          </c:spPr>
          <c:marker>
            <c:symbol val="none"/>
          </c:marker>
          <c:cat>
            <c:strRef>
              <c:f>'NO2'!$A$7:$A$32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'NO2'!$G$7:$G$32</c:f>
              <c:numCache>
                <c:formatCode>General</c:formatCode>
                <c:ptCount val="26"/>
                <c:pt idx="0">
                  <c:v>200</c:v>
                </c:pt>
                <c:pt idx="1">
                  <c:v>200</c:v>
                </c:pt>
                <c:pt idx="2">
                  <c:v>200</c:v>
                </c:pt>
                <c:pt idx="3">
                  <c:v>200</c:v>
                </c:pt>
                <c:pt idx="4">
                  <c:v>200</c:v>
                </c:pt>
                <c:pt idx="5">
                  <c:v>200</c:v>
                </c:pt>
                <c:pt idx="6">
                  <c:v>200</c:v>
                </c:pt>
                <c:pt idx="7">
                  <c:v>200</c:v>
                </c:pt>
                <c:pt idx="8">
                  <c:v>200</c:v>
                </c:pt>
                <c:pt idx="9">
                  <c:v>200</c:v>
                </c:pt>
                <c:pt idx="10">
                  <c:v>200</c:v>
                </c:pt>
                <c:pt idx="11">
                  <c:v>200</c:v>
                </c:pt>
                <c:pt idx="12">
                  <c:v>200</c:v>
                </c:pt>
                <c:pt idx="13">
                  <c:v>200</c:v>
                </c:pt>
                <c:pt idx="14">
                  <c:v>200</c:v>
                </c:pt>
                <c:pt idx="15">
                  <c:v>200</c:v>
                </c:pt>
                <c:pt idx="16">
                  <c:v>200</c:v>
                </c:pt>
                <c:pt idx="17">
                  <c:v>200</c:v>
                </c:pt>
                <c:pt idx="18">
                  <c:v>200</c:v>
                </c:pt>
                <c:pt idx="19">
                  <c:v>200</c:v>
                </c:pt>
                <c:pt idx="20">
                  <c:v>200</c:v>
                </c:pt>
                <c:pt idx="21">
                  <c:v>200</c:v>
                </c:pt>
                <c:pt idx="22">
                  <c:v>200</c:v>
                </c:pt>
                <c:pt idx="23">
                  <c:v>200</c:v>
                </c:pt>
                <c:pt idx="24">
                  <c:v>200</c:v>
                </c:pt>
                <c:pt idx="25">
                  <c:v>200</c:v>
                </c:pt>
              </c:numCache>
            </c:numRef>
          </c:val>
          <c:smooth val="0"/>
          <c:extLst>
            <c:ext xmlns:c16="http://schemas.microsoft.com/office/drawing/2014/chart" uri="{C3380CC4-5D6E-409C-BE32-E72D297353CC}">
              <c16:uniqueId val="{00000005-8A03-4606-9C94-28D441CD5A69}"/>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9.7023799234206592E-2"/>
          <c:y val="0.9130203412073491"/>
          <c:w val="0.80458017493971312"/>
          <c:h val="7.03129921259842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a:t>
            </a:r>
          </a:p>
        </c:rich>
      </c:tx>
      <c:layout>
        <c:manualLayout>
          <c:xMode val="edge"/>
          <c:yMode val="edge"/>
          <c:x val="1.5326972711818818E-4"/>
          <c:y val="0.20755282988652482"/>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1089584315397923E-2"/>
          <c:y val="2.2885498687664041E-2"/>
          <c:w val="0.94051640857422891"/>
          <c:h val="0.54411411120158248"/>
        </c:manualLayout>
      </c:layout>
      <c:barChart>
        <c:barDir val="col"/>
        <c:grouping val="clustered"/>
        <c:varyColors val="0"/>
        <c:ser>
          <c:idx val="0"/>
          <c:order val="0"/>
          <c:tx>
            <c:strRef>
              <c:f>'Tiếng ồn'!$B$6</c:f>
              <c:strCache>
                <c:ptCount val="1"/>
                <c:pt idx="0">
                  <c:v>2021</c:v>
                </c:pt>
              </c:strCache>
            </c:strRef>
          </c:tx>
          <c:spPr>
            <a:solidFill>
              <a:schemeClr val="accent1"/>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ồn'!$B$7:$B$32</c:f>
              <c:numCache>
                <c:formatCode>0.00</c:formatCode>
                <c:ptCount val="26"/>
                <c:pt idx="0">
                  <c:v>69.425000000000011</c:v>
                </c:pt>
                <c:pt idx="1">
                  <c:v>64</c:v>
                </c:pt>
                <c:pt idx="2">
                  <c:v>70.150000000000006</c:v>
                </c:pt>
                <c:pt idx="3">
                  <c:v>66.849999999999994</c:v>
                </c:pt>
                <c:pt idx="4">
                  <c:v>71.7</c:v>
                </c:pt>
                <c:pt idx="5">
                  <c:v>69.75</c:v>
                </c:pt>
                <c:pt idx="6">
                  <c:v>69.475000000000009</c:v>
                </c:pt>
                <c:pt idx="7">
                  <c:v>70.375</c:v>
                </c:pt>
                <c:pt idx="8">
                  <c:v>65.55</c:v>
                </c:pt>
                <c:pt idx="9">
                  <c:v>64.25</c:v>
                </c:pt>
                <c:pt idx="10">
                  <c:v>65.925000000000011</c:v>
                </c:pt>
                <c:pt idx="11">
                  <c:v>67.824999999999989</c:v>
                </c:pt>
                <c:pt idx="12">
                  <c:v>68.224999999999994</c:v>
                </c:pt>
                <c:pt idx="13">
                  <c:v>68.150000000000006</c:v>
                </c:pt>
                <c:pt idx="14">
                  <c:v>65.675000000000011</c:v>
                </c:pt>
                <c:pt idx="15">
                  <c:v>64.099999999999994</c:v>
                </c:pt>
                <c:pt idx="16">
                  <c:v>70.900000000000006</c:v>
                </c:pt>
                <c:pt idx="17">
                  <c:v>71.224999999999994</c:v>
                </c:pt>
                <c:pt idx="18">
                  <c:v>63.75</c:v>
                </c:pt>
                <c:pt idx="19">
                  <c:v>64.050000000000011</c:v>
                </c:pt>
                <c:pt idx="20">
                  <c:v>63.725000000000001</c:v>
                </c:pt>
                <c:pt idx="21">
                  <c:v>62.05</c:v>
                </c:pt>
                <c:pt idx="22">
                  <c:v>65.074999999999989</c:v>
                </c:pt>
                <c:pt idx="23">
                  <c:v>62.2</c:v>
                </c:pt>
                <c:pt idx="24">
                  <c:v>69.275000000000006</c:v>
                </c:pt>
                <c:pt idx="25">
                  <c:v>65.775000000000006</c:v>
                </c:pt>
              </c:numCache>
            </c:numRef>
          </c:val>
          <c:extLst>
            <c:ext xmlns:c16="http://schemas.microsoft.com/office/drawing/2014/chart" uri="{C3380CC4-5D6E-409C-BE32-E72D297353CC}">
              <c16:uniqueId val="{00000000-0F95-4C74-81E4-ACEE3101D973}"/>
            </c:ext>
          </c:extLst>
        </c:ser>
        <c:ser>
          <c:idx val="1"/>
          <c:order val="1"/>
          <c:tx>
            <c:strRef>
              <c:f>'Tiếng ồn'!$C$6</c:f>
              <c:strCache>
                <c:ptCount val="1"/>
                <c:pt idx="0">
                  <c:v>2022</c:v>
                </c:pt>
              </c:strCache>
            </c:strRef>
          </c:tx>
          <c:spPr>
            <a:solidFill>
              <a:schemeClr val="accent2"/>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ồn'!$C$7:$C$32</c:f>
              <c:numCache>
                <c:formatCode>0.00</c:formatCode>
                <c:ptCount val="26"/>
                <c:pt idx="0">
                  <c:v>69.000000000000014</c:v>
                </c:pt>
                <c:pt idx="1">
                  <c:v>63.050000000000011</c:v>
                </c:pt>
                <c:pt idx="2">
                  <c:v>70.716666666666683</c:v>
                </c:pt>
                <c:pt idx="3">
                  <c:v>66.616666666666674</c:v>
                </c:pt>
                <c:pt idx="4">
                  <c:v>68.766666666666666</c:v>
                </c:pt>
                <c:pt idx="5">
                  <c:v>68.999999999999986</c:v>
                </c:pt>
                <c:pt idx="6">
                  <c:v>68.116666666666674</c:v>
                </c:pt>
                <c:pt idx="7">
                  <c:v>70.61666666666666</c:v>
                </c:pt>
                <c:pt idx="8">
                  <c:v>65.316666666666663</c:v>
                </c:pt>
                <c:pt idx="9">
                  <c:v>65.033333333333331</c:v>
                </c:pt>
                <c:pt idx="10">
                  <c:v>67.133333333333326</c:v>
                </c:pt>
                <c:pt idx="11">
                  <c:v>68.899999999999991</c:v>
                </c:pt>
                <c:pt idx="12">
                  <c:v>68.466666666666683</c:v>
                </c:pt>
                <c:pt idx="13">
                  <c:v>68.45</c:v>
                </c:pt>
                <c:pt idx="14">
                  <c:v>63.949999999999996</c:v>
                </c:pt>
                <c:pt idx="15">
                  <c:v>62.183333333333337</c:v>
                </c:pt>
                <c:pt idx="16">
                  <c:v>69.13333333333334</c:v>
                </c:pt>
                <c:pt idx="17">
                  <c:v>70.516666666666666</c:v>
                </c:pt>
                <c:pt idx="18">
                  <c:v>63.233333333333327</c:v>
                </c:pt>
                <c:pt idx="19">
                  <c:v>65.216666666666654</c:v>
                </c:pt>
                <c:pt idx="20">
                  <c:v>62.6</c:v>
                </c:pt>
                <c:pt idx="21">
                  <c:v>60.566666666666663</c:v>
                </c:pt>
                <c:pt idx="22">
                  <c:v>63.716666666666669</c:v>
                </c:pt>
                <c:pt idx="23">
                  <c:v>61.216666666666669</c:v>
                </c:pt>
                <c:pt idx="24">
                  <c:v>68.650000000000006</c:v>
                </c:pt>
                <c:pt idx="25">
                  <c:v>66.650000000000006</c:v>
                </c:pt>
              </c:numCache>
            </c:numRef>
          </c:val>
          <c:extLst>
            <c:ext xmlns:c16="http://schemas.microsoft.com/office/drawing/2014/chart" uri="{C3380CC4-5D6E-409C-BE32-E72D297353CC}">
              <c16:uniqueId val="{00000001-0F95-4C74-81E4-ACEE3101D973}"/>
            </c:ext>
          </c:extLst>
        </c:ser>
        <c:ser>
          <c:idx val="2"/>
          <c:order val="2"/>
          <c:tx>
            <c:strRef>
              <c:f>'Tiếng ồn'!$D$6</c:f>
              <c:strCache>
                <c:ptCount val="1"/>
                <c:pt idx="0">
                  <c:v>2023</c:v>
                </c:pt>
              </c:strCache>
            </c:strRef>
          </c:tx>
          <c:spPr>
            <a:solidFill>
              <a:schemeClr val="accent3"/>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ồn'!$D$7:$D$32</c:f>
              <c:numCache>
                <c:formatCode>0.00</c:formatCode>
                <c:ptCount val="26"/>
                <c:pt idx="0">
                  <c:v>69.11666666666666</c:v>
                </c:pt>
                <c:pt idx="1">
                  <c:v>64.75</c:v>
                </c:pt>
                <c:pt idx="2">
                  <c:v>70.216666666666669</c:v>
                </c:pt>
                <c:pt idx="3">
                  <c:v>66.033333333333346</c:v>
                </c:pt>
                <c:pt idx="4">
                  <c:v>69.350000000000009</c:v>
                </c:pt>
                <c:pt idx="5">
                  <c:v>67.766666666666666</c:v>
                </c:pt>
                <c:pt idx="6">
                  <c:v>67</c:v>
                </c:pt>
                <c:pt idx="7">
                  <c:v>70.716666666666654</c:v>
                </c:pt>
                <c:pt idx="8">
                  <c:v>61.6</c:v>
                </c:pt>
                <c:pt idx="9">
                  <c:v>67.516666666666666</c:v>
                </c:pt>
                <c:pt idx="10">
                  <c:v>65.5</c:v>
                </c:pt>
                <c:pt idx="11">
                  <c:v>67.600000000000009</c:v>
                </c:pt>
                <c:pt idx="12">
                  <c:v>68.649999999999991</c:v>
                </c:pt>
                <c:pt idx="13">
                  <c:v>67.683333333333337</c:v>
                </c:pt>
                <c:pt idx="14">
                  <c:v>66.666666666666671</c:v>
                </c:pt>
                <c:pt idx="15">
                  <c:v>62.15</c:v>
                </c:pt>
                <c:pt idx="16">
                  <c:v>69.083333333333329</c:v>
                </c:pt>
                <c:pt idx="17">
                  <c:v>69.433333333333337</c:v>
                </c:pt>
                <c:pt idx="18">
                  <c:v>60.933333333333337</c:v>
                </c:pt>
                <c:pt idx="19">
                  <c:v>66.466666666666669</c:v>
                </c:pt>
                <c:pt idx="20">
                  <c:v>62.816666666666663</c:v>
                </c:pt>
                <c:pt idx="21">
                  <c:v>59.783333333333331</c:v>
                </c:pt>
                <c:pt idx="22">
                  <c:v>66.933333333333337</c:v>
                </c:pt>
                <c:pt idx="23">
                  <c:v>62.783333333333331</c:v>
                </c:pt>
                <c:pt idx="24">
                  <c:v>68.466666666666654</c:v>
                </c:pt>
                <c:pt idx="25">
                  <c:v>63.133333333333326</c:v>
                </c:pt>
              </c:numCache>
            </c:numRef>
          </c:val>
          <c:extLst>
            <c:ext xmlns:c16="http://schemas.microsoft.com/office/drawing/2014/chart" uri="{C3380CC4-5D6E-409C-BE32-E72D297353CC}">
              <c16:uniqueId val="{00000002-0F95-4C74-81E4-ACEE3101D973}"/>
            </c:ext>
          </c:extLst>
        </c:ser>
        <c:ser>
          <c:idx val="3"/>
          <c:order val="3"/>
          <c:tx>
            <c:strRef>
              <c:f>'Tiếng ồn'!$E$6</c:f>
              <c:strCache>
                <c:ptCount val="1"/>
                <c:pt idx="0">
                  <c:v>2024</c:v>
                </c:pt>
              </c:strCache>
            </c:strRef>
          </c:tx>
          <c:spPr>
            <a:solidFill>
              <a:schemeClr val="accent4"/>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ồn'!$E$7:$E$32</c:f>
              <c:numCache>
                <c:formatCode>0.00</c:formatCode>
                <c:ptCount val="26"/>
                <c:pt idx="0">
                  <c:v>70.033333333333317</c:v>
                </c:pt>
                <c:pt idx="1">
                  <c:v>64.233333333333334</c:v>
                </c:pt>
                <c:pt idx="2">
                  <c:v>69.733333333333334</c:v>
                </c:pt>
                <c:pt idx="3">
                  <c:v>66.166666666666671</c:v>
                </c:pt>
                <c:pt idx="4">
                  <c:v>69.933333333333337</c:v>
                </c:pt>
                <c:pt idx="5">
                  <c:v>68.45</c:v>
                </c:pt>
                <c:pt idx="6">
                  <c:v>68.05</c:v>
                </c:pt>
                <c:pt idx="7">
                  <c:v>70.899999999999991</c:v>
                </c:pt>
                <c:pt idx="8">
                  <c:v>64.999999999999986</c:v>
                </c:pt>
                <c:pt idx="9">
                  <c:v>64.333333333333329</c:v>
                </c:pt>
                <c:pt idx="10">
                  <c:v>66.3</c:v>
                </c:pt>
                <c:pt idx="11">
                  <c:v>68.149999999999991</c:v>
                </c:pt>
                <c:pt idx="12">
                  <c:v>68.683333333333323</c:v>
                </c:pt>
                <c:pt idx="13">
                  <c:v>68.066666666666663</c:v>
                </c:pt>
                <c:pt idx="14">
                  <c:v>65.38333333333334</c:v>
                </c:pt>
                <c:pt idx="15">
                  <c:v>63.633333333333333</c:v>
                </c:pt>
                <c:pt idx="16">
                  <c:v>70.316666666666663</c:v>
                </c:pt>
                <c:pt idx="17">
                  <c:v>69.783333333333346</c:v>
                </c:pt>
                <c:pt idx="18">
                  <c:v>61.800000000000004</c:v>
                </c:pt>
                <c:pt idx="19">
                  <c:v>66.249999999999986</c:v>
                </c:pt>
                <c:pt idx="20">
                  <c:v>62.683333333333337</c:v>
                </c:pt>
                <c:pt idx="21">
                  <c:v>63.25</c:v>
                </c:pt>
                <c:pt idx="22">
                  <c:v>60.666666666666657</c:v>
                </c:pt>
                <c:pt idx="23">
                  <c:v>62.5</c:v>
                </c:pt>
                <c:pt idx="24">
                  <c:v>68.11666666666666</c:v>
                </c:pt>
                <c:pt idx="25">
                  <c:v>64.466666666666654</c:v>
                </c:pt>
              </c:numCache>
            </c:numRef>
          </c:val>
          <c:extLst>
            <c:ext xmlns:c16="http://schemas.microsoft.com/office/drawing/2014/chart" uri="{C3380CC4-5D6E-409C-BE32-E72D297353CC}">
              <c16:uniqueId val="{00000003-0F95-4C74-81E4-ACEE3101D973}"/>
            </c:ext>
          </c:extLst>
        </c:ser>
        <c:ser>
          <c:idx val="4"/>
          <c:order val="4"/>
          <c:tx>
            <c:strRef>
              <c:f>'Tiếng ồn'!$F$6</c:f>
              <c:strCache>
                <c:ptCount val="1"/>
                <c:pt idx="0">
                  <c:v>2025</c:v>
                </c:pt>
              </c:strCache>
            </c:strRef>
          </c:tx>
          <c:spPr>
            <a:solidFill>
              <a:schemeClr val="accent5"/>
            </a:solidFill>
            <a:ln>
              <a:noFill/>
            </a:ln>
            <a:effectLst/>
          </c:spPr>
          <c:invertIfNegative val="0"/>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ồn'!$F$7:$F$32</c:f>
              <c:numCache>
                <c:formatCode>0.00</c:formatCode>
                <c:ptCount val="26"/>
                <c:pt idx="0">
                  <c:v>68.349999999999994</c:v>
                </c:pt>
                <c:pt idx="1">
                  <c:v>63.45</c:v>
                </c:pt>
                <c:pt idx="2">
                  <c:v>68.199999999999989</c:v>
                </c:pt>
                <c:pt idx="3">
                  <c:v>66.25</c:v>
                </c:pt>
                <c:pt idx="4">
                  <c:v>66.400000000000006</c:v>
                </c:pt>
                <c:pt idx="5">
                  <c:v>66.25</c:v>
                </c:pt>
                <c:pt idx="6">
                  <c:v>68.150000000000006</c:v>
                </c:pt>
                <c:pt idx="7">
                  <c:v>65.650000000000006</c:v>
                </c:pt>
                <c:pt idx="8">
                  <c:v>64.75</c:v>
                </c:pt>
                <c:pt idx="9">
                  <c:v>63.5</c:v>
                </c:pt>
                <c:pt idx="10">
                  <c:v>64.349999999999994</c:v>
                </c:pt>
                <c:pt idx="11">
                  <c:v>67.449999999999989</c:v>
                </c:pt>
                <c:pt idx="12">
                  <c:v>67.449999999999989</c:v>
                </c:pt>
                <c:pt idx="13">
                  <c:v>61.599999999999994</c:v>
                </c:pt>
                <c:pt idx="14">
                  <c:v>65.05</c:v>
                </c:pt>
                <c:pt idx="15">
                  <c:v>58.05</c:v>
                </c:pt>
                <c:pt idx="16">
                  <c:v>68.400000000000006</c:v>
                </c:pt>
                <c:pt idx="17">
                  <c:v>68.3</c:v>
                </c:pt>
                <c:pt idx="18">
                  <c:v>63.3</c:v>
                </c:pt>
                <c:pt idx="19">
                  <c:v>66.650000000000006</c:v>
                </c:pt>
                <c:pt idx="20">
                  <c:v>60.35</c:v>
                </c:pt>
                <c:pt idx="21">
                  <c:v>55.150000000000006</c:v>
                </c:pt>
                <c:pt idx="22">
                  <c:v>63.650000000000006</c:v>
                </c:pt>
                <c:pt idx="23">
                  <c:v>59.25</c:v>
                </c:pt>
                <c:pt idx="24">
                  <c:v>68.5</c:v>
                </c:pt>
                <c:pt idx="25">
                  <c:v>64.400000000000006</c:v>
                </c:pt>
              </c:numCache>
            </c:numRef>
          </c:val>
          <c:extLst>
            <c:ext xmlns:c16="http://schemas.microsoft.com/office/drawing/2014/chart" uri="{C3380CC4-5D6E-409C-BE32-E72D297353CC}">
              <c16:uniqueId val="{00000004-0F95-4C74-81E4-ACEE3101D973}"/>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'Tiếng ồn'!$G$6</c:f>
              <c:strCache>
                <c:ptCount val="1"/>
                <c:pt idx="0">
                  <c:v>QCVN 26:2010/BTNMT</c:v>
                </c:pt>
              </c:strCache>
            </c:strRef>
          </c:tx>
          <c:spPr>
            <a:ln w="22225" cap="rnd">
              <a:solidFill>
                <a:schemeClr val="accent6"/>
              </a:solidFill>
              <a:round/>
            </a:ln>
            <a:effectLst/>
          </c:spPr>
          <c:marker>
            <c:symbol val="none"/>
          </c:marker>
          <c:cat>
            <c:strRef>
              <c:f>'Tiếng ồn'!$A$7:$A$32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'Tiếng ồn'!$G$7:$G$32</c:f>
              <c:numCache>
                <c:formatCode>General</c:formatCode>
                <c:ptCount val="26"/>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numCache>
            </c:numRef>
          </c:val>
          <c:smooth val="0"/>
          <c:extLst>
            <c:ext xmlns:c16="http://schemas.microsoft.com/office/drawing/2014/chart" uri="{C3380CC4-5D6E-409C-BE32-E72D297353CC}">
              <c16:uniqueId val="{00000005-0F95-4C74-81E4-ACEE3101D973}"/>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5"/>
      </c:valAx>
      <c:spPr>
        <a:noFill/>
        <a:ln>
          <a:noFill/>
        </a:ln>
        <a:effectLst/>
      </c:spPr>
    </c:plotArea>
    <c:legend>
      <c:legendPos val="b"/>
      <c:layout>
        <c:manualLayout>
          <c:xMode val="edge"/>
          <c:yMode val="edge"/>
          <c:x val="0.11969597174468254"/>
          <c:y val="0.9130203412073491"/>
          <c:w val="0.78535202516827474"/>
          <c:h val="7.03129921259842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t>
            </a:r>
          </a:p>
        </c:rich>
      </c:tx>
      <c:layout>
        <c:manualLayout>
          <c:xMode val="edge"/>
          <c:yMode val="edge"/>
          <c:x val="4.2850001138647099E-3"/>
          <c:y val="0.2763008530183727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4.9691860408373076E-2"/>
          <c:y val="2.683628608923885E-2"/>
          <c:w val="0.9419140332289756"/>
          <c:h val="0.57069884210504607"/>
        </c:manualLayout>
      </c:layout>
      <c:barChart>
        <c:barDir val="col"/>
        <c:grouping val="clustered"/>
        <c:varyColors val="0"/>
        <c:ser>
          <c:idx val="0"/>
          <c:order val="0"/>
          <c:tx>
            <c:strRef>
              <c:f>'Do rung'!$B$6</c:f>
              <c:strCache>
                <c:ptCount val="1"/>
                <c:pt idx="0">
                  <c:v>2021</c:v>
                </c:pt>
              </c:strCache>
            </c:strRef>
          </c:tx>
          <c:spPr>
            <a:solidFill>
              <a:schemeClr val="accent1"/>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rung'!$B$7:$B$32</c:f>
              <c:numCache>
                <c:formatCode>0.00</c:formatCode>
                <c:ptCount val="2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numCache>
            </c:numRef>
          </c:val>
          <c:extLst>
            <c:ext xmlns:c16="http://schemas.microsoft.com/office/drawing/2014/chart" uri="{C3380CC4-5D6E-409C-BE32-E72D297353CC}">
              <c16:uniqueId val="{00000000-5788-470C-9C2C-FC063A30913F}"/>
            </c:ext>
          </c:extLst>
        </c:ser>
        <c:ser>
          <c:idx val="1"/>
          <c:order val="1"/>
          <c:tx>
            <c:strRef>
              <c:f>'Do rung'!$C$6</c:f>
              <c:strCache>
                <c:ptCount val="1"/>
                <c:pt idx="0">
                  <c:v>2022</c:v>
                </c:pt>
              </c:strCache>
            </c:strRef>
          </c:tx>
          <c:spPr>
            <a:solidFill>
              <a:schemeClr val="accent2"/>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rung'!$C$7:$C$32</c:f>
              <c:numCache>
                <c:formatCode>0.00</c:formatCode>
                <c:ptCount val="26"/>
                <c:pt idx="0">
                  <c:v>55.449999999999996</c:v>
                </c:pt>
                <c:pt idx="1">
                  <c:v>46.566666666666663</c:v>
                </c:pt>
                <c:pt idx="2">
                  <c:v>55.75</c:v>
                </c:pt>
                <c:pt idx="3">
                  <c:v>51.766666666666659</c:v>
                </c:pt>
                <c:pt idx="4">
                  <c:v>52.800000000000004</c:v>
                </c:pt>
                <c:pt idx="5">
                  <c:v>52.550000000000011</c:v>
                </c:pt>
                <c:pt idx="6">
                  <c:v>50.400000000000006</c:v>
                </c:pt>
                <c:pt idx="7">
                  <c:v>53.1</c:v>
                </c:pt>
                <c:pt idx="8">
                  <c:v>49.133333333333333</c:v>
                </c:pt>
                <c:pt idx="9">
                  <c:v>47.85</c:v>
                </c:pt>
                <c:pt idx="10">
                  <c:v>50.31666666666667</c:v>
                </c:pt>
                <c:pt idx="11">
                  <c:v>51.550000000000004</c:v>
                </c:pt>
                <c:pt idx="12">
                  <c:v>49.81666666666667</c:v>
                </c:pt>
                <c:pt idx="13">
                  <c:v>48.566666666666663</c:v>
                </c:pt>
                <c:pt idx="14">
                  <c:v>44.4</c:v>
                </c:pt>
                <c:pt idx="15">
                  <c:v>46.316666666666663</c:v>
                </c:pt>
                <c:pt idx="16">
                  <c:v>52.116666666666667</c:v>
                </c:pt>
                <c:pt idx="17">
                  <c:v>51.816666666666663</c:v>
                </c:pt>
                <c:pt idx="18">
                  <c:v>42.949999999999996</c:v>
                </c:pt>
                <c:pt idx="19">
                  <c:v>45.483333333333327</c:v>
                </c:pt>
                <c:pt idx="20">
                  <c:v>46.800000000000004</c:v>
                </c:pt>
                <c:pt idx="21">
                  <c:v>43.616666666666667</c:v>
                </c:pt>
                <c:pt idx="22">
                  <c:v>45.866666666666667</c:v>
                </c:pt>
                <c:pt idx="23">
                  <c:v>43.866666666666667</c:v>
                </c:pt>
                <c:pt idx="24">
                  <c:v>51.466666666666661</c:v>
                </c:pt>
                <c:pt idx="25">
                  <c:v>47.883333333333326</c:v>
                </c:pt>
              </c:numCache>
            </c:numRef>
          </c:val>
          <c:extLst>
            <c:ext xmlns:c16="http://schemas.microsoft.com/office/drawing/2014/chart" uri="{C3380CC4-5D6E-409C-BE32-E72D297353CC}">
              <c16:uniqueId val="{00000001-5788-470C-9C2C-FC063A30913F}"/>
            </c:ext>
          </c:extLst>
        </c:ser>
        <c:ser>
          <c:idx val="2"/>
          <c:order val="2"/>
          <c:tx>
            <c:strRef>
              <c:f>'Do rung'!$D$6</c:f>
              <c:strCache>
                <c:ptCount val="1"/>
                <c:pt idx="0">
                  <c:v>2023</c:v>
                </c:pt>
              </c:strCache>
            </c:strRef>
          </c:tx>
          <c:spPr>
            <a:solidFill>
              <a:schemeClr val="accent3"/>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rung'!$D$7:$D$32</c:f>
              <c:numCache>
                <c:formatCode>0.00</c:formatCode>
                <c:ptCount val="26"/>
                <c:pt idx="0">
                  <c:v>48.1</c:v>
                </c:pt>
                <c:pt idx="1">
                  <c:v>43.3</c:v>
                </c:pt>
                <c:pt idx="2">
                  <c:v>52.5</c:v>
                </c:pt>
                <c:pt idx="3">
                  <c:v>48.2</c:v>
                </c:pt>
                <c:pt idx="4">
                  <c:v>45.9</c:v>
                </c:pt>
                <c:pt idx="5">
                  <c:v>48</c:v>
                </c:pt>
                <c:pt idx="6">
                  <c:v>50.2</c:v>
                </c:pt>
                <c:pt idx="7">
                  <c:v>48.3</c:v>
                </c:pt>
                <c:pt idx="8">
                  <c:v>42.7</c:v>
                </c:pt>
                <c:pt idx="9">
                  <c:v>41.7</c:v>
                </c:pt>
                <c:pt idx="10">
                  <c:v>44</c:v>
                </c:pt>
                <c:pt idx="11">
                  <c:v>50.8</c:v>
                </c:pt>
                <c:pt idx="12">
                  <c:v>47.2</c:v>
                </c:pt>
                <c:pt idx="13">
                  <c:v>44.5</c:v>
                </c:pt>
                <c:pt idx="14">
                  <c:v>44.5</c:v>
                </c:pt>
                <c:pt idx="15">
                  <c:v>40.299999999999997</c:v>
                </c:pt>
                <c:pt idx="16">
                  <c:v>48.5</c:v>
                </c:pt>
                <c:pt idx="17">
                  <c:v>46.6</c:v>
                </c:pt>
                <c:pt idx="18">
                  <c:v>35.799999999999997</c:v>
                </c:pt>
                <c:pt idx="19">
                  <c:v>42.9</c:v>
                </c:pt>
                <c:pt idx="20">
                  <c:v>45.2</c:v>
                </c:pt>
                <c:pt idx="21">
                  <c:v>40.5</c:v>
                </c:pt>
                <c:pt idx="22">
                  <c:v>46.9</c:v>
                </c:pt>
                <c:pt idx="23">
                  <c:v>42.6</c:v>
                </c:pt>
                <c:pt idx="24">
                  <c:v>45.2</c:v>
                </c:pt>
                <c:pt idx="25">
                  <c:v>44</c:v>
                </c:pt>
              </c:numCache>
            </c:numRef>
          </c:val>
          <c:extLst>
            <c:ext xmlns:c16="http://schemas.microsoft.com/office/drawing/2014/chart" uri="{C3380CC4-5D6E-409C-BE32-E72D297353CC}">
              <c16:uniqueId val="{00000002-5788-470C-9C2C-FC063A30913F}"/>
            </c:ext>
          </c:extLst>
        </c:ser>
        <c:ser>
          <c:idx val="3"/>
          <c:order val="3"/>
          <c:tx>
            <c:strRef>
              <c:f>'Do rung'!$E$6</c:f>
              <c:strCache>
                <c:ptCount val="1"/>
                <c:pt idx="0">
                  <c:v>2024</c:v>
                </c:pt>
              </c:strCache>
            </c:strRef>
          </c:tx>
          <c:spPr>
            <a:solidFill>
              <a:schemeClr val="accent4"/>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rung'!$E$7:$E$32</c:f>
              <c:numCache>
                <c:formatCode>0.00</c:formatCode>
                <c:ptCount val="26"/>
                <c:pt idx="0">
                  <c:v>47.699999999999996</c:v>
                </c:pt>
                <c:pt idx="1">
                  <c:v>42.033333333333331</c:v>
                </c:pt>
                <c:pt idx="2">
                  <c:v>51.4</c:v>
                </c:pt>
                <c:pt idx="3">
                  <c:v>45.68333333333333</c:v>
                </c:pt>
                <c:pt idx="4">
                  <c:v>52.116666666666674</c:v>
                </c:pt>
                <c:pt idx="5">
                  <c:v>48.800000000000004</c:v>
                </c:pt>
                <c:pt idx="6">
                  <c:v>47.466666666666669</c:v>
                </c:pt>
                <c:pt idx="7">
                  <c:v>46.116666666666667</c:v>
                </c:pt>
                <c:pt idx="8">
                  <c:v>44.233333333333327</c:v>
                </c:pt>
                <c:pt idx="9">
                  <c:v>45.849999999999994</c:v>
                </c:pt>
                <c:pt idx="10">
                  <c:v>47.516666666666659</c:v>
                </c:pt>
                <c:pt idx="11">
                  <c:v>44.383333333333326</c:v>
                </c:pt>
                <c:pt idx="12">
                  <c:v>49.800000000000004</c:v>
                </c:pt>
                <c:pt idx="13">
                  <c:v>47.75</c:v>
                </c:pt>
                <c:pt idx="14">
                  <c:v>49.866666666666674</c:v>
                </c:pt>
                <c:pt idx="15">
                  <c:v>40.983333333333327</c:v>
                </c:pt>
                <c:pt idx="16">
                  <c:v>41.5</c:v>
                </c:pt>
                <c:pt idx="17">
                  <c:v>51.4</c:v>
                </c:pt>
                <c:pt idx="18">
                  <c:v>48.583333333333336</c:v>
                </c:pt>
                <c:pt idx="19">
                  <c:v>42.633333333333333</c:v>
                </c:pt>
                <c:pt idx="20">
                  <c:v>45.783333333333339</c:v>
                </c:pt>
                <c:pt idx="21">
                  <c:v>42.05</c:v>
                </c:pt>
                <c:pt idx="22">
                  <c:v>42.766666666666659</c:v>
                </c:pt>
                <c:pt idx="23">
                  <c:v>49.29999999999999</c:v>
                </c:pt>
                <c:pt idx="24">
                  <c:v>41.1</c:v>
                </c:pt>
                <c:pt idx="25">
                  <c:v>48.083333333333336</c:v>
                </c:pt>
              </c:numCache>
            </c:numRef>
          </c:val>
          <c:extLst>
            <c:ext xmlns:c16="http://schemas.microsoft.com/office/drawing/2014/chart" uri="{C3380CC4-5D6E-409C-BE32-E72D297353CC}">
              <c16:uniqueId val="{00000003-5788-470C-9C2C-FC063A30913F}"/>
            </c:ext>
          </c:extLst>
        </c:ser>
        <c:ser>
          <c:idx val="4"/>
          <c:order val="4"/>
          <c:tx>
            <c:strRef>
              <c:f>'Do rung'!$F$6</c:f>
              <c:strCache>
                <c:ptCount val="1"/>
                <c:pt idx="0">
                  <c:v>2025</c:v>
                </c:pt>
              </c:strCache>
            </c:strRef>
          </c:tx>
          <c:spPr>
            <a:solidFill>
              <a:schemeClr val="accent5"/>
            </a:solidFill>
            <a:ln>
              <a:noFill/>
            </a:ln>
            <a:effectLst/>
          </c:spPr>
          <c:invertIfNegative val="0"/>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rung'!$F$7:$F$32</c:f>
              <c:numCache>
                <c:formatCode>0.00</c:formatCode>
                <c:ptCount val="26"/>
                <c:pt idx="0">
                  <c:v>48</c:v>
                </c:pt>
                <c:pt idx="1">
                  <c:v>41.35</c:v>
                </c:pt>
                <c:pt idx="2">
                  <c:v>48.35</c:v>
                </c:pt>
                <c:pt idx="3">
                  <c:v>44.1</c:v>
                </c:pt>
                <c:pt idx="4">
                  <c:v>45.8</c:v>
                </c:pt>
                <c:pt idx="5">
                  <c:v>45.35</c:v>
                </c:pt>
                <c:pt idx="6">
                  <c:v>49.2</c:v>
                </c:pt>
                <c:pt idx="7">
                  <c:v>46.05</c:v>
                </c:pt>
                <c:pt idx="8">
                  <c:v>40.6</c:v>
                </c:pt>
                <c:pt idx="9">
                  <c:v>44</c:v>
                </c:pt>
                <c:pt idx="10">
                  <c:v>42.95</c:v>
                </c:pt>
                <c:pt idx="11">
                  <c:v>48</c:v>
                </c:pt>
                <c:pt idx="12">
                  <c:v>43.95</c:v>
                </c:pt>
                <c:pt idx="13">
                  <c:v>42.900000000000006</c:v>
                </c:pt>
                <c:pt idx="14">
                  <c:v>41.099999999999994</c:v>
                </c:pt>
                <c:pt idx="15">
                  <c:v>38.5</c:v>
                </c:pt>
                <c:pt idx="16">
                  <c:v>45.55</c:v>
                </c:pt>
                <c:pt idx="17">
                  <c:v>46.25</c:v>
                </c:pt>
                <c:pt idx="18">
                  <c:v>39.4</c:v>
                </c:pt>
                <c:pt idx="19">
                  <c:v>42.8</c:v>
                </c:pt>
                <c:pt idx="20">
                  <c:v>37.75</c:v>
                </c:pt>
                <c:pt idx="21">
                  <c:v>39.1</c:v>
                </c:pt>
                <c:pt idx="22">
                  <c:v>39.799999999999997</c:v>
                </c:pt>
                <c:pt idx="23">
                  <c:v>41.3</c:v>
                </c:pt>
                <c:pt idx="24">
                  <c:v>46.75</c:v>
                </c:pt>
                <c:pt idx="25">
                  <c:v>43.2</c:v>
                </c:pt>
              </c:numCache>
            </c:numRef>
          </c:val>
          <c:extLst>
            <c:ext xmlns:c16="http://schemas.microsoft.com/office/drawing/2014/chart" uri="{C3380CC4-5D6E-409C-BE32-E72D297353CC}">
              <c16:uniqueId val="{00000004-5788-470C-9C2C-FC063A30913F}"/>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 rung'!$G$6</c:f>
              <c:strCache>
                <c:ptCount val="1"/>
                <c:pt idx="0">
                  <c:v>QCVN 27:2010/BTNMT</c:v>
                </c:pt>
              </c:strCache>
            </c:strRef>
          </c:tx>
          <c:spPr>
            <a:ln w="22225" cap="rnd">
              <a:solidFill>
                <a:schemeClr val="accent6"/>
              </a:solidFill>
              <a:round/>
            </a:ln>
            <a:effectLst/>
          </c:spPr>
          <c:marker>
            <c:symbol val="none"/>
          </c:marker>
          <c:cat>
            <c:strRef>
              <c:f>'Do rung'!$A$7:$A$32</c:f>
              <c:strCache>
                <c:ptCount val="26"/>
                <c:pt idx="0">
                  <c:v>Khu vực cổng chợ P. Nam Hà</c:v>
                </c:pt>
                <c:pt idx="1">
                  <c:v>Khu vực cổng UBND tỉnh, P. Tân Giang</c:v>
                </c:pt>
                <c:pt idx="2">
                  <c:v>Cổng KS Vincom, P. Hà Huy Tập</c:v>
                </c:pt>
                <c:pt idx="3">
                  <c:v>Ngã ba Đồng Lộc, thị trấn Đồng Lộc</c:v>
                </c:pt>
                <c:pt idx="4">
                  <c:v>Ngã tư Đậu Liêu, phường Đậu Liêu</c:v>
                </c:pt>
                <c:pt idx="5">
                  <c:v>Ngã ba Bãi Vọt, phường Bắc Hồng</c:v>
                </c:pt>
                <c:pt idx="6">
                  <c:v>Ngã 4 quán Bà Viên, TT Đức Thọ</c:v>
                </c:pt>
                <c:pt idx="7">
                  <c:v>Ngã 3 Gia Lách, TT Xuân An</c:v>
                </c:pt>
                <c:pt idx="8">
                  <c:v>Quảng Trường Nguyễn Du, TT Tiên Điền</c:v>
                </c:pt>
                <c:pt idx="9">
                  <c:v>Ngã 4 TT Lộc Hà</c:v>
                </c:pt>
                <c:pt idx="10">
                  <c:v>Cổng A CKQT Cầu Treo, xã Sơn Kim 1</c:v>
                </c:pt>
                <c:pt idx="11">
                  <c:v>Ngã 4 TT Phố Châu</c:v>
                </c:pt>
                <c:pt idx="12">
                  <c:v>Ngã 4 TT Tây Sơn</c:v>
                </c:pt>
                <c:pt idx="13">
                  <c:v>Ngã 3 bưu điện, TT Hương Khê</c:v>
                </c:pt>
                <c:pt idx="14">
                  <c:v>Ngã 4 trước công viên TT Vũ Quang</c:v>
                </c:pt>
                <c:pt idx="15">
                  <c:v>Khu du lịch Thiên Cầm</c:v>
                </c:pt>
                <c:pt idx="16">
                  <c:v>Ngã 3 thị trấn Cẩm Xuyên</c:v>
                </c:pt>
                <c:pt idx="17">
                  <c:v>Ngã 3 Việt Lào, P. Hưng Trí</c:v>
                </c:pt>
                <c:pt idx="18">
                  <c:v>Khu Di tích Ng. Thị Bích Châu, xã Kỳ Ninh</c:v>
                </c:pt>
                <c:pt idx="19">
                  <c:v>Khu dân cư Tây Yên, xã Kỳ Lợi</c:v>
                </c:pt>
                <c:pt idx="20">
                  <c:v>Cổng trường TH Kỳ Phương cũ</c:v>
                </c:pt>
                <c:pt idx="21">
                  <c:v>Khu TĐC tại P. Kỳ Trinh</c:v>
                </c:pt>
                <c:pt idx="22">
                  <c:v>Trước trạm BA 110kV, P. Kỳ Thịnh</c:v>
                </c:pt>
                <c:pt idx="23">
                  <c:v>Khu dân cư xã Kỳ Tân</c:v>
                </c:pt>
                <c:pt idx="24">
                  <c:v>Ngã 3 TT. Voi, xã Kỳ Phong</c:v>
                </c:pt>
                <c:pt idx="25">
                  <c:v>Ngã 4 đường 70, xã Kỳ Đồng</c:v>
                </c:pt>
              </c:strCache>
            </c:strRef>
          </c:cat>
          <c:val>
            <c:numRef>
              <c:f>'Do rung'!$G$7:$G$32</c:f>
              <c:numCache>
                <c:formatCode>General</c:formatCode>
                <c:ptCount val="26"/>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numCache>
            </c:numRef>
          </c:val>
          <c:smooth val="0"/>
          <c:extLst>
            <c:ext xmlns:c16="http://schemas.microsoft.com/office/drawing/2014/chart" uri="{C3380CC4-5D6E-409C-BE32-E72D297353CC}">
              <c16:uniqueId val="{00000005-5788-470C-9C2C-FC063A30913F}"/>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7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5"/>
      </c:valAx>
      <c:spPr>
        <a:noFill/>
        <a:ln>
          <a:noFill/>
        </a:ln>
        <a:effectLst/>
      </c:spPr>
    </c:plotArea>
    <c:legend>
      <c:legendPos val="b"/>
      <c:layout>
        <c:manualLayout>
          <c:xMode val="edge"/>
          <c:yMode val="edge"/>
          <c:x val="0.10246218878335013"/>
          <c:y val="0.89586000466211047"/>
          <c:w val="0.80333883860165456"/>
          <c:h val="8.84208441720525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a:t>
            </a:r>
            <a:r>
              <a:rPr lang="en-US" sz="1000" b="0" baseline="30000"/>
              <a:t>3</a:t>
            </a:r>
            <a:r>
              <a:rPr lang="en-US" sz="1000" b="0"/>
              <a:t>)</a:t>
            </a:r>
          </a:p>
        </c:rich>
      </c:tx>
      <c:layout>
        <c:manualLayout>
          <c:xMode val="edge"/>
          <c:yMode val="edge"/>
          <c:x val="1.5326972711818818E-4"/>
          <c:y val="0.22118371792519489"/>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7587095035348902E-2"/>
          <c:y val="4.3502952755905502E-2"/>
          <c:w val="0.93646532161354934"/>
          <c:h val="0.62301365207046966"/>
        </c:manualLayout>
      </c:layout>
      <c:barChart>
        <c:barDir val="col"/>
        <c:grouping val="clustered"/>
        <c:varyColors val="0"/>
        <c:ser>
          <c:idx val="0"/>
          <c:order val="0"/>
          <c:tx>
            <c:strRef>
              <c:f>TSP!$B$35</c:f>
              <c:strCache>
                <c:ptCount val="1"/>
                <c:pt idx="0">
                  <c:v>2021</c:v>
                </c:pt>
              </c:strCache>
            </c:strRef>
          </c:tx>
          <c:spPr>
            <a:solidFill>
              <a:schemeClr val="accent1"/>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TSP!$B$36:$B$50</c:f>
              <c:numCache>
                <c:formatCode>0.00</c:formatCode>
                <c:ptCount val="15"/>
                <c:pt idx="0">
                  <c:v>214.16666666666666</c:v>
                </c:pt>
                <c:pt idx="1">
                  <c:v>296.66666666666669</c:v>
                </c:pt>
                <c:pt idx="2">
                  <c:v>318.33333333333331</c:v>
                </c:pt>
                <c:pt idx="3">
                  <c:v>249.83333333333334</c:v>
                </c:pt>
                <c:pt idx="4">
                  <c:v>309.33333333333331</c:v>
                </c:pt>
                <c:pt idx="5">
                  <c:v>300</c:v>
                </c:pt>
                <c:pt idx="6">
                  <c:v>205.5</c:v>
                </c:pt>
                <c:pt idx="7">
                  <c:v>187</c:v>
                </c:pt>
                <c:pt idx="8">
                  <c:v>218.33333333333334</c:v>
                </c:pt>
                <c:pt idx="9">
                  <c:v>242.5</c:v>
                </c:pt>
                <c:pt idx="10">
                  <c:v>320.66666666666669</c:v>
                </c:pt>
                <c:pt idx="11">
                  <c:v>261.16666666666669</c:v>
                </c:pt>
                <c:pt idx="12">
                  <c:v>238.83333333333334</c:v>
                </c:pt>
                <c:pt idx="13">
                  <c:v>264.83333333333331</c:v>
                </c:pt>
                <c:pt idx="14">
                  <c:v>285.16666666666669</c:v>
                </c:pt>
              </c:numCache>
            </c:numRef>
          </c:val>
          <c:extLst>
            <c:ext xmlns:c16="http://schemas.microsoft.com/office/drawing/2014/chart" uri="{C3380CC4-5D6E-409C-BE32-E72D297353CC}">
              <c16:uniqueId val="{00000000-FC41-4142-B0D3-8D0A94E38C6D}"/>
            </c:ext>
          </c:extLst>
        </c:ser>
        <c:ser>
          <c:idx val="1"/>
          <c:order val="1"/>
          <c:tx>
            <c:strRef>
              <c:f>TSP!$C$35</c:f>
              <c:strCache>
                <c:ptCount val="1"/>
                <c:pt idx="0">
                  <c:v>2022</c:v>
                </c:pt>
              </c:strCache>
            </c:strRef>
          </c:tx>
          <c:spPr>
            <a:solidFill>
              <a:schemeClr val="accent2"/>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TSP!$C$36:$C$50</c:f>
              <c:numCache>
                <c:formatCode>0.00</c:formatCode>
                <c:ptCount val="15"/>
                <c:pt idx="0">
                  <c:v>215.66666666666666</c:v>
                </c:pt>
                <c:pt idx="1">
                  <c:v>271.66666666666669</c:v>
                </c:pt>
                <c:pt idx="2">
                  <c:v>322.16666666666669</c:v>
                </c:pt>
                <c:pt idx="3">
                  <c:v>176.66666666666666</c:v>
                </c:pt>
                <c:pt idx="4">
                  <c:v>234.66666666666666</c:v>
                </c:pt>
                <c:pt idx="5">
                  <c:v>294.5</c:v>
                </c:pt>
                <c:pt idx="6">
                  <c:v>170.16666666666666</c:v>
                </c:pt>
                <c:pt idx="7">
                  <c:v>179.33333333333334</c:v>
                </c:pt>
                <c:pt idx="8">
                  <c:v>180</c:v>
                </c:pt>
                <c:pt idx="9">
                  <c:v>229.5</c:v>
                </c:pt>
                <c:pt idx="10">
                  <c:v>314.5</c:v>
                </c:pt>
                <c:pt idx="11">
                  <c:v>214.33333333333334</c:v>
                </c:pt>
                <c:pt idx="12">
                  <c:v>217.83333333333334</c:v>
                </c:pt>
                <c:pt idx="13">
                  <c:v>306.83333333333331</c:v>
                </c:pt>
                <c:pt idx="14">
                  <c:v>276.66666666666669</c:v>
                </c:pt>
              </c:numCache>
            </c:numRef>
          </c:val>
          <c:extLst>
            <c:ext xmlns:c16="http://schemas.microsoft.com/office/drawing/2014/chart" uri="{C3380CC4-5D6E-409C-BE32-E72D297353CC}">
              <c16:uniqueId val="{00000001-FC41-4142-B0D3-8D0A94E38C6D}"/>
            </c:ext>
          </c:extLst>
        </c:ser>
        <c:ser>
          <c:idx val="2"/>
          <c:order val="2"/>
          <c:tx>
            <c:strRef>
              <c:f>TSP!$D$35</c:f>
              <c:strCache>
                <c:ptCount val="1"/>
                <c:pt idx="0">
                  <c:v>2023</c:v>
                </c:pt>
              </c:strCache>
            </c:strRef>
          </c:tx>
          <c:spPr>
            <a:solidFill>
              <a:schemeClr val="accent3"/>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TSP!$D$36:$D$50</c:f>
              <c:numCache>
                <c:formatCode>0.00</c:formatCode>
                <c:ptCount val="15"/>
                <c:pt idx="0">
                  <c:v>207.5</c:v>
                </c:pt>
                <c:pt idx="1">
                  <c:v>287.66666666666669</c:v>
                </c:pt>
                <c:pt idx="2">
                  <c:v>300.5</c:v>
                </c:pt>
                <c:pt idx="3">
                  <c:v>200.66666666666666</c:v>
                </c:pt>
                <c:pt idx="4">
                  <c:v>273.66666666666669</c:v>
                </c:pt>
                <c:pt idx="5">
                  <c:v>293.5</c:v>
                </c:pt>
                <c:pt idx="6">
                  <c:v>165.33333333333334</c:v>
                </c:pt>
                <c:pt idx="7">
                  <c:v>182.66666666666666</c:v>
                </c:pt>
                <c:pt idx="8">
                  <c:v>164.66666666666666</c:v>
                </c:pt>
                <c:pt idx="9">
                  <c:v>224.83333333333334</c:v>
                </c:pt>
                <c:pt idx="10">
                  <c:v>281</c:v>
                </c:pt>
                <c:pt idx="11">
                  <c:v>238</c:v>
                </c:pt>
                <c:pt idx="12">
                  <c:v>260.5</c:v>
                </c:pt>
                <c:pt idx="13">
                  <c:v>298.5</c:v>
                </c:pt>
                <c:pt idx="14">
                  <c:v>290</c:v>
                </c:pt>
              </c:numCache>
            </c:numRef>
          </c:val>
          <c:extLst>
            <c:ext xmlns:c16="http://schemas.microsoft.com/office/drawing/2014/chart" uri="{C3380CC4-5D6E-409C-BE32-E72D297353CC}">
              <c16:uniqueId val="{00000002-FC41-4142-B0D3-8D0A94E38C6D}"/>
            </c:ext>
          </c:extLst>
        </c:ser>
        <c:ser>
          <c:idx val="3"/>
          <c:order val="3"/>
          <c:tx>
            <c:strRef>
              <c:f>TSP!$E$35</c:f>
              <c:strCache>
                <c:ptCount val="1"/>
                <c:pt idx="0">
                  <c:v>2024</c:v>
                </c:pt>
              </c:strCache>
            </c:strRef>
          </c:tx>
          <c:spPr>
            <a:solidFill>
              <a:schemeClr val="accent4"/>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TSP!$E$36:$E$50</c:f>
              <c:numCache>
                <c:formatCode>0.00</c:formatCode>
                <c:ptCount val="15"/>
                <c:pt idx="0">
                  <c:v>183.33333333333334</c:v>
                </c:pt>
                <c:pt idx="1">
                  <c:v>288.66666666666669</c:v>
                </c:pt>
                <c:pt idx="2">
                  <c:v>288</c:v>
                </c:pt>
                <c:pt idx="3">
                  <c:v>186.83333333333334</c:v>
                </c:pt>
                <c:pt idx="4">
                  <c:v>282.83333333333331</c:v>
                </c:pt>
                <c:pt idx="5">
                  <c:v>276.83333333333331</c:v>
                </c:pt>
                <c:pt idx="6">
                  <c:v>184.16666666666666</c:v>
                </c:pt>
                <c:pt idx="7">
                  <c:v>169.33333333333334</c:v>
                </c:pt>
                <c:pt idx="8">
                  <c:v>177</c:v>
                </c:pt>
                <c:pt idx="9">
                  <c:v>188.66666666666666</c:v>
                </c:pt>
                <c:pt idx="10">
                  <c:v>225.33333333333334</c:v>
                </c:pt>
                <c:pt idx="11">
                  <c:v>214.16666666666666</c:v>
                </c:pt>
                <c:pt idx="12">
                  <c:v>244.33333333333334</c:v>
                </c:pt>
                <c:pt idx="13">
                  <c:v>256.5</c:v>
                </c:pt>
                <c:pt idx="14">
                  <c:v>276.33333333333331</c:v>
                </c:pt>
              </c:numCache>
            </c:numRef>
          </c:val>
          <c:extLst>
            <c:ext xmlns:c16="http://schemas.microsoft.com/office/drawing/2014/chart" uri="{C3380CC4-5D6E-409C-BE32-E72D297353CC}">
              <c16:uniqueId val="{00000003-FC41-4142-B0D3-8D0A94E38C6D}"/>
            </c:ext>
          </c:extLst>
        </c:ser>
        <c:ser>
          <c:idx val="4"/>
          <c:order val="4"/>
          <c:tx>
            <c:strRef>
              <c:f>TSP!$F$35</c:f>
              <c:strCache>
                <c:ptCount val="1"/>
                <c:pt idx="0">
                  <c:v>2025</c:v>
                </c:pt>
              </c:strCache>
            </c:strRef>
          </c:tx>
          <c:spPr>
            <a:solidFill>
              <a:schemeClr val="accent5"/>
            </a:solidFill>
            <a:ln>
              <a:noFill/>
            </a:ln>
            <a:effectLst/>
          </c:spPr>
          <c:invertIfNegative val="0"/>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TSP!$F$36:$F$50</c:f>
              <c:numCache>
                <c:formatCode>0.00</c:formatCode>
                <c:ptCount val="15"/>
                <c:pt idx="0">
                  <c:v>177.5</c:v>
                </c:pt>
                <c:pt idx="1">
                  <c:v>274</c:v>
                </c:pt>
                <c:pt idx="2">
                  <c:v>274</c:v>
                </c:pt>
                <c:pt idx="3">
                  <c:v>173.5</c:v>
                </c:pt>
                <c:pt idx="4">
                  <c:v>272</c:v>
                </c:pt>
                <c:pt idx="5">
                  <c:v>245.5</c:v>
                </c:pt>
                <c:pt idx="6">
                  <c:v>136</c:v>
                </c:pt>
                <c:pt idx="7">
                  <c:v>126</c:v>
                </c:pt>
                <c:pt idx="8">
                  <c:v>200</c:v>
                </c:pt>
                <c:pt idx="9">
                  <c:v>200</c:v>
                </c:pt>
                <c:pt idx="10">
                  <c:v>260.5</c:v>
                </c:pt>
                <c:pt idx="11">
                  <c:v>229.5</c:v>
                </c:pt>
                <c:pt idx="12">
                  <c:v>251</c:v>
                </c:pt>
                <c:pt idx="13">
                  <c:v>252</c:v>
                </c:pt>
                <c:pt idx="14">
                  <c:v>206</c:v>
                </c:pt>
              </c:numCache>
            </c:numRef>
          </c:val>
          <c:extLst>
            <c:ext xmlns:c16="http://schemas.microsoft.com/office/drawing/2014/chart" uri="{C3380CC4-5D6E-409C-BE32-E72D297353CC}">
              <c16:uniqueId val="{00000004-FC41-4142-B0D3-8D0A94E38C6D}"/>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TSP!$G$35</c:f>
              <c:strCache>
                <c:ptCount val="1"/>
                <c:pt idx="0">
                  <c:v>Quy chuẩn đánh giá</c:v>
                </c:pt>
              </c:strCache>
            </c:strRef>
          </c:tx>
          <c:spPr>
            <a:ln w="22225" cap="rnd">
              <a:solidFill>
                <a:schemeClr val="accent6"/>
              </a:solidFill>
              <a:round/>
            </a:ln>
            <a:effectLst/>
          </c:spPr>
          <c:marker>
            <c:symbol val="none"/>
          </c:marker>
          <c:cat>
            <c:strRef>
              <c:f>TSP!$A$36:$A$50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TSP!$G$36:$G$50</c:f>
              <c:numCache>
                <c:formatCode>General</c:formatCode>
                <c:ptCount val="15"/>
                <c:pt idx="0">
                  <c:v>300</c:v>
                </c:pt>
                <c:pt idx="1">
                  <c:v>300</c:v>
                </c:pt>
                <c:pt idx="2">
                  <c:v>300</c:v>
                </c:pt>
                <c:pt idx="3">
                  <c:v>300</c:v>
                </c:pt>
                <c:pt idx="4">
                  <c:v>300</c:v>
                </c:pt>
                <c:pt idx="5">
                  <c:v>300</c:v>
                </c:pt>
                <c:pt idx="6">
                  <c:v>300</c:v>
                </c:pt>
                <c:pt idx="7">
                  <c:v>300</c:v>
                </c:pt>
                <c:pt idx="8">
                  <c:v>300</c:v>
                </c:pt>
                <c:pt idx="9">
                  <c:v>300</c:v>
                </c:pt>
                <c:pt idx="10">
                  <c:v>300</c:v>
                </c:pt>
                <c:pt idx="11">
                  <c:v>300</c:v>
                </c:pt>
                <c:pt idx="12">
                  <c:v>300</c:v>
                </c:pt>
                <c:pt idx="13">
                  <c:v>300</c:v>
                </c:pt>
                <c:pt idx="14">
                  <c:v>300</c:v>
                </c:pt>
              </c:numCache>
            </c:numRef>
          </c:val>
          <c:smooth val="0"/>
          <c:extLst>
            <c:ext xmlns:c16="http://schemas.microsoft.com/office/drawing/2014/chart" uri="{C3380CC4-5D6E-409C-BE32-E72D297353CC}">
              <c16:uniqueId val="{00000005-FC41-4142-B0D3-8D0A94E38C6D}"/>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(µg/Nm</a:t>
            </a:r>
            <a:r>
              <a:rPr lang="en-US" sz="1000" b="0" baseline="30000"/>
              <a:t>3</a:t>
            </a:r>
            <a:r>
              <a:rPr lang="en-US" sz="1000" b="0"/>
              <a:t>)</a:t>
            </a:r>
          </a:p>
        </c:rich>
      </c:tx>
      <c:layout>
        <c:manualLayout>
          <c:xMode val="edge"/>
          <c:yMode val="edge"/>
          <c:x val="1.5327076576017443E-4"/>
          <c:y val="0.13368822762185398"/>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8967796948616515E-2"/>
          <c:y val="3.3696439785517611E-2"/>
          <c:w val="0.91599855364206961"/>
          <c:h val="0.48322351577218486"/>
        </c:manualLayout>
      </c:layout>
      <c:barChart>
        <c:barDir val="col"/>
        <c:grouping val="clustered"/>
        <c:varyColors val="0"/>
        <c:ser>
          <c:idx val="0"/>
          <c:order val="0"/>
          <c:tx>
            <c:strRef>
              <c:f>'SO2'!$B$35</c:f>
              <c:strCache>
                <c:ptCount val="1"/>
                <c:pt idx="0">
                  <c:v>2021</c:v>
                </c:pt>
              </c:strCache>
            </c:strRef>
          </c:tx>
          <c:spPr>
            <a:solidFill>
              <a:schemeClr val="accent1"/>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'SO2'!$B$36:$B$50</c:f>
              <c:numCache>
                <c:formatCode>0.00</c:formatCode>
                <c:ptCount val="15"/>
                <c:pt idx="0">
                  <c:v>63.333333333333336</c:v>
                </c:pt>
                <c:pt idx="1">
                  <c:v>70.833333333333329</c:v>
                </c:pt>
                <c:pt idx="2">
                  <c:v>77.5</c:v>
                </c:pt>
                <c:pt idx="3">
                  <c:v>64</c:v>
                </c:pt>
                <c:pt idx="4">
                  <c:v>79.833333333333329</c:v>
                </c:pt>
                <c:pt idx="5">
                  <c:v>74.5</c:v>
                </c:pt>
                <c:pt idx="6">
                  <c:v>60.333333333333336</c:v>
                </c:pt>
                <c:pt idx="7">
                  <c:v>48.5</c:v>
                </c:pt>
                <c:pt idx="8">
                  <c:v>55</c:v>
                </c:pt>
                <c:pt idx="9">
                  <c:v>59.666666666666664</c:v>
                </c:pt>
                <c:pt idx="10">
                  <c:v>72</c:v>
                </c:pt>
                <c:pt idx="11">
                  <c:v>68.5</c:v>
                </c:pt>
                <c:pt idx="12">
                  <c:v>67.833333333333329</c:v>
                </c:pt>
                <c:pt idx="13">
                  <c:v>78.333333333333329</c:v>
                </c:pt>
                <c:pt idx="14">
                  <c:v>77.666666666666671</c:v>
                </c:pt>
              </c:numCache>
            </c:numRef>
          </c:val>
          <c:extLst>
            <c:ext xmlns:c16="http://schemas.microsoft.com/office/drawing/2014/chart" uri="{C3380CC4-5D6E-409C-BE32-E72D297353CC}">
              <c16:uniqueId val="{00000000-EFCC-4DC8-B7D6-064A9A9A2E26}"/>
            </c:ext>
          </c:extLst>
        </c:ser>
        <c:ser>
          <c:idx val="1"/>
          <c:order val="1"/>
          <c:tx>
            <c:strRef>
              <c:f>'SO2'!$C$35</c:f>
              <c:strCache>
                <c:ptCount val="1"/>
                <c:pt idx="0">
                  <c:v>2022</c:v>
                </c:pt>
              </c:strCache>
            </c:strRef>
          </c:tx>
          <c:spPr>
            <a:solidFill>
              <a:schemeClr val="accent2"/>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'SO2'!$C$36:$C$50</c:f>
              <c:numCache>
                <c:formatCode>0.00</c:formatCode>
                <c:ptCount val="15"/>
                <c:pt idx="0">
                  <c:v>64.833333333333329</c:v>
                </c:pt>
                <c:pt idx="1">
                  <c:v>69.833333333333329</c:v>
                </c:pt>
                <c:pt idx="2">
                  <c:v>83.166666666666671</c:v>
                </c:pt>
                <c:pt idx="3">
                  <c:v>62.833333333333336</c:v>
                </c:pt>
                <c:pt idx="4">
                  <c:v>65.166666666666671</c:v>
                </c:pt>
                <c:pt idx="5">
                  <c:v>71.666666666666671</c:v>
                </c:pt>
                <c:pt idx="6">
                  <c:v>68.666666666666671</c:v>
                </c:pt>
                <c:pt idx="7">
                  <c:v>57.833333333333336</c:v>
                </c:pt>
                <c:pt idx="8">
                  <c:v>55.166666666666664</c:v>
                </c:pt>
                <c:pt idx="9">
                  <c:v>58.333333333333336</c:v>
                </c:pt>
                <c:pt idx="10">
                  <c:v>77.5</c:v>
                </c:pt>
                <c:pt idx="11">
                  <c:v>64.666666666666671</c:v>
                </c:pt>
                <c:pt idx="12">
                  <c:v>62.666666666666664</c:v>
                </c:pt>
                <c:pt idx="13">
                  <c:v>74</c:v>
                </c:pt>
                <c:pt idx="14">
                  <c:v>73.166666666666671</c:v>
                </c:pt>
              </c:numCache>
            </c:numRef>
          </c:val>
          <c:extLst>
            <c:ext xmlns:c16="http://schemas.microsoft.com/office/drawing/2014/chart" uri="{C3380CC4-5D6E-409C-BE32-E72D297353CC}">
              <c16:uniqueId val="{00000001-EFCC-4DC8-B7D6-064A9A9A2E26}"/>
            </c:ext>
          </c:extLst>
        </c:ser>
        <c:ser>
          <c:idx val="2"/>
          <c:order val="2"/>
          <c:tx>
            <c:strRef>
              <c:f>'SO2'!$D$35</c:f>
              <c:strCache>
                <c:ptCount val="1"/>
                <c:pt idx="0">
                  <c:v>2023</c:v>
                </c:pt>
              </c:strCache>
            </c:strRef>
          </c:tx>
          <c:spPr>
            <a:solidFill>
              <a:schemeClr val="accent3"/>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'SO2'!$D$36:$D$50</c:f>
              <c:numCache>
                <c:formatCode>0.00</c:formatCode>
                <c:ptCount val="15"/>
                <c:pt idx="0">
                  <c:v>62.333333333333336</c:v>
                </c:pt>
                <c:pt idx="1">
                  <c:v>84</c:v>
                </c:pt>
                <c:pt idx="2">
                  <c:v>83.666666666666671</c:v>
                </c:pt>
                <c:pt idx="3">
                  <c:v>56.666666666666664</c:v>
                </c:pt>
                <c:pt idx="4">
                  <c:v>73.5</c:v>
                </c:pt>
                <c:pt idx="5">
                  <c:v>78.833333333333329</c:v>
                </c:pt>
                <c:pt idx="6">
                  <c:v>51.833333333333336</c:v>
                </c:pt>
                <c:pt idx="7">
                  <c:v>50.166666666666664</c:v>
                </c:pt>
                <c:pt idx="8">
                  <c:v>51.833333333333336</c:v>
                </c:pt>
                <c:pt idx="9">
                  <c:v>61</c:v>
                </c:pt>
                <c:pt idx="10">
                  <c:v>74.666666666666671</c:v>
                </c:pt>
                <c:pt idx="11">
                  <c:v>67.333333333333329</c:v>
                </c:pt>
                <c:pt idx="12">
                  <c:v>70.166666666666671</c:v>
                </c:pt>
                <c:pt idx="13">
                  <c:v>84.833333333333329</c:v>
                </c:pt>
                <c:pt idx="14">
                  <c:v>75.5</c:v>
                </c:pt>
              </c:numCache>
            </c:numRef>
          </c:val>
          <c:extLst>
            <c:ext xmlns:c16="http://schemas.microsoft.com/office/drawing/2014/chart" uri="{C3380CC4-5D6E-409C-BE32-E72D297353CC}">
              <c16:uniqueId val="{00000002-EFCC-4DC8-B7D6-064A9A9A2E26}"/>
            </c:ext>
          </c:extLst>
        </c:ser>
        <c:ser>
          <c:idx val="3"/>
          <c:order val="3"/>
          <c:tx>
            <c:strRef>
              <c:f>'SO2'!$E$35</c:f>
              <c:strCache>
                <c:ptCount val="1"/>
                <c:pt idx="0">
                  <c:v>2024</c:v>
                </c:pt>
              </c:strCache>
            </c:strRef>
          </c:tx>
          <c:spPr>
            <a:solidFill>
              <a:schemeClr val="accent4"/>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'SO2'!$E$36:$E$50</c:f>
              <c:numCache>
                <c:formatCode>0.00</c:formatCode>
                <c:ptCount val="15"/>
                <c:pt idx="0">
                  <c:v>52.166666666666664</c:v>
                </c:pt>
                <c:pt idx="1">
                  <c:v>80.666666666666671</c:v>
                </c:pt>
                <c:pt idx="2">
                  <c:v>78.333333333333329</c:v>
                </c:pt>
                <c:pt idx="3">
                  <c:v>54</c:v>
                </c:pt>
                <c:pt idx="4">
                  <c:v>79</c:v>
                </c:pt>
                <c:pt idx="5">
                  <c:v>76.333333333333329</c:v>
                </c:pt>
                <c:pt idx="6">
                  <c:v>53.833333333333336</c:v>
                </c:pt>
                <c:pt idx="7">
                  <c:v>49.666666666666664</c:v>
                </c:pt>
                <c:pt idx="8">
                  <c:v>56.166666666666664</c:v>
                </c:pt>
                <c:pt idx="9">
                  <c:v>57.166666666666664</c:v>
                </c:pt>
                <c:pt idx="10">
                  <c:v>72.833333333333329</c:v>
                </c:pt>
                <c:pt idx="11">
                  <c:v>70.333333333333329</c:v>
                </c:pt>
                <c:pt idx="12">
                  <c:v>66.166666666666671</c:v>
                </c:pt>
                <c:pt idx="13">
                  <c:v>76.333333333333329</c:v>
                </c:pt>
                <c:pt idx="14">
                  <c:v>75.833333333333329</c:v>
                </c:pt>
              </c:numCache>
            </c:numRef>
          </c:val>
          <c:extLst>
            <c:ext xmlns:c16="http://schemas.microsoft.com/office/drawing/2014/chart" uri="{C3380CC4-5D6E-409C-BE32-E72D297353CC}">
              <c16:uniqueId val="{00000003-EFCC-4DC8-B7D6-064A9A9A2E26}"/>
            </c:ext>
          </c:extLst>
        </c:ser>
        <c:ser>
          <c:idx val="4"/>
          <c:order val="4"/>
          <c:tx>
            <c:strRef>
              <c:f>'SO2'!$F$35</c:f>
              <c:strCache>
                <c:ptCount val="1"/>
                <c:pt idx="0">
                  <c:v>2025</c:v>
                </c:pt>
              </c:strCache>
            </c:strRef>
          </c:tx>
          <c:spPr>
            <a:solidFill>
              <a:schemeClr val="accent5"/>
            </a:solidFill>
            <a:ln>
              <a:noFill/>
            </a:ln>
            <a:effectLst/>
          </c:spPr>
          <c:invertIfNegative val="0"/>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'SO2'!$F$36:$F$50</c:f>
              <c:numCache>
                <c:formatCode>0.00</c:formatCode>
                <c:ptCount val="15"/>
                <c:pt idx="0">
                  <c:v>63.5</c:v>
                </c:pt>
                <c:pt idx="1">
                  <c:v>71</c:v>
                </c:pt>
                <c:pt idx="2">
                  <c:v>76.5</c:v>
                </c:pt>
                <c:pt idx="3">
                  <c:v>53.5</c:v>
                </c:pt>
                <c:pt idx="4">
                  <c:v>76</c:v>
                </c:pt>
                <c:pt idx="5">
                  <c:v>69</c:v>
                </c:pt>
                <c:pt idx="6">
                  <c:v>52</c:v>
                </c:pt>
                <c:pt idx="7">
                  <c:v>46</c:v>
                </c:pt>
                <c:pt idx="8">
                  <c:v>62.5</c:v>
                </c:pt>
                <c:pt idx="9">
                  <c:v>61.5</c:v>
                </c:pt>
                <c:pt idx="10">
                  <c:v>73</c:v>
                </c:pt>
                <c:pt idx="11">
                  <c:v>73</c:v>
                </c:pt>
                <c:pt idx="12">
                  <c:v>80</c:v>
                </c:pt>
                <c:pt idx="13">
                  <c:v>79</c:v>
                </c:pt>
                <c:pt idx="14">
                  <c:v>73</c:v>
                </c:pt>
              </c:numCache>
            </c:numRef>
          </c:val>
          <c:extLst>
            <c:ext xmlns:c16="http://schemas.microsoft.com/office/drawing/2014/chart" uri="{C3380CC4-5D6E-409C-BE32-E72D297353CC}">
              <c16:uniqueId val="{00000004-EFCC-4DC8-B7D6-064A9A9A2E26}"/>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'SO2'!$G$35</c:f>
              <c:strCache>
                <c:ptCount val="1"/>
                <c:pt idx="0">
                  <c:v>Quy chuẩn đánh giá</c:v>
                </c:pt>
              </c:strCache>
            </c:strRef>
          </c:tx>
          <c:spPr>
            <a:ln w="22225" cap="rnd">
              <a:solidFill>
                <a:schemeClr val="accent6"/>
              </a:solidFill>
              <a:round/>
            </a:ln>
            <a:effectLst/>
          </c:spPr>
          <c:marker>
            <c:symbol val="none"/>
          </c:marker>
          <c:cat>
            <c:strRef>
              <c:f>'SO2'!$A$36:$A$50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'SO2'!$G$36:$G$50</c:f>
              <c:numCache>
                <c:formatCode>General</c:formatCode>
                <c:ptCount val="15"/>
                <c:pt idx="0">
                  <c:v>350</c:v>
                </c:pt>
                <c:pt idx="1">
                  <c:v>350</c:v>
                </c:pt>
                <c:pt idx="2">
                  <c:v>350</c:v>
                </c:pt>
                <c:pt idx="3">
                  <c:v>350</c:v>
                </c:pt>
                <c:pt idx="4">
                  <c:v>350</c:v>
                </c:pt>
                <c:pt idx="5">
                  <c:v>350</c:v>
                </c:pt>
                <c:pt idx="6">
                  <c:v>350</c:v>
                </c:pt>
                <c:pt idx="7">
                  <c:v>350</c:v>
                </c:pt>
                <c:pt idx="8">
                  <c:v>350</c:v>
                </c:pt>
                <c:pt idx="9">
                  <c:v>350</c:v>
                </c:pt>
                <c:pt idx="10">
                  <c:v>350</c:v>
                </c:pt>
                <c:pt idx="11">
                  <c:v>350</c:v>
                </c:pt>
                <c:pt idx="12">
                  <c:v>350</c:v>
                </c:pt>
                <c:pt idx="13">
                  <c:v>350</c:v>
                </c:pt>
                <c:pt idx="14">
                  <c:v>350</c:v>
                </c:pt>
              </c:numCache>
            </c:numRef>
          </c:val>
          <c:smooth val="0"/>
          <c:extLst>
            <c:ext xmlns:c16="http://schemas.microsoft.com/office/drawing/2014/chart" uri="{C3380CC4-5D6E-409C-BE32-E72D297353CC}">
              <c16:uniqueId val="{00000005-EFCC-4DC8-B7D6-064A9A9A2E26}"/>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35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12756812183946503"/>
          <c:y val="0.89033669871020726"/>
          <c:w val="0.73115562919268395"/>
          <c:h val="7.285348533887250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a:t>
            </a:r>
            <a:r>
              <a:rPr lang="en-US" sz="1000" b="0">
                <a:latin typeface="Times New Roman" panose="02020603050405020304" pitchFamily="18" charset="0"/>
                <a:cs typeface="Times New Roman" panose="02020603050405020304" pitchFamily="18" charset="0"/>
              </a:rPr>
              <a:t>µ</a:t>
            </a:r>
            <a:r>
              <a:rPr lang="en-US" sz="1000" b="0"/>
              <a:t>g/Nm</a:t>
            </a:r>
            <a:r>
              <a:rPr lang="en-US" sz="1000" b="0" baseline="30000"/>
              <a:t>3</a:t>
            </a:r>
            <a:r>
              <a:rPr lang="en-US" sz="1000" b="0"/>
              <a:t>)</a:t>
            </a:r>
          </a:p>
        </c:rich>
      </c:tx>
      <c:layout>
        <c:manualLayout>
          <c:xMode val="edge"/>
          <c:yMode val="edge"/>
          <c:x val="1.5327076576017443E-4"/>
          <c:y val="0.10132272748306707"/>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6.1040622149784396E-2"/>
          <c:y val="3.5169791836645224E-2"/>
          <c:w val="0.92655243317340641"/>
          <c:h val="0.45309809518474575"/>
        </c:manualLayout>
      </c:layout>
      <c:barChart>
        <c:barDir val="col"/>
        <c:grouping val="clustered"/>
        <c:varyColors val="0"/>
        <c:ser>
          <c:idx val="0"/>
          <c:order val="0"/>
          <c:tx>
            <c:strRef>
              <c:f>'NO2'!$B$35</c:f>
              <c:strCache>
                <c:ptCount val="1"/>
                <c:pt idx="0">
                  <c:v>2021</c:v>
                </c:pt>
              </c:strCache>
            </c:strRef>
          </c:tx>
          <c:spPr>
            <a:solidFill>
              <a:schemeClr val="accent1"/>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'NO2'!$B$36:$B$50</c:f>
              <c:numCache>
                <c:formatCode>0.00</c:formatCode>
                <c:ptCount val="15"/>
                <c:pt idx="0">
                  <c:v>30</c:v>
                </c:pt>
                <c:pt idx="1">
                  <c:v>37.833333333333336</c:v>
                </c:pt>
                <c:pt idx="2">
                  <c:v>38.5</c:v>
                </c:pt>
                <c:pt idx="3">
                  <c:v>33.833333333333336</c:v>
                </c:pt>
                <c:pt idx="4">
                  <c:v>49.166666666666664</c:v>
                </c:pt>
                <c:pt idx="5">
                  <c:v>43.166666666666664</c:v>
                </c:pt>
                <c:pt idx="6">
                  <c:v>30.666666666666668</c:v>
                </c:pt>
                <c:pt idx="7">
                  <c:v>26.333333333333332</c:v>
                </c:pt>
                <c:pt idx="8">
                  <c:v>27.5</c:v>
                </c:pt>
                <c:pt idx="9">
                  <c:v>31.5</c:v>
                </c:pt>
                <c:pt idx="10">
                  <c:v>36</c:v>
                </c:pt>
                <c:pt idx="11">
                  <c:v>30</c:v>
                </c:pt>
                <c:pt idx="12">
                  <c:v>31.666666666666668</c:v>
                </c:pt>
                <c:pt idx="13">
                  <c:v>34</c:v>
                </c:pt>
                <c:pt idx="14">
                  <c:v>34.5</c:v>
                </c:pt>
              </c:numCache>
            </c:numRef>
          </c:val>
          <c:extLst>
            <c:ext xmlns:c16="http://schemas.microsoft.com/office/drawing/2014/chart" uri="{C3380CC4-5D6E-409C-BE32-E72D297353CC}">
              <c16:uniqueId val="{00000000-8A63-450A-A693-F59C057F55C8}"/>
            </c:ext>
          </c:extLst>
        </c:ser>
        <c:ser>
          <c:idx val="1"/>
          <c:order val="1"/>
          <c:tx>
            <c:strRef>
              <c:f>'NO2'!$C$35</c:f>
              <c:strCache>
                <c:ptCount val="1"/>
                <c:pt idx="0">
                  <c:v>2022</c:v>
                </c:pt>
              </c:strCache>
            </c:strRef>
          </c:tx>
          <c:spPr>
            <a:solidFill>
              <a:schemeClr val="accent2"/>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'NO2'!$C$36:$C$50</c:f>
              <c:numCache>
                <c:formatCode>0.00</c:formatCode>
                <c:ptCount val="15"/>
                <c:pt idx="0">
                  <c:v>30.5</c:v>
                </c:pt>
                <c:pt idx="1">
                  <c:v>31.283333333333331</c:v>
                </c:pt>
                <c:pt idx="2">
                  <c:v>39.366666666666667</c:v>
                </c:pt>
                <c:pt idx="3">
                  <c:v>26.833333333333332</c:v>
                </c:pt>
                <c:pt idx="4">
                  <c:v>32.833333333333336</c:v>
                </c:pt>
                <c:pt idx="5">
                  <c:v>38.5</c:v>
                </c:pt>
                <c:pt idx="6">
                  <c:v>26</c:v>
                </c:pt>
                <c:pt idx="7">
                  <c:v>24</c:v>
                </c:pt>
                <c:pt idx="8">
                  <c:v>27.333333333333332</c:v>
                </c:pt>
                <c:pt idx="9">
                  <c:v>26.666666666666668</c:v>
                </c:pt>
                <c:pt idx="10">
                  <c:v>41.666666666666664</c:v>
                </c:pt>
                <c:pt idx="11">
                  <c:v>28.666666666666668</c:v>
                </c:pt>
                <c:pt idx="12">
                  <c:v>28.166666666666668</c:v>
                </c:pt>
                <c:pt idx="13">
                  <c:v>38.333333333333336</c:v>
                </c:pt>
                <c:pt idx="14">
                  <c:v>36.666666666666664</c:v>
                </c:pt>
              </c:numCache>
            </c:numRef>
          </c:val>
          <c:extLst>
            <c:ext xmlns:c16="http://schemas.microsoft.com/office/drawing/2014/chart" uri="{C3380CC4-5D6E-409C-BE32-E72D297353CC}">
              <c16:uniqueId val="{00000001-8A63-450A-A693-F59C057F55C8}"/>
            </c:ext>
          </c:extLst>
        </c:ser>
        <c:ser>
          <c:idx val="2"/>
          <c:order val="2"/>
          <c:tx>
            <c:strRef>
              <c:f>'NO2'!$D$35</c:f>
              <c:strCache>
                <c:ptCount val="1"/>
                <c:pt idx="0">
                  <c:v>2023</c:v>
                </c:pt>
              </c:strCache>
            </c:strRef>
          </c:tx>
          <c:spPr>
            <a:solidFill>
              <a:schemeClr val="accent3"/>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'NO2'!$D$36:$D$50</c:f>
              <c:numCache>
                <c:formatCode>0.00</c:formatCode>
                <c:ptCount val="15"/>
                <c:pt idx="0">
                  <c:v>31.333333333333332</c:v>
                </c:pt>
                <c:pt idx="1">
                  <c:v>46</c:v>
                </c:pt>
                <c:pt idx="2">
                  <c:v>44.833333333333336</c:v>
                </c:pt>
                <c:pt idx="3">
                  <c:v>29</c:v>
                </c:pt>
                <c:pt idx="4">
                  <c:v>40.166666666666664</c:v>
                </c:pt>
                <c:pt idx="5">
                  <c:v>44.333333333333336</c:v>
                </c:pt>
                <c:pt idx="6">
                  <c:v>23.333333333333332</c:v>
                </c:pt>
                <c:pt idx="7">
                  <c:v>25.833333333333332</c:v>
                </c:pt>
                <c:pt idx="8">
                  <c:v>24</c:v>
                </c:pt>
                <c:pt idx="9">
                  <c:v>32.666666666666664</c:v>
                </c:pt>
                <c:pt idx="10">
                  <c:v>42.666666666666664</c:v>
                </c:pt>
                <c:pt idx="11">
                  <c:v>36.666666666666664</c:v>
                </c:pt>
                <c:pt idx="12">
                  <c:v>37.5</c:v>
                </c:pt>
                <c:pt idx="13">
                  <c:v>50.833333333333336</c:v>
                </c:pt>
                <c:pt idx="14">
                  <c:v>40.333333333333336</c:v>
                </c:pt>
              </c:numCache>
            </c:numRef>
          </c:val>
          <c:extLst>
            <c:ext xmlns:c16="http://schemas.microsoft.com/office/drawing/2014/chart" uri="{C3380CC4-5D6E-409C-BE32-E72D297353CC}">
              <c16:uniqueId val="{00000002-8A63-450A-A693-F59C057F55C8}"/>
            </c:ext>
          </c:extLst>
        </c:ser>
        <c:ser>
          <c:idx val="3"/>
          <c:order val="3"/>
          <c:tx>
            <c:strRef>
              <c:f>'NO2'!$E$35</c:f>
              <c:strCache>
                <c:ptCount val="1"/>
                <c:pt idx="0">
                  <c:v>2024</c:v>
                </c:pt>
              </c:strCache>
            </c:strRef>
          </c:tx>
          <c:spPr>
            <a:solidFill>
              <a:schemeClr val="accent4"/>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'NO2'!$E$36:$E$50</c:f>
              <c:numCache>
                <c:formatCode>0.00</c:formatCode>
                <c:ptCount val="15"/>
                <c:pt idx="0">
                  <c:v>32.666666666666664</c:v>
                </c:pt>
                <c:pt idx="1">
                  <c:v>45.5</c:v>
                </c:pt>
                <c:pt idx="2">
                  <c:v>43.166666666666664</c:v>
                </c:pt>
                <c:pt idx="3">
                  <c:v>29</c:v>
                </c:pt>
                <c:pt idx="4">
                  <c:v>44.5</c:v>
                </c:pt>
                <c:pt idx="5">
                  <c:v>44.833333333333336</c:v>
                </c:pt>
                <c:pt idx="6">
                  <c:v>26.666666666666668</c:v>
                </c:pt>
                <c:pt idx="7">
                  <c:v>25.5</c:v>
                </c:pt>
                <c:pt idx="8">
                  <c:v>29.5</c:v>
                </c:pt>
                <c:pt idx="9">
                  <c:v>32.5</c:v>
                </c:pt>
                <c:pt idx="10">
                  <c:v>43.166666666666664</c:v>
                </c:pt>
                <c:pt idx="11">
                  <c:v>37.666666666666664</c:v>
                </c:pt>
                <c:pt idx="12">
                  <c:v>38.5</c:v>
                </c:pt>
                <c:pt idx="13">
                  <c:v>45.5</c:v>
                </c:pt>
                <c:pt idx="14">
                  <c:v>45.5</c:v>
                </c:pt>
              </c:numCache>
            </c:numRef>
          </c:val>
          <c:extLst>
            <c:ext xmlns:c16="http://schemas.microsoft.com/office/drawing/2014/chart" uri="{C3380CC4-5D6E-409C-BE32-E72D297353CC}">
              <c16:uniqueId val="{00000003-8A63-450A-A693-F59C057F55C8}"/>
            </c:ext>
          </c:extLst>
        </c:ser>
        <c:ser>
          <c:idx val="4"/>
          <c:order val="4"/>
          <c:tx>
            <c:strRef>
              <c:f>'NO2'!$F$35</c:f>
              <c:strCache>
                <c:ptCount val="1"/>
                <c:pt idx="0">
                  <c:v>2025</c:v>
                </c:pt>
              </c:strCache>
            </c:strRef>
          </c:tx>
          <c:spPr>
            <a:solidFill>
              <a:schemeClr val="accent5"/>
            </a:solidFill>
            <a:ln>
              <a:noFill/>
            </a:ln>
            <a:effectLst/>
          </c:spPr>
          <c:invertIfNegative val="0"/>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'NO2'!$F$36:$F$50</c:f>
              <c:numCache>
                <c:formatCode>0.00</c:formatCode>
                <c:ptCount val="15"/>
                <c:pt idx="0">
                  <c:v>33</c:v>
                </c:pt>
                <c:pt idx="1">
                  <c:v>38.5</c:v>
                </c:pt>
                <c:pt idx="2">
                  <c:v>42</c:v>
                </c:pt>
                <c:pt idx="3">
                  <c:v>27</c:v>
                </c:pt>
                <c:pt idx="4">
                  <c:v>43</c:v>
                </c:pt>
                <c:pt idx="5">
                  <c:v>36.5</c:v>
                </c:pt>
                <c:pt idx="6">
                  <c:v>27</c:v>
                </c:pt>
                <c:pt idx="7">
                  <c:v>24.5</c:v>
                </c:pt>
                <c:pt idx="8">
                  <c:v>32.5</c:v>
                </c:pt>
                <c:pt idx="9">
                  <c:v>32</c:v>
                </c:pt>
                <c:pt idx="10">
                  <c:v>39</c:v>
                </c:pt>
                <c:pt idx="11">
                  <c:v>38.5</c:v>
                </c:pt>
                <c:pt idx="12">
                  <c:v>43.5</c:v>
                </c:pt>
                <c:pt idx="13">
                  <c:v>44</c:v>
                </c:pt>
                <c:pt idx="14">
                  <c:v>37</c:v>
                </c:pt>
              </c:numCache>
            </c:numRef>
          </c:val>
          <c:extLst>
            <c:ext xmlns:c16="http://schemas.microsoft.com/office/drawing/2014/chart" uri="{C3380CC4-5D6E-409C-BE32-E72D297353CC}">
              <c16:uniqueId val="{00000004-8A63-450A-A693-F59C057F55C8}"/>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'NO2'!$G$35</c:f>
              <c:strCache>
                <c:ptCount val="1"/>
                <c:pt idx="0">
                  <c:v>Quy chuẩn đánh giá</c:v>
                </c:pt>
              </c:strCache>
            </c:strRef>
          </c:tx>
          <c:spPr>
            <a:ln w="22225" cap="rnd">
              <a:solidFill>
                <a:schemeClr val="accent6"/>
              </a:solidFill>
              <a:round/>
            </a:ln>
            <a:effectLst/>
          </c:spPr>
          <c:marker>
            <c:symbol val="none"/>
          </c:marker>
          <c:cat>
            <c:strRef>
              <c:f>'NO2'!$A$36:$A$50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'NO2'!$G$36:$G$50</c:f>
              <c:numCache>
                <c:formatCode>General</c:formatCode>
                <c:ptCount val="15"/>
                <c:pt idx="0">
                  <c:v>200</c:v>
                </c:pt>
                <c:pt idx="1">
                  <c:v>200</c:v>
                </c:pt>
                <c:pt idx="2">
                  <c:v>200</c:v>
                </c:pt>
                <c:pt idx="3">
                  <c:v>200</c:v>
                </c:pt>
                <c:pt idx="4">
                  <c:v>200</c:v>
                </c:pt>
                <c:pt idx="5">
                  <c:v>200</c:v>
                </c:pt>
                <c:pt idx="6">
                  <c:v>200</c:v>
                </c:pt>
                <c:pt idx="7">
                  <c:v>200</c:v>
                </c:pt>
                <c:pt idx="8">
                  <c:v>200</c:v>
                </c:pt>
                <c:pt idx="9">
                  <c:v>200</c:v>
                </c:pt>
                <c:pt idx="10">
                  <c:v>200</c:v>
                </c:pt>
                <c:pt idx="11">
                  <c:v>200</c:v>
                </c:pt>
                <c:pt idx="12">
                  <c:v>200</c:v>
                </c:pt>
                <c:pt idx="13">
                  <c:v>200</c:v>
                </c:pt>
                <c:pt idx="14">
                  <c:v>200</c:v>
                </c:pt>
              </c:numCache>
            </c:numRef>
          </c:val>
          <c:smooth val="0"/>
          <c:extLst>
            <c:ext xmlns:c16="http://schemas.microsoft.com/office/drawing/2014/chart" uri="{C3380CC4-5D6E-409C-BE32-E72D297353CC}">
              <c16:uniqueId val="{00000005-8A63-450A-A693-F59C057F55C8}"/>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200"/>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50"/>
      </c:valAx>
      <c:spPr>
        <a:noFill/>
        <a:ln>
          <a:noFill/>
        </a:ln>
        <a:effectLst/>
      </c:spPr>
    </c:plotArea>
    <c:legend>
      <c:legendPos val="b"/>
      <c:layout>
        <c:manualLayout>
          <c:xMode val="edge"/>
          <c:yMode val="edge"/>
          <c:x val="0.12482651800121969"/>
          <c:y val="0.87086224491038522"/>
          <c:w val="0.75857166757513761"/>
          <c:h val="0.1043929360361040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a:t>
            </a:r>
          </a:p>
        </c:rich>
      </c:tx>
      <c:layout>
        <c:manualLayout>
          <c:xMode val="edge"/>
          <c:yMode val="edge"/>
          <c:x val="1.5326868260574127E-4"/>
          <c:y val="0.2194680004963213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2840029611683152E-2"/>
          <c:y val="3.2169758165401116E-2"/>
          <c:w val="0.93973447177663583"/>
          <c:h val="0.57666981954868746"/>
        </c:manualLayout>
      </c:layout>
      <c:barChart>
        <c:barDir val="col"/>
        <c:grouping val="clustered"/>
        <c:varyColors val="0"/>
        <c:ser>
          <c:idx val="0"/>
          <c:order val="0"/>
          <c:tx>
            <c:strRef>
              <c:f>'Tiếng ồn'!$B$35</c:f>
              <c:strCache>
                <c:ptCount val="1"/>
                <c:pt idx="0">
                  <c:v>2021</c:v>
                </c:pt>
              </c:strCache>
            </c:strRef>
          </c:tx>
          <c:spPr>
            <a:solidFill>
              <a:schemeClr val="accent1"/>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ồn'!$B$36:$B$50</c:f>
              <c:numCache>
                <c:formatCode>0.00</c:formatCode>
                <c:ptCount val="15"/>
                <c:pt idx="0">
                  <c:v>66</c:v>
                </c:pt>
                <c:pt idx="1">
                  <c:v>70.5</c:v>
                </c:pt>
                <c:pt idx="2">
                  <c:v>71.8</c:v>
                </c:pt>
                <c:pt idx="3">
                  <c:v>68.075000000000003</c:v>
                </c:pt>
                <c:pt idx="4">
                  <c:v>71.099999999999994</c:v>
                </c:pt>
                <c:pt idx="5">
                  <c:v>70.925000000000011</c:v>
                </c:pt>
                <c:pt idx="6">
                  <c:v>65.399999999999991</c:v>
                </c:pt>
                <c:pt idx="7">
                  <c:v>66.2</c:v>
                </c:pt>
                <c:pt idx="8">
                  <c:v>65.400000000000006</c:v>
                </c:pt>
                <c:pt idx="9">
                  <c:v>67.375</c:v>
                </c:pt>
                <c:pt idx="10">
                  <c:v>71.400000000000006</c:v>
                </c:pt>
                <c:pt idx="11">
                  <c:v>67.099999999999994</c:v>
                </c:pt>
                <c:pt idx="12">
                  <c:v>67.099999999999994</c:v>
                </c:pt>
                <c:pt idx="13">
                  <c:v>69.95</c:v>
                </c:pt>
                <c:pt idx="14">
                  <c:v>70.625</c:v>
                </c:pt>
              </c:numCache>
            </c:numRef>
          </c:val>
          <c:extLst>
            <c:ext xmlns:c16="http://schemas.microsoft.com/office/drawing/2014/chart" uri="{C3380CC4-5D6E-409C-BE32-E72D297353CC}">
              <c16:uniqueId val="{00000000-890A-4094-95F4-B324197B6AB0}"/>
            </c:ext>
          </c:extLst>
        </c:ser>
        <c:ser>
          <c:idx val="1"/>
          <c:order val="1"/>
          <c:tx>
            <c:strRef>
              <c:f>'Tiếng ồn'!$C$35</c:f>
              <c:strCache>
                <c:ptCount val="1"/>
                <c:pt idx="0">
                  <c:v>2022</c:v>
                </c:pt>
              </c:strCache>
            </c:strRef>
          </c:tx>
          <c:spPr>
            <a:solidFill>
              <a:schemeClr val="accent2"/>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ồn'!$C$36:$C$50</c:f>
              <c:numCache>
                <c:formatCode>0.00</c:formatCode>
                <c:ptCount val="15"/>
                <c:pt idx="0">
                  <c:v>65.149999999999991</c:v>
                </c:pt>
                <c:pt idx="1">
                  <c:v>68.316666666666677</c:v>
                </c:pt>
                <c:pt idx="2">
                  <c:v>71.3</c:v>
                </c:pt>
                <c:pt idx="3">
                  <c:v>66.933333333333337</c:v>
                </c:pt>
                <c:pt idx="4">
                  <c:v>69.983333333333334</c:v>
                </c:pt>
                <c:pt idx="5">
                  <c:v>71.133333333333326</c:v>
                </c:pt>
                <c:pt idx="6">
                  <c:v>63.6</c:v>
                </c:pt>
                <c:pt idx="7">
                  <c:v>65.333333333333329</c:v>
                </c:pt>
                <c:pt idx="8">
                  <c:v>65.916666666666671</c:v>
                </c:pt>
                <c:pt idx="9">
                  <c:v>67.533333333333331</c:v>
                </c:pt>
                <c:pt idx="10">
                  <c:v>71.583333333333329</c:v>
                </c:pt>
                <c:pt idx="11">
                  <c:v>68.86666666666666</c:v>
                </c:pt>
                <c:pt idx="12">
                  <c:v>68.25</c:v>
                </c:pt>
                <c:pt idx="13">
                  <c:v>70.2</c:v>
                </c:pt>
                <c:pt idx="14">
                  <c:v>71.616666666666674</c:v>
                </c:pt>
              </c:numCache>
            </c:numRef>
          </c:val>
          <c:extLst>
            <c:ext xmlns:c16="http://schemas.microsoft.com/office/drawing/2014/chart" uri="{C3380CC4-5D6E-409C-BE32-E72D297353CC}">
              <c16:uniqueId val="{00000001-890A-4094-95F4-B324197B6AB0}"/>
            </c:ext>
          </c:extLst>
        </c:ser>
        <c:ser>
          <c:idx val="2"/>
          <c:order val="2"/>
          <c:tx>
            <c:strRef>
              <c:f>'Tiếng ồn'!$D$35</c:f>
              <c:strCache>
                <c:ptCount val="1"/>
                <c:pt idx="0">
                  <c:v>2023</c:v>
                </c:pt>
              </c:strCache>
            </c:strRef>
          </c:tx>
          <c:spPr>
            <a:solidFill>
              <a:schemeClr val="accent3"/>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ồn'!$D$36:$D$50</c:f>
              <c:numCache>
                <c:formatCode>0.00</c:formatCode>
                <c:ptCount val="15"/>
                <c:pt idx="0">
                  <c:v>68.2</c:v>
                </c:pt>
                <c:pt idx="1">
                  <c:v>70.25</c:v>
                </c:pt>
                <c:pt idx="2">
                  <c:v>69.666666666666671</c:v>
                </c:pt>
                <c:pt idx="3">
                  <c:v>65.783333333333317</c:v>
                </c:pt>
                <c:pt idx="4">
                  <c:v>69.483333333333334</c:v>
                </c:pt>
                <c:pt idx="5">
                  <c:v>69.5</c:v>
                </c:pt>
                <c:pt idx="6">
                  <c:v>61.566666666666663</c:v>
                </c:pt>
                <c:pt idx="7">
                  <c:v>62.449999999999996</c:v>
                </c:pt>
                <c:pt idx="8">
                  <c:v>66.11666666666666</c:v>
                </c:pt>
                <c:pt idx="9">
                  <c:v>68.316666666666663</c:v>
                </c:pt>
                <c:pt idx="10">
                  <c:v>69.45</c:v>
                </c:pt>
                <c:pt idx="11">
                  <c:v>68.583333333333329</c:v>
                </c:pt>
                <c:pt idx="12">
                  <c:v>69.333333333333329</c:v>
                </c:pt>
                <c:pt idx="13">
                  <c:v>71.066666666666677</c:v>
                </c:pt>
                <c:pt idx="14">
                  <c:v>69.466666666666669</c:v>
                </c:pt>
              </c:numCache>
            </c:numRef>
          </c:val>
          <c:extLst>
            <c:ext xmlns:c16="http://schemas.microsoft.com/office/drawing/2014/chart" uri="{C3380CC4-5D6E-409C-BE32-E72D297353CC}">
              <c16:uniqueId val="{00000002-890A-4094-95F4-B324197B6AB0}"/>
            </c:ext>
          </c:extLst>
        </c:ser>
        <c:ser>
          <c:idx val="3"/>
          <c:order val="3"/>
          <c:tx>
            <c:strRef>
              <c:f>'Tiếng ồn'!$E$35</c:f>
              <c:strCache>
                <c:ptCount val="1"/>
                <c:pt idx="0">
                  <c:v>2024</c:v>
                </c:pt>
              </c:strCache>
            </c:strRef>
          </c:tx>
          <c:spPr>
            <a:solidFill>
              <a:schemeClr val="accent4"/>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ồn'!$E$36:$E$50</c:f>
              <c:numCache>
                <c:formatCode>0.00</c:formatCode>
                <c:ptCount val="15"/>
                <c:pt idx="0">
                  <c:v>54.29999999999999</c:v>
                </c:pt>
                <c:pt idx="1">
                  <c:v>69.233333333333334</c:v>
                </c:pt>
                <c:pt idx="2">
                  <c:v>69.500000000000014</c:v>
                </c:pt>
                <c:pt idx="3">
                  <c:v>67.2</c:v>
                </c:pt>
                <c:pt idx="4">
                  <c:v>70.266666666666666</c:v>
                </c:pt>
                <c:pt idx="5">
                  <c:v>69.899999999999991</c:v>
                </c:pt>
                <c:pt idx="6">
                  <c:v>64.2</c:v>
                </c:pt>
                <c:pt idx="7">
                  <c:v>65.033333333333346</c:v>
                </c:pt>
                <c:pt idx="8">
                  <c:v>66.033333333333346</c:v>
                </c:pt>
                <c:pt idx="9">
                  <c:v>68.766666666666666</c:v>
                </c:pt>
                <c:pt idx="10">
                  <c:v>70.399999999999991</c:v>
                </c:pt>
                <c:pt idx="11">
                  <c:v>68.683333333333323</c:v>
                </c:pt>
                <c:pt idx="12">
                  <c:v>64.716666666666669</c:v>
                </c:pt>
                <c:pt idx="13">
                  <c:v>68.100000000000009</c:v>
                </c:pt>
                <c:pt idx="14">
                  <c:v>69.583333333333329</c:v>
                </c:pt>
              </c:numCache>
            </c:numRef>
          </c:val>
          <c:extLst>
            <c:ext xmlns:c16="http://schemas.microsoft.com/office/drawing/2014/chart" uri="{C3380CC4-5D6E-409C-BE32-E72D297353CC}">
              <c16:uniqueId val="{00000003-890A-4094-95F4-B324197B6AB0}"/>
            </c:ext>
          </c:extLst>
        </c:ser>
        <c:ser>
          <c:idx val="4"/>
          <c:order val="4"/>
          <c:tx>
            <c:strRef>
              <c:f>'Tiếng ồn'!$F$35</c:f>
              <c:strCache>
                <c:ptCount val="1"/>
                <c:pt idx="0">
                  <c:v>2025</c:v>
                </c:pt>
              </c:strCache>
            </c:strRef>
          </c:tx>
          <c:spPr>
            <a:solidFill>
              <a:schemeClr val="accent5"/>
            </a:solidFill>
            <a:ln>
              <a:noFill/>
            </a:ln>
            <a:effectLst/>
          </c:spPr>
          <c:invertIfNegative val="0"/>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ồn'!$F$36:$F$50</c:f>
              <c:numCache>
                <c:formatCode>0.00</c:formatCode>
                <c:ptCount val="15"/>
                <c:pt idx="0">
                  <c:v>65.2</c:v>
                </c:pt>
                <c:pt idx="1">
                  <c:v>69</c:v>
                </c:pt>
                <c:pt idx="2">
                  <c:v>69.699999999999989</c:v>
                </c:pt>
                <c:pt idx="3">
                  <c:v>64.150000000000006</c:v>
                </c:pt>
                <c:pt idx="4">
                  <c:v>69.099999999999994</c:v>
                </c:pt>
                <c:pt idx="5">
                  <c:v>65.699999999999989</c:v>
                </c:pt>
                <c:pt idx="6">
                  <c:v>63</c:v>
                </c:pt>
                <c:pt idx="7">
                  <c:v>63.349999999999994</c:v>
                </c:pt>
                <c:pt idx="8">
                  <c:v>66</c:v>
                </c:pt>
                <c:pt idx="9">
                  <c:v>65.900000000000006</c:v>
                </c:pt>
                <c:pt idx="10">
                  <c:v>68.849999999999994</c:v>
                </c:pt>
                <c:pt idx="11">
                  <c:v>68.3</c:v>
                </c:pt>
                <c:pt idx="12">
                  <c:v>68.449999999999989</c:v>
                </c:pt>
                <c:pt idx="13">
                  <c:v>68.900000000000006</c:v>
                </c:pt>
                <c:pt idx="14">
                  <c:v>66.3</c:v>
                </c:pt>
              </c:numCache>
            </c:numRef>
          </c:val>
          <c:extLst>
            <c:ext xmlns:c16="http://schemas.microsoft.com/office/drawing/2014/chart" uri="{C3380CC4-5D6E-409C-BE32-E72D297353CC}">
              <c16:uniqueId val="{00000004-890A-4094-95F4-B324197B6AB0}"/>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'Tiếng ồn'!$G$35</c:f>
              <c:strCache>
                <c:ptCount val="1"/>
                <c:pt idx="0">
                  <c:v>QCVN 26:2010/BTNMT</c:v>
                </c:pt>
              </c:strCache>
            </c:strRef>
          </c:tx>
          <c:spPr>
            <a:ln w="22225" cap="rnd">
              <a:solidFill>
                <a:schemeClr val="accent6"/>
              </a:solidFill>
              <a:round/>
            </a:ln>
            <a:effectLst/>
          </c:spPr>
          <c:marker>
            <c:symbol val="none"/>
          </c:marker>
          <c:cat>
            <c:strRef>
              <c:f>'Tiếng ồn'!$A$36:$A$50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'Tiếng ồn'!$G$36:$G$50</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890A-4094-95F4-B324197B6AB0}"/>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5"/>
      </c:valAx>
      <c:spPr>
        <a:noFill/>
        <a:ln>
          <a:noFill/>
        </a:ln>
        <a:effectLst/>
      </c:spPr>
    </c:plotArea>
    <c:legend>
      <c:legendPos val="b"/>
      <c:layout>
        <c:manualLayout>
          <c:xMode val="edge"/>
          <c:yMode val="edge"/>
          <c:x val="0.11862116801156679"/>
          <c:y val="0.89214612187943054"/>
          <c:w val="0.76275755542964074"/>
          <c:h val="8.718738367468985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r>
              <a:rPr lang="en-US" sz="1000" b="0"/>
              <a:t>(dB)</a:t>
            </a:r>
          </a:p>
        </c:rich>
      </c:tx>
      <c:layout>
        <c:manualLayout>
          <c:xMode val="edge"/>
          <c:yMode val="edge"/>
          <c:x val="1.5329450984110255E-4"/>
          <c:y val="0.27630085301837271"/>
        </c:manualLayout>
      </c:layout>
      <c:overlay val="0"/>
      <c:spPr>
        <a:noFill/>
        <a:ln>
          <a:noFill/>
        </a:ln>
        <a:effectLst/>
      </c:spPr>
      <c:txPr>
        <a:bodyPr rot="-5400000" spcFirstLastPara="1" vertOverflow="ellipsis" wrap="square" anchor="ctr" anchorCtr="1"/>
        <a:lstStyle/>
        <a:p>
          <a:pPr>
            <a:defRPr sz="1000" b="0"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manualLayout>
          <c:layoutTarget val="inner"/>
          <c:xMode val="edge"/>
          <c:yMode val="edge"/>
          <c:x val="5.3811023622047247E-2"/>
          <c:y val="2.8205069256853843E-2"/>
          <c:w val="0.93779494976920963"/>
          <c:h val="0.57940955173226061"/>
        </c:manualLayout>
      </c:layout>
      <c:barChart>
        <c:barDir val="col"/>
        <c:grouping val="clustered"/>
        <c:varyColors val="0"/>
        <c:ser>
          <c:idx val="0"/>
          <c:order val="0"/>
          <c:tx>
            <c:strRef>
              <c:f>'Do rung'!$B$35</c:f>
              <c:strCache>
                <c:ptCount val="1"/>
                <c:pt idx="0">
                  <c:v>2021</c:v>
                </c:pt>
              </c:strCache>
            </c:strRef>
          </c:tx>
          <c:spPr>
            <a:solidFill>
              <a:schemeClr val="accent1"/>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rung'!$B$36:$B$50</c:f>
              <c:numCache>
                <c:formatCode>0.00</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numCache>
            </c:numRef>
          </c:val>
          <c:extLst>
            <c:ext xmlns:c16="http://schemas.microsoft.com/office/drawing/2014/chart" uri="{C3380CC4-5D6E-409C-BE32-E72D297353CC}">
              <c16:uniqueId val="{00000000-2B41-4F07-9244-402C888051DE}"/>
            </c:ext>
          </c:extLst>
        </c:ser>
        <c:ser>
          <c:idx val="1"/>
          <c:order val="1"/>
          <c:tx>
            <c:strRef>
              <c:f>'Do rung'!$C$35</c:f>
              <c:strCache>
                <c:ptCount val="1"/>
                <c:pt idx="0">
                  <c:v>2022</c:v>
                </c:pt>
              </c:strCache>
            </c:strRef>
          </c:tx>
          <c:spPr>
            <a:solidFill>
              <a:schemeClr val="accent2"/>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rung'!$C$36:$C$50</c:f>
              <c:numCache>
                <c:formatCode>0.00</c:formatCode>
                <c:ptCount val="15"/>
                <c:pt idx="0">
                  <c:v>52.833333333333336</c:v>
                </c:pt>
                <c:pt idx="1">
                  <c:v>50.9</c:v>
                </c:pt>
                <c:pt idx="2">
                  <c:v>53.800000000000004</c:v>
                </c:pt>
                <c:pt idx="3">
                  <c:v>49.116666666666667</c:v>
                </c:pt>
                <c:pt idx="4">
                  <c:v>50.949999999999996</c:v>
                </c:pt>
                <c:pt idx="5">
                  <c:v>52.15</c:v>
                </c:pt>
                <c:pt idx="6">
                  <c:v>50.883333333333333</c:v>
                </c:pt>
                <c:pt idx="7">
                  <c:v>51.683333333333337</c:v>
                </c:pt>
                <c:pt idx="8">
                  <c:v>49.449999999999996</c:v>
                </c:pt>
                <c:pt idx="9">
                  <c:v>50.199999999999996</c:v>
                </c:pt>
                <c:pt idx="10">
                  <c:v>54.050000000000004</c:v>
                </c:pt>
                <c:pt idx="11">
                  <c:v>51.166666666666664</c:v>
                </c:pt>
                <c:pt idx="12">
                  <c:v>50.666666666666664</c:v>
                </c:pt>
                <c:pt idx="13">
                  <c:v>53.699999999999996</c:v>
                </c:pt>
                <c:pt idx="14">
                  <c:v>50.849999999999994</c:v>
                </c:pt>
              </c:numCache>
            </c:numRef>
          </c:val>
          <c:extLst>
            <c:ext xmlns:c16="http://schemas.microsoft.com/office/drawing/2014/chart" uri="{C3380CC4-5D6E-409C-BE32-E72D297353CC}">
              <c16:uniqueId val="{00000001-2B41-4F07-9244-402C888051DE}"/>
            </c:ext>
          </c:extLst>
        </c:ser>
        <c:ser>
          <c:idx val="2"/>
          <c:order val="2"/>
          <c:tx>
            <c:strRef>
              <c:f>'Do rung'!$D$35</c:f>
              <c:strCache>
                <c:ptCount val="1"/>
                <c:pt idx="0">
                  <c:v>2023</c:v>
                </c:pt>
              </c:strCache>
            </c:strRef>
          </c:tx>
          <c:spPr>
            <a:solidFill>
              <a:schemeClr val="accent3"/>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rung'!$D$36:$D$50</c:f>
              <c:numCache>
                <c:formatCode>0.00</c:formatCode>
                <c:ptCount val="15"/>
                <c:pt idx="0">
                  <c:v>49.1</c:v>
                </c:pt>
                <c:pt idx="1">
                  <c:v>50.5</c:v>
                </c:pt>
                <c:pt idx="2">
                  <c:v>50.1</c:v>
                </c:pt>
                <c:pt idx="3">
                  <c:v>46.9</c:v>
                </c:pt>
                <c:pt idx="4">
                  <c:v>50</c:v>
                </c:pt>
                <c:pt idx="5">
                  <c:v>52.4</c:v>
                </c:pt>
                <c:pt idx="6">
                  <c:v>43.9</c:v>
                </c:pt>
                <c:pt idx="7">
                  <c:v>44.1</c:v>
                </c:pt>
                <c:pt idx="8">
                  <c:v>45.2</c:v>
                </c:pt>
                <c:pt idx="9">
                  <c:v>46.1</c:v>
                </c:pt>
                <c:pt idx="10">
                  <c:v>49.1</c:v>
                </c:pt>
                <c:pt idx="11">
                  <c:v>52.7</c:v>
                </c:pt>
                <c:pt idx="12">
                  <c:v>47.7</c:v>
                </c:pt>
                <c:pt idx="13">
                  <c:v>51.4</c:v>
                </c:pt>
                <c:pt idx="14">
                  <c:v>51.1</c:v>
                </c:pt>
              </c:numCache>
            </c:numRef>
          </c:val>
          <c:extLst>
            <c:ext xmlns:c16="http://schemas.microsoft.com/office/drawing/2014/chart" uri="{C3380CC4-5D6E-409C-BE32-E72D297353CC}">
              <c16:uniqueId val="{00000002-2B41-4F07-9244-402C888051DE}"/>
            </c:ext>
          </c:extLst>
        </c:ser>
        <c:ser>
          <c:idx val="3"/>
          <c:order val="3"/>
          <c:tx>
            <c:strRef>
              <c:f>'Do rung'!$E$35</c:f>
              <c:strCache>
                <c:ptCount val="1"/>
                <c:pt idx="0">
                  <c:v>2024</c:v>
                </c:pt>
              </c:strCache>
            </c:strRef>
          </c:tx>
          <c:spPr>
            <a:solidFill>
              <a:schemeClr val="accent4"/>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rung'!$E$36:$E$50</c:f>
              <c:numCache>
                <c:formatCode>0.00</c:formatCode>
                <c:ptCount val="15"/>
                <c:pt idx="0">
                  <c:v>49.083333333333336</c:v>
                </c:pt>
                <c:pt idx="1">
                  <c:v>51.516666666666659</c:v>
                </c:pt>
                <c:pt idx="2">
                  <c:v>51.85</c:v>
                </c:pt>
                <c:pt idx="3">
                  <c:v>45.866666666666667</c:v>
                </c:pt>
                <c:pt idx="4">
                  <c:v>54.116666666666667</c:v>
                </c:pt>
                <c:pt idx="5">
                  <c:v>52.216666666666669</c:v>
                </c:pt>
                <c:pt idx="6">
                  <c:v>43.283333333333331</c:v>
                </c:pt>
                <c:pt idx="7">
                  <c:v>42.616666666666674</c:v>
                </c:pt>
                <c:pt idx="8">
                  <c:v>44.1</c:v>
                </c:pt>
                <c:pt idx="9">
                  <c:v>47.666666666666664</c:v>
                </c:pt>
                <c:pt idx="10">
                  <c:v>51.966666666666669</c:v>
                </c:pt>
                <c:pt idx="11">
                  <c:v>47.216666666666669</c:v>
                </c:pt>
                <c:pt idx="12">
                  <c:v>47</c:v>
                </c:pt>
                <c:pt idx="13">
                  <c:v>40.749999999999993</c:v>
                </c:pt>
                <c:pt idx="14">
                  <c:v>42.083333333333336</c:v>
                </c:pt>
              </c:numCache>
            </c:numRef>
          </c:val>
          <c:extLst>
            <c:ext xmlns:c16="http://schemas.microsoft.com/office/drawing/2014/chart" uri="{C3380CC4-5D6E-409C-BE32-E72D297353CC}">
              <c16:uniqueId val="{00000003-2B41-4F07-9244-402C888051DE}"/>
            </c:ext>
          </c:extLst>
        </c:ser>
        <c:ser>
          <c:idx val="4"/>
          <c:order val="4"/>
          <c:tx>
            <c:strRef>
              <c:f>'Do rung'!$F$35</c:f>
              <c:strCache>
                <c:ptCount val="1"/>
                <c:pt idx="0">
                  <c:v>2025</c:v>
                </c:pt>
              </c:strCache>
            </c:strRef>
          </c:tx>
          <c:spPr>
            <a:solidFill>
              <a:schemeClr val="accent5"/>
            </a:solidFill>
            <a:ln>
              <a:noFill/>
            </a:ln>
            <a:effectLst/>
          </c:spPr>
          <c:invertIfNegative val="0"/>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rung'!$F$36:$F$50</c:f>
              <c:numCache>
                <c:formatCode>0.00</c:formatCode>
                <c:ptCount val="15"/>
                <c:pt idx="0">
                  <c:v>45.8</c:v>
                </c:pt>
                <c:pt idx="1">
                  <c:v>49.65</c:v>
                </c:pt>
                <c:pt idx="2">
                  <c:v>51.35</c:v>
                </c:pt>
                <c:pt idx="3">
                  <c:v>43.45</c:v>
                </c:pt>
                <c:pt idx="4">
                  <c:v>51.05</c:v>
                </c:pt>
                <c:pt idx="5">
                  <c:v>44.599999999999994</c:v>
                </c:pt>
                <c:pt idx="6">
                  <c:v>41.75</c:v>
                </c:pt>
                <c:pt idx="7">
                  <c:v>42.4</c:v>
                </c:pt>
                <c:pt idx="8">
                  <c:v>44.85</c:v>
                </c:pt>
                <c:pt idx="9">
                  <c:v>45.85</c:v>
                </c:pt>
                <c:pt idx="10">
                  <c:v>47.05</c:v>
                </c:pt>
                <c:pt idx="11">
                  <c:v>45.55</c:v>
                </c:pt>
                <c:pt idx="12">
                  <c:v>49.55</c:v>
                </c:pt>
                <c:pt idx="13">
                  <c:v>46.1</c:v>
                </c:pt>
                <c:pt idx="14">
                  <c:v>44.95</c:v>
                </c:pt>
              </c:numCache>
            </c:numRef>
          </c:val>
          <c:extLst>
            <c:ext xmlns:c16="http://schemas.microsoft.com/office/drawing/2014/chart" uri="{C3380CC4-5D6E-409C-BE32-E72D297353CC}">
              <c16:uniqueId val="{00000004-2B41-4F07-9244-402C888051DE}"/>
            </c:ext>
          </c:extLst>
        </c:ser>
        <c:dLbls>
          <c:showLegendKey val="0"/>
          <c:showVal val="0"/>
          <c:showCatName val="0"/>
          <c:showSerName val="0"/>
          <c:showPercent val="0"/>
          <c:showBubbleSize val="0"/>
        </c:dLbls>
        <c:gapWidth val="247"/>
        <c:overlap val="-25"/>
        <c:axId val="632909936"/>
        <c:axId val="632912232"/>
      </c:barChart>
      <c:lineChart>
        <c:grouping val="standard"/>
        <c:varyColors val="0"/>
        <c:ser>
          <c:idx val="5"/>
          <c:order val="5"/>
          <c:tx>
            <c:strRef>
              <c:f>'Do rung'!$G$35</c:f>
              <c:strCache>
                <c:ptCount val="1"/>
                <c:pt idx="0">
                  <c:v>QCVN 27:2010/BTNMT</c:v>
                </c:pt>
              </c:strCache>
            </c:strRef>
          </c:tx>
          <c:spPr>
            <a:ln w="22225" cap="rnd">
              <a:solidFill>
                <a:schemeClr val="accent6"/>
              </a:solidFill>
              <a:round/>
            </a:ln>
            <a:effectLst/>
          </c:spPr>
          <c:marker>
            <c:symbol val="none"/>
          </c:marker>
          <c:cat>
            <c:strRef>
              <c:f>'Do rung'!$A$36:$A$50</c:f>
              <c:strCache>
                <c:ptCount val="15"/>
                <c:pt idx="0">
                  <c:v>Đ. Xô viết Nghệ Tĩnh, P. Nguyễn Du</c:v>
                </c:pt>
                <c:pt idx="1">
                  <c:v>Đ. Hàm Nghi giao Đ tránh QL1A, xã Thạch Đài</c:v>
                </c:pt>
                <c:pt idx="2">
                  <c:v>Đ. tránh TP HT qua xã Thạch Long</c:v>
                </c:pt>
                <c:pt idx="3">
                  <c:v>Đ. QL15B Ngã tư Thạch Khê, xã Thạch Khê</c:v>
                </c:pt>
                <c:pt idx="4">
                  <c:v>Đ. Quốc lộ 1A giao ĐT 548, TT Nghèn</c:v>
                </c:pt>
                <c:pt idx="5">
                  <c:v>Đ. Quốc lộ 1A giao Đ. An Vượng, xã Thiên Lộc</c:v>
                </c:pt>
                <c:pt idx="6">
                  <c:v>Đ. sắt Bắc Nam qua xã Tùng Châu</c:v>
                </c:pt>
                <c:pt idx="7">
                  <c:v>Đ. Hồ Chí Minh, xã Sơn Tiến</c:v>
                </c:pt>
                <c:pt idx="8">
                  <c:v>Đ. Hồ Chí Minh, xã Hương Trạch</c:v>
                </c:pt>
                <c:pt idx="9">
                  <c:v>Đ. Quốc lộ 15 giao Đ. Hồ Chí Minh</c:v>
                </c:pt>
                <c:pt idx="10">
                  <c:v>Đ. QL1A giao đường tránh, xã Cẩm Vịnh</c:v>
                </c:pt>
                <c:pt idx="11">
                  <c:v>Đ. Lên hầm Đèo Ngang, xã Kỳ Nam</c:v>
                </c:pt>
                <c:pt idx="12">
                  <c:v>Đ. vào cảng Sơn Dương, xã Kỳ Lợi </c:v>
                </c:pt>
                <c:pt idx="13">
                  <c:v>Đ. QL1A giao đường bao, P. Kỳ Phương</c:v>
                </c:pt>
                <c:pt idx="14">
                  <c:v>Đ. QL 1A giao đường tránh, xã Kỳ Văn</c:v>
                </c:pt>
              </c:strCache>
            </c:strRef>
          </c:cat>
          <c:val>
            <c:numRef>
              <c:f>'Do rung'!$G$36:$G$50</c:f>
              <c:numCache>
                <c:formatCode>General</c:formatCode>
                <c:ptCount val="15"/>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numCache>
            </c:numRef>
          </c:val>
          <c:smooth val="0"/>
          <c:extLst>
            <c:ext xmlns:c16="http://schemas.microsoft.com/office/drawing/2014/chart" uri="{C3380CC4-5D6E-409C-BE32-E72D297353CC}">
              <c16:uniqueId val="{00000005-2B41-4F07-9244-402C888051DE}"/>
            </c:ext>
          </c:extLst>
        </c:ser>
        <c:dLbls>
          <c:showLegendKey val="0"/>
          <c:showVal val="0"/>
          <c:showCatName val="0"/>
          <c:showSerName val="0"/>
          <c:showPercent val="0"/>
          <c:showBubbleSize val="0"/>
        </c:dLbls>
        <c:marker val="1"/>
        <c:smooth val="0"/>
        <c:axId val="632909936"/>
        <c:axId val="632912232"/>
      </c:lineChart>
      <c:catAx>
        <c:axId val="63290993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632912232"/>
        <c:crosses val="autoZero"/>
        <c:auto val="1"/>
        <c:lblAlgn val="ctr"/>
        <c:lblOffset val="100"/>
        <c:noMultiLvlLbl val="0"/>
      </c:catAx>
      <c:valAx>
        <c:axId val="632912232"/>
        <c:scaling>
          <c:orientation val="minMax"/>
          <c:max val="105"/>
        </c:scaling>
        <c:delete val="0"/>
        <c:axPos val="l"/>
        <c:majorGridlines>
          <c:spPr>
            <a:ln w="9525" cap="flat" cmpd="sng" algn="ctr">
              <a:solidFill>
                <a:schemeClr val="dk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crossAx val="632909936"/>
        <c:crosses val="autoZero"/>
        <c:crossBetween val="between"/>
        <c:majorUnit val="3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solidFill>
        <a:schemeClr val="dk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0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1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1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2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3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6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7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xml><?xml version="1.0" encoding="utf-8"?>
<cs:chartStyle xmlns:cs="http://schemas.microsoft.com/office/drawing/2012/chartStyle" xmlns:a="http://schemas.openxmlformats.org/drawingml/2006/main" id="238">
  <cs:axisTitle>
    <cs:lnRef idx="0"/>
    <cs:fillRef idx="0"/>
    <cs:effectRef idx="0"/>
    <cs:fontRef idx="minor">
      <a:schemeClr val="lt1"/>
    </cs:fontRef>
    <cs:defRPr sz="900" b="1" kern="1200"/>
  </cs:axisTitle>
  <cs:categoryAxis>
    <cs:lnRef idx="0">
      <cs:styleClr val="0"/>
    </cs:lnRef>
    <cs:fillRef idx="0"/>
    <cs:effectRef idx="0"/>
    <cs:fontRef idx="minor">
      <a:schemeClr val="lt1"/>
    </cs:fontRef>
    <cs:defRPr sz="900" kern="1200" spc="3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lt1">
            <a:lumMod val="85000"/>
          </a:schemeClr>
        </a:solidFill>
        <a:round/>
      </a:ln>
    </cs:spPr>
    <cs:defRPr sz="1000" kern="1200"/>
  </cs:chartArea>
  <cs:dataLabel>
    <cs:lnRef idx="0"/>
    <cs:fillRef idx="0">
      <cs:styleClr val="0"/>
    </cs:fillRef>
    <cs:effectRef idx="0"/>
    <cs:fontRef idx="minor">
      <a:schemeClr val="lt1"/>
    </cs:fontRef>
    <cs:spPr>
      <a:solidFill>
        <a:schemeClr val="phClr"/>
      </a:solidFill>
    </cs:spPr>
    <cs:defRPr sz="900" b="1"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25400"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cs:spPr>
  </cs:dataPointMarker>
  <cs:dataPointMarkerLayout symbol="circle" size="14"/>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fillRef idx="0"/>
    <cs:effectRef idx="0"/>
    <cs:fontRef idx="minor">
      <a:schemeClr val="dk1"/>
    </cs:fontRef>
    <cs:spPr>
      <a:ln w="9525" cap="flat" cmpd="sng" algn="ctr">
        <a:gradFill>
          <a:gsLst>
            <a:gs pos="0">
              <a:schemeClr val="lt1"/>
            </a:gs>
            <a:gs pos="100000">
              <a:schemeClr val="lt1">
                <a:alpha val="0"/>
              </a:schemeClr>
            </a:gs>
          </a:gsLst>
          <a:lin ang="5400000" scaled="0"/>
        </a:gradFill>
        <a:round/>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8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xml><?xml version="1.0" encoding="utf-8"?>
<cs:chartStyle xmlns:cs="http://schemas.microsoft.com/office/drawing/2012/chartStyle" xmlns:a="http://schemas.openxmlformats.org/drawingml/2006/main" id="22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styleClr val="auto"/>
    </cs:fillRef>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17"/>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0.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1.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2.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3.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4.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6.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7.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8.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9.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năm 2025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652F931-D169-4A58-B8F0-229767C23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217</Pages>
  <Words>75142</Words>
  <Characters>428311</Characters>
  <Application>Microsoft Office Word</Application>
  <DocSecurity>0</DocSecurity>
  <Lines>3569</Lines>
  <Paragraphs>1004</Paragraphs>
  <ScaleCrop>false</ScaleCrop>
  <HeadingPairs>
    <vt:vector size="2" baseType="variant">
      <vt:variant>
        <vt:lpstr>Title</vt:lpstr>
      </vt:variant>
      <vt:variant>
        <vt:i4>1</vt:i4>
      </vt:variant>
    </vt:vector>
  </HeadingPairs>
  <TitlesOfParts>
    <vt:vector size="1" baseType="lpstr">
      <vt:lpstr>Báo cáo tổng quan về hiện trạng môi trường tỉnh Hà Tĩnh giai đoạn 2021- 2025</vt:lpstr>
    </vt:vector>
  </TitlesOfParts>
  <Company>Microsoft</Company>
  <LinksUpToDate>false</LinksUpToDate>
  <CharactersWithSpaces>502449</CharactersWithSpaces>
  <SharedDoc>false</SharedDoc>
  <HLinks>
    <vt:vector size="372" baseType="variant">
      <vt:variant>
        <vt:i4>2097245</vt:i4>
      </vt:variant>
      <vt:variant>
        <vt:i4>675</vt:i4>
      </vt:variant>
      <vt:variant>
        <vt:i4>0</vt:i4>
      </vt:variant>
      <vt:variant>
        <vt:i4>5</vt:i4>
      </vt:variant>
      <vt:variant>
        <vt:lpwstr>mailto:quantrac@hatinh.gov.vn</vt:lpwstr>
      </vt:variant>
      <vt:variant>
        <vt:lpwstr/>
      </vt:variant>
      <vt:variant>
        <vt:i4>1376319</vt:i4>
      </vt:variant>
      <vt:variant>
        <vt:i4>668</vt:i4>
      </vt:variant>
      <vt:variant>
        <vt:i4>0</vt:i4>
      </vt:variant>
      <vt:variant>
        <vt:i4>5</vt:i4>
      </vt:variant>
      <vt:variant>
        <vt:lpwstr/>
      </vt:variant>
      <vt:variant>
        <vt:lpwstr>_Toc52912213</vt:lpwstr>
      </vt:variant>
      <vt:variant>
        <vt:i4>5046292</vt:i4>
      </vt:variant>
      <vt:variant>
        <vt:i4>662</vt:i4>
      </vt:variant>
      <vt:variant>
        <vt:i4>0</vt:i4>
      </vt:variant>
      <vt:variant>
        <vt:i4>5</vt:i4>
      </vt:variant>
      <vt:variant>
        <vt:lpwstr>D:\Bui Minh\DTM\2020\Trai lon anh Phuc\1. DTM Trai lon Cam Thinh.doc</vt:lpwstr>
      </vt:variant>
      <vt:variant>
        <vt:lpwstr>_Toc52912212</vt:lpwstr>
      </vt:variant>
      <vt:variant>
        <vt:i4>1507391</vt:i4>
      </vt:variant>
      <vt:variant>
        <vt:i4>656</vt:i4>
      </vt:variant>
      <vt:variant>
        <vt:i4>0</vt:i4>
      </vt:variant>
      <vt:variant>
        <vt:i4>5</vt:i4>
      </vt:variant>
      <vt:variant>
        <vt:lpwstr/>
      </vt:variant>
      <vt:variant>
        <vt:lpwstr>_Toc52912211</vt:lpwstr>
      </vt:variant>
      <vt:variant>
        <vt:i4>1441855</vt:i4>
      </vt:variant>
      <vt:variant>
        <vt:i4>650</vt:i4>
      </vt:variant>
      <vt:variant>
        <vt:i4>0</vt:i4>
      </vt:variant>
      <vt:variant>
        <vt:i4>5</vt:i4>
      </vt:variant>
      <vt:variant>
        <vt:lpwstr/>
      </vt:variant>
      <vt:variant>
        <vt:lpwstr>_Toc52912210</vt:lpwstr>
      </vt:variant>
      <vt:variant>
        <vt:i4>2031678</vt:i4>
      </vt:variant>
      <vt:variant>
        <vt:i4>644</vt:i4>
      </vt:variant>
      <vt:variant>
        <vt:i4>0</vt:i4>
      </vt:variant>
      <vt:variant>
        <vt:i4>5</vt:i4>
      </vt:variant>
      <vt:variant>
        <vt:lpwstr/>
      </vt:variant>
      <vt:variant>
        <vt:lpwstr>_Toc52912209</vt:lpwstr>
      </vt:variant>
      <vt:variant>
        <vt:i4>1966142</vt:i4>
      </vt:variant>
      <vt:variant>
        <vt:i4>638</vt:i4>
      </vt:variant>
      <vt:variant>
        <vt:i4>0</vt:i4>
      </vt:variant>
      <vt:variant>
        <vt:i4>5</vt:i4>
      </vt:variant>
      <vt:variant>
        <vt:lpwstr/>
      </vt:variant>
      <vt:variant>
        <vt:lpwstr>_Toc52912208</vt:lpwstr>
      </vt:variant>
      <vt:variant>
        <vt:i4>1114174</vt:i4>
      </vt:variant>
      <vt:variant>
        <vt:i4>632</vt:i4>
      </vt:variant>
      <vt:variant>
        <vt:i4>0</vt:i4>
      </vt:variant>
      <vt:variant>
        <vt:i4>5</vt:i4>
      </vt:variant>
      <vt:variant>
        <vt:lpwstr/>
      </vt:variant>
      <vt:variant>
        <vt:lpwstr>_Toc52912207</vt:lpwstr>
      </vt:variant>
      <vt:variant>
        <vt:i4>1048638</vt:i4>
      </vt:variant>
      <vt:variant>
        <vt:i4>626</vt:i4>
      </vt:variant>
      <vt:variant>
        <vt:i4>0</vt:i4>
      </vt:variant>
      <vt:variant>
        <vt:i4>5</vt:i4>
      </vt:variant>
      <vt:variant>
        <vt:lpwstr/>
      </vt:variant>
      <vt:variant>
        <vt:lpwstr>_Toc52912206</vt:lpwstr>
      </vt:variant>
      <vt:variant>
        <vt:i4>1245246</vt:i4>
      </vt:variant>
      <vt:variant>
        <vt:i4>620</vt:i4>
      </vt:variant>
      <vt:variant>
        <vt:i4>0</vt:i4>
      </vt:variant>
      <vt:variant>
        <vt:i4>5</vt:i4>
      </vt:variant>
      <vt:variant>
        <vt:lpwstr/>
      </vt:variant>
      <vt:variant>
        <vt:lpwstr>_Toc52912205</vt:lpwstr>
      </vt:variant>
      <vt:variant>
        <vt:i4>1179710</vt:i4>
      </vt:variant>
      <vt:variant>
        <vt:i4>614</vt:i4>
      </vt:variant>
      <vt:variant>
        <vt:i4>0</vt:i4>
      </vt:variant>
      <vt:variant>
        <vt:i4>5</vt:i4>
      </vt:variant>
      <vt:variant>
        <vt:lpwstr/>
      </vt:variant>
      <vt:variant>
        <vt:lpwstr>_Toc52912204</vt:lpwstr>
      </vt:variant>
      <vt:variant>
        <vt:i4>1376318</vt:i4>
      </vt:variant>
      <vt:variant>
        <vt:i4>608</vt:i4>
      </vt:variant>
      <vt:variant>
        <vt:i4>0</vt:i4>
      </vt:variant>
      <vt:variant>
        <vt:i4>5</vt:i4>
      </vt:variant>
      <vt:variant>
        <vt:lpwstr/>
      </vt:variant>
      <vt:variant>
        <vt:lpwstr>_Toc52912203</vt:lpwstr>
      </vt:variant>
      <vt:variant>
        <vt:i4>1310782</vt:i4>
      </vt:variant>
      <vt:variant>
        <vt:i4>602</vt:i4>
      </vt:variant>
      <vt:variant>
        <vt:i4>0</vt:i4>
      </vt:variant>
      <vt:variant>
        <vt:i4>5</vt:i4>
      </vt:variant>
      <vt:variant>
        <vt:lpwstr/>
      </vt:variant>
      <vt:variant>
        <vt:lpwstr>_Toc52912202</vt:lpwstr>
      </vt:variant>
      <vt:variant>
        <vt:i4>1507390</vt:i4>
      </vt:variant>
      <vt:variant>
        <vt:i4>593</vt:i4>
      </vt:variant>
      <vt:variant>
        <vt:i4>0</vt:i4>
      </vt:variant>
      <vt:variant>
        <vt:i4>5</vt:i4>
      </vt:variant>
      <vt:variant>
        <vt:lpwstr/>
      </vt:variant>
      <vt:variant>
        <vt:lpwstr>_Toc52912201</vt:lpwstr>
      </vt:variant>
      <vt:variant>
        <vt:i4>1441854</vt:i4>
      </vt:variant>
      <vt:variant>
        <vt:i4>587</vt:i4>
      </vt:variant>
      <vt:variant>
        <vt:i4>0</vt:i4>
      </vt:variant>
      <vt:variant>
        <vt:i4>5</vt:i4>
      </vt:variant>
      <vt:variant>
        <vt:lpwstr/>
      </vt:variant>
      <vt:variant>
        <vt:lpwstr>_Toc52912200</vt:lpwstr>
      </vt:variant>
      <vt:variant>
        <vt:i4>1835063</vt:i4>
      </vt:variant>
      <vt:variant>
        <vt:i4>581</vt:i4>
      </vt:variant>
      <vt:variant>
        <vt:i4>0</vt:i4>
      </vt:variant>
      <vt:variant>
        <vt:i4>5</vt:i4>
      </vt:variant>
      <vt:variant>
        <vt:lpwstr/>
      </vt:variant>
      <vt:variant>
        <vt:lpwstr>_Toc52912199</vt:lpwstr>
      </vt:variant>
      <vt:variant>
        <vt:i4>1900599</vt:i4>
      </vt:variant>
      <vt:variant>
        <vt:i4>575</vt:i4>
      </vt:variant>
      <vt:variant>
        <vt:i4>0</vt:i4>
      </vt:variant>
      <vt:variant>
        <vt:i4>5</vt:i4>
      </vt:variant>
      <vt:variant>
        <vt:lpwstr/>
      </vt:variant>
      <vt:variant>
        <vt:lpwstr>_Toc52912198</vt:lpwstr>
      </vt:variant>
      <vt:variant>
        <vt:i4>1179703</vt:i4>
      </vt:variant>
      <vt:variant>
        <vt:i4>569</vt:i4>
      </vt:variant>
      <vt:variant>
        <vt:i4>0</vt:i4>
      </vt:variant>
      <vt:variant>
        <vt:i4>5</vt:i4>
      </vt:variant>
      <vt:variant>
        <vt:lpwstr/>
      </vt:variant>
      <vt:variant>
        <vt:lpwstr>_Toc52912197</vt:lpwstr>
      </vt:variant>
      <vt:variant>
        <vt:i4>1900594</vt:i4>
      </vt:variant>
      <vt:variant>
        <vt:i4>560</vt:i4>
      </vt:variant>
      <vt:variant>
        <vt:i4>0</vt:i4>
      </vt:variant>
      <vt:variant>
        <vt:i4>5</vt:i4>
      </vt:variant>
      <vt:variant>
        <vt:lpwstr/>
      </vt:variant>
      <vt:variant>
        <vt:lpwstr>_Toc49153543</vt:lpwstr>
      </vt:variant>
      <vt:variant>
        <vt:i4>1835058</vt:i4>
      </vt:variant>
      <vt:variant>
        <vt:i4>554</vt:i4>
      </vt:variant>
      <vt:variant>
        <vt:i4>0</vt:i4>
      </vt:variant>
      <vt:variant>
        <vt:i4>5</vt:i4>
      </vt:variant>
      <vt:variant>
        <vt:lpwstr/>
      </vt:variant>
      <vt:variant>
        <vt:lpwstr>_Toc49153542</vt:lpwstr>
      </vt:variant>
      <vt:variant>
        <vt:i4>1245239</vt:i4>
      </vt:variant>
      <vt:variant>
        <vt:i4>545</vt:i4>
      </vt:variant>
      <vt:variant>
        <vt:i4>0</vt:i4>
      </vt:variant>
      <vt:variant>
        <vt:i4>5</vt:i4>
      </vt:variant>
      <vt:variant>
        <vt:lpwstr/>
      </vt:variant>
      <vt:variant>
        <vt:lpwstr>_Toc52912196</vt:lpwstr>
      </vt:variant>
      <vt:variant>
        <vt:i4>1048631</vt:i4>
      </vt:variant>
      <vt:variant>
        <vt:i4>539</vt:i4>
      </vt:variant>
      <vt:variant>
        <vt:i4>0</vt:i4>
      </vt:variant>
      <vt:variant>
        <vt:i4>5</vt:i4>
      </vt:variant>
      <vt:variant>
        <vt:lpwstr/>
      </vt:variant>
      <vt:variant>
        <vt:lpwstr>_Toc52912195</vt:lpwstr>
      </vt:variant>
      <vt:variant>
        <vt:i4>1114167</vt:i4>
      </vt:variant>
      <vt:variant>
        <vt:i4>533</vt:i4>
      </vt:variant>
      <vt:variant>
        <vt:i4>0</vt:i4>
      </vt:variant>
      <vt:variant>
        <vt:i4>5</vt:i4>
      </vt:variant>
      <vt:variant>
        <vt:lpwstr/>
      </vt:variant>
      <vt:variant>
        <vt:lpwstr>_Toc52912194</vt:lpwstr>
      </vt:variant>
      <vt:variant>
        <vt:i4>1441847</vt:i4>
      </vt:variant>
      <vt:variant>
        <vt:i4>527</vt:i4>
      </vt:variant>
      <vt:variant>
        <vt:i4>0</vt:i4>
      </vt:variant>
      <vt:variant>
        <vt:i4>5</vt:i4>
      </vt:variant>
      <vt:variant>
        <vt:lpwstr/>
      </vt:variant>
      <vt:variant>
        <vt:lpwstr>_Toc52912193</vt:lpwstr>
      </vt:variant>
      <vt:variant>
        <vt:i4>1507383</vt:i4>
      </vt:variant>
      <vt:variant>
        <vt:i4>521</vt:i4>
      </vt:variant>
      <vt:variant>
        <vt:i4>0</vt:i4>
      </vt:variant>
      <vt:variant>
        <vt:i4>5</vt:i4>
      </vt:variant>
      <vt:variant>
        <vt:lpwstr/>
      </vt:variant>
      <vt:variant>
        <vt:lpwstr>_Toc52912192</vt:lpwstr>
      </vt:variant>
      <vt:variant>
        <vt:i4>1310775</vt:i4>
      </vt:variant>
      <vt:variant>
        <vt:i4>515</vt:i4>
      </vt:variant>
      <vt:variant>
        <vt:i4>0</vt:i4>
      </vt:variant>
      <vt:variant>
        <vt:i4>5</vt:i4>
      </vt:variant>
      <vt:variant>
        <vt:lpwstr/>
      </vt:variant>
      <vt:variant>
        <vt:lpwstr>_Toc52912191</vt:lpwstr>
      </vt:variant>
      <vt:variant>
        <vt:i4>1376311</vt:i4>
      </vt:variant>
      <vt:variant>
        <vt:i4>509</vt:i4>
      </vt:variant>
      <vt:variant>
        <vt:i4>0</vt:i4>
      </vt:variant>
      <vt:variant>
        <vt:i4>5</vt:i4>
      </vt:variant>
      <vt:variant>
        <vt:lpwstr/>
      </vt:variant>
      <vt:variant>
        <vt:lpwstr>_Toc52912190</vt:lpwstr>
      </vt:variant>
      <vt:variant>
        <vt:i4>1835062</vt:i4>
      </vt:variant>
      <vt:variant>
        <vt:i4>503</vt:i4>
      </vt:variant>
      <vt:variant>
        <vt:i4>0</vt:i4>
      </vt:variant>
      <vt:variant>
        <vt:i4>5</vt:i4>
      </vt:variant>
      <vt:variant>
        <vt:lpwstr/>
      </vt:variant>
      <vt:variant>
        <vt:lpwstr>_Toc52912189</vt:lpwstr>
      </vt:variant>
      <vt:variant>
        <vt:i4>1900598</vt:i4>
      </vt:variant>
      <vt:variant>
        <vt:i4>497</vt:i4>
      </vt:variant>
      <vt:variant>
        <vt:i4>0</vt:i4>
      </vt:variant>
      <vt:variant>
        <vt:i4>5</vt:i4>
      </vt:variant>
      <vt:variant>
        <vt:lpwstr/>
      </vt:variant>
      <vt:variant>
        <vt:lpwstr>_Toc52912188</vt:lpwstr>
      </vt:variant>
      <vt:variant>
        <vt:i4>1179702</vt:i4>
      </vt:variant>
      <vt:variant>
        <vt:i4>491</vt:i4>
      </vt:variant>
      <vt:variant>
        <vt:i4>0</vt:i4>
      </vt:variant>
      <vt:variant>
        <vt:i4>5</vt:i4>
      </vt:variant>
      <vt:variant>
        <vt:lpwstr/>
      </vt:variant>
      <vt:variant>
        <vt:lpwstr>_Toc52912187</vt:lpwstr>
      </vt:variant>
      <vt:variant>
        <vt:i4>1245238</vt:i4>
      </vt:variant>
      <vt:variant>
        <vt:i4>485</vt:i4>
      </vt:variant>
      <vt:variant>
        <vt:i4>0</vt:i4>
      </vt:variant>
      <vt:variant>
        <vt:i4>5</vt:i4>
      </vt:variant>
      <vt:variant>
        <vt:lpwstr/>
      </vt:variant>
      <vt:variant>
        <vt:lpwstr>_Toc52912186</vt:lpwstr>
      </vt:variant>
      <vt:variant>
        <vt:i4>1048630</vt:i4>
      </vt:variant>
      <vt:variant>
        <vt:i4>479</vt:i4>
      </vt:variant>
      <vt:variant>
        <vt:i4>0</vt:i4>
      </vt:variant>
      <vt:variant>
        <vt:i4>5</vt:i4>
      </vt:variant>
      <vt:variant>
        <vt:lpwstr/>
      </vt:variant>
      <vt:variant>
        <vt:lpwstr>_Toc52912185</vt:lpwstr>
      </vt:variant>
      <vt:variant>
        <vt:i4>1114166</vt:i4>
      </vt:variant>
      <vt:variant>
        <vt:i4>473</vt:i4>
      </vt:variant>
      <vt:variant>
        <vt:i4>0</vt:i4>
      </vt:variant>
      <vt:variant>
        <vt:i4>5</vt:i4>
      </vt:variant>
      <vt:variant>
        <vt:lpwstr/>
      </vt:variant>
      <vt:variant>
        <vt:lpwstr>_Toc52912184</vt:lpwstr>
      </vt:variant>
      <vt:variant>
        <vt:i4>1441846</vt:i4>
      </vt:variant>
      <vt:variant>
        <vt:i4>467</vt:i4>
      </vt:variant>
      <vt:variant>
        <vt:i4>0</vt:i4>
      </vt:variant>
      <vt:variant>
        <vt:i4>5</vt:i4>
      </vt:variant>
      <vt:variant>
        <vt:lpwstr/>
      </vt:variant>
      <vt:variant>
        <vt:lpwstr>_Toc52912183</vt:lpwstr>
      </vt:variant>
      <vt:variant>
        <vt:i4>1507382</vt:i4>
      </vt:variant>
      <vt:variant>
        <vt:i4>461</vt:i4>
      </vt:variant>
      <vt:variant>
        <vt:i4>0</vt:i4>
      </vt:variant>
      <vt:variant>
        <vt:i4>5</vt:i4>
      </vt:variant>
      <vt:variant>
        <vt:lpwstr/>
      </vt:variant>
      <vt:variant>
        <vt:lpwstr>_Toc52912182</vt:lpwstr>
      </vt:variant>
      <vt:variant>
        <vt:i4>1310774</vt:i4>
      </vt:variant>
      <vt:variant>
        <vt:i4>455</vt:i4>
      </vt:variant>
      <vt:variant>
        <vt:i4>0</vt:i4>
      </vt:variant>
      <vt:variant>
        <vt:i4>5</vt:i4>
      </vt:variant>
      <vt:variant>
        <vt:lpwstr/>
      </vt:variant>
      <vt:variant>
        <vt:lpwstr>_Toc52912181</vt:lpwstr>
      </vt:variant>
      <vt:variant>
        <vt:i4>1376310</vt:i4>
      </vt:variant>
      <vt:variant>
        <vt:i4>449</vt:i4>
      </vt:variant>
      <vt:variant>
        <vt:i4>0</vt:i4>
      </vt:variant>
      <vt:variant>
        <vt:i4>5</vt:i4>
      </vt:variant>
      <vt:variant>
        <vt:lpwstr/>
      </vt:variant>
      <vt:variant>
        <vt:lpwstr>_Toc52912180</vt:lpwstr>
      </vt:variant>
      <vt:variant>
        <vt:i4>1835065</vt:i4>
      </vt:variant>
      <vt:variant>
        <vt:i4>443</vt:i4>
      </vt:variant>
      <vt:variant>
        <vt:i4>0</vt:i4>
      </vt:variant>
      <vt:variant>
        <vt:i4>5</vt:i4>
      </vt:variant>
      <vt:variant>
        <vt:lpwstr/>
      </vt:variant>
      <vt:variant>
        <vt:lpwstr>_Toc52912179</vt:lpwstr>
      </vt:variant>
      <vt:variant>
        <vt:i4>1900601</vt:i4>
      </vt:variant>
      <vt:variant>
        <vt:i4>437</vt:i4>
      </vt:variant>
      <vt:variant>
        <vt:i4>0</vt:i4>
      </vt:variant>
      <vt:variant>
        <vt:i4>5</vt:i4>
      </vt:variant>
      <vt:variant>
        <vt:lpwstr/>
      </vt:variant>
      <vt:variant>
        <vt:lpwstr>_Toc52912178</vt:lpwstr>
      </vt:variant>
      <vt:variant>
        <vt:i4>1179705</vt:i4>
      </vt:variant>
      <vt:variant>
        <vt:i4>428</vt:i4>
      </vt:variant>
      <vt:variant>
        <vt:i4>0</vt:i4>
      </vt:variant>
      <vt:variant>
        <vt:i4>5</vt:i4>
      </vt:variant>
      <vt:variant>
        <vt:lpwstr/>
      </vt:variant>
      <vt:variant>
        <vt:lpwstr>_Toc52912177</vt:lpwstr>
      </vt:variant>
      <vt:variant>
        <vt:i4>1245241</vt:i4>
      </vt:variant>
      <vt:variant>
        <vt:i4>422</vt:i4>
      </vt:variant>
      <vt:variant>
        <vt:i4>0</vt:i4>
      </vt:variant>
      <vt:variant>
        <vt:i4>5</vt:i4>
      </vt:variant>
      <vt:variant>
        <vt:lpwstr/>
      </vt:variant>
      <vt:variant>
        <vt:lpwstr>_Toc52912176</vt:lpwstr>
      </vt:variant>
      <vt:variant>
        <vt:i4>1048633</vt:i4>
      </vt:variant>
      <vt:variant>
        <vt:i4>416</vt:i4>
      </vt:variant>
      <vt:variant>
        <vt:i4>0</vt:i4>
      </vt:variant>
      <vt:variant>
        <vt:i4>5</vt:i4>
      </vt:variant>
      <vt:variant>
        <vt:lpwstr/>
      </vt:variant>
      <vt:variant>
        <vt:lpwstr>_Toc52912175</vt:lpwstr>
      </vt:variant>
      <vt:variant>
        <vt:i4>1114169</vt:i4>
      </vt:variant>
      <vt:variant>
        <vt:i4>410</vt:i4>
      </vt:variant>
      <vt:variant>
        <vt:i4>0</vt:i4>
      </vt:variant>
      <vt:variant>
        <vt:i4>5</vt:i4>
      </vt:variant>
      <vt:variant>
        <vt:lpwstr/>
      </vt:variant>
      <vt:variant>
        <vt:lpwstr>_Toc52912174</vt:lpwstr>
      </vt:variant>
      <vt:variant>
        <vt:i4>1441849</vt:i4>
      </vt:variant>
      <vt:variant>
        <vt:i4>404</vt:i4>
      </vt:variant>
      <vt:variant>
        <vt:i4>0</vt:i4>
      </vt:variant>
      <vt:variant>
        <vt:i4>5</vt:i4>
      </vt:variant>
      <vt:variant>
        <vt:lpwstr/>
      </vt:variant>
      <vt:variant>
        <vt:lpwstr>_Toc52912173</vt:lpwstr>
      </vt:variant>
      <vt:variant>
        <vt:i4>1507385</vt:i4>
      </vt:variant>
      <vt:variant>
        <vt:i4>398</vt:i4>
      </vt:variant>
      <vt:variant>
        <vt:i4>0</vt:i4>
      </vt:variant>
      <vt:variant>
        <vt:i4>5</vt:i4>
      </vt:variant>
      <vt:variant>
        <vt:lpwstr/>
      </vt:variant>
      <vt:variant>
        <vt:lpwstr>_Toc52912172</vt:lpwstr>
      </vt:variant>
      <vt:variant>
        <vt:i4>1310777</vt:i4>
      </vt:variant>
      <vt:variant>
        <vt:i4>392</vt:i4>
      </vt:variant>
      <vt:variant>
        <vt:i4>0</vt:i4>
      </vt:variant>
      <vt:variant>
        <vt:i4>5</vt:i4>
      </vt:variant>
      <vt:variant>
        <vt:lpwstr/>
      </vt:variant>
      <vt:variant>
        <vt:lpwstr>_Toc52912171</vt:lpwstr>
      </vt:variant>
      <vt:variant>
        <vt:i4>1376313</vt:i4>
      </vt:variant>
      <vt:variant>
        <vt:i4>386</vt:i4>
      </vt:variant>
      <vt:variant>
        <vt:i4>0</vt:i4>
      </vt:variant>
      <vt:variant>
        <vt:i4>5</vt:i4>
      </vt:variant>
      <vt:variant>
        <vt:lpwstr/>
      </vt:variant>
      <vt:variant>
        <vt:lpwstr>_Toc52912170</vt:lpwstr>
      </vt:variant>
      <vt:variant>
        <vt:i4>1835064</vt:i4>
      </vt:variant>
      <vt:variant>
        <vt:i4>380</vt:i4>
      </vt:variant>
      <vt:variant>
        <vt:i4>0</vt:i4>
      </vt:variant>
      <vt:variant>
        <vt:i4>5</vt:i4>
      </vt:variant>
      <vt:variant>
        <vt:lpwstr/>
      </vt:variant>
      <vt:variant>
        <vt:lpwstr>_Toc52912169</vt:lpwstr>
      </vt:variant>
      <vt:variant>
        <vt:i4>1900600</vt:i4>
      </vt:variant>
      <vt:variant>
        <vt:i4>374</vt:i4>
      </vt:variant>
      <vt:variant>
        <vt:i4>0</vt:i4>
      </vt:variant>
      <vt:variant>
        <vt:i4>5</vt:i4>
      </vt:variant>
      <vt:variant>
        <vt:lpwstr/>
      </vt:variant>
      <vt:variant>
        <vt:lpwstr>_Toc52912168</vt:lpwstr>
      </vt:variant>
      <vt:variant>
        <vt:i4>1179704</vt:i4>
      </vt:variant>
      <vt:variant>
        <vt:i4>368</vt:i4>
      </vt:variant>
      <vt:variant>
        <vt:i4>0</vt:i4>
      </vt:variant>
      <vt:variant>
        <vt:i4>5</vt:i4>
      </vt:variant>
      <vt:variant>
        <vt:lpwstr/>
      </vt:variant>
      <vt:variant>
        <vt:lpwstr>_Toc52912167</vt:lpwstr>
      </vt:variant>
      <vt:variant>
        <vt:i4>1245240</vt:i4>
      </vt:variant>
      <vt:variant>
        <vt:i4>362</vt:i4>
      </vt:variant>
      <vt:variant>
        <vt:i4>0</vt:i4>
      </vt:variant>
      <vt:variant>
        <vt:i4>5</vt:i4>
      </vt:variant>
      <vt:variant>
        <vt:lpwstr/>
      </vt:variant>
      <vt:variant>
        <vt:lpwstr>_Toc52912166</vt:lpwstr>
      </vt:variant>
      <vt:variant>
        <vt:i4>1048632</vt:i4>
      </vt:variant>
      <vt:variant>
        <vt:i4>356</vt:i4>
      </vt:variant>
      <vt:variant>
        <vt:i4>0</vt:i4>
      </vt:variant>
      <vt:variant>
        <vt:i4>5</vt:i4>
      </vt:variant>
      <vt:variant>
        <vt:lpwstr/>
      </vt:variant>
      <vt:variant>
        <vt:lpwstr>_Toc52912165</vt:lpwstr>
      </vt:variant>
      <vt:variant>
        <vt:i4>1114168</vt:i4>
      </vt:variant>
      <vt:variant>
        <vt:i4>350</vt:i4>
      </vt:variant>
      <vt:variant>
        <vt:i4>0</vt:i4>
      </vt:variant>
      <vt:variant>
        <vt:i4>5</vt:i4>
      </vt:variant>
      <vt:variant>
        <vt:lpwstr/>
      </vt:variant>
      <vt:variant>
        <vt:lpwstr>_Toc52912164</vt:lpwstr>
      </vt:variant>
      <vt:variant>
        <vt:i4>1441848</vt:i4>
      </vt:variant>
      <vt:variant>
        <vt:i4>341</vt:i4>
      </vt:variant>
      <vt:variant>
        <vt:i4>0</vt:i4>
      </vt:variant>
      <vt:variant>
        <vt:i4>5</vt:i4>
      </vt:variant>
      <vt:variant>
        <vt:lpwstr/>
      </vt:variant>
      <vt:variant>
        <vt:lpwstr>_Toc52912163</vt:lpwstr>
      </vt:variant>
      <vt:variant>
        <vt:i4>1507384</vt:i4>
      </vt:variant>
      <vt:variant>
        <vt:i4>335</vt:i4>
      </vt:variant>
      <vt:variant>
        <vt:i4>0</vt:i4>
      </vt:variant>
      <vt:variant>
        <vt:i4>5</vt:i4>
      </vt:variant>
      <vt:variant>
        <vt:lpwstr/>
      </vt:variant>
      <vt:variant>
        <vt:lpwstr>_Toc52912162</vt:lpwstr>
      </vt:variant>
      <vt:variant>
        <vt:i4>1310776</vt:i4>
      </vt:variant>
      <vt:variant>
        <vt:i4>329</vt:i4>
      </vt:variant>
      <vt:variant>
        <vt:i4>0</vt:i4>
      </vt:variant>
      <vt:variant>
        <vt:i4>5</vt:i4>
      </vt:variant>
      <vt:variant>
        <vt:lpwstr/>
      </vt:variant>
      <vt:variant>
        <vt:lpwstr>_Toc52912161</vt:lpwstr>
      </vt:variant>
      <vt:variant>
        <vt:i4>1376312</vt:i4>
      </vt:variant>
      <vt:variant>
        <vt:i4>323</vt:i4>
      </vt:variant>
      <vt:variant>
        <vt:i4>0</vt:i4>
      </vt:variant>
      <vt:variant>
        <vt:i4>5</vt:i4>
      </vt:variant>
      <vt:variant>
        <vt:lpwstr/>
      </vt:variant>
      <vt:variant>
        <vt:lpwstr>_Toc52912160</vt:lpwstr>
      </vt:variant>
      <vt:variant>
        <vt:i4>1835067</vt:i4>
      </vt:variant>
      <vt:variant>
        <vt:i4>317</vt:i4>
      </vt:variant>
      <vt:variant>
        <vt:i4>0</vt:i4>
      </vt:variant>
      <vt:variant>
        <vt:i4>5</vt:i4>
      </vt:variant>
      <vt:variant>
        <vt:lpwstr/>
      </vt:variant>
      <vt:variant>
        <vt:lpwstr>_Toc52912159</vt:lpwstr>
      </vt:variant>
      <vt:variant>
        <vt:i4>1900603</vt:i4>
      </vt:variant>
      <vt:variant>
        <vt:i4>311</vt:i4>
      </vt:variant>
      <vt:variant>
        <vt:i4>0</vt:i4>
      </vt:variant>
      <vt:variant>
        <vt:i4>5</vt:i4>
      </vt:variant>
      <vt:variant>
        <vt:lpwstr/>
      </vt:variant>
      <vt:variant>
        <vt:lpwstr>_Toc52912158</vt:lpwstr>
      </vt:variant>
      <vt:variant>
        <vt:i4>1179707</vt:i4>
      </vt:variant>
      <vt:variant>
        <vt:i4>305</vt:i4>
      </vt:variant>
      <vt:variant>
        <vt:i4>0</vt:i4>
      </vt:variant>
      <vt:variant>
        <vt:i4>5</vt:i4>
      </vt:variant>
      <vt:variant>
        <vt:lpwstr/>
      </vt:variant>
      <vt:variant>
        <vt:lpwstr>_Toc52912157</vt:lpwstr>
      </vt:variant>
      <vt:variant>
        <vt:i4>1245243</vt:i4>
      </vt:variant>
      <vt:variant>
        <vt:i4>299</vt:i4>
      </vt:variant>
      <vt:variant>
        <vt:i4>0</vt:i4>
      </vt:variant>
      <vt:variant>
        <vt:i4>5</vt:i4>
      </vt:variant>
      <vt:variant>
        <vt:lpwstr/>
      </vt:variant>
      <vt:variant>
        <vt:lpwstr>_Toc52912156</vt:lpwstr>
      </vt:variant>
      <vt:variant>
        <vt:i4>1048635</vt:i4>
      </vt:variant>
      <vt:variant>
        <vt:i4>293</vt:i4>
      </vt:variant>
      <vt:variant>
        <vt:i4>0</vt:i4>
      </vt:variant>
      <vt:variant>
        <vt:i4>5</vt:i4>
      </vt:variant>
      <vt:variant>
        <vt:lpwstr/>
      </vt:variant>
      <vt:variant>
        <vt:lpwstr>_Toc52912155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Báo cáo tổng quan về hiện trạng môi trường tỉnh Hà Tĩnh giai đoạn 2021- 2025</dc:title>
  <dc:subject/>
  <dc:creator>User</dc:creator>
  <cp:keywords/>
  <dc:description/>
  <cp:lastModifiedBy>Administrator</cp:lastModifiedBy>
  <cp:revision>23</cp:revision>
  <cp:lastPrinted>2025-10-14T08:21:00Z</cp:lastPrinted>
  <dcterms:created xsi:type="dcterms:W3CDTF">2025-11-19T02:37:00Z</dcterms:created>
  <dcterms:modified xsi:type="dcterms:W3CDTF">2025-11-19T03:21:00Z</dcterms:modified>
</cp:coreProperties>
</file>